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CF42" w14:textId="730719E9"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C30EDA" w:rsidRDefault="00D7335E">
      <w:pPr>
        <w:jc w:val="both"/>
        <w:rPr>
          <w:rFonts w:ascii="Arial" w:hAnsi="Arial" w:cs="Arial"/>
          <w:b/>
          <w:sz w:val="8"/>
          <w:szCs w:val="16"/>
        </w:rPr>
      </w:pPr>
    </w:p>
    <w:p w14:paraId="036920E8" w14:textId="77777777" w:rsidR="00D7335E" w:rsidRPr="00C30EDA" w:rsidRDefault="00D7335E">
      <w:pPr>
        <w:pBdr>
          <w:top w:val="single" w:sz="4" w:space="1" w:color="auto"/>
          <w:left w:val="single" w:sz="4" w:space="4" w:color="auto"/>
          <w:bottom w:val="single" w:sz="4" w:space="1" w:color="auto"/>
          <w:right w:val="single" w:sz="4" w:space="4" w:color="auto"/>
        </w:pBdr>
        <w:rPr>
          <w:rFonts w:ascii="Arial" w:hAnsi="Arial" w:cs="Arial"/>
          <w:b/>
          <w:bCs/>
          <w:sz w:val="8"/>
          <w:szCs w:val="20"/>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5D4DC2C9" w14:textId="35DD5E73" w:rsidR="00FF0BB4" w:rsidRPr="00F66696" w:rsidRDefault="00FF0BB4" w:rsidP="00FF0BB4">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w:t>
        </w:r>
        <w:r>
          <w:rPr>
            <w:rStyle w:val="Hyperlink"/>
            <w:rFonts w:ascii="Arial" w:hAnsi="Arial" w:cs="Arial"/>
            <w:b/>
            <w:bCs/>
            <w:color w:val="0000FF"/>
            <w:sz w:val="20"/>
            <w:u w:val="none"/>
          </w:rPr>
          <w:t>3</w:t>
        </w:r>
        <w:r w:rsidRPr="00F66696">
          <w:rPr>
            <w:rStyle w:val="Hyperlink"/>
            <w:rFonts w:ascii="Arial" w:hAnsi="Arial" w:cs="Arial"/>
            <w:b/>
            <w:bCs/>
            <w:color w:val="0000FF"/>
            <w:sz w:val="20"/>
            <w:u w:val="none"/>
          </w:rPr>
          <w:tab/>
        </w:r>
        <w:r>
          <w:rPr>
            <w:rStyle w:val="Hyperlink"/>
            <w:rFonts w:ascii="Arial" w:hAnsi="Arial" w:cs="Arial"/>
            <w:b/>
            <w:bCs/>
            <w:color w:val="0000FF"/>
            <w:sz w:val="20"/>
            <w:u w:val="none"/>
          </w:rPr>
          <w:t>‘Consequence of incompetence of defence counsel</w:t>
        </w:r>
      </w:hyperlink>
    </w:p>
    <w:p w14:paraId="308A072B" w14:textId="5DF12E70" w:rsidR="003032AA" w:rsidRPr="00E25B40" w:rsidRDefault="003032AA"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1C3BD4">
      <w:pPr>
        <w:pBdr>
          <w:top w:val="single" w:sz="4" w:space="1" w:color="auto"/>
          <w:left w:val="single" w:sz="4" w:space="4" w:color="auto"/>
          <w:bottom w:val="single" w:sz="4" w:space="1" w:color="auto"/>
          <w:right w:val="single" w:sz="4" w:space="4" w:color="auto"/>
        </w:pBdr>
      </w:pPr>
      <w:r w:rsidRPr="00E25B40">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1C3BD4">
      <w:pPr>
        <w:pBdr>
          <w:top w:val="single" w:sz="4" w:space="1" w:color="auto"/>
          <w:left w:val="single" w:sz="4" w:space="4" w:color="auto"/>
          <w:bottom w:val="single" w:sz="4" w:space="1" w:color="auto"/>
          <w:right w:val="single" w:sz="4" w:space="4" w:color="auto"/>
        </w:pBdr>
      </w:pPr>
      <w:r w:rsidRPr="00E25B40">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1C3BD4">
      <w:pPr>
        <w:pBdr>
          <w:top w:val="single" w:sz="4" w:space="1" w:color="auto"/>
          <w:left w:val="single" w:sz="4" w:space="4" w:color="auto"/>
          <w:bottom w:val="single" w:sz="4" w:space="1" w:color="auto"/>
          <w:right w:val="single" w:sz="4" w:space="4" w:color="auto"/>
        </w:pBdr>
      </w:pPr>
      <w:r w:rsidRPr="00E25B40">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1C3BD4">
      <w:pPr>
        <w:pBdr>
          <w:top w:val="single" w:sz="4" w:space="1" w:color="auto"/>
          <w:left w:val="single" w:sz="4" w:space="4" w:color="auto"/>
          <w:bottom w:val="single" w:sz="4" w:space="1" w:color="auto"/>
          <w:right w:val="single" w:sz="4" w:space="4" w:color="auto"/>
        </w:pBdr>
        <w:ind w:firstLine="720"/>
      </w:pPr>
      <w:r w:rsidRPr="00E25B40">
        <w:fldChar w:fldCharType="begin"/>
      </w:r>
      <w:r w:rsidRPr="00E25B40">
        <w:instrText xml:space="preserve"> HYPERLINK  \l "_10.1.4_Whether_Uplift" </w:instrText>
      </w:r>
      <w:r w:rsidRPr="00E25B40">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fldChar w:fldCharType="end"/>
      </w:r>
    </w:p>
    <w:p w14:paraId="1E06709E" w14:textId="0C4BF90C" w:rsidR="00F86EF4"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begin"/>
      </w:r>
      <w:r w:rsidR="00A61C65">
        <w:instrText>HYPERLINK  \l "_10.1.5_Whether_Uplift"</w:instrText>
      </w:r>
      <w:r w:rsidRPr="00E25B40">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end"/>
      </w:r>
      <w:r w:rsidRPr="00E25B40">
        <w:fldChar w:fldCharType="begin"/>
      </w:r>
      <w:r w:rsidRPr="00E25B40">
        <w:instrText xml:space="preserve"> HYPERLINK  \l "_10.1.6_Transfer_back_1" </w:instrText>
      </w:r>
      <w:r w:rsidRPr="00E25B40">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1C3BD4">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fldChar w:fldCharType="end"/>
      </w:r>
      <w:r w:rsidR="004A6074" w:rsidRPr="00E25B40">
        <w:fldChar w:fldCharType="begin"/>
      </w:r>
      <w:r w:rsidR="00ED7A0B">
        <w:instrText>HYPERLINK  \l "_10.1.7_Transfer_of"</w:instrText>
      </w:r>
      <w:r w:rsidR="004A6074" w:rsidRPr="00E25B40">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1C3BD4">
      <w:pPr>
        <w:pBdr>
          <w:top w:val="single" w:sz="4" w:space="1" w:color="auto"/>
          <w:left w:val="single" w:sz="4" w:space="4" w:color="auto"/>
          <w:bottom w:val="single" w:sz="4" w:space="1" w:color="auto"/>
          <w:right w:val="single" w:sz="4" w:space="4" w:color="auto"/>
        </w:pBdr>
      </w:pPr>
      <w:r w:rsidRPr="00E25B40">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1C3BD4">
      <w:pPr>
        <w:pBdr>
          <w:top w:val="single" w:sz="4" w:space="1" w:color="auto"/>
          <w:left w:val="single" w:sz="4" w:space="4" w:color="auto"/>
          <w:bottom w:val="single" w:sz="4" w:space="1" w:color="auto"/>
          <w:right w:val="single" w:sz="4" w:space="4" w:color="auto"/>
        </w:pBdr>
      </w:pPr>
      <w:r w:rsidRPr="00E25B40">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1C3BD4">
      <w:pPr>
        <w:pBdr>
          <w:top w:val="single" w:sz="4" w:space="1" w:color="auto"/>
          <w:left w:val="single" w:sz="4" w:space="4" w:color="auto"/>
          <w:bottom w:val="single" w:sz="4" w:space="1" w:color="auto"/>
          <w:right w:val="single" w:sz="4" w:space="4" w:color="auto"/>
        </w:pBdr>
      </w:pPr>
      <w:r w:rsidRPr="00E25B40">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0603E30D"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001D4716">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2"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1C743F92" w14:textId="76C07DD6" w:rsidR="009A6889" w:rsidRPr="00E7529F" w:rsidRDefault="009A6889" w:rsidP="009A688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E</w:t>
      </w:r>
      <w:r w:rsidRPr="00C90CE8">
        <w:rPr>
          <w:rFonts w:ascii="Arial" w:hAnsi="Arial" w:cs="Arial"/>
          <w:b/>
          <w:color w:val="000000"/>
          <w:sz w:val="22"/>
        </w:rPr>
        <w:t xml:space="preserve"> </w:t>
      </w:r>
      <w:hyperlink w:anchor="_10.3.3.5E_Contested_hearing" w:history="1">
        <w:r>
          <w:rPr>
            <w:rStyle w:val="Hyperlink"/>
            <w:rFonts w:ascii="Arial" w:hAnsi="Arial" w:cs="Arial"/>
            <w:b/>
            <w:bCs/>
            <w:color w:val="0000FF"/>
            <w:sz w:val="20"/>
            <w:u w:val="none"/>
          </w:rPr>
          <w:t>Inconsistent verdicts</w:t>
        </w:r>
      </w:hyperlink>
    </w:p>
    <w:p w14:paraId="3D01EA6F" w14:textId="05042294"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C30EDA">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B71092" w:rsidP="00C30EDA">
      <w:pPr>
        <w:pBdr>
          <w:top w:val="single" w:sz="4" w:space="1" w:color="auto"/>
          <w:left w:val="single" w:sz="4" w:space="4" w:color="auto"/>
          <w:bottom w:val="single" w:sz="4" w:space="1" w:color="auto"/>
          <w:right w:val="single" w:sz="4" w:space="4" w:color="auto"/>
        </w:pBdr>
        <w:spacing w:before="8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lastRenderedPageBreak/>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3C812353" w:rsidR="00275AD9" w:rsidRPr="004F3C36"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DIVERSION_STATISTICS" w:history="1">
        <w:r w:rsidRPr="004F3C36">
          <w:rPr>
            <w:rStyle w:val="Hyperlink"/>
            <w:rFonts w:ascii="Arial" w:hAnsi="Arial" w:cs="Arial"/>
            <w:b/>
            <w:color w:val="0000FF"/>
            <w:sz w:val="20"/>
            <w:szCs w:val="20"/>
            <w:u w:val="none"/>
            <w:shd w:val="clear" w:color="auto" w:fill="000000" w:themeFill="text1"/>
          </w:rPr>
          <w:t>I</w:t>
        </w:r>
        <w:r w:rsidRPr="004F3C36">
          <w:rPr>
            <w:rStyle w:val="Hyperlink"/>
            <w:rFonts w:ascii="Arial" w:hAnsi="Arial" w:cs="Arial"/>
            <w:b/>
            <w:color w:val="0000FF"/>
            <w:sz w:val="20"/>
            <w:szCs w:val="20"/>
            <w:u w:val="none"/>
          </w:rPr>
          <w:tab/>
        </w:r>
        <w:r w:rsidR="004F3C36" w:rsidRPr="004F3C36">
          <w:rPr>
            <w:rStyle w:val="Hyperlink"/>
            <w:rFonts w:ascii="Arial" w:hAnsi="Arial" w:cs="Arial"/>
            <w:b/>
            <w:color w:val="0000FF"/>
            <w:sz w:val="20"/>
            <w:szCs w:val="20"/>
            <w:u w:val="none"/>
          </w:rPr>
          <w:t>Diver</w:t>
        </w:r>
        <w:r w:rsidRPr="004F3C36">
          <w:rPr>
            <w:rStyle w:val="Hyperlink"/>
            <w:rFonts w:ascii="Arial" w:hAnsi="Arial" w:cs="Arial"/>
            <w:b/>
            <w:color w:val="0000FF"/>
            <w:sz w:val="20"/>
            <w:szCs w:val="20"/>
            <w:u w:val="none"/>
          </w:rPr>
          <w:t>sion</w:t>
        </w:r>
        <w:r w:rsidR="004F3C36" w:rsidRPr="004F3C36">
          <w:rPr>
            <w:rStyle w:val="Hyperlink"/>
            <w:rFonts w:ascii="Arial" w:hAnsi="Arial" w:cs="Arial"/>
            <w:b/>
            <w:color w:val="0000FF"/>
            <w:sz w:val="20"/>
            <w:szCs w:val="20"/>
            <w:u w:val="none"/>
          </w:rPr>
          <w:t xml:space="preserve"> statistics</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5654B527" w14:textId="408546A7"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4F3C36">
        <w:rPr>
          <w:rStyle w:val="Hyperlink"/>
          <w:rFonts w:ascii="Arial" w:hAnsi="Arial" w:cs="Arial"/>
          <w:b/>
          <w:color w:val="FFFFFF" w:themeColor="background1"/>
          <w:sz w:val="20"/>
          <w:szCs w:val="20"/>
          <w:u w:val="none"/>
          <w:shd w:val="clear" w:color="auto" w:fill="000000" w:themeFill="text1"/>
        </w:rPr>
        <w:t>K</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 xml:space="preserve">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‘model litigant’ obligations of a prosecutor is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62900F67" w14:textId="77777777" w:rsidR="00BE33A5" w:rsidRDefault="00BE33A5" w:rsidP="00BE33A5">
      <w:pPr>
        <w:jc w:val="both"/>
        <w:rPr>
          <w:rFonts w:ascii="Arial" w:hAnsi="Arial" w:cs="Arial"/>
          <w:sz w:val="20"/>
        </w:rPr>
      </w:pPr>
    </w:p>
    <w:p w14:paraId="0C89EFFB" w14:textId="6C553A4F" w:rsidR="00D6714D" w:rsidRDefault="00D6714D" w:rsidP="00D6714D">
      <w:pPr>
        <w:jc w:val="both"/>
        <w:rPr>
          <w:rFonts w:ascii="Arial" w:hAnsi="Arial" w:cs="Arial"/>
          <w:sz w:val="20"/>
        </w:rPr>
      </w:pPr>
      <w:r>
        <w:rPr>
          <w:rFonts w:ascii="Arial" w:hAnsi="Arial" w:cs="Arial"/>
          <w:sz w:val="20"/>
        </w:rPr>
        <w:t>Other important obligations</w:t>
      </w:r>
      <w:r w:rsidR="004D453D">
        <w:rPr>
          <w:rFonts w:ascii="Arial" w:hAnsi="Arial" w:cs="Arial"/>
          <w:sz w:val="20"/>
        </w:rPr>
        <w:t xml:space="preserve"> of a prosecutor</w:t>
      </w:r>
      <w:r>
        <w:rPr>
          <w:rFonts w:ascii="Arial" w:hAnsi="Arial" w:cs="Arial"/>
          <w:sz w:val="20"/>
        </w:rPr>
        <w:t xml:space="preserve">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lastRenderedPageBreak/>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07A70538" w14:textId="77777777" w:rsidR="00692FE8" w:rsidRDefault="00692FE8" w:rsidP="00ED017F">
      <w:pPr>
        <w:jc w:val="both"/>
        <w:rPr>
          <w:rFonts w:ascii="Arial" w:hAnsi="Arial" w:cs="Arial"/>
          <w:sz w:val="20"/>
        </w:rPr>
      </w:pPr>
    </w:p>
    <w:p w14:paraId="19211DF0" w14:textId="77777777" w:rsidR="00FF0BB4" w:rsidRDefault="00FF0BB4" w:rsidP="00FF0BB4">
      <w:pPr>
        <w:jc w:val="both"/>
        <w:rPr>
          <w:rFonts w:ascii="Arial" w:hAnsi="Arial" w:cs="Arial"/>
          <w:sz w:val="20"/>
          <w:szCs w:val="20"/>
        </w:rPr>
      </w:pPr>
      <w:r>
        <w:rPr>
          <w:rFonts w:ascii="Arial" w:hAnsi="Arial" w:cs="Arial"/>
          <w:sz w:val="20"/>
          <w:szCs w:val="20"/>
        </w:rPr>
        <w:t xml:space="preserve">In </w:t>
      </w:r>
      <w:r w:rsidRPr="00C30EDA">
        <w:rPr>
          <w:rFonts w:ascii="Arial" w:hAnsi="Arial" w:cs="Arial"/>
          <w:i/>
          <w:iCs/>
          <w:sz w:val="20"/>
          <w:szCs w:val="20"/>
        </w:rPr>
        <w:t>Irwin v The King</w:t>
      </w:r>
      <w:r>
        <w:rPr>
          <w:rFonts w:ascii="Arial" w:hAnsi="Arial" w:cs="Arial"/>
          <w:sz w:val="20"/>
          <w:szCs w:val="20"/>
        </w:rPr>
        <w:t xml:space="preserve"> [2022] VSCA 218 the applicant had been found guilty of sexual penetration of a child under 16 and an indecent act with a child under 16. The defence had been denied leave to cross-examine the complainant as to other sexual activities which may have provided an alternative explanation for the complainant’s knowledge of the location of the charged acts. The prosecutor had emphasised the lack of an alternative explanation in the closing address. Holding that the prosecutor’s closing address was unfair in light of the denial of leave to cross-examine, the Court of Appeal allowed the appeal and ordered a re-trial (which ultimately resulted in an acquittal). At [110] Priest AP, </w:t>
      </w:r>
      <w:proofErr w:type="spellStart"/>
      <w:r>
        <w:rPr>
          <w:rFonts w:ascii="Arial" w:hAnsi="Arial" w:cs="Arial"/>
          <w:sz w:val="20"/>
          <w:szCs w:val="20"/>
        </w:rPr>
        <w:t>Sifris</w:t>
      </w:r>
      <w:proofErr w:type="spellEnd"/>
      <w:r>
        <w:rPr>
          <w:rFonts w:ascii="Arial" w:hAnsi="Arial" w:cs="Arial"/>
          <w:sz w:val="20"/>
          <w:szCs w:val="20"/>
        </w:rPr>
        <w:t xml:space="preserve"> &amp; Walker JJA described the duty of a prosecutor as follows:</w:t>
      </w:r>
    </w:p>
    <w:p w14:paraId="26863E28" w14:textId="77777777" w:rsidR="00FF0BB4" w:rsidRDefault="00FF0BB4" w:rsidP="00FF0BB4">
      <w:pPr>
        <w:spacing w:before="60"/>
        <w:ind w:left="567" w:right="567"/>
        <w:jc w:val="both"/>
        <w:rPr>
          <w:rFonts w:ascii="Arial" w:hAnsi="Arial" w:cs="Arial"/>
          <w:sz w:val="20"/>
          <w:szCs w:val="20"/>
        </w:rPr>
      </w:pPr>
      <w:r>
        <w:rPr>
          <w:rFonts w:ascii="Arial" w:hAnsi="Arial" w:cs="Arial"/>
          <w:sz w:val="20"/>
          <w:szCs w:val="20"/>
        </w:rPr>
        <w:t>“</w:t>
      </w:r>
      <w:r w:rsidRPr="008A085D">
        <w:rPr>
          <w:rFonts w:ascii="Arial" w:hAnsi="Arial" w:cs="Arial"/>
          <w:sz w:val="20"/>
          <w:szCs w:val="20"/>
        </w:rPr>
        <w:t xml:space="preserve">This Court considered the principles relevant to a ground of appeal based on the conduct of prosecuting counsel in </w:t>
      </w:r>
      <w:r w:rsidRPr="008A085D">
        <w:rPr>
          <w:rFonts w:ascii="Arial" w:hAnsi="Arial" w:cs="Arial"/>
          <w:i/>
          <w:iCs/>
          <w:sz w:val="20"/>
          <w:szCs w:val="20"/>
        </w:rPr>
        <w:t>Bugeja v The Queen</w:t>
      </w:r>
      <w:r w:rsidRPr="008A085D">
        <w:rPr>
          <w:rFonts w:ascii="Arial" w:hAnsi="Arial" w:cs="Arial"/>
          <w:sz w:val="20"/>
          <w:szCs w:val="20"/>
        </w:rPr>
        <w:t xml:space="preserve"> </w:t>
      </w:r>
      <w:r>
        <w:rPr>
          <w:rFonts w:ascii="Arial" w:hAnsi="Arial" w:cs="Arial"/>
          <w:sz w:val="20"/>
          <w:szCs w:val="20"/>
        </w:rPr>
        <w:t>(2010) 30 VR 493.</w:t>
      </w:r>
      <w:r w:rsidRPr="008A085D">
        <w:rPr>
          <w:rFonts w:ascii="Arial" w:hAnsi="Arial" w:cs="Arial"/>
          <w:sz w:val="20"/>
          <w:szCs w:val="20"/>
        </w:rPr>
        <w:t xml:space="preserve"> In that case, Weinberg JA said </w:t>
      </w:r>
      <w:r>
        <w:rPr>
          <w:rFonts w:ascii="Arial" w:hAnsi="Arial" w:cs="Arial"/>
          <w:sz w:val="20"/>
          <w:szCs w:val="20"/>
        </w:rPr>
        <w:t xml:space="preserve">at [56]-[63] (Bongiorno JA agreeing at [76]) </w:t>
      </w:r>
      <w:r w:rsidRPr="008A085D">
        <w:rPr>
          <w:rFonts w:ascii="Arial" w:hAnsi="Arial" w:cs="Arial"/>
          <w:sz w:val="20"/>
          <w:szCs w:val="20"/>
        </w:rPr>
        <w:t>as follows</w:t>
      </w:r>
      <w:r>
        <w:rPr>
          <w:rFonts w:ascii="Arial" w:hAnsi="Arial" w:cs="Arial"/>
          <w:sz w:val="20"/>
          <w:szCs w:val="20"/>
        </w:rPr>
        <w:t xml:space="preserve"> (citations omitted)</w:t>
      </w:r>
      <w:r w:rsidRPr="008A085D">
        <w:rPr>
          <w:rFonts w:ascii="Arial" w:hAnsi="Arial" w:cs="Arial"/>
          <w:sz w:val="20"/>
          <w:szCs w:val="20"/>
        </w:rPr>
        <w:t>:</w:t>
      </w:r>
    </w:p>
    <w:p w14:paraId="070B4054"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The starting point, in relation to a ground of that type, must be to consider the role of prosecuting counsel. As has been said many times before, that role differs from that of an advocate representing an accused person in a criminal matter. The prosecutor represents the State. His or her duty is to fairly and impartially place before the jury all relevant and cogent evidence, and not to obtain a conviction by any or all means. Having presented the evidence, the prosecutor should then address the jury as to how it should be viewed, but always doing so in a manner that is scrupulously fair.</w:t>
      </w:r>
    </w:p>
    <w:p w14:paraId="55AF880B"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The cases establish that the prosecutor should not, for example, adopt tactics that involve an appeal to prejudice or amount to an intemperate or emotional attack on the accused. It is not, of course, suggested that the prosecutor in this case did any such thing.</w:t>
      </w:r>
    </w:p>
    <w:p w14:paraId="4A02EA4F"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That is not, however, the end of the matter. It is clearly established that the prosecutor should not invite the jury to accept any argument that does not carry conviction in his or her own mind. Nor should the prosecutor put forward any argument or submission that is misleading, unfair, or otherwise unsustainable. To do so is to act contrary to the basic responsibilities that the prosecution must shoulder, and may well lead, in a given case, to a miscarriage of justice.</w:t>
      </w:r>
    </w:p>
    <w:p w14:paraId="6CE3AA25"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lastRenderedPageBreak/>
        <w:t xml:space="preserve">In </w:t>
      </w:r>
      <w:r w:rsidRPr="008A085D">
        <w:rPr>
          <w:rFonts w:ascii="Arial" w:hAnsi="Arial" w:cs="Arial"/>
          <w:i/>
          <w:iCs/>
          <w:sz w:val="18"/>
          <w:szCs w:val="18"/>
        </w:rPr>
        <w:t>King v R</w:t>
      </w:r>
      <w:r w:rsidRPr="008A085D">
        <w:rPr>
          <w:rFonts w:ascii="Arial" w:hAnsi="Arial" w:cs="Arial"/>
          <w:sz w:val="18"/>
          <w:szCs w:val="18"/>
        </w:rPr>
        <w:t xml:space="preserve">, Murphy J summarised the ethical responsibilities that rest upon a prosecutor in the following terms: </w:t>
      </w:r>
    </w:p>
    <w:p w14:paraId="75033849" w14:textId="77777777" w:rsidR="00FF0BB4" w:rsidRPr="008A085D" w:rsidRDefault="00FF0BB4" w:rsidP="00FF0BB4">
      <w:pPr>
        <w:spacing w:before="60"/>
        <w:ind w:left="1474" w:right="1474"/>
        <w:jc w:val="both"/>
        <w:rPr>
          <w:rFonts w:ascii="Arial" w:hAnsi="Arial" w:cs="Arial"/>
          <w:sz w:val="16"/>
          <w:szCs w:val="16"/>
        </w:rPr>
      </w:pPr>
      <w:r w:rsidRPr="008A085D">
        <w:rPr>
          <w:rFonts w:ascii="Arial" w:hAnsi="Arial" w:cs="Arial"/>
          <w:sz w:val="16"/>
          <w:szCs w:val="16"/>
        </w:rPr>
        <w:t>The duty of a prosecutor is to present the case against the accused fairly and honestly; not to use any tactical manoeuvre legally available in order to secure a conviction.</w:t>
      </w:r>
    </w:p>
    <w:p w14:paraId="179349A0" w14:textId="77777777" w:rsidR="00FF0BB4" w:rsidRDefault="00FF0BB4" w:rsidP="00FF0BB4">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R v Lucas</w:t>
      </w:r>
      <w:r w:rsidRPr="008A085D">
        <w:rPr>
          <w:rFonts w:ascii="Arial" w:hAnsi="Arial" w:cs="Arial"/>
          <w:sz w:val="18"/>
          <w:szCs w:val="18"/>
        </w:rPr>
        <w:t>, Smith ACJ made essentially the same point. His Honour said:</w:t>
      </w:r>
    </w:p>
    <w:p w14:paraId="087C3168" w14:textId="77777777" w:rsidR="00FF0BB4" w:rsidRPr="008A085D" w:rsidRDefault="00FF0BB4" w:rsidP="00FF0BB4">
      <w:pPr>
        <w:spacing w:before="60"/>
        <w:ind w:left="1474" w:right="1474"/>
        <w:jc w:val="both"/>
        <w:rPr>
          <w:rFonts w:ascii="Arial" w:hAnsi="Arial" w:cs="Arial"/>
          <w:sz w:val="14"/>
          <w:szCs w:val="14"/>
        </w:rPr>
      </w:pPr>
      <w:r w:rsidRPr="008A085D">
        <w:rPr>
          <w:rFonts w:ascii="Arial" w:hAnsi="Arial" w:cs="Arial"/>
          <w:sz w:val="16"/>
          <w:szCs w:val="16"/>
        </w:rPr>
        <w:t>For the purpose of establishing such an allegation of unfairness it is not necessary for the applicant to be able to point to the conduct of an identified person or persons concerned in the prosecution as having been blameworthy. It is sufficient for him to show that the totality of the acts of those concerned on behalf of the Crown in the preparation and conduct of the prosecution has operated unfairly against him … [T]he duty of a prosecutor is to prosecute and not to defend, nevertheless it has long been established that a prosecution must be conducted with fairness towards the accused and with a single view to determining and establishing the truth.</w:t>
      </w:r>
    </w:p>
    <w:p w14:paraId="1F8011B0"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Newton J and Norris AJ, in their joint judgment in </w:t>
      </w:r>
      <w:r w:rsidRPr="00892E35">
        <w:rPr>
          <w:rFonts w:ascii="Arial" w:hAnsi="Arial" w:cs="Arial"/>
          <w:i/>
          <w:iCs/>
          <w:sz w:val="18"/>
          <w:szCs w:val="18"/>
        </w:rPr>
        <w:t>Lucas</w:t>
      </w:r>
      <w:r w:rsidRPr="00892E35">
        <w:rPr>
          <w:rFonts w:ascii="Arial" w:hAnsi="Arial" w:cs="Arial"/>
          <w:sz w:val="18"/>
          <w:szCs w:val="18"/>
        </w:rPr>
        <w:t xml:space="preserve">, put the matter this way: </w:t>
      </w:r>
    </w:p>
    <w:p w14:paraId="0F335B8A" w14:textId="77777777" w:rsidR="00FF0BB4" w:rsidRPr="00BE33A5" w:rsidRDefault="00FF0BB4" w:rsidP="00FF0BB4">
      <w:pPr>
        <w:spacing w:before="60"/>
        <w:ind w:left="1474" w:right="1474"/>
        <w:jc w:val="both"/>
        <w:rPr>
          <w:rFonts w:ascii="Arial" w:hAnsi="Arial" w:cs="Arial"/>
          <w:sz w:val="16"/>
          <w:szCs w:val="16"/>
        </w:rPr>
      </w:pPr>
      <w:r w:rsidRPr="00BE33A5">
        <w:rPr>
          <w:rFonts w:ascii="Arial" w:hAnsi="Arial" w:cs="Arial"/>
          <w:sz w:val="16"/>
          <w:szCs w:val="16"/>
        </w:rPr>
        <w:t>[P]</w:t>
      </w:r>
      <w:proofErr w:type="spellStart"/>
      <w:r w:rsidRPr="00BE33A5">
        <w:rPr>
          <w:rFonts w:ascii="Arial" w:hAnsi="Arial" w:cs="Arial"/>
          <w:sz w:val="16"/>
          <w:szCs w:val="16"/>
        </w:rPr>
        <w:t>rosecuting</w:t>
      </w:r>
      <w:proofErr w:type="spellEnd"/>
      <w:r w:rsidRPr="00BE33A5">
        <w:rPr>
          <w:rFonts w:ascii="Arial" w:hAnsi="Arial" w:cs="Arial"/>
          <w:sz w:val="16"/>
          <w:szCs w:val="16"/>
        </w:rPr>
        <w:t xml:space="preserve"> counsel are ministers of justice, who ought not to struggle for a conviction … it is their duty to assist the court in the attainment of the purpose of criminal prosecutions, namely, to make certain that justice is done as between the subject and the State. </w:t>
      </w:r>
    </w:p>
    <w:p w14:paraId="404B855D" w14:textId="77777777" w:rsidR="00FF0BB4" w:rsidRPr="00892E35" w:rsidRDefault="00FF0BB4" w:rsidP="00FF0BB4">
      <w:pPr>
        <w:spacing w:before="60"/>
        <w:ind w:left="1021" w:right="1021"/>
        <w:jc w:val="both"/>
        <w:rPr>
          <w:rFonts w:ascii="Arial" w:hAnsi="Arial" w:cs="Arial"/>
          <w:sz w:val="18"/>
          <w:szCs w:val="18"/>
        </w:rPr>
      </w:pPr>
      <w:r w:rsidRPr="00892E35">
        <w:rPr>
          <w:rFonts w:ascii="Arial" w:hAnsi="Arial" w:cs="Arial"/>
          <w:sz w:val="18"/>
          <w:szCs w:val="18"/>
        </w:rPr>
        <w:t xml:space="preserve">In </w:t>
      </w:r>
      <w:r w:rsidRPr="00892E35">
        <w:rPr>
          <w:rFonts w:ascii="Arial" w:hAnsi="Arial" w:cs="Arial"/>
          <w:i/>
          <w:iCs/>
          <w:sz w:val="18"/>
          <w:szCs w:val="18"/>
        </w:rPr>
        <w:t>Whitehorn v R</w:t>
      </w:r>
      <w:r w:rsidRPr="00892E35">
        <w:rPr>
          <w:rFonts w:ascii="Arial" w:hAnsi="Arial" w:cs="Arial"/>
          <w:sz w:val="18"/>
          <w:szCs w:val="18"/>
        </w:rPr>
        <w:t>, Deane J said:</w:t>
      </w:r>
    </w:p>
    <w:p w14:paraId="2C481E86" w14:textId="77777777" w:rsidR="00FF0BB4" w:rsidRPr="00BE33A5" w:rsidRDefault="00FF0BB4" w:rsidP="00FF0BB4">
      <w:pPr>
        <w:spacing w:before="60"/>
        <w:ind w:left="1474" w:right="1474"/>
        <w:jc w:val="both"/>
        <w:rPr>
          <w:rFonts w:ascii="Arial" w:hAnsi="Arial" w:cs="Arial"/>
          <w:sz w:val="18"/>
          <w:szCs w:val="18"/>
        </w:rPr>
      </w:pPr>
      <w:r w:rsidRPr="00BE33A5">
        <w:rPr>
          <w:rFonts w:ascii="Arial" w:hAnsi="Arial" w:cs="Arial"/>
          <w:sz w:val="16"/>
          <w:szCs w:val="16"/>
        </w:rPr>
        <w:t>Prosecuting counsel in a criminal trial represents the State.</w:t>
      </w:r>
      <w:r w:rsidRPr="00BE33A5">
        <w:rPr>
          <w:rFonts w:ascii="Arial" w:hAnsi="Arial" w:cs="Arial"/>
          <w:sz w:val="18"/>
          <w:szCs w:val="18"/>
        </w:rPr>
        <w:t xml:space="preserve"> </w:t>
      </w:r>
      <w:r w:rsidRPr="00BE33A5">
        <w:rPr>
          <w:rFonts w:ascii="Arial" w:hAnsi="Arial" w:cs="Arial"/>
          <w:sz w:val="16"/>
          <w:szCs w:val="16"/>
        </w:rPr>
        <w:t>The accused, the court and the community are entitled to expect that, in performing his function of presenting the case against an accused, he will act with fairness and detachment and always with the objectives of establishing the whole truth in accordance with the procedures and standards which the law requires to be observed and of helping ensure that the accused’s trial is a fair one. These broad statements as to the duties of the prosecutor extend, of course, to the content of his or her closing address. They lead to the conclusion that a prosecutor must not, in that closing address, invite the jury to proceed upon a theory which is known to be, at the least, highly dubious, and has the very real potential to mislead the jury. That conclusion is expressly supported by the authorities.”</w:t>
      </w:r>
    </w:p>
    <w:p w14:paraId="65C7B712" w14:textId="77777777" w:rsidR="00FF0BB4" w:rsidRDefault="00FF0BB4" w:rsidP="00FF0BB4">
      <w:pPr>
        <w:jc w:val="both"/>
        <w:rPr>
          <w:rFonts w:ascii="Arial" w:hAnsi="Arial" w:cs="Arial"/>
          <w:sz w:val="20"/>
        </w:rPr>
      </w:pPr>
    </w:p>
    <w:p w14:paraId="39C716D0" w14:textId="77777777" w:rsidR="00FF0BB4" w:rsidRDefault="00FF0BB4" w:rsidP="00FF0BB4">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25C30B45" w14:textId="21D5A2AD" w:rsidR="00FF0BB4" w:rsidRDefault="00FF0BB4" w:rsidP="00FF0BB4">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decided to re-examine. Common sense was jettisoned. This was an unnecessary and hazardous course. The prosecutor responded to defence counsel’s mild suggestion that the complainant was ‘making up’ his evidence, and decided to ‘up the ante’. The following irresponsible re-examination occurred</w:t>
      </w:r>
      <w:r>
        <w:rPr>
          <w:rFonts w:ascii="Arial" w:hAnsi="Arial" w:cs="Arial"/>
          <w:sz w:val="20"/>
          <w:szCs w:val="20"/>
        </w:rPr>
        <w:t>..</w:t>
      </w:r>
      <w:r w:rsidRPr="008808B1">
        <w:rPr>
          <w:rFonts w:ascii="Arial" w:hAnsi="Arial" w:cs="Arial"/>
          <w:sz w:val="20"/>
          <w:szCs w:val="20"/>
        </w:rPr>
        <w:t>.</w:t>
      </w:r>
    </w:p>
    <w:p w14:paraId="46942A83"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3D2FB244" w14:textId="77777777" w:rsidR="00FF0BB4"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69D6A9E6" w14:textId="77777777" w:rsidR="00FF0BB4" w:rsidRPr="0048594F"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Pr>
          <w:rFonts w:ascii="Arial" w:hAnsi="Arial" w:cs="Arial"/>
          <w:sz w:val="20"/>
          <w:szCs w:val="20"/>
        </w:rPr>
        <w:noBreakHyphen/>
      </w:r>
      <w:r w:rsidRPr="0048594F">
        <w:rPr>
          <w:rFonts w:ascii="Arial" w:hAnsi="Arial" w:cs="Arial"/>
          <w:sz w:val="20"/>
          <w:szCs w:val="20"/>
        </w:rPr>
        <w:t>4; [1983] HCA 427 Deane J said:</w:t>
      </w:r>
    </w:p>
    <w:p w14:paraId="6B40DC88" w14:textId="77777777" w:rsidR="00FF0BB4" w:rsidRPr="002934C8" w:rsidRDefault="00FF0BB4" w:rsidP="00FF0BB4">
      <w:pPr>
        <w:pStyle w:val="NormalWeb"/>
        <w:spacing w:before="60" w:beforeAutospacing="0" w:after="0" w:afterAutospacing="0"/>
        <w:ind w:left="1021" w:right="1021"/>
        <w:jc w:val="both"/>
        <w:rPr>
          <w:rFonts w:ascii="Arial" w:hAnsi="Arial" w:cs="Arial"/>
          <w:sz w:val="18"/>
          <w:szCs w:val="18"/>
        </w:rPr>
      </w:pPr>
      <w:r w:rsidRPr="002934C8">
        <w:rPr>
          <w:rFonts w:ascii="Arial" w:hAnsi="Arial" w:cs="Arial"/>
          <w:sz w:val="18"/>
          <w:szCs w:val="18"/>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3259308A" w14:textId="77777777" w:rsidR="00FF0BB4" w:rsidRPr="008808B1" w:rsidRDefault="00FF0BB4" w:rsidP="00FF0BB4">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22A7DD99" w14:textId="77777777" w:rsidR="00FF0BB4" w:rsidRDefault="00FF0BB4" w:rsidP="00FF0BB4">
      <w:pPr>
        <w:jc w:val="both"/>
        <w:rPr>
          <w:rFonts w:ascii="Arial" w:hAnsi="Arial" w:cs="Arial"/>
          <w:sz w:val="20"/>
        </w:rPr>
      </w:pPr>
    </w:p>
    <w:p w14:paraId="0F205434" w14:textId="768B6783" w:rsidR="006E1662" w:rsidRDefault="0093352C" w:rsidP="00FF0BB4">
      <w:pPr>
        <w:jc w:val="both"/>
        <w:rPr>
          <w:rFonts w:ascii="Arial" w:hAnsi="Arial" w:cs="Arial"/>
          <w:sz w:val="20"/>
        </w:rPr>
      </w:pPr>
      <w:r>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the applicant had been found guilty in a jury trial of intentionally causing serious injury and handling stolen goods. The prosecutor had cross-examined the principal prosecution witness without </w:t>
      </w:r>
      <w:r w:rsidR="006E1662">
        <w:rPr>
          <w:rFonts w:ascii="Arial" w:hAnsi="Arial" w:cs="Arial"/>
          <w:sz w:val="20"/>
        </w:rPr>
        <w:t xml:space="preserve">being granted </w:t>
      </w:r>
      <w:r>
        <w:rPr>
          <w:rFonts w:ascii="Arial" w:hAnsi="Arial" w:cs="Arial"/>
          <w:sz w:val="20"/>
        </w:rPr>
        <w:t xml:space="preserve">leave </w:t>
      </w:r>
      <w:r w:rsidR="006E1662">
        <w:rPr>
          <w:rFonts w:ascii="Arial" w:hAnsi="Arial" w:cs="Arial"/>
          <w:sz w:val="20"/>
        </w:rPr>
        <w:t xml:space="preserve">from the trial judge under s.38 of the </w:t>
      </w:r>
      <w:r w:rsidR="006E1662" w:rsidRPr="006E1662">
        <w:rPr>
          <w:rFonts w:ascii="Arial" w:hAnsi="Arial" w:cs="Arial"/>
          <w:i/>
          <w:iCs/>
          <w:sz w:val="20"/>
        </w:rPr>
        <w:t>Evidence Act 2008</w:t>
      </w:r>
      <w:r w:rsidR="006E1662">
        <w:rPr>
          <w:rFonts w:ascii="Arial" w:hAnsi="Arial" w:cs="Arial"/>
          <w:sz w:val="20"/>
        </w:rPr>
        <w:t xml:space="preserve"> </w:t>
      </w:r>
      <w:r>
        <w:rPr>
          <w:rFonts w:ascii="Arial" w:hAnsi="Arial" w:cs="Arial"/>
          <w:sz w:val="20"/>
        </w:rPr>
        <w:t xml:space="preserve">and the defence counsel had acquiesced. The incompetence of defence counsel is discussed in </w:t>
      </w:r>
      <w:r w:rsidRPr="006E1662">
        <w:rPr>
          <w:rFonts w:ascii="Arial" w:hAnsi="Arial" w:cs="Arial"/>
          <w:b/>
          <w:bCs/>
          <w:sz w:val="20"/>
          <w:shd w:val="clear" w:color="auto" w:fill="C5E0B3" w:themeFill="accent6" w:themeFillTint="66"/>
        </w:rPr>
        <w:t>section 10.0.3</w:t>
      </w:r>
      <w:r>
        <w:rPr>
          <w:rFonts w:ascii="Arial" w:hAnsi="Arial" w:cs="Arial"/>
          <w:sz w:val="20"/>
        </w:rPr>
        <w:t xml:space="preserve"> below. </w:t>
      </w:r>
      <w:r w:rsidR="006E1662">
        <w:rPr>
          <w:rFonts w:ascii="Arial" w:hAnsi="Arial" w:cs="Arial"/>
          <w:sz w:val="20"/>
        </w:rPr>
        <w:t>At [80]-[81] Priest, Taylor &amp; Kidd JJA made the following observations about the conduct of the prosecutor at the trial:</w:t>
      </w:r>
    </w:p>
    <w:p w14:paraId="1BCE8424" w14:textId="7348EB28" w:rsidR="006E1662" w:rsidRDefault="006E1662" w:rsidP="006E166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[80] “...Prosecutors have long been regarded as ministers of justice who are obliged to conduct the prosecution case fairly. As to that, Kaye AJ recently observed in </w:t>
      </w:r>
      <w:r w:rsidRPr="006E1662">
        <w:rPr>
          <w:rFonts w:ascii="Arial" w:hAnsi="Arial" w:cs="Arial"/>
          <w:i/>
          <w:iCs/>
          <w:sz w:val="20"/>
          <w:szCs w:val="20"/>
        </w:rPr>
        <w:t>Drumgold v Board of Inquiry (No 3)</w:t>
      </w:r>
      <w:r>
        <w:rPr>
          <w:rFonts w:ascii="Arial" w:hAnsi="Arial" w:cs="Arial"/>
          <w:sz w:val="20"/>
          <w:szCs w:val="20"/>
        </w:rPr>
        <w:t xml:space="preserve"> [2024] ACTSC 58, [471] that in </w:t>
      </w:r>
      <w:r w:rsidRPr="006E1662">
        <w:rPr>
          <w:rFonts w:ascii="Arial" w:hAnsi="Arial" w:cs="Arial"/>
          <w:i/>
          <w:iCs/>
          <w:sz w:val="20"/>
          <w:szCs w:val="20"/>
        </w:rPr>
        <w:t>Whitehorn v The Queen</w:t>
      </w:r>
      <w:r>
        <w:rPr>
          <w:rFonts w:ascii="Arial" w:hAnsi="Arial" w:cs="Arial"/>
          <w:sz w:val="20"/>
          <w:szCs w:val="20"/>
        </w:rPr>
        <w:t xml:space="preserve"> (1983) 152 CLR 657, 663-4, Deane J</w:t>
      </w:r>
    </w:p>
    <w:p w14:paraId="66282782" w14:textId="51B8CE62" w:rsidR="006E1662" w:rsidRPr="006E1662" w:rsidRDefault="006E1662" w:rsidP="006E1662">
      <w:pPr>
        <w:spacing w:before="60"/>
        <w:ind w:left="1021" w:right="1021"/>
        <w:jc w:val="both"/>
        <w:rPr>
          <w:rFonts w:ascii="Arial" w:hAnsi="Arial" w:cs="Arial"/>
          <w:sz w:val="18"/>
          <w:szCs w:val="22"/>
        </w:rPr>
      </w:pPr>
      <w:r w:rsidRPr="006E1662">
        <w:rPr>
          <w:rFonts w:ascii="Arial" w:hAnsi="Arial" w:cs="Arial"/>
          <w:sz w:val="18"/>
          <w:szCs w:val="22"/>
        </w:rPr>
        <w:t xml:space="preserve">described the duty of a prosecutor to </w:t>
      </w:r>
      <w:r>
        <w:rPr>
          <w:rFonts w:ascii="Arial" w:hAnsi="Arial" w:cs="Arial"/>
          <w:sz w:val="18"/>
          <w:szCs w:val="22"/>
        </w:rPr>
        <w:t>ensure that the trial of an accused person is a fair one. That duty is an aspect of the fundamental principle in our criminal justice system that a prosecutor, in occupying the role as a ‘minister of justice’, has an obligation to ensure that a trial is conducted in accordance with the dictates of fairness to an accused person</w:t>
      </w:r>
      <w:r w:rsidR="00F0124D">
        <w:rPr>
          <w:rFonts w:ascii="Arial" w:hAnsi="Arial" w:cs="Arial"/>
          <w:sz w:val="18"/>
          <w:szCs w:val="22"/>
        </w:rPr>
        <w:t>, and to ensure that the integrity of a trial is appropriately preserved.</w:t>
      </w:r>
    </w:p>
    <w:p w14:paraId="5A925675" w14:textId="12B8800B" w:rsidR="00F0124D" w:rsidRDefault="00F0124D" w:rsidP="00F0124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[81] Sadly, the prosecutor in the applicant’s case did not fulfil the obligation resting upon him to ensure that the applicant’s trial was conducted in accordance with the dictates of fairness to the applicant, and so as to ensure that the integrity of the trial was appropriately preserved. Indeed the prosecutor’s conduct was pivotal in the trial miscarrying.”</w:t>
      </w:r>
    </w:p>
    <w:p w14:paraId="3FD87ACD" w14:textId="3877FA99" w:rsidR="0093352C" w:rsidRDefault="0093352C" w:rsidP="00F0124D">
      <w:pPr>
        <w:spacing w:before="60"/>
        <w:jc w:val="both"/>
        <w:rPr>
          <w:rFonts w:ascii="Arial" w:hAnsi="Arial" w:cs="Arial"/>
          <w:sz w:val="20"/>
        </w:rPr>
      </w:pPr>
      <w:r>
        <w:rPr>
          <w:rFonts w:ascii="Arial" w:hAnsi="Arial" w:cs="Arial"/>
          <w:sz w:val="20"/>
        </w:rPr>
        <w:t>In addition</w:t>
      </w:r>
      <w:r w:rsidR="00F0124D">
        <w:rPr>
          <w:rFonts w:ascii="Arial" w:hAnsi="Arial" w:cs="Arial"/>
          <w:sz w:val="20"/>
        </w:rPr>
        <w:t>,</w:t>
      </w:r>
      <w:r>
        <w:rPr>
          <w:rFonts w:ascii="Arial" w:hAnsi="Arial" w:cs="Arial"/>
          <w:sz w:val="20"/>
        </w:rPr>
        <w:t xml:space="preserve"> </w:t>
      </w:r>
      <w:r w:rsidR="00F0124D">
        <w:rPr>
          <w:rFonts w:ascii="Arial" w:hAnsi="Arial" w:cs="Arial"/>
          <w:sz w:val="20"/>
        </w:rPr>
        <w:t>their Honours held at [90] that “</w:t>
      </w:r>
      <w:r>
        <w:rPr>
          <w:rFonts w:ascii="Arial" w:hAnsi="Arial" w:cs="Arial"/>
          <w:sz w:val="20"/>
        </w:rPr>
        <w:t xml:space="preserve">the introduction of evidence suggesting that the applicant </w:t>
      </w:r>
      <w:r w:rsidR="00F0124D">
        <w:rPr>
          <w:rFonts w:ascii="Arial" w:hAnsi="Arial" w:cs="Arial"/>
          <w:sz w:val="20"/>
        </w:rPr>
        <w:t>was of bad character, elicited as a result of the prosecutor’s conduct, has occasioned a substantial miscarriage of justice”.</w:t>
      </w:r>
      <w:r>
        <w:rPr>
          <w:rFonts w:ascii="Arial" w:hAnsi="Arial" w:cs="Arial"/>
          <w:sz w:val="20"/>
        </w:rPr>
        <w:t xml:space="preserve"> As a consequence </w:t>
      </w:r>
      <w:r w:rsidR="002023A5">
        <w:rPr>
          <w:rFonts w:ascii="Arial" w:hAnsi="Arial" w:cs="Arial"/>
          <w:sz w:val="20"/>
        </w:rPr>
        <w:t xml:space="preserve">of both issues </w:t>
      </w:r>
      <w:r>
        <w:rPr>
          <w:rFonts w:ascii="Arial" w:hAnsi="Arial" w:cs="Arial"/>
          <w:sz w:val="20"/>
        </w:rPr>
        <w:t xml:space="preserve">the Court of Appeal </w:t>
      </w:r>
      <w:r w:rsidR="00F0124D">
        <w:rPr>
          <w:rFonts w:ascii="Arial" w:hAnsi="Arial" w:cs="Arial"/>
          <w:sz w:val="20"/>
        </w:rPr>
        <w:t>granted leave to appeal against conviction, allowed the appeal, set aside the convictions and ordered a new trial.</w:t>
      </w:r>
    </w:p>
    <w:p w14:paraId="68B718D9" w14:textId="77777777" w:rsidR="0093352C" w:rsidRDefault="0093352C" w:rsidP="00FF0BB4">
      <w:pPr>
        <w:jc w:val="both"/>
        <w:rPr>
          <w:rFonts w:ascii="Arial" w:hAnsi="Arial" w:cs="Arial"/>
          <w:sz w:val="20"/>
        </w:rPr>
      </w:pPr>
    </w:p>
    <w:p w14:paraId="1CED0AA7" w14:textId="77777777" w:rsidR="00FF0BB4" w:rsidRDefault="00FF0BB4" w:rsidP="00FF0BB4">
      <w:pPr>
        <w:jc w:val="both"/>
        <w:rPr>
          <w:rFonts w:ascii="Arial" w:hAnsi="Arial" w:cs="Arial"/>
          <w:sz w:val="20"/>
        </w:rPr>
      </w:pPr>
      <w:r>
        <w:rPr>
          <w:rFonts w:ascii="Arial" w:hAnsi="Arial" w:cs="Arial"/>
          <w:sz w:val="20"/>
        </w:rPr>
        <w:t xml:space="preserve">in </w:t>
      </w:r>
      <w:r w:rsidRPr="00654521">
        <w:rPr>
          <w:rFonts w:ascii="Arial" w:hAnsi="Arial" w:cs="Arial"/>
          <w:i/>
          <w:iCs/>
          <w:sz w:val="20"/>
        </w:rPr>
        <w:t>Mali v The King</w:t>
      </w:r>
      <w:r>
        <w:rPr>
          <w:rFonts w:ascii="Arial" w:hAnsi="Arial" w:cs="Arial"/>
          <w:sz w:val="20"/>
        </w:rPr>
        <w:t xml:space="preserve"> [2025] VSCA 91 unfairness to the accused arose in a different way. The applicant had been convicted after a jury trial of attempting to possess a commercial quantity of a border controlled drug. The prosecution had not relied on alternative bases for guilt but a redirection to the jury in answer to a jury question left open an alternative basis of guilt not initially relied on by the prosecution. In allowing the appeal the Court of Appeal discussed and applied </w:t>
      </w:r>
      <w:r w:rsidRPr="004D453D">
        <w:rPr>
          <w:rFonts w:ascii="Arial" w:hAnsi="Arial" w:cs="Arial"/>
          <w:i/>
          <w:iCs/>
          <w:sz w:val="20"/>
        </w:rPr>
        <w:t>King v The Queen</w:t>
      </w:r>
      <w:r w:rsidRPr="004D453D">
        <w:rPr>
          <w:rFonts w:ascii="Arial" w:hAnsi="Arial" w:cs="Arial"/>
          <w:sz w:val="20"/>
        </w:rPr>
        <w:t xml:space="preserve"> (1986) 161 CLR 423</w:t>
      </w:r>
      <w:r>
        <w:rPr>
          <w:rFonts w:ascii="Arial" w:hAnsi="Arial" w:cs="Arial"/>
          <w:sz w:val="20"/>
        </w:rPr>
        <w:t xml:space="preserve"> &amp;</w:t>
      </w:r>
      <w:r w:rsidRPr="004D453D">
        <w:rPr>
          <w:rFonts w:ascii="Arial" w:hAnsi="Arial" w:cs="Arial"/>
          <w:sz w:val="20"/>
        </w:rPr>
        <w:t xml:space="preserve"> </w:t>
      </w:r>
      <w:r w:rsidRPr="004D453D">
        <w:rPr>
          <w:rFonts w:ascii="Arial" w:hAnsi="Arial" w:cs="Arial"/>
          <w:i/>
          <w:iCs/>
          <w:sz w:val="20"/>
        </w:rPr>
        <w:t>R</w:t>
      </w:r>
      <w:r>
        <w:rPr>
          <w:rFonts w:ascii="Arial" w:hAnsi="Arial" w:cs="Arial"/>
          <w:i/>
          <w:iCs/>
          <w:sz w:val="20"/>
        </w:rPr>
        <w:t> </w:t>
      </w:r>
      <w:r w:rsidRPr="004D453D">
        <w:rPr>
          <w:rFonts w:ascii="Arial" w:hAnsi="Arial" w:cs="Arial"/>
          <w:i/>
          <w:iCs/>
          <w:sz w:val="20"/>
        </w:rPr>
        <w:t>v</w:t>
      </w:r>
      <w:r>
        <w:rPr>
          <w:rFonts w:ascii="Arial" w:hAnsi="Arial" w:cs="Arial"/>
          <w:i/>
          <w:iCs/>
          <w:sz w:val="20"/>
        </w:rPr>
        <w:t> </w:t>
      </w:r>
      <w:r w:rsidRPr="004D453D">
        <w:rPr>
          <w:rFonts w:ascii="Arial" w:hAnsi="Arial" w:cs="Arial"/>
          <w:i/>
          <w:iCs/>
          <w:sz w:val="20"/>
        </w:rPr>
        <w:t>GAS</w:t>
      </w:r>
      <w:r w:rsidRPr="004D453D">
        <w:rPr>
          <w:rFonts w:ascii="Arial" w:hAnsi="Arial" w:cs="Arial"/>
          <w:sz w:val="20"/>
        </w:rPr>
        <w:t xml:space="preserve"> [1998] 3 VR 862.</w:t>
      </w:r>
      <w:r>
        <w:rPr>
          <w:rFonts w:ascii="Arial" w:hAnsi="Arial" w:cs="Arial"/>
          <w:sz w:val="20"/>
        </w:rPr>
        <w:t xml:space="preserve"> At [40] &amp; [48]-[50] Priest, McLeish &amp; Orr JJA said [emphasis added]:</w:t>
      </w:r>
    </w:p>
    <w:p w14:paraId="4CBE7ADD"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szCs w:val="20"/>
        </w:rPr>
        <w:t>[40] “</w:t>
      </w:r>
      <w:r w:rsidRPr="00654521">
        <w:rPr>
          <w:rFonts w:ascii="Arial" w:hAnsi="Arial" w:cs="Arial"/>
          <w:sz w:val="20"/>
        </w:rPr>
        <w:t xml:space="preserve">In our opinion, the judge’s redirection in answer to the jury’s question — </w:t>
      </w:r>
      <w:r w:rsidRPr="00E76FFE">
        <w:rPr>
          <w:rFonts w:ascii="Arial" w:hAnsi="Arial" w:cs="Arial"/>
          <w:b/>
          <w:bCs/>
          <w:sz w:val="20"/>
        </w:rPr>
        <w:t>encouraged by the prosecutor</w:t>
      </w:r>
      <w:r w:rsidRPr="00654521">
        <w:rPr>
          <w:rFonts w:ascii="Arial" w:hAnsi="Arial" w:cs="Arial"/>
          <w:sz w:val="20"/>
        </w:rPr>
        <w:t xml:space="preserve"> — impermissibly enlarged the prosecution case. It occasioned a substantial miscarriage of justice</w:t>
      </w:r>
      <w:r>
        <w:rPr>
          <w:rFonts w:ascii="Arial" w:hAnsi="Arial" w:cs="Arial"/>
          <w:sz w:val="20"/>
        </w:rPr>
        <w:t>.”</w:t>
      </w:r>
    </w:p>
    <w:p w14:paraId="427C5417"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p>
    <w:p w14:paraId="36B2CE19"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[48] “</w:t>
      </w:r>
      <w:r w:rsidRPr="00654521">
        <w:rPr>
          <w:rFonts w:ascii="Arial" w:hAnsi="Arial" w:cs="Arial"/>
          <w:sz w:val="20"/>
        </w:rPr>
        <w:t>In our view, the introduction of this different basis for a conviction in response to the jury’s question — even if that basis theoretically was open on the evidence — after the final address of defence counsel and over his objection, was a significant enlargement of the case which the applicant had to meet, without the applicant’s counsel having had any opportunity to address the jury on that additional basis. It is tolerably clear, moreover, that the introduction of the different basis for conviction was significant to the almost immediate resolution of the impasse in the jury’s deliberations.</w:t>
      </w:r>
    </w:p>
    <w:p w14:paraId="04996376"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49</w:t>
      </w:r>
      <w:r>
        <w:rPr>
          <w:rFonts w:ascii="Arial" w:hAnsi="Arial" w:cs="Arial"/>
          <w:sz w:val="20"/>
        </w:rPr>
        <w:t>]</w:t>
      </w:r>
      <w:r w:rsidRPr="00654521">
        <w:rPr>
          <w:rFonts w:ascii="Arial" w:hAnsi="Arial" w:cs="Arial"/>
          <w:sz w:val="20"/>
        </w:rPr>
        <w:t xml:space="preserve"> As a result, there has been a substantial miscarriage of justice, such that the applicant’s conviction cannot be permitted to stand. We would grant leave to appeal; allow the appeal; and set aside the conviction. </w:t>
      </w:r>
    </w:p>
    <w:p w14:paraId="0B895932" w14:textId="77777777" w:rsidR="00FF0BB4" w:rsidRDefault="00FF0BB4" w:rsidP="00FF0BB4">
      <w:pPr>
        <w:pStyle w:val="NormalWeb"/>
        <w:spacing w:before="60" w:beforeAutospacing="0" w:after="0" w:afterAutospacing="0"/>
        <w:ind w:left="567" w:right="567"/>
        <w:jc w:val="both"/>
        <w:rPr>
          <w:rFonts w:ascii="Arial" w:hAnsi="Arial" w:cs="Arial"/>
          <w:sz w:val="20"/>
        </w:rPr>
      </w:pPr>
      <w:r>
        <w:rPr>
          <w:rFonts w:ascii="Arial" w:hAnsi="Arial" w:cs="Arial"/>
          <w:sz w:val="20"/>
        </w:rPr>
        <w:t>[</w:t>
      </w:r>
      <w:r w:rsidRPr="00654521">
        <w:rPr>
          <w:rFonts w:ascii="Arial" w:hAnsi="Arial" w:cs="Arial"/>
          <w:sz w:val="20"/>
        </w:rPr>
        <w:t>50</w:t>
      </w:r>
      <w:r>
        <w:rPr>
          <w:rFonts w:ascii="Arial" w:hAnsi="Arial" w:cs="Arial"/>
          <w:sz w:val="20"/>
        </w:rPr>
        <w:t>]</w:t>
      </w:r>
      <w:r w:rsidRPr="00654521">
        <w:rPr>
          <w:rFonts w:ascii="Arial" w:hAnsi="Arial" w:cs="Arial"/>
          <w:sz w:val="20"/>
        </w:rPr>
        <w:t xml:space="preserve"> In the circumstances, there should be an order for a new trial. As to that, we note, first, that the respondent conceded that, absent the error in this case, conviction would not have been inevitable; and, secondly, senior counsel for the respondent assured the Court that, should a retrial be ordered, the prosecution would not seek at that trial to advance a different case from that initially put by the prosecution at the trial the subject of his appeal.</w:t>
      </w:r>
      <w:r>
        <w:rPr>
          <w:rFonts w:ascii="Arial" w:hAnsi="Arial" w:cs="Arial"/>
          <w:sz w:val="20"/>
        </w:rPr>
        <w:t>”</w:t>
      </w:r>
    </w:p>
    <w:p w14:paraId="2F2F96E7" w14:textId="77777777" w:rsidR="00FF0BB4" w:rsidRDefault="00FF0BB4" w:rsidP="00FF0BB4">
      <w:pPr>
        <w:rPr>
          <w:rFonts w:ascii="Arial" w:hAnsi="Arial" w:cs="Arial"/>
          <w:sz w:val="20"/>
          <w:szCs w:val="20"/>
        </w:rPr>
      </w:pPr>
    </w:p>
    <w:p w14:paraId="7290AB1D" w14:textId="0D0C92A0" w:rsidR="00002B94" w:rsidRDefault="00002B94" w:rsidP="00FF0BB4">
      <w:pPr>
        <w:rPr>
          <w:rFonts w:ascii="Arial" w:hAnsi="Arial" w:cs="Arial"/>
          <w:sz w:val="20"/>
          <w:szCs w:val="20"/>
        </w:rPr>
      </w:pPr>
      <w:r>
        <w:rPr>
          <w:rFonts w:ascii="Arial" w:hAnsi="Arial" w:cs="Arial"/>
          <w:sz w:val="20"/>
          <w:szCs w:val="20"/>
        </w:rPr>
        <w:t xml:space="preserve">See also </w:t>
      </w:r>
      <w:r w:rsidRPr="00002B94">
        <w:rPr>
          <w:rFonts w:ascii="Arial" w:hAnsi="Arial" w:cs="Arial"/>
          <w:i/>
          <w:iCs/>
          <w:sz w:val="20"/>
          <w:szCs w:val="20"/>
        </w:rPr>
        <w:t>Brawn v The King</w:t>
      </w:r>
      <w:r>
        <w:rPr>
          <w:rFonts w:ascii="Arial" w:hAnsi="Arial" w:cs="Arial"/>
          <w:sz w:val="20"/>
          <w:szCs w:val="20"/>
        </w:rPr>
        <w:t xml:space="preserve"> [2025] HCA 20.</w:t>
      </w:r>
    </w:p>
    <w:p w14:paraId="583EF7B8" w14:textId="77777777" w:rsidR="00002B94" w:rsidRDefault="00002B94" w:rsidP="00FF0BB4">
      <w:pPr>
        <w:rPr>
          <w:rFonts w:ascii="Arial" w:hAnsi="Arial" w:cs="Arial"/>
          <w:sz w:val="20"/>
          <w:szCs w:val="20"/>
        </w:rPr>
      </w:pPr>
    </w:p>
    <w:p w14:paraId="4FBCD730" w14:textId="77777777" w:rsidR="00FF0BB4" w:rsidRDefault="00FF0BB4" w:rsidP="00FF0BB4">
      <w:pPr>
        <w:rPr>
          <w:rFonts w:ascii="Arial" w:hAnsi="Arial" w:cs="Arial"/>
          <w:sz w:val="20"/>
          <w:szCs w:val="20"/>
        </w:rPr>
      </w:pPr>
      <w:r>
        <w:rPr>
          <w:rFonts w:ascii="Arial" w:hAnsi="Arial" w:cs="Arial"/>
          <w:sz w:val="20"/>
          <w:szCs w:val="20"/>
        </w:rPr>
        <w:t xml:space="preserve">See also </w:t>
      </w:r>
      <w:r w:rsidRPr="0014732A">
        <w:rPr>
          <w:rFonts w:ascii="Arial" w:hAnsi="Arial" w:cs="Arial"/>
          <w:b/>
          <w:bCs/>
          <w:sz w:val="20"/>
          <w:szCs w:val="20"/>
          <w:shd w:val="clear" w:color="auto" w:fill="C5E0B3" w:themeFill="accent6" w:themeFillTint="66"/>
        </w:rPr>
        <w:t xml:space="preserve">section </w:t>
      </w:r>
      <w:r w:rsidRPr="0014732A">
        <w:rPr>
          <w:rFonts w:ascii="Arial" w:hAnsi="Arial" w:cs="Arial"/>
          <w:b/>
          <w:bCs/>
          <w:color w:val="000000"/>
          <w:sz w:val="20"/>
          <w:shd w:val="clear" w:color="auto" w:fill="C5E0B3" w:themeFill="accent6" w:themeFillTint="66"/>
        </w:rPr>
        <w:t>11.4.4A</w:t>
      </w:r>
      <w:r>
        <w:rPr>
          <w:rFonts w:ascii="Arial" w:hAnsi="Arial" w:cs="Arial"/>
          <w:b/>
          <w:bCs/>
          <w:color w:val="000000"/>
          <w:sz w:val="20"/>
        </w:rPr>
        <w:t xml:space="preserve"> </w:t>
      </w:r>
      <w:r w:rsidRPr="0014732A">
        <w:rPr>
          <w:rFonts w:ascii="Arial" w:hAnsi="Arial" w:cs="Arial"/>
          <w:color w:val="000000"/>
          <w:sz w:val="20"/>
        </w:rPr>
        <w:t>in relation to submissions and duty of a prosecutor in a sentencing hearing.</w:t>
      </w:r>
    </w:p>
    <w:p w14:paraId="43ED3552" w14:textId="77777777" w:rsidR="00FF0BB4" w:rsidRDefault="00FF0BB4" w:rsidP="00FF0BB4">
      <w:pPr>
        <w:jc w:val="both"/>
        <w:rPr>
          <w:rFonts w:ascii="Arial" w:hAnsi="Arial" w:cs="Arial"/>
          <w:sz w:val="20"/>
        </w:rPr>
      </w:pPr>
    </w:p>
    <w:p w14:paraId="7E235CD5" w14:textId="00020204" w:rsidR="00FF0BB4" w:rsidRPr="005C5E3E" w:rsidRDefault="00FF0BB4" w:rsidP="00002B94">
      <w:pPr>
        <w:pStyle w:val="Heading3"/>
        <w:keepNext/>
        <w:keepLines/>
        <w:widowControl/>
        <w:spacing w:after="120" w:line="240" w:lineRule="auto"/>
        <w:rPr>
          <w:rFonts w:ascii="Arial" w:hAnsi="Arial" w:cs="Arial"/>
          <w:b/>
          <w:bCs/>
          <w:sz w:val="20"/>
          <w:szCs w:val="16"/>
        </w:rPr>
      </w:pPr>
      <w:r w:rsidRPr="005C5E3E">
        <w:rPr>
          <w:rFonts w:ascii="Arial" w:hAnsi="Arial" w:cs="Arial"/>
          <w:b/>
          <w:bCs/>
          <w:sz w:val="20"/>
          <w:szCs w:val="16"/>
        </w:rPr>
        <w:lastRenderedPageBreak/>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3</w:t>
      </w:r>
      <w:r w:rsidRPr="005C5E3E">
        <w:rPr>
          <w:rFonts w:ascii="Arial" w:hAnsi="Arial" w:cs="Arial"/>
          <w:b/>
          <w:bCs/>
          <w:sz w:val="20"/>
          <w:szCs w:val="16"/>
        </w:rPr>
        <w:tab/>
      </w:r>
      <w:r>
        <w:rPr>
          <w:rFonts w:ascii="Arial" w:hAnsi="Arial" w:cs="Arial"/>
          <w:b/>
          <w:bCs/>
          <w:sz w:val="20"/>
          <w:szCs w:val="16"/>
        </w:rPr>
        <w:t>Consequence of incompetence of defence counsel</w:t>
      </w:r>
    </w:p>
    <w:p w14:paraId="75967EFE" w14:textId="0A253B4C" w:rsidR="00FF0BB4" w:rsidRDefault="0014774E" w:rsidP="00ED017F">
      <w:pPr>
        <w:jc w:val="both"/>
        <w:rPr>
          <w:rFonts w:ascii="Arial" w:hAnsi="Arial" w:cs="Arial"/>
          <w:sz w:val="20"/>
        </w:rPr>
      </w:pPr>
      <w:r w:rsidRPr="0014774E">
        <w:rPr>
          <w:rFonts w:ascii="Arial" w:hAnsi="Arial" w:cs="Arial"/>
          <w:sz w:val="20"/>
        </w:rPr>
        <w:t xml:space="preserve">In </w:t>
      </w:r>
      <w:r w:rsidRPr="0093352C">
        <w:rPr>
          <w:rFonts w:ascii="Arial" w:hAnsi="Arial" w:cs="Arial"/>
          <w:i/>
          <w:iCs/>
          <w:sz w:val="20"/>
        </w:rPr>
        <w:t>Singh v The King</w:t>
      </w:r>
      <w:r>
        <w:rPr>
          <w:rFonts w:ascii="Arial" w:hAnsi="Arial" w:cs="Arial"/>
          <w:sz w:val="20"/>
        </w:rPr>
        <w:t xml:space="preserve"> [2025] VSCA 95 – summarised in </w:t>
      </w:r>
      <w:r w:rsidRPr="0014774E">
        <w:rPr>
          <w:rFonts w:ascii="Arial" w:hAnsi="Arial" w:cs="Arial"/>
          <w:b/>
          <w:bCs/>
          <w:sz w:val="20"/>
          <w:shd w:val="clear" w:color="auto" w:fill="C5E0B3" w:themeFill="accent6" w:themeFillTint="66"/>
        </w:rPr>
        <w:t>section 10.0.2</w:t>
      </w:r>
      <w:r>
        <w:rPr>
          <w:rFonts w:ascii="Arial" w:hAnsi="Arial" w:cs="Arial"/>
          <w:sz w:val="20"/>
        </w:rPr>
        <w:t xml:space="preserve"> above – the Court of Appeal set aside the applicant’s convictions and ordered a new trial as a consequence of both the </w:t>
      </w:r>
      <w:r w:rsidR="00314C80">
        <w:rPr>
          <w:rFonts w:ascii="Arial" w:hAnsi="Arial" w:cs="Arial"/>
          <w:sz w:val="20"/>
        </w:rPr>
        <w:t>prosecutor’s improper conduct and the incompetence of the applicant’s counsel.</w:t>
      </w:r>
    </w:p>
    <w:p w14:paraId="7034EBF8" w14:textId="77777777" w:rsidR="00806CCE" w:rsidRDefault="00314C80" w:rsidP="00314C80">
      <w:pPr>
        <w:spacing w:before="60"/>
        <w:jc w:val="both"/>
        <w:rPr>
          <w:rFonts w:ascii="Arial" w:hAnsi="Arial" w:cs="Arial"/>
          <w:sz w:val="20"/>
        </w:rPr>
      </w:pPr>
      <w:r>
        <w:rPr>
          <w:rFonts w:ascii="Arial" w:hAnsi="Arial" w:cs="Arial"/>
          <w:sz w:val="20"/>
        </w:rPr>
        <w:t xml:space="preserve">At [62] Priest, Taylor &amp; Kidd JJA said that it was clear that neither the judge nor counsel at either end of the Bar table had paid appropriate attention to the provisions of s.38 of the </w:t>
      </w:r>
      <w:r w:rsidRPr="00314C80">
        <w:rPr>
          <w:rFonts w:ascii="Arial" w:hAnsi="Arial" w:cs="Arial"/>
          <w:i/>
          <w:iCs/>
          <w:sz w:val="20"/>
        </w:rPr>
        <w:t>Evidence Act 2008</w:t>
      </w:r>
      <w:r>
        <w:rPr>
          <w:rFonts w:ascii="Arial" w:hAnsi="Arial" w:cs="Arial"/>
          <w:sz w:val="20"/>
        </w:rPr>
        <w:t xml:space="preserve"> relating to </w:t>
      </w:r>
      <w:r w:rsidR="007C1A96">
        <w:rPr>
          <w:rFonts w:ascii="Arial" w:hAnsi="Arial" w:cs="Arial"/>
          <w:sz w:val="20"/>
        </w:rPr>
        <w:t>unfavourable witnesses. After discussing</w:t>
      </w:r>
      <w:r w:rsidR="00806CCE">
        <w:rPr>
          <w:rFonts w:ascii="Arial" w:hAnsi="Arial" w:cs="Arial"/>
          <w:sz w:val="20"/>
        </w:rPr>
        <w:t>–</w:t>
      </w:r>
    </w:p>
    <w:p w14:paraId="7E45C9D7" w14:textId="6EC52168" w:rsidR="00806CCE" w:rsidRDefault="007C1A96" w:rsidP="00806CCE">
      <w:pPr>
        <w:numPr>
          <w:ilvl w:val="0"/>
          <w:numId w:val="60"/>
        </w:numPr>
        <w:ind w:left="357" w:hanging="357"/>
        <w:jc w:val="both"/>
        <w:rPr>
          <w:rFonts w:ascii="Arial" w:hAnsi="Arial" w:cs="Arial"/>
          <w:sz w:val="20"/>
        </w:rPr>
      </w:pPr>
      <w:r>
        <w:rPr>
          <w:rFonts w:ascii="Arial" w:hAnsi="Arial" w:cs="Arial"/>
          <w:sz w:val="20"/>
        </w:rPr>
        <w:t>at [63]-[</w:t>
      </w:r>
      <w:r w:rsidR="00806CCE">
        <w:rPr>
          <w:rFonts w:ascii="Arial" w:hAnsi="Arial" w:cs="Arial"/>
          <w:sz w:val="20"/>
        </w:rPr>
        <w:t>66</w:t>
      </w:r>
      <w:r>
        <w:rPr>
          <w:rFonts w:ascii="Arial" w:hAnsi="Arial" w:cs="Arial"/>
          <w:sz w:val="20"/>
        </w:rPr>
        <w:t xml:space="preserve">] </w:t>
      </w:r>
      <w:r w:rsidRPr="007C1A96">
        <w:rPr>
          <w:rFonts w:ascii="Arial" w:hAnsi="Arial" w:cs="Arial"/>
          <w:i/>
          <w:iCs/>
          <w:sz w:val="20"/>
        </w:rPr>
        <w:t>Meyer (a pseudonym) v The Queen</w:t>
      </w:r>
      <w:r>
        <w:rPr>
          <w:rFonts w:ascii="Arial" w:hAnsi="Arial" w:cs="Arial"/>
          <w:sz w:val="20"/>
        </w:rPr>
        <w:t xml:space="preserve"> [2018] VSCA 140, [182]</w:t>
      </w:r>
      <w:r w:rsidR="00806CCE">
        <w:rPr>
          <w:rFonts w:ascii="Arial" w:hAnsi="Arial" w:cs="Arial"/>
          <w:sz w:val="20"/>
        </w:rPr>
        <w:t xml:space="preserve"> and </w:t>
      </w:r>
      <w:r w:rsidRPr="00806CCE">
        <w:rPr>
          <w:rFonts w:ascii="Arial" w:hAnsi="Arial" w:cs="Arial"/>
          <w:i/>
          <w:iCs/>
          <w:sz w:val="20"/>
        </w:rPr>
        <w:t xml:space="preserve">Murillo (a pseudonym) </w:t>
      </w:r>
      <w:r w:rsidR="00806CCE" w:rsidRPr="00806CCE">
        <w:rPr>
          <w:rFonts w:ascii="Arial" w:hAnsi="Arial" w:cs="Arial"/>
          <w:i/>
          <w:iCs/>
          <w:sz w:val="20"/>
        </w:rPr>
        <w:t>v The Queen</w:t>
      </w:r>
      <w:r w:rsidR="00806CCE">
        <w:rPr>
          <w:rFonts w:ascii="Arial" w:hAnsi="Arial" w:cs="Arial"/>
          <w:sz w:val="20"/>
        </w:rPr>
        <w:t xml:space="preserve"> [2020] VSCA 68, [96]-100] in relation to the specifics of s.38; and</w:t>
      </w:r>
    </w:p>
    <w:p w14:paraId="27878F37" w14:textId="1FF2581B" w:rsidR="00806CCE" w:rsidRDefault="00806CCE" w:rsidP="00806CCE">
      <w:pPr>
        <w:numPr>
          <w:ilvl w:val="0"/>
          <w:numId w:val="60"/>
        </w:numPr>
        <w:ind w:left="357" w:hanging="357"/>
        <w:jc w:val="both"/>
        <w:rPr>
          <w:rFonts w:ascii="Arial" w:hAnsi="Arial" w:cs="Arial"/>
          <w:sz w:val="20"/>
        </w:rPr>
      </w:pPr>
      <w:r>
        <w:rPr>
          <w:rFonts w:ascii="Arial" w:hAnsi="Arial" w:cs="Arial"/>
          <w:sz w:val="20"/>
        </w:rPr>
        <w:t xml:space="preserve">at [67]-[72] the principles relating to incompetence of counsel in </w:t>
      </w:r>
      <w:r w:rsidRPr="00806CCE">
        <w:rPr>
          <w:rFonts w:ascii="Arial" w:hAnsi="Arial" w:cs="Arial"/>
          <w:i/>
          <w:iCs/>
          <w:sz w:val="20"/>
        </w:rPr>
        <w:t>TKWJ v The Queen</w:t>
      </w:r>
      <w:r>
        <w:rPr>
          <w:rFonts w:ascii="Arial" w:hAnsi="Arial" w:cs="Arial"/>
          <w:sz w:val="20"/>
        </w:rPr>
        <w:t xml:space="preserve"> (2002) 212 CLR 124, 151 [81]; </w:t>
      </w:r>
      <w:r w:rsidRPr="00806CCE">
        <w:rPr>
          <w:rFonts w:ascii="Arial" w:hAnsi="Arial" w:cs="Arial"/>
          <w:i/>
          <w:iCs/>
          <w:sz w:val="20"/>
        </w:rPr>
        <w:t>Nudd v The Queen</w:t>
      </w:r>
      <w:r>
        <w:rPr>
          <w:rFonts w:ascii="Arial" w:hAnsi="Arial" w:cs="Arial"/>
          <w:sz w:val="20"/>
        </w:rPr>
        <w:t xml:space="preserve"> [2006] 80 ALJR 614 at [3]-[9] and </w:t>
      </w:r>
      <w:r w:rsidRPr="00806CCE">
        <w:rPr>
          <w:rFonts w:ascii="Arial" w:hAnsi="Arial" w:cs="Arial"/>
          <w:i/>
          <w:iCs/>
          <w:sz w:val="20"/>
        </w:rPr>
        <w:t>Knowles (a pseudonym) v The Queen</w:t>
      </w:r>
      <w:r w:rsidRPr="00806CCE">
        <w:rPr>
          <w:rFonts w:ascii="Arial" w:hAnsi="Arial" w:cs="Arial"/>
          <w:sz w:val="20"/>
        </w:rPr>
        <w:t xml:space="preserve"> [2015] VSCA 14</w:t>
      </w:r>
      <w:r>
        <w:rPr>
          <w:rFonts w:ascii="Arial" w:hAnsi="Arial" w:cs="Arial"/>
          <w:sz w:val="20"/>
        </w:rPr>
        <w:t xml:space="preserve"> at [131]–</w:t>
      </w:r>
    </w:p>
    <w:p w14:paraId="01635061" w14:textId="07D21FF6" w:rsidR="00314C80" w:rsidRDefault="00806CCE" w:rsidP="00806CCE">
      <w:pPr>
        <w:jc w:val="both"/>
        <w:rPr>
          <w:rFonts w:ascii="Arial" w:hAnsi="Arial" w:cs="Arial"/>
          <w:sz w:val="20"/>
        </w:rPr>
      </w:pPr>
      <w:r>
        <w:rPr>
          <w:rFonts w:ascii="Arial" w:hAnsi="Arial" w:cs="Arial"/>
          <w:sz w:val="20"/>
        </w:rPr>
        <w:t>their Honours said at [7</w:t>
      </w:r>
      <w:r w:rsidR="00755C4C">
        <w:rPr>
          <w:rFonts w:ascii="Arial" w:hAnsi="Arial" w:cs="Arial"/>
          <w:sz w:val="20"/>
        </w:rPr>
        <w:t>3</w:t>
      </w:r>
      <w:r>
        <w:rPr>
          <w:rFonts w:ascii="Arial" w:hAnsi="Arial" w:cs="Arial"/>
          <w:sz w:val="20"/>
        </w:rPr>
        <w:t>]-[76]:</w:t>
      </w:r>
    </w:p>
    <w:p w14:paraId="3B2A1123" w14:textId="6E1DB688"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[73] “</w:t>
      </w:r>
      <w:r w:rsidRPr="00755C4C">
        <w:rPr>
          <w:rFonts w:ascii="Arial" w:hAnsi="Arial" w:cs="Arial"/>
          <w:sz w:val="20"/>
        </w:rPr>
        <w:t>As the authorities make clear, this Court must assess whether the conduct of trial counsel has resulted in an unfair trial by reference to an objective standard, and without investigating the subjective reasons for that conduct. In making that assessment, the Court must consider whether the course adopted by trial counsel is explicable on the basis that it could have resulted in a forensic advantage to the applicant, and ask whether what counsel did (or failed to do) is capable of explanation on that basis. But even if the conduct of counsel said to give rise to a substantial miscarriage of justice is explicable on the basis that it could have resulted in a forensic advantage to the applicant, if, judged objectively, the forensic advantage is slight in comparison to the defects or irregularities in question, the Court is not precluded from concluding that there was a substantial miscarriage of justice.</w:t>
      </w:r>
    </w:p>
    <w:p w14:paraId="4F7733EF" w14:textId="610C7BC4" w:rsidR="00806CCE" w:rsidRDefault="00806CCE"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[74] </w:t>
      </w:r>
      <w:r w:rsidR="00755C4C" w:rsidRPr="00755C4C">
        <w:rPr>
          <w:rFonts w:ascii="Arial" w:hAnsi="Arial" w:cs="Arial"/>
          <w:sz w:val="20"/>
        </w:rPr>
        <w:t>We have no hesitation in concluding that, objectively viewed, the conduct of trial counsel complained of is not capable of being explained on the basis that it was taken for the purpose of obtaining a forensic advantage for the applicant. In our opinion, it is impossible to see that the failure to insist that the requirements of s</w:t>
      </w:r>
      <w:r w:rsidR="00755C4C">
        <w:rPr>
          <w:rFonts w:ascii="Arial" w:hAnsi="Arial" w:cs="Arial"/>
          <w:sz w:val="20"/>
        </w:rPr>
        <w:t>.</w:t>
      </w:r>
      <w:r w:rsidR="00755C4C" w:rsidRPr="00755C4C">
        <w:rPr>
          <w:rFonts w:ascii="Arial" w:hAnsi="Arial" w:cs="Arial"/>
          <w:sz w:val="20"/>
        </w:rPr>
        <w:t>38 were met, and thereby to sanction a situation in which the prosecutor was permitted to cross-examine without restraint a crucial witness whose evidence was critical to the defence case, could have been seen as forensically advantageous to the applicant. Indeed, it should have been obvious that the opposite was true.</w:t>
      </w:r>
    </w:p>
    <w:p w14:paraId="532CC149" w14:textId="7A0E2401" w:rsidR="00755C4C" w:rsidRDefault="00755C4C" w:rsidP="00806CCE">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[75] </w:t>
      </w:r>
      <w:r w:rsidRPr="00755C4C">
        <w:rPr>
          <w:rFonts w:ascii="Arial" w:hAnsi="Arial" w:cs="Arial"/>
          <w:sz w:val="20"/>
        </w:rPr>
        <w:t xml:space="preserve">Having regard to the record of the trial — parts of which we have set out in more detail than is customary in order to make the point — we have no confidence that senior counsel for the applicant at trial had proper regard to the provisions of s 38 of the </w:t>
      </w:r>
      <w:r w:rsidRPr="002023A5">
        <w:rPr>
          <w:rFonts w:ascii="Arial" w:hAnsi="Arial" w:cs="Arial"/>
          <w:i/>
          <w:iCs/>
          <w:sz w:val="20"/>
        </w:rPr>
        <w:t>Evidence Act 2008</w:t>
      </w:r>
      <w:r w:rsidRPr="00755C4C">
        <w:rPr>
          <w:rFonts w:ascii="Arial" w:hAnsi="Arial" w:cs="Arial"/>
          <w:sz w:val="20"/>
        </w:rPr>
        <w:t xml:space="preserve">. Had he done so, and had regard to the manner in which the authorities dictate they are to be applied, trial counsel would not have acquiesced in the prosecutor conducting at large a wide-ranging, penetrating and unconstrained </w:t>
      </w:r>
      <w:r w:rsidR="002023A5" w:rsidRPr="00755C4C">
        <w:rPr>
          <w:rFonts w:ascii="Arial" w:hAnsi="Arial" w:cs="Arial"/>
          <w:sz w:val="20"/>
        </w:rPr>
        <w:t>cross examination</w:t>
      </w:r>
      <w:r w:rsidRPr="00755C4C">
        <w:rPr>
          <w:rFonts w:ascii="Arial" w:hAnsi="Arial" w:cs="Arial"/>
          <w:sz w:val="20"/>
        </w:rPr>
        <w:t>, which, at times, had the flavour of an inquiry. Competent defence counsel would have insisted that leave be granted to the prosecutor to cross-examine only if one or other of the three pre-conditions in s 38(1) was satisfied, and only on the basis that the trial judge placed proper limitations on the cross-examination.</w:t>
      </w:r>
    </w:p>
    <w:p w14:paraId="68D06F5C" w14:textId="7F5C93CF" w:rsidR="00806CCE" w:rsidRDefault="00755C4C" w:rsidP="00755C4C">
      <w:pPr>
        <w:pStyle w:val="NormalWeb"/>
        <w:spacing w:before="60" w:beforeAutospacing="0" w:after="0" w:afterAutospacing="0"/>
        <w:ind w:left="567" w:right="567"/>
        <w:jc w:val="both"/>
        <w:rPr>
          <w:rFonts w:ascii="Arial" w:hAnsi="Arial" w:cs="Arial"/>
          <w:sz w:val="20"/>
        </w:rPr>
      </w:pPr>
      <w:r>
        <w:rPr>
          <w:rFonts w:ascii="Arial" w:hAnsi="Arial" w:cs="Arial"/>
          <w:sz w:val="20"/>
        </w:rPr>
        <w:t xml:space="preserve">[76] </w:t>
      </w:r>
      <w:r w:rsidRPr="00755C4C">
        <w:rPr>
          <w:rFonts w:ascii="Arial" w:hAnsi="Arial" w:cs="Arial"/>
          <w:sz w:val="20"/>
        </w:rPr>
        <w:t xml:space="preserve">Trial counsel’s failure to insist that the provisions of s 38 be adhered to resulted in a situation where the prosecutor’s unrestrained cross-examination of </w:t>
      </w:r>
      <w:r>
        <w:rPr>
          <w:rFonts w:ascii="Arial" w:hAnsi="Arial" w:cs="Arial"/>
          <w:sz w:val="20"/>
        </w:rPr>
        <w:t>[Z]</w:t>
      </w:r>
      <w:r w:rsidRPr="00755C4C">
        <w:rPr>
          <w:rFonts w:ascii="Arial" w:hAnsi="Arial" w:cs="Arial"/>
          <w:sz w:val="20"/>
        </w:rPr>
        <w:t xml:space="preserve"> elicited inadmissible, highly prejudicial evidence bearing on the applicant’s character. At that point, competent defence counsel would have taken steps to protect the applicant, by seeking a discharge of the jury, or, at the very least, seeking a direction designed to reduce the prejudicial effect of the evidence. Trial counsel did neither of those things. Worse still, counsel tolerated a situation where the prosecutor continued with his improper cross-examination, eventually producing evidence which decimated the defence case.</w:t>
      </w:r>
      <w:r>
        <w:rPr>
          <w:rFonts w:ascii="Arial" w:hAnsi="Arial" w:cs="Arial"/>
          <w:sz w:val="20"/>
        </w:rPr>
        <w:t>”</w:t>
      </w:r>
    </w:p>
    <w:p w14:paraId="7F498E83" w14:textId="77777777" w:rsidR="00FF0BB4" w:rsidRDefault="00FF0BB4"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17 year old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w:t>
      </w:r>
      <w:r w:rsidR="00C27389">
        <w:rPr>
          <w:rFonts w:ascii="Arial" w:hAnsi="Arial" w:cs="Arial"/>
          <w:color w:val="000000"/>
          <w:sz w:val="20"/>
        </w:rPr>
        <w:lastRenderedPageBreak/>
        <w:t xml:space="preserve">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w:t>
      </w:r>
      <w:proofErr w:type="gramStart"/>
      <w:r w:rsidR="00E637A9" w:rsidRPr="00691A66">
        <w:rPr>
          <w:rFonts w:ascii="Arial" w:hAnsi="Arial" w:cs="Arial"/>
          <w:sz w:val="20"/>
          <w:szCs w:val="20"/>
        </w:rPr>
        <w:t>exist</w:t>
      </w:r>
      <w:r w:rsidR="00E637A9">
        <w:rPr>
          <w:rFonts w:ascii="Arial" w:hAnsi="Arial" w:cs="Arial"/>
          <w:sz w:val="20"/>
          <w:szCs w:val="20"/>
        </w:rPr>
        <w:t>:</w:t>
      </w:r>
      <w:proofErr w:type="gramEnd"/>
      <w:r w:rsidR="00E637A9">
        <w:rPr>
          <w:rFonts w:ascii="Arial" w:hAnsi="Arial" w:cs="Arial"/>
          <w:sz w:val="20"/>
          <w:szCs w:val="20"/>
        </w:rPr>
        <w:t xml:space="preserve">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r w:rsidR="005E3696">
        <w:rPr>
          <w:rFonts w:ascii="Arial" w:hAnsi="Arial" w:cs="Arial"/>
          <w:color w:val="000000"/>
          <w:sz w:val="20"/>
        </w:rPr>
        <w:t>16 &amp; 17 year olds</w:t>
      </w:r>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356</w:t>
      </w:r>
      <w:proofErr w:type="gramStart"/>
      <w:r w:rsidR="00C06AC3">
        <w:rPr>
          <w:rFonts w:ascii="Arial" w:hAnsi="Arial" w:cs="Arial"/>
          <w:sz w:val="20"/>
        </w:rPr>
        <w:t>A(</w:t>
      </w:r>
      <w:proofErr w:type="gramEnd"/>
      <w:r w:rsidR="00C06AC3">
        <w:rPr>
          <w:rFonts w:ascii="Arial" w:hAnsi="Arial" w:cs="Arial"/>
          <w:sz w:val="20"/>
        </w:rPr>
        <w:t xml:space="preserve">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14 year old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R v Southampton Justices Ex Parte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Ex Parte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lastRenderedPageBreak/>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77777777"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Pr="003C5782">
        <w:rPr>
          <w:rFonts w:ascii="Arial" w:hAnsi="Arial" w:cs="Arial"/>
          <w:sz w:val="20"/>
          <w:szCs w:val="20"/>
        </w:rPr>
        <w:t>41 above</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lastRenderedPageBreak/>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w:t>
      </w:r>
      <w:proofErr w:type="gramStart"/>
      <w:r>
        <w:rPr>
          <w:rFonts w:ascii="Arial" w:hAnsi="Arial" w:cs="Arial"/>
          <w:sz w:val="20"/>
          <w:szCs w:val="20"/>
        </w:rPr>
        <w:t>for</w:t>
      </w:r>
      <w:proofErr w:type="gramEnd"/>
      <w:r>
        <w:rPr>
          <w:rFonts w:ascii="Arial" w:hAnsi="Arial" w:cs="Arial"/>
          <w:sz w:val="20"/>
          <w:szCs w:val="20"/>
        </w:rPr>
        <w:t xml:space="preserve">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City">
        <w:smartTag w:uri="urn:schemas-microsoft-com:office:smarttags" w:element="place">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lastRenderedPageBreak/>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013081">
      <w:pPr>
        <w:pStyle w:val="Heading3"/>
        <w:keepNext/>
        <w:keepLines/>
        <w:widowControl/>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lastRenderedPageBreak/>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 xml:space="preserve">Sentencing Act </w:t>
      </w:r>
      <w:r w:rsidR="003B38F7" w:rsidRPr="003B38F7">
        <w:rPr>
          <w:rFonts w:ascii="Arial" w:hAnsi="Arial" w:cs="Arial"/>
          <w:i/>
          <w:sz w:val="20"/>
          <w:szCs w:val="20"/>
        </w:rPr>
        <w:lastRenderedPageBreak/>
        <w:t>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t is perhaps 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w:t>
      </w:r>
      <w:r>
        <w:rPr>
          <w:rFonts w:ascii="Arial" w:hAnsi="Arial" w:cs="Arial"/>
          <w:sz w:val="20"/>
        </w:rPr>
        <w:lastRenderedPageBreak/>
        <w:t>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"I do not consider that the classification of 'exceptional circumstances' in s.134(3)(b) is limited to the circumstances of the charge.  In my view, it includes the circumstances of the 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Lasry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 xml:space="preserve">'s appeal and returned the </w:t>
      </w:r>
      <w:r>
        <w:rPr>
          <w:rFonts w:ascii="Arial" w:hAnsi="Arial" w:cs="Arial"/>
          <w:sz w:val="20"/>
        </w:rPr>
        <w:lastRenderedPageBreak/>
        <w:t>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Lasry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Ors </w:t>
      </w:r>
      <w:r w:rsidRPr="009831B9">
        <w:rPr>
          <w:rFonts w:ascii="Arial" w:hAnsi="Arial" w:cs="Arial"/>
          <w:color w:val="000000"/>
          <w:sz w:val="20"/>
        </w:rPr>
        <w:t>[2010] VSC 517 at [66], Lasry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lastRenderedPageBreak/>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A Child v A Magistrate of the Children’s Court &amp; Ors</w:t>
      </w:r>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DL (A Minor by his Litigation Guardian) &amp; Ors</w:t>
      </w:r>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DL (A Minor by his Litigation Guardian) &amp; Ors</w:t>
      </w:r>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w:t>
      </w:r>
      <w:r w:rsidR="00EB579B">
        <w:rPr>
          <w:rFonts w:ascii="Arial" w:hAnsi="Arial" w:cs="Arial"/>
          <w:sz w:val="20"/>
        </w:rPr>
        <w:lastRenderedPageBreak/>
        <w:t xml:space="preserve">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lastRenderedPageBreak/>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on an agreed basis other than as outlined in these reasons, then the question of jurisdiction may need to be further considered.  If this were to occur following committal, 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O</w:t>
      </w:r>
      <w:r w:rsidRPr="00CB6410">
        <w:rPr>
          <w:rFonts w:ascii="Arial" w:hAnsi="Arial" w:cs="Arial"/>
          <w:b/>
          <w:bCs/>
          <w:i/>
          <w:iCs/>
          <w:color w:val="000000"/>
          <w:sz w:val="20"/>
          <w:u w:val="single"/>
        </w:rPr>
        <w:t>rs</w:t>
      </w:r>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lastRenderedPageBreak/>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A Child v A Magistrate of the Children’s Court and Ors</w:t>
      </w:r>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w:t>
      </w:r>
      <w:r>
        <w:rPr>
          <w:rFonts w:ascii="Arial" w:hAnsi="Arial" w:cs="Arial"/>
          <w:sz w:val="20"/>
        </w:rPr>
        <w:lastRenderedPageBreak/>
        <w:t>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lastRenderedPageBreak/>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In forming this view I have taken into account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44F73B9C"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w:t>
      </w:r>
      <w:proofErr w:type="gramStart"/>
      <w:r w:rsidR="001F7216" w:rsidRPr="00CC7A4B">
        <w:rPr>
          <w:rFonts w:ascii="Arial" w:hAnsi="Arial" w:cs="Arial"/>
          <w:sz w:val="20"/>
          <w:szCs w:val="20"/>
        </w:rPr>
        <w:t>A(</w:t>
      </w:r>
      <w:proofErr w:type="gramEnd"/>
      <w:r w:rsidR="001F7216" w:rsidRPr="00CC7A4B">
        <w:rPr>
          <w:rFonts w:ascii="Arial" w:hAnsi="Arial" w:cs="Arial"/>
          <w:sz w:val="20"/>
          <w:szCs w:val="20"/>
        </w:rPr>
        <w:t xml:space="preserve">1) </w:t>
      </w:r>
      <w:r w:rsidR="004468BB" w:rsidRPr="00CC7A4B">
        <w:rPr>
          <w:rFonts w:ascii="Arial" w:hAnsi="Arial" w:cs="Arial"/>
          <w:sz w:val="20"/>
          <w:szCs w:val="20"/>
        </w:rPr>
        <w:t>&amp; 168</w:t>
      </w:r>
      <w:proofErr w:type="gramStart"/>
      <w:r w:rsidR="004468BB" w:rsidRPr="00CC7A4B">
        <w:rPr>
          <w:rFonts w:ascii="Arial" w:hAnsi="Arial" w:cs="Arial"/>
          <w:sz w:val="20"/>
          <w:szCs w:val="20"/>
        </w:rPr>
        <w:t>A(</w:t>
      </w:r>
      <w:proofErr w:type="gramEnd"/>
      <w:r w:rsidR="004468BB" w:rsidRPr="00CC7A4B">
        <w:rPr>
          <w:rFonts w:ascii="Arial" w:hAnsi="Arial" w:cs="Arial"/>
          <w:sz w:val="20"/>
          <w:szCs w:val="20"/>
        </w:rPr>
        <w:t xml:space="preserve">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lastRenderedPageBreak/>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I consider the test to be a ‘relatively 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 xml:space="preserve">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w:t>
      </w:r>
      <w:r w:rsidRPr="00F97E14">
        <w:rPr>
          <w:rFonts w:ascii="Arial" w:hAnsi="Arial" w:cs="Arial"/>
          <w:color w:val="000000"/>
          <w:sz w:val="20"/>
          <w:szCs w:val="20"/>
        </w:rPr>
        <w:lastRenderedPageBreak/>
        <w:t>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3FB576A3" w14:textId="3ADD37C2" w:rsidR="00DA6D5E" w:rsidRPr="001C3BD4" w:rsidRDefault="00A25EB6" w:rsidP="001C3BD4">
      <w:pPr>
        <w:rPr>
          <w:rFonts w:ascii="Arial" w:hAnsi="Arial" w:cs="Arial"/>
          <w:sz w:val="20"/>
          <w:szCs w:val="20"/>
        </w:rPr>
      </w:pPr>
      <w:r w:rsidRPr="001C3BD4">
        <w:rPr>
          <w:rFonts w:ascii="Arial" w:hAnsi="Arial" w:cs="Arial"/>
          <w:sz w:val="20"/>
          <w:szCs w:val="20"/>
        </w:rPr>
        <w:t xml:space="preserve">In [2025] VSC 43 </w:t>
      </w:r>
      <w:r w:rsidR="00DA6D5E" w:rsidRPr="001C3BD4">
        <w:rPr>
          <w:rFonts w:ascii="Arial" w:hAnsi="Arial" w:cs="Arial"/>
          <w:sz w:val="20"/>
          <w:szCs w:val="20"/>
        </w:rPr>
        <w:t xml:space="preserve">Champion J granted an application to transfer substituted charges against the child applicant from the Supreme Court to the Children’s Court pursuant to s.168 of the </w:t>
      </w:r>
      <w:r w:rsidR="00DA6D5E" w:rsidRPr="001C3BD4">
        <w:rPr>
          <w:rFonts w:ascii="Arial" w:hAnsi="Arial" w:cs="Arial"/>
          <w:i/>
          <w:iCs/>
          <w:sz w:val="20"/>
          <w:szCs w:val="20"/>
        </w:rPr>
        <w:t>Criminal Procedure Act 2009</w:t>
      </w:r>
      <w:r w:rsidR="00DA6D5E" w:rsidRPr="001C3BD4">
        <w:rPr>
          <w:rFonts w:ascii="Arial" w:hAnsi="Arial" w:cs="Arial"/>
          <w:sz w:val="20"/>
          <w:szCs w:val="20"/>
        </w:rPr>
        <w:t>. His Honour’s judgment is currently restricted. A summary will be provided if and when the judgment becomes unrestricted.</w:t>
      </w:r>
    </w:p>
    <w:p w14:paraId="052D8E04" w14:textId="77777777" w:rsidR="00A25EB6" w:rsidRDefault="00A25EB6" w:rsidP="00692142">
      <w:pPr>
        <w:pStyle w:val="Heading2"/>
        <w:tabs>
          <w:tab w:val="left" w:pos="567"/>
        </w:tabs>
        <w:spacing w:line="240" w:lineRule="auto"/>
        <w:rPr>
          <w:rFonts w:ascii="Arial" w:hAnsi="Arial" w:cs="Arial"/>
          <w:sz w:val="18"/>
          <w:szCs w:val="18"/>
        </w:rPr>
      </w:pPr>
      <w:bookmarkStart w:id="78" w:name="Heading73"/>
      <w:bookmarkEnd w:id="78"/>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9" w:name="_10.1.7_Transfer_of"/>
      <w:bookmarkEnd w:id="79"/>
      <w:r>
        <w:rPr>
          <w:rFonts w:ascii="Arial" w:hAnsi="Arial" w:cs="Arial"/>
          <w:b/>
          <w:bCs/>
          <w:sz w:val="20"/>
        </w:rPr>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Pr="001C3BD4" w:rsidRDefault="0018396F" w:rsidP="001C3BD4">
      <w:pPr>
        <w:rPr>
          <w:rFonts w:ascii="Arial" w:hAnsi="Arial" w:cs="Arial"/>
          <w:sz w:val="20"/>
          <w:szCs w:val="20"/>
        </w:rPr>
      </w:pPr>
      <w:r w:rsidRPr="001C3BD4">
        <w:rPr>
          <w:rFonts w:ascii="Arial" w:hAnsi="Arial" w:cs="Arial"/>
          <w:sz w:val="20"/>
          <w:szCs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lastRenderedPageBreak/>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while summary offences may be transferred from the Magistrates’ Court to the County Court for summary determination, it is not permissible to transfer indictable offences which can be tried summarily for such determination. An indictable offence can only be brought 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44CE7BA8" w14:textId="77777777" w:rsidR="00DE120A" w:rsidRDefault="00DE120A" w:rsidP="00DE120A">
      <w:pPr>
        <w:rPr>
          <w:rFonts w:ascii="Arial" w:hAnsi="Arial" w:cs="Arial"/>
          <w:sz w:val="20"/>
          <w:szCs w:val="20"/>
        </w:rPr>
      </w:pPr>
    </w:p>
    <w:p w14:paraId="406ABB91" w14:textId="77777777" w:rsidR="00DE120A" w:rsidRPr="0095662A" w:rsidRDefault="00DE120A" w:rsidP="00DE120A">
      <w:pPr>
        <w:jc w:val="center"/>
        <w:rPr>
          <w:rFonts w:ascii="Arial" w:hAnsi="Arial" w:cs="Arial"/>
          <w:sz w:val="22"/>
          <w:szCs w:val="36"/>
        </w:rPr>
      </w:pPr>
      <w:r w:rsidRPr="0095662A">
        <w:rPr>
          <w:rFonts w:ascii="Arial" w:hAnsi="Arial" w:cs="Arial"/>
          <w:b/>
          <w:bCs/>
          <w:sz w:val="22"/>
          <w:szCs w:val="28"/>
        </w:rPr>
        <w:t>THE REST OF THIS PAGE IS BLANK</w:t>
      </w:r>
    </w:p>
    <w:p w14:paraId="59AA73DB" w14:textId="77777777" w:rsidR="00DE120A" w:rsidRPr="00920BCD" w:rsidRDefault="00DE120A" w:rsidP="00DE120A">
      <w:pPr>
        <w:rPr>
          <w:rFonts w:ascii="Arial" w:hAnsi="Arial" w:cs="Arial"/>
          <w:sz w:val="20"/>
          <w:szCs w:val="20"/>
        </w:rPr>
      </w:pPr>
    </w:p>
    <w:p w14:paraId="64DD57B9" w14:textId="77777777" w:rsidR="00D7335E" w:rsidRPr="001C3BD4" w:rsidRDefault="00C87C72" w:rsidP="001C3BD4">
      <w:pPr>
        <w:pStyle w:val="Heading2"/>
        <w:rPr>
          <w:rFonts w:ascii="Arial" w:hAnsi="Arial" w:cs="Arial"/>
          <w:b/>
          <w:bCs/>
        </w:rPr>
      </w:pPr>
      <w:r>
        <w:rPr>
          <w:sz w:val="20"/>
        </w:rPr>
        <w:br w:type="page"/>
      </w:r>
      <w:bookmarkStart w:id="80" w:name="_10.2_Committal_proceedings"/>
      <w:bookmarkEnd w:id="80"/>
      <w:r w:rsidR="00D7335E" w:rsidRPr="001C3BD4">
        <w:rPr>
          <w:rFonts w:ascii="Arial" w:hAnsi="Arial" w:cs="Arial"/>
          <w:b/>
          <w:bCs/>
        </w:rPr>
        <w:lastRenderedPageBreak/>
        <w:t>10.2</w:t>
      </w:r>
      <w:r w:rsidR="00D7335E" w:rsidRPr="001C3BD4">
        <w:rPr>
          <w:rFonts w:ascii="Arial" w:hAnsi="Arial" w:cs="Arial"/>
          <w:b/>
          <w:bCs/>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1" w:name="_10.2.1_Purposes"/>
      <w:bookmarkEnd w:id="81"/>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lastRenderedPageBreak/>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2" w:name="_10.2.2_Nature_of"/>
      <w:bookmarkEnd w:id="82"/>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place">
        <w:smartTag w:uri="urn:schemas-microsoft-com:office:smarttags" w:element="Stat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Mokbel v DPP (Vic) &amp; Ors</w:t>
      </w:r>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3" w:name="_10.2.3_Hearings,_case"/>
      <w:bookmarkEnd w:id="83"/>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lastRenderedPageBreak/>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4"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4"/>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5" w:name="_10.2.4_Joint_committal"/>
      <w:bookmarkEnd w:id="85"/>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 xml:space="preserve">s’ Court.  Section 516A(6)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6" w:name="_10.2.5_Determination_of"/>
      <w:bookmarkEnd w:id="86"/>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Street">
        <w:smartTag w:uri="urn:schemas-microsoft-com:office:smarttags" w:element="address">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7"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7"/>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8" w:name="_10.2.6_Effect_of"/>
      <w:bookmarkEnd w:id="88"/>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place">
        <w:smartTag w:uri="urn:schemas-microsoft-com:office:smarttags" w:element="country-region">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9" w:name="_10.2.7_Taking_evidence"/>
      <w:bookmarkEnd w:id="89"/>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Ors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90" w:name="_Toc30691450"/>
      <w:bookmarkStart w:id="91" w:name="_Toc30691829"/>
      <w:bookmarkStart w:id="92" w:name="_Toc30692209"/>
      <w:bookmarkStart w:id="93" w:name="_Toc30692967"/>
      <w:bookmarkStart w:id="94" w:name="_Toc30693346"/>
      <w:bookmarkStart w:id="95" w:name="_Toc30693724"/>
      <w:bookmarkStart w:id="96" w:name="_Toc30694102"/>
      <w:bookmarkStart w:id="97" w:name="_Toc30694482"/>
      <w:bookmarkStart w:id="98" w:name="_Toc30699072"/>
      <w:bookmarkStart w:id="99" w:name="_Toc30699457"/>
      <w:bookmarkStart w:id="100" w:name="_Toc30699842"/>
      <w:bookmarkStart w:id="101" w:name="_Toc30700997"/>
      <w:bookmarkStart w:id="102" w:name="_Toc30701384"/>
      <w:bookmarkStart w:id="103" w:name="_Toc30743989"/>
      <w:bookmarkStart w:id="104" w:name="_Toc30754812"/>
      <w:bookmarkStart w:id="105" w:name="_Toc30757268"/>
      <w:bookmarkStart w:id="106" w:name="_Toc30757816"/>
      <w:bookmarkStart w:id="107" w:name="_Toc30758216"/>
      <w:bookmarkStart w:id="108" w:name="_Toc30762977"/>
      <w:bookmarkStart w:id="109" w:name="_Toc30767631"/>
      <w:bookmarkStart w:id="110"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1" w:name="_Fast_tracking_of"/>
      <w:bookmarkStart w:id="112" w:name="_10.2.8_Fast_tracking"/>
      <w:bookmarkEnd w:id="111"/>
      <w:bookmarkEnd w:id="112"/>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3" w:name="_Committal_and_‘uplift’"/>
      <w:bookmarkEnd w:id="113"/>
    </w:p>
    <w:p w14:paraId="34DC7D39" w14:textId="0A5A3097" w:rsidR="00634DDC" w:rsidRPr="00634DDC" w:rsidRDefault="008A267A" w:rsidP="008A267A">
      <w:pPr>
        <w:pStyle w:val="Heading3"/>
        <w:spacing w:line="240" w:lineRule="auto"/>
        <w:rPr>
          <w:rFonts w:ascii="Arial" w:hAnsi="Arial" w:cs="Arial"/>
          <w:b/>
          <w:bCs/>
          <w:sz w:val="20"/>
          <w:szCs w:val="16"/>
        </w:rPr>
      </w:pPr>
      <w:bookmarkStart w:id="114" w:name="_10.2.9_Committal_and"/>
      <w:bookmarkEnd w:id="114"/>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72A15D97" w:rsidR="00890B4D" w:rsidRDefault="005621B5" w:rsidP="00CE2EA1">
            <w:pPr>
              <w:pStyle w:val="ListParagraph"/>
              <w:spacing w:before="120"/>
              <w:ind w:left="0"/>
              <w:jc w:val="center"/>
              <w:rPr>
                <w:b/>
                <w:bCs/>
                <w:sz w:val="20"/>
                <w:szCs w:val="20"/>
              </w:rPr>
            </w:pPr>
            <w:r>
              <w:rPr>
                <w:b/>
                <w:bCs/>
                <w:sz w:val="20"/>
                <w:szCs w:val="20"/>
              </w:rPr>
              <w:t>2</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17CD5C10" w:rsidR="00604042" w:rsidRDefault="00604042" w:rsidP="00CE2EA1">
            <w:pPr>
              <w:pStyle w:val="ListParagraph"/>
              <w:spacing w:before="120"/>
              <w:ind w:left="0"/>
              <w:jc w:val="center"/>
              <w:rPr>
                <w:b/>
                <w:bCs/>
                <w:sz w:val="20"/>
                <w:szCs w:val="20"/>
              </w:rPr>
            </w:pPr>
            <w:r>
              <w:rPr>
                <w:b/>
                <w:bCs/>
                <w:sz w:val="20"/>
                <w:szCs w:val="20"/>
              </w:rPr>
              <w:t>1</w:t>
            </w:r>
            <w:r w:rsidR="005621B5">
              <w:rPr>
                <w:b/>
                <w:bCs/>
                <w:sz w:val="20"/>
                <w:szCs w:val="20"/>
              </w:rPr>
              <w:t>4</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50D2F8B6" w:rsidR="00604042" w:rsidRDefault="005621B5" w:rsidP="00CE2EA1">
            <w:pPr>
              <w:pStyle w:val="ListParagraph"/>
              <w:spacing w:before="120"/>
              <w:ind w:left="0"/>
              <w:jc w:val="center"/>
              <w:rPr>
                <w:b/>
                <w:bCs/>
                <w:sz w:val="20"/>
                <w:szCs w:val="20"/>
              </w:rPr>
            </w:pPr>
            <w:r>
              <w:rPr>
                <w:b/>
                <w:bCs/>
                <w:sz w:val="20"/>
                <w:szCs w:val="20"/>
              </w:rPr>
              <w:t>70</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60984BE2"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w:t>
      </w:r>
      <w:r w:rsidR="005621B5">
        <w:rPr>
          <w:rFonts w:ascii="Arial" w:hAnsi="Arial" w:cs="Arial"/>
          <w:sz w:val="20"/>
        </w:rPr>
        <w:t>70</w:t>
      </w:r>
      <w:r>
        <w:rPr>
          <w:rFonts w:ascii="Arial" w:hAnsi="Arial" w:cs="Arial"/>
          <w:sz w:val="20"/>
        </w:rPr>
        <w:t xml:space="preserve"> young people who were </w:t>
      </w:r>
      <w:r w:rsidR="00604042">
        <w:rPr>
          <w:rFonts w:ascii="Arial" w:hAnsi="Arial" w:cs="Arial"/>
          <w:sz w:val="20"/>
        </w:rPr>
        <w:t xml:space="preserve">the subjects of committal orders made by the Children’s Court statewide from 2013/14 to 2021/22.  It does not distinguish between those of the </w:t>
      </w:r>
      <w:r w:rsidR="005621B5">
        <w:rPr>
          <w:rFonts w:ascii="Arial" w:hAnsi="Arial" w:cs="Arial"/>
          <w:sz w:val="20"/>
        </w:rPr>
        <w:t>70</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2A7FD453"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 xml:space="preserve">for the </w:t>
      </w:r>
      <w:r w:rsidR="00917E66">
        <w:rPr>
          <w:rFonts w:ascii="Arial" w:hAnsi="Arial" w:cs="Arial"/>
          <w:sz w:val="20"/>
          <w:szCs w:val="20"/>
        </w:rPr>
        <w:t>51</w:t>
      </w:r>
      <w:r>
        <w:rPr>
          <w:rFonts w:ascii="Arial" w:hAnsi="Arial" w:cs="Arial"/>
          <w:sz w:val="20"/>
          <w:szCs w:val="20"/>
        </w:rPr>
        <w:t xml:space="preserve"> young persons who were aged 16 or 17 and lists the major charge on which each young person was committed.</w:t>
      </w:r>
      <w:r w:rsidR="00B50ABC">
        <w:rPr>
          <w:rFonts w:ascii="Arial" w:hAnsi="Arial" w:cs="Arial"/>
          <w:sz w:val="20"/>
          <w:szCs w:val="20"/>
        </w:rPr>
        <w:t xml:space="preserve">  The lilac boxes in this Table indicate that 1</w:t>
      </w:r>
      <w:r w:rsidR="00F83DE8">
        <w:rPr>
          <w:rFonts w:ascii="Arial" w:hAnsi="Arial" w:cs="Arial"/>
          <w:sz w:val="20"/>
          <w:szCs w:val="20"/>
        </w:rPr>
        <w:t>7</w:t>
      </w:r>
      <w:r w:rsidR="00B50ABC">
        <w:rPr>
          <w:rFonts w:ascii="Arial" w:hAnsi="Arial" w:cs="Arial"/>
          <w:sz w:val="20"/>
          <w:szCs w:val="20"/>
        </w:rPr>
        <w:t xml:space="preserve">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501369E" w:rsidR="00DC0B3F" w:rsidRPr="00B148B3" w:rsidRDefault="00DC0B3F" w:rsidP="00DD16AF">
            <w:pPr>
              <w:spacing w:before="80"/>
              <w:jc w:val="center"/>
              <w:rPr>
                <w:b/>
                <w:bCs/>
              </w:rPr>
            </w:pPr>
            <w:r w:rsidRPr="00B148B3">
              <w:rPr>
                <w:b/>
                <w:bCs/>
              </w:rPr>
              <w:t>C</w:t>
            </w:r>
            <w:r w:rsidR="00F83DE8">
              <w:rPr>
                <w:b/>
                <w:bCs/>
              </w:rPr>
              <w:t>h</w:t>
            </w:r>
            <w:r w:rsidRPr="00B148B3">
              <w:rPr>
                <w:b/>
                <w:bCs/>
              </w:rPr>
              <w:t>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1A99034C" w:rsidR="00DC0B3F" w:rsidRPr="00622A59" w:rsidRDefault="00DC0B3F" w:rsidP="00CE2EA1">
            <w:pPr>
              <w:spacing w:before="80"/>
              <w:jc w:val="center"/>
              <w:rPr>
                <w:b/>
                <w:bCs/>
              </w:rPr>
            </w:pPr>
            <w:r w:rsidRPr="00622A59">
              <w:rPr>
                <w:b/>
                <w:bCs/>
              </w:rPr>
              <w:t xml:space="preserve">EXIT </w:t>
            </w:r>
            <w:r>
              <w:rPr>
                <w:b/>
                <w:bCs/>
              </w:rPr>
              <w:t>C</w:t>
            </w:r>
            <w:r w:rsidR="00F83DE8">
              <w:rPr>
                <w:b/>
                <w:bCs/>
              </w:rPr>
              <w:t>h</w:t>
            </w:r>
            <w:r>
              <w:rPr>
                <w:b/>
                <w:bCs/>
              </w:rPr>
              <w:t>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5C02353B"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5BC1103E"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7B20416A" w:rsidR="00440183" w:rsidRPr="00440183" w:rsidRDefault="00440183" w:rsidP="00C3329A">
      <w:pPr>
        <w:jc w:val="both"/>
        <w:rPr>
          <w:rFonts w:ascii="Arial" w:hAnsi="Arial" w:cs="Arial"/>
          <w:sz w:val="20"/>
          <w:szCs w:val="20"/>
        </w:rPr>
      </w:pPr>
      <w:r w:rsidRPr="003B1103">
        <w:rPr>
          <w:rFonts w:ascii="Arial" w:hAnsi="Arial" w:cs="Arial"/>
          <w:b/>
          <w:bCs/>
          <w:sz w:val="20"/>
          <w:szCs w:val="20"/>
        </w:rPr>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w:t>
      </w:r>
      <w:r w:rsidR="00F83DE8">
        <w:rPr>
          <w:rFonts w:ascii="Arial" w:hAnsi="Arial" w:cs="Arial"/>
          <w:sz w:val="20"/>
          <w:szCs w:val="20"/>
        </w:rPr>
        <w:t>h</w:t>
      </w:r>
      <w:r w:rsidRPr="00440183">
        <w:rPr>
          <w:rFonts w:ascii="Arial" w:hAnsi="Arial" w:cs="Arial"/>
          <w:sz w:val="20"/>
          <w:szCs w:val="20"/>
        </w:rPr>
        <w:t xml:space="preserve">CV’s own research.  It details the </w:t>
      </w:r>
      <w:r w:rsidRPr="00440183">
        <w:rPr>
          <w:rFonts w:ascii="Arial" w:hAnsi="Arial" w:cs="Arial"/>
          <w:sz w:val="20"/>
          <w:szCs w:val="20"/>
        </w:rPr>
        <w:lastRenderedPageBreak/>
        <w:t>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In the 3 year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1F7A724D"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2 were transferred back to the C</w:t>
      </w:r>
      <w:r w:rsidR="00F83DE8">
        <w:rPr>
          <w:rFonts w:ascii="Arial" w:hAnsi="Arial" w:cs="Arial"/>
          <w:sz w:val="20"/>
          <w:szCs w:val="20"/>
        </w:rPr>
        <w:t>h</w:t>
      </w:r>
      <w:r w:rsidRPr="001D3D77">
        <w:rPr>
          <w:rFonts w:ascii="Arial" w:hAnsi="Arial" w:cs="Arial"/>
          <w:sz w:val="20"/>
          <w:szCs w:val="20"/>
        </w:rPr>
        <w:t xml:space="preserve">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377FB1F0"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w:t>
      </w:r>
      <w:r w:rsidR="00F83DE8">
        <w:rPr>
          <w:rFonts w:ascii="Arial" w:hAnsi="Arial" w:cs="Arial"/>
          <w:sz w:val="20"/>
          <w:szCs w:val="20"/>
        </w:rPr>
        <w:t>h</w:t>
      </w:r>
      <w:r w:rsidRPr="001D3D77">
        <w:rPr>
          <w:rFonts w:ascii="Arial" w:hAnsi="Arial" w:cs="Arial"/>
          <w:sz w:val="20"/>
          <w:szCs w:val="20"/>
        </w:rPr>
        <w:t>CV</w:t>
      </w:r>
      <w:r w:rsidR="00BF122D">
        <w:rPr>
          <w:rFonts w:ascii="Arial" w:hAnsi="Arial" w:cs="Arial"/>
          <w:sz w:val="20"/>
          <w:szCs w:val="20"/>
        </w:rPr>
        <w:t>–</w:t>
      </w:r>
    </w:p>
    <w:p w14:paraId="069C9959" w14:textId="1899056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 xml:space="preserve">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416FE81A"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5"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C3329A" w:rsidRPr="00622A59" w14:paraId="1B278895" w14:textId="77777777" w:rsidTr="001B042B">
        <w:trPr>
          <w:gridAfter w:val="1"/>
          <w:wAfter w:w="18" w:type="dxa"/>
          <w:jc w:val="center"/>
        </w:trPr>
        <w:tc>
          <w:tcPr>
            <w:tcW w:w="7991" w:type="dxa"/>
            <w:gridSpan w:val="4"/>
            <w:shd w:val="clear" w:color="auto" w:fill="000000" w:themeFill="text1"/>
          </w:tcPr>
          <w:p w14:paraId="7BAF9D03" w14:textId="34D15C2C" w:rsidR="00C3329A" w:rsidRDefault="00C3329A" w:rsidP="001B042B">
            <w:pPr>
              <w:jc w:val="center"/>
              <w:rPr>
                <w:b/>
                <w:bCs/>
              </w:rPr>
            </w:pPr>
            <w:r>
              <w:rPr>
                <w:b/>
                <w:bCs/>
              </w:rPr>
              <w:t>2023/24</w:t>
            </w:r>
          </w:p>
        </w:tc>
      </w:tr>
      <w:tr w:rsidR="00C3329A" w:rsidRPr="00622A59" w14:paraId="6E4ECE76" w14:textId="77777777" w:rsidTr="00C3329A">
        <w:trPr>
          <w:gridAfter w:val="1"/>
          <w:wAfter w:w="18" w:type="dxa"/>
          <w:jc w:val="center"/>
        </w:trPr>
        <w:tc>
          <w:tcPr>
            <w:tcW w:w="1749" w:type="dxa"/>
            <w:shd w:val="clear" w:color="auto" w:fill="DDDDDD"/>
          </w:tcPr>
          <w:p w14:paraId="56AF85C8" w14:textId="77777777" w:rsidR="00C3329A" w:rsidRPr="00B148B3" w:rsidRDefault="00C3329A" w:rsidP="001B042B">
            <w:pPr>
              <w:spacing w:before="240"/>
              <w:jc w:val="center"/>
              <w:rPr>
                <w:b/>
                <w:bCs/>
              </w:rPr>
            </w:pPr>
            <w:r>
              <w:rPr>
                <w:b/>
                <w:bCs/>
              </w:rPr>
              <w:t>INCIDENT</w:t>
            </w:r>
          </w:p>
        </w:tc>
        <w:tc>
          <w:tcPr>
            <w:tcW w:w="1981" w:type="dxa"/>
            <w:shd w:val="clear" w:color="auto" w:fill="DDDDDD"/>
          </w:tcPr>
          <w:p w14:paraId="26AC38B4" w14:textId="77777777" w:rsidR="00C3329A" w:rsidRPr="00B148B3" w:rsidRDefault="00C3329A" w:rsidP="001B042B">
            <w:pPr>
              <w:jc w:val="center"/>
              <w:rPr>
                <w:b/>
                <w:bCs/>
              </w:rPr>
            </w:pPr>
            <w:r>
              <w:rPr>
                <w:b/>
                <w:bCs/>
              </w:rPr>
              <w:t>DATE OF COMMITTAL ORDER</w:t>
            </w:r>
          </w:p>
        </w:tc>
        <w:tc>
          <w:tcPr>
            <w:tcW w:w="2485" w:type="dxa"/>
            <w:shd w:val="clear" w:color="auto" w:fill="DDDDDD"/>
          </w:tcPr>
          <w:p w14:paraId="38080C36" w14:textId="77777777" w:rsidR="00C3329A" w:rsidRPr="0075267B" w:rsidRDefault="00C3329A" w:rsidP="001B042B">
            <w:pPr>
              <w:spacing w:before="120"/>
              <w:jc w:val="center"/>
              <w:rPr>
                <w:b/>
                <w:bCs/>
              </w:rPr>
            </w:pPr>
            <w:r w:rsidRPr="0075267B">
              <w:rPr>
                <w:b/>
                <w:bCs/>
              </w:rPr>
              <w:t>MAJOR OFFENCE DESCRIPTION</w:t>
            </w:r>
          </w:p>
        </w:tc>
        <w:tc>
          <w:tcPr>
            <w:tcW w:w="1776" w:type="dxa"/>
            <w:shd w:val="clear" w:color="auto" w:fill="DDDDDD"/>
          </w:tcPr>
          <w:p w14:paraId="27C93DA6" w14:textId="77777777" w:rsidR="00C3329A" w:rsidRPr="00622A59" w:rsidRDefault="00C3329A" w:rsidP="001B042B">
            <w:pPr>
              <w:jc w:val="center"/>
              <w:rPr>
                <w:b/>
                <w:bCs/>
              </w:rPr>
            </w:pPr>
            <w:r>
              <w:rPr>
                <w:b/>
                <w:bCs/>
              </w:rPr>
              <w:t>NUMBER OF COMMITTED YOUTH</w:t>
            </w:r>
          </w:p>
        </w:tc>
      </w:tr>
      <w:tr w:rsidR="00C3329A" w:rsidRPr="00622A59" w14:paraId="2BB7A83B" w14:textId="77777777" w:rsidTr="00C3329A">
        <w:trPr>
          <w:gridAfter w:val="1"/>
          <w:wAfter w:w="18" w:type="dxa"/>
          <w:jc w:val="center"/>
        </w:trPr>
        <w:tc>
          <w:tcPr>
            <w:tcW w:w="1749" w:type="dxa"/>
          </w:tcPr>
          <w:p w14:paraId="605377CE" w14:textId="77777777" w:rsidR="00C3329A" w:rsidRPr="00440183" w:rsidRDefault="00C3329A" w:rsidP="001B042B">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1" w:type="dxa"/>
          </w:tcPr>
          <w:p w14:paraId="7D280C3F" w14:textId="02D65318" w:rsidR="00C3329A" w:rsidRDefault="00C3329A" w:rsidP="001B042B">
            <w:pPr>
              <w:tabs>
                <w:tab w:val="left" w:pos="284"/>
              </w:tabs>
              <w:jc w:val="center"/>
              <w:rPr>
                <w:b/>
                <w:bCs/>
                <w:sz w:val="20"/>
                <w:szCs w:val="20"/>
              </w:rPr>
            </w:pPr>
            <w:r>
              <w:rPr>
                <w:b/>
                <w:bCs/>
                <w:sz w:val="20"/>
                <w:szCs w:val="20"/>
              </w:rPr>
              <w:t>16 Aug 2023</w:t>
            </w:r>
          </w:p>
        </w:tc>
        <w:tc>
          <w:tcPr>
            <w:tcW w:w="2485" w:type="dxa"/>
            <w:shd w:val="clear" w:color="auto" w:fill="F7D5FF"/>
          </w:tcPr>
          <w:p w14:paraId="046ADB1B" w14:textId="5E0F79D8" w:rsidR="00C3329A" w:rsidRDefault="00C3329A" w:rsidP="001B042B">
            <w:pPr>
              <w:jc w:val="center"/>
              <w:rPr>
                <w:b/>
                <w:bCs/>
                <w:sz w:val="20"/>
                <w:szCs w:val="20"/>
              </w:rPr>
            </w:pPr>
            <w:r>
              <w:rPr>
                <w:b/>
                <w:bCs/>
                <w:sz w:val="20"/>
                <w:szCs w:val="20"/>
              </w:rPr>
              <w:t>Affray</w:t>
            </w:r>
          </w:p>
        </w:tc>
        <w:tc>
          <w:tcPr>
            <w:tcW w:w="1776" w:type="dxa"/>
          </w:tcPr>
          <w:p w14:paraId="126444FF" w14:textId="77777777" w:rsidR="00C3329A" w:rsidRDefault="00C3329A" w:rsidP="001B042B">
            <w:pPr>
              <w:jc w:val="center"/>
              <w:rPr>
                <w:b/>
                <w:bCs/>
                <w:sz w:val="20"/>
                <w:szCs w:val="20"/>
              </w:rPr>
            </w:pPr>
            <w:r>
              <w:rPr>
                <w:b/>
                <w:bCs/>
                <w:sz w:val="20"/>
                <w:szCs w:val="20"/>
              </w:rPr>
              <w:t>1</w:t>
            </w:r>
          </w:p>
        </w:tc>
      </w:tr>
      <w:tr w:rsidR="00C3329A" w:rsidRPr="00622A59" w14:paraId="3119EA39" w14:textId="77777777" w:rsidTr="00C3329A">
        <w:trPr>
          <w:gridAfter w:val="1"/>
          <w:wAfter w:w="18" w:type="dxa"/>
          <w:jc w:val="center"/>
        </w:trPr>
        <w:tc>
          <w:tcPr>
            <w:tcW w:w="1749" w:type="dxa"/>
          </w:tcPr>
          <w:p w14:paraId="3FBD9EC0" w14:textId="77777777" w:rsidR="00C3329A" w:rsidRPr="00622A59" w:rsidRDefault="00C3329A" w:rsidP="001B042B">
            <w:pPr>
              <w:jc w:val="center"/>
              <w:rPr>
                <w:b/>
                <w:bCs/>
                <w:sz w:val="20"/>
                <w:szCs w:val="20"/>
              </w:rPr>
            </w:pPr>
            <w:r>
              <w:rPr>
                <w:rFonts w:ascii="MS Gothic" w:eastAsia="MS Gothic" w:hAnsi="MS Gothic" w:hint="eastAsia"/>
                <w:b/>
                <w:bCs/>
                <w:sz w:val="20"/>
                <w:szCs w:val="20"/>
              </w:rPr>
              <w:t>②</w:t>
            </w:r>
          </w:p>
        </w:tc>
        <w:tc>
          <w:tcPr>
            <w:tcW w:w="1981" w:type="dxa"/>
          </w:tcPr>
          <w:p w14:paraId="687FF1E1" w14:textId="4BB39023" w:rsidR="00C3329A" w:rsidRPr="00622A59" w:rsidRDefault="00C3329A" w:rsidP="001B042B">
            <w:pPr>
              <w:tabs>
                <w:tab w:val="left" w:pos="284"/>
              </w:tabs>
              <w:jc w:val="center"/>
              <w:rPr>
                <w:b/>
                <w:bCs/>
                <w:sz w:val="20"/>
                <w:szCs w:val="20"/>
              </w:rPr>
            </w:pPr>
            <w:r>
              <w:rPr>
                <w:b/>
                <w:bCs/>
                <w:sz w:val="20"/>
                <w:szCs w:val="20"/>
              </w:rPr>
              <w:t>05 Oct 2023</w:t>
            </w:r>
          </w:p>
        </w:tc>
        <w:tc>
          <w:tcPr>
            <w:tcW w:w="2485" w:type="dxa"/>
            <w:shd w:val="clear" w:color="auto" w:fill="F7D5FF"/>
          </w:tcPr>
          <w:p w14:paraId="0F6F458B" w14:textId="77777777" w:rsidR="00C3329A" w:rsidRPr="00622A59" w:rsidRDefault="00C3329A" w:rsidP="001B042B">
            <w:pPr>
              <w:jc w:val="center"/>
              <w:rPr>
                <w:b/>
                <w:bCs/>
                <w:sz w:val="20"/>
                <w:szCs w:val="20"/>
              </w:rPr>
            </w:pPr>
            <w:r>
              <w:rPr>
                <w:b/>
                <w:bCs/>
                <w:sz w:val="20"/>
                <w:szCs w:val="20"/>
              </w:rPr>
              <w:t>Murder</w:t>
            </w:r>
          </w:p>
        </w:tc>
        <w:tc>
          <w:tcPr>
            <w:tcW w:w="1776" w:type="dxa"/>
          </w:tcPr>
          <w:p w14:paraId="3ACBA230" w14:textId="42F42BF6" w:rsidR="00C3329A" w:rsidRPr="00622A59" w:rsidRDefault="00C3329A" w:rsidP="001B042B">
            <w:pPr>
              <w:jc w:val="center"/>
              <w:rPr>
                <w:b/>
                <w:bCs/>
                <w:sz w:val="20"/>
                <w:szCs w:val="20"/>
              </w:rPr>
            </w:pPr>
            <w:r>
              <w:rPr>
                <w:b/>
                <w:bCs/>
                <w:sz w:val="20"/>
                <w:szCs w:val="20"/>
              </w:rPr>
              <w:t>2</w:t>
            </w:r>
          </w:p>
        </w:tc>
      </w:tr>
      <w:tr w:rsidR="00C3329A" w:rsidRPr="00622A59" w14:paraId="5E549B8F" w14:textId="77777777" w:rsidTr="00C3329A">
        <w:trPr>
          <w:gridAfter w:val="1"/>
          <w:wAfter w:w="18" w:type="dxa"/>
          <w:jc w:val="center"/>
        </w:trPr>
        <w:tc>
          <w:tcPr>
            <w:tcW w:w="1749" w:type="dxa"/>
          </w:tcPr>
          <w:p w14:paraId="4A3B5DEE" w14:textId="77777777" w:rsidR="00C3329A" w:rsidRPr="00622A59" w:rsidRDefault="00C3329A" w:rsidP="001B042B">
            <w:pPr>
              <w:jc w:val="center"/>
              <w:rPr>
                <w:b/>
                <w:bCs/>
                <w:sz w:val="20"/>
                <w:szCs w:val="20"/>
              </w:rPr>
            </w:pPr>
            <w:r>
              <w:rPr>
                <w:rFonts w:ascii="MS Gothic" w:eastAsia="MS Gothic" w:hAnsi="MS Gothic" w:hint="eastAsia"/>
                <w:b/>
                <w:bCs/>
                <w:sz w:val="20"/>
                <w:szCs w:val="20"/>
              </w:rPr>
              <w:t>③</w:t>
            </w:r>
          </w:p>
        </w:tc>
        <w:tc>
          <w:tcPr>
            <w:tcW w:w="1981" w:type="dxa"/>
          </w:tcPr>
          <w:p w14:paraId="628F4967" w14:textId="6252D859" w:rsidR="00C3329A" w:rsidRPr="00622A59" w:rsidRDefault="00C3329A" w:rsidP="001B042B">
            <w:pPr>
              <w:tabs>
                <w:tab w:val="left" w:pos="284"/>
              </w:tabs>
              <w:jc w:val="center"/>
              <w:rPr>
                <w:b/>
                <w:bCs/>
                <w:sz w:val="20"/>
                <w:szCs w:val="20"/>
              </w:rPr>
            </w:pPr>
            <w:r>
              <w:rPr>
                <w:b/>
                <w:bCs/>
                <w:sz w:val="20"/>
                <w:szCs w:val="20"/>
              </w:rPr>
              <w:t>16 Oct 2023</w:t>
            </w:r>
          </w:p>
        </w:tc>
        <w:tc>
          <w:tcPr>
            <w:tcW w:w="2485" w:type="dxa"/>
            <w:shd w:val="clear" w:color="auto" w:fill="F7D5FF"/>
          </w:tcPr>
          <w:p w14:paraId="2DFFDB5F" w14:textId="77777777" w:rsidR="00C3329A" w:rsidRPr="00622A59" w:rsidRDefault="00C3329A" w:rsidP="001B042B">
            <w:pPr>
              <w:jc w:val="center"/>
              <w:rPr>
                <w:b/>
                <w:bCs/>
                <w:sz w:val="20"/>
                <w:szCs w:val="20"/>
              </w:rPr>
            </w:pPr>
            <w:r>
              <w:rPr>
                <w:b/>
                <w:bCs/>
                <w:sz w:val="20"/>
                <w:szCs w:val="20"/>
              </w:rPr>
              <w:t>Murder</w:t>
            </w:r>
          </w:p>
        </w:tc>
        <w:tc>
          <w:tcPr>
            <w:tcW w:w="1776" w:type="dxa"/>
          </w:tcPr>
          <w:p w14:paraId="4B8F9504" w14:textId="1037F0C8" w:rsidR="00C3329A" w:rsidRPr="00622A59" w:rsidRDefault="00C3329A" w:rsidP="001B042B">
            <w:pPr>
              <w:jc w:val="center"/>
              <w:rPr>
                <w:b/>
                <w:bCs/>
                <w:sz w:val="20"/>
                <w:szCs w:val="20"/>
              </w:rPr>
            </w:pPr>
            <w:r>
              <w:rPr>
                <w:b/>
                <w:bCs/>
                <w:sz w:val="20"/>
                <w:szCs w:val="20"/>
              </w:rPr>
              <w:t>1</w:t>
            </w:r>
          </w:p>
        </w:tc>
      </w:tr>
      <w:tr w:rsidR="00C3329A" w:rsidRPr="00622A59" w14:paraId="6FD68024" w14:textId="77777777" w:rsidTr="00C3329A">
        <w:trPr>
          <w:gridAfter w:val="1"/>
          <w:wAfter w:w="18" w:type="dxa"/>
          <w:trHeight w:val="187"/>
          <w:jc w:val="center"/>
        </w:trPr>
        <w:tc>
          <w:tcPr>
            <w:tcW w:w="1749" w:type="dxa"/>
          </w:tcPr>
          <w:p w14:paraId="6EE0A65F" w14:textId="77777777" w:rsidR="00C3329A" w:rsidRPr="00622A59" w:rsidRDefault="00C3329A" w:rsidP="001B042B">
            <w:pPr>
              <w:jc w:val="center"/>
              <w:rPr>
                <w:b/>
                <w:bCs/>
                <w:sz w:val="20"/>
                <w:szCs w:val="20"/>
              </w:rPr>
            </w:pPr>
            <w:r>
              <w:rPr>
                <w:rFonts w:ascii="MS Gothic" w:eastAsia="MS Gothic" w:hAnsi="MS Gothic" w:hint="eastAsia"/>
                <w:b/>
                <w:bCs/>
                <w:sz w:val="20"/>
                <w:szCs w:val="20"/>
              </w:rPr>
              <w:t>④</w:t>
            </w:r>
          </w:p>
        </w:tc>
        <w:tc>
          <w:tcPr>
            <w:tcW w:w="1981" w:type="dxa"/>
          </w:tcPr>
          <w:p w14:paraId="3B5B7A28" w14:textId="662E4C66" w:rsidR="00C3329A" w:rsidRPr="00622A59" w:rsidRDefault="00C3329A" w:rsidP="001B042B">
            <w:pPr>
              <w:tabs>
                <w:tab w:val="left" w:pos="284"/>
              </w:tabs>
              <w:jc w:val="center"/>
              <w:rPr>
                <w:b/>
                <w:bCs/>
                <w:sz w:val="20"/>
                <w:szCs w:val="20"/>
              </w:rPr>
            </w:pPr>
            <w:r>
              <w:rPr>
                <w:b/>
                <w:bCs/>
                <w:sz w:val="20"/>
                <w:szCs w:val="20"/>
              </w:rPr>
              <w:t>12 Dec 2023</w:t>
            </w:r>
          </w:p>
        </w:tc>
        <w:tc>
          <w:tcPr>
            <w:tcW w:w="2485" w:type="dxa"/>
            <w:shd w:val="clear" w:color="auto" w:fill="F7D5FF"/>
          </w:tcPr>
          <w:p w14:paraId="3F6A1CE2" w14:textId="3BD557CB" w:rsidR="00C3329A" w:rsidRPr="003B1103" w:rsidRDefault="00C3329A" w:rsidP="001B042B">
            <w:pPr>
              <w:jc w:val="center"/>
              <w:rPr>
                <w:b/>
                <w:bCs/>
                <w:sz w:val="20"/>
                <w:szCs w:val="20"/>
              </w:rPr>
            </w:pPr>
            <w:r>
              <w:rPr>
                <w:b/>
                <w:bCs/>
                <w:sz w:val="20"/>
                <w:szCs w:val="20"/>
              </w:rPr>
              <w:t>Murder</w:t>
            </w:r>
          </w:p>
        </w:tc>
        <w:tc>
          <w:tcPr>
            <w:tcW w:w="1776" w:type="dxa"/>
          </w:tcPr>
          <w:p w14:paraId="64E2E776" w14:textId="1C3918AD" w:rsidR="00C3329A" w:rsidRPr="00622A59" w:rsidRDefault="00C3329A" w:rsidP="001B042B">
            <w:pPr>
              <w:jc w:val="center"/>
              <w:rPr>
                <w:b/>
                <w:bCs/>
                <w:sz w:val="20"/>
                <w:szCs w:val="20"/>
              </w:rPr>
            </w:pPr>
            <w:r>
              <w:rPr>
                <w:b/>
                <w:bCs/>
                <w:sz w:val="20"/>
                <w:szCs w:val="20"/>
              </w:rPr>
              <w:t>3</w:t>
            </w:r>
          </w:p>
        </w:tc>
      </w:tr>
      <w:tr w:rsidR="00C3329A" w:rsidRPr="00622A59" w14:paraId="3EC40030" w14:textId="77777777" w:rsidTr="00C3329A">
        <w:trPr>
          <w:gridAfter w:val="1"/>
          <w:wAfter w:w="18" w:type="dxa"/>
          <w:jc w:val="center"/>
        </w:trPr>
        <w:tc>
          <w:tcPr>
            <w:tcW w:w="1749" w:type="dxa"/>
          </w:tcPr>
          <w:p w14:paraId="7E44FE8F" w14:textId="77777777" w:rsidR="00C3329A" w:rsidRPr="00622A59" w:rsidRDefault="00C3329A" w:rsidP="001B042B">
            <w:pPr>
              <w:jc w:val="center"/>
              <w:rPr>
                <w:b/>
                <w:bCs/>
                <w:sz w:val="20"/>
                <w:szCs w:val="20"/>
              </w:rPr>
            </w:pPr>
            <w:r>
              <w:rPr>
                <w:rFonts w:ascii="MS Gothic" w:eastAsia="MS Gothic" w:hAnsi="MS Gothic" w:hint="eastAsia"/>
                <w:b/>
                <w:bCs/>
                <w:sz w:val="20"/>
                <w:szCs w:val="20"/>
              </w:rPr>
              <w:t>⑤</w:t>
            </w:r>
          </w:p>
        </w:tc>
        <w:tc>
          <w:tcPr>
            <w:tcW w:w="1981" w:type="dxa"/>
          </w:tcPr>
          <w:p w14:paraId="37E6A790" w14:textId="44F2BB7C" w:rsidR="00C3329A" w:rsidRPr="00622A59" w:rsidRDefault="00C3329A" w:rsidP="001B042B">
            <w:pPr>
              <w:tabs>
                <w:tab w:val="left" w:pos="284"/>
              </w:tabs>
              <w:jc w:val="center"/>
              <w:rPr>
                <w:b/>
                <w:bCs/>
                <w:sz w:val="20"/>
                <w:szCs w:val="20"/>
              </w:rPr>
            </w:pPr>
            <w:r>
              <w:rPr>
                <w:b/>
                <w:bCs/>
                <w:sz w:val="20"/>
                <w:szCs w:val="20"/>
              </w:rPr>
              <w:t>14 Dec 2023</w:t>
            </w:r>
          </w:p>
        </w:tc>
        <w:tc>
          <w:tcPr>
            <w:tcW w:w="2485" w:type="dxa"/>
            <w:shd w:val="clear" w:color="auto" w:fill="F7D5FF"/>
          </w:tcPr>
          <w:p w14:paraId="26B723A5" w14:textId="128324D4" w:rsidR="00C3329A" w:rsidRPr="00622A59" w:rsidRDefault="00C3329A" w:rsidP="001B042B">
            <w:pPr>
              <w:jc w:val="center"/>
              <w:rPr>
                <w:b/>
                <w:bCs/>
                <w:sz w:val="20"/>
                <w:szCs w:val="20"/>
              </w:rPr>
            </w:pPr>
            <w:r>
              <w:rPr>
                <w:b/>
                <w:bCs/>
                <w:sz w:val="20"/>
                <w:szCs w:val="20"/>
              </w:rPr>
              <w:t>Murder</w:t>
            </w:r>
          </w:p>
        </w:tc>
        <w:tc>
          <w:tcPr>
            <w:tcW w:w="1776" w:type="dxa"/>
          </w:tcPr>
          <w:p w14:paraId="5ADF2CBC" w14:textId="77777777" w:rsidR="00C3329A" w:rsidRPr="00622A59" w:rsidRDefault="00C3329A" w:rsidP="001B042B">
            <w:pPr>
              <w:jc w:val="center"/>
              <w:rPr>
                <w:b/>
                <w:bCs/>
                <w:sz w:val="20"/>
                <w:szCs w:val="20"/>
              </w:rPr>
            </w:pPr>
            <w:r>
              <w:rPr>
                <w:b/>
                <w:bCs/>
                <w:sz w:val="20"/>
                <w:szCs w:val="20"/>
              </w:rPr>
              <w:t>1</w:t>
            </w:r>
          </w:p>
        </w:tc>
      </w:tr>
      <w:tr w:rsidR="00C3329A" w:rsidRPr="00622A59" w14:paraId="68F2BF02" w14:textId="77777777" w:rsidTr="00C3329A">
        <w:trPr>
          <w:gridAfter w:val="1"/>
          <w:wAfter w:w="18" w:type="dxa"/>
          <w:jc w:val="center"/>
        </w:trPr>
        <w:tc>
          <w:tcPr>
            <w:tcW w:w="1749" w:type="dxa"/>
          </w:tcPr>
          <w:p w14:paraId="00480DC1" w14:textId="77777777" w:rsidR="00C3329A" w:rsidRPr="00622A59" w:rsidRDefault="00C3329A" w:rsidP="001B042B">
            <w:pPr>
              <w:jc w:val="center"/>
              <w:rPr>
                <w:b/>
                <w:bCs/>
                <w:sz w:val="20"/>
                <w:szCs w:val="20"/>
              </w:rPr>
            </w:pPr>
            <w:r>
              <w:rPr>
                <w:rFonts w:ascii="MS Gothic" w:eastAsia="MS Gothic" w:hAnsi="MS Gothic" w:hint="eastAsia"/>
                <w:b/>
                <w:bCs/>
                <w:sz w:val="20"/>
                <w:szCs w:val="20"/>
              </w:rPr>
              <w:t>⑥</w:t>
            </w:r>
          </w:p>
        </w:tc>
        <w:tc>
          <w:tcPr>
            <w:tcW w:w="1981" w:type="dxa"/>
          </w:tcPr>
          <w:p w14:paraId="67445032" w14:textId="467C2AD0" w:rsidR="00C3329A" w:rsidRPr="00622A59" w:rsidRDefault="00C3329A" w:rsidP="001B042B">
            <w:pPr>
              <w:tabs>
                <w:tab w:val="left" w:pos="284"/>
              </w:tabs>
              <w:jc w:val="center"/>
              <w:rPr>
                <w:b/>
                <w:bCs/>
                <w:sz w:val="20"/>
                <w:szCs w:val="20"/>
              </w:rPr>
            </w:pPr>
            <w:r>
              <w:rPr>
                <w:b/>
                <w:bCs/>
                <w:sz w:val="20"/>
                <w:szCs w:val="20"/>
              </w:rPr>
              <w:t>05 Feb 2024</w:t>
            </w:r>
          </w:p>
        </w:tc>
        <w:tc>
          <w:tcPr>
            <w:tcW w:w="2485" w:type="dxa"/>
            <w:shd w:val="clear" w:color="auto" w:fill="F7D5FF"/>
          </w:tcPr>
          <w:p w14:paraId="42C57903" w14:textId="2DAF89DC" w:rsidR="00C3329A" w:rsidRPr="00622A59" w:rsidRDefault="00C3329A" w:rsidP="001B042B">
            <w:pPr>
              <w:jc w:val="center"/>
              <w:rPr>
                <w:b/>
                <w:bCs/>
                <w:sz w:val="20"/>
                <w:szCs w:val="20"/>
              </w:rPr>
            </w:pPr>
            <w:r>
              <w:rPr>
                <w:b/>
                <w:bCs/>
                <w:sz w:val="20"/>
                <w:szCs w:val="20"/>
              </w:rPr>
              <w:t>Culpable driving</w:t>
            </w:r>
          </w:p>
        </w:tc>
        <w:tc>
          <w:tcPr>
            <w:tcW w:w="1776" w:type="dxa"/>
          </w:tcPr>
          <w:p w14:paraId="2CC05111" w14:textId="11806E20" w:rsidR="00C3329A" w:rsidRPr="00622A59" w:rsidRDefault="00C3329A" w:rsidP="001B042B">
            <w:pPr>
              <w:jc w:val="center"/>
              <w:rPr>
                <w:b/>
                <w:bCs/>
                <w:sz w:val="20"/>
                <w:szCs w:val="20"/>
              </w:rPr>
            </w:pPr>
            <w:r>
              <w:rPr>
                <w:b/>
                <w:bCs/>
                <w:sz w:val="20"/>
                <w:szCs w:val="20"/>
              </w:rPr>
              <w:t>1</w:t>
            </w:r>
          </w:p>
        </w:tc>
      </w:tr>
      <w:tr w:rsidR="00C3329A" w:rsidRPr="00622A59" w14:paraId="1B063817" w14:textId="77777777" w:rsidTr="00C3329A">
        <w:trPr>
          <w:gridAfter w:val="1"/>
          <w:wAfter w:w="18" w:type="dxa"/>
          <w:jc w:val="center"/>
        </w:trPr>
        <w:tc>
          <w:tcPr>
            <w:tcW w:w="1749" w:type="dxa"/>
          </w:tcPr>
          <w:p w14:paraId="3324449C" w14:textId="48C921CF"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⑦</w:t>
            </w:r>
          </w:p>
        </w:tc>
        <w:tc>
          <w:tcPr>
            <w:tcW w:w="1981" w:type="dxa"/>
          </w:tcPr>
          <w:p w14:paraId="1168E719" w14:textId="1C5284F5" w:rsidR="00C3329A" w:rsidRDefault="00C3329A" w:rsidP="001B042B">
            <w:pPr>
              <w:tabs>
                <w:tab w:val="left" w:pos="284"/>
              </w:tabs>
              <w:jc w:val="center"/>
              <w:rPr>
                <w:b/>
                <w:bCs/>
                <w:sz w:val="20"/>
                <w:szCs w:val="20"/>
              </w:rPr>
            </w:pPr>
            <w:r>
              <w:rPr>
                <w:b/>
                <w:bCs/>
                <w:sz w:val="20"/>
                <w:szCs w:val="20"/>
              </w:rPr>
              <w:t>14 Feb 2024</w:t>
            </w:r>
          </w:p>
        </w:tc>
        <w:tc>
          <w:tcPr>
            <w:tcW w:w="2485" w:type="dxa"/>
            <w:shd w:val="clear" w:color="auto" w:fill="F7D5FF"/>
          </w:tcPr>
          <w:p w14:paraId="00765612" w14:textId="27759E57" w:rsidR="00C3329A" w:rsidRDefault="00C3329A" w:rsidP="001B042B">
            <w:pPr>
              <w:jc w:val="center"/>
              <w:rPr>
                <w:b/>
                <w:bCs/>
                <w:sz w:val="20"/>
                <w:szCs w:val="20"/>
              </w:rPr>
            </w:pPr>
            <w:r>
              <w:rPr>
                <w:b/>
                <w:bCs/>
                <w:sz w:val="20"/>
                <w:szCs w:val="20"/>
              </w:rPr>
              <w:t>Affray</w:t>
            </w:r>
          </w:p>
        </w:tc>
        <w:tc>
          <w:tcPr>
            <w:tcW w:w="1776" w:type="dxa"/>
          </w:tcPr>
          <w:p w14:paraId="56D0958D" w14:textId="24C36BF8" w:rsidR="00C3329A" w:rsidRDefault="00C3329A" w:rsidP="001B042B">
            <w:pPr>
              <w:jc w:val="center"/>
              <w:rPr>
                <w:b/>
                <w:bCs/>
                <w:sz w:val="20"/>
                <w:szCs w:val="20"/>
              </w:rPr>
            </w:pPr>
            <w:r>
              <w:rPr>
                <w:b/>
                <w:bCs/>
                <w:sz w:val="20"/>
                <w:szCs w:val="20"/>
              </w:rPr>
              <w:t>1</w:t>
            </w:r>
          </w:p>
        </w:tc>
      </w:tr>
      <w:tr w:rsidR="00C3329A" w:rsidRPr="00622A59" w14:paraId="0C7BDC45" w14:textId="77777777" w:rsidTr="00C3329A">
        <w:trPr>
          <w:gridAfter w:val="1"/>
          <w:wAfter w:w="18" w:type="dxa"/>
          <w:jc w:val="center"/>
        </w:trPr>
        <w:tc>
          <w:tcPr>
            <w:tcW w:w="1749" w:type="dxa"/>
          </w:tcPr>
          <w:p w14:paraId="3D090627" w14:textId="37342BC8"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⑧</w:t>
            </w:r>
          </w:p>
        </w:tc>
        <w:tc>
          <w:tcPr>
            <w:tcW w:w="1981" w:type="dxa"/>
          </w:tcPr>
          <w:p w14:paraId="1E3DE627" w14:textId="06F7FEF0" w:rsidR="00C3329A" w:rsidRDefault="00AE509E" w:rsidP="001B042B">
            <w:pPr>
              <w:tabs>
                <w:tab w:val="left" w:pos="284"/>
              </w:tabs>
              <w:jc w:val="center"/>
              <w:rPr>
                <w:b/>
                <w:bCs/>
                <w:sz w:val="20"/>
                <w:szCs w:val="20"/>
              </w:rPr>
            </w:pPr>
            <w:r>
              <w:rPr>
                <w:b/>
                <w:bCs/>
                <w:sz w:val="20"/>
                <w:szCs w:val="20"/>
              </w:rPr>
              <w:t>20 Feb 2024</w:t>
            </w:r>
          </w:p>
        </w:tc>
        <w:tc>
          <w:tcPr>
            <w:tcW w:w="2485" w:type="dxa"/>
            <w:shd w:val="clear" w:color="auto" w:fill="F7D5FF"/>
          </w:tcPr>
          <w:p w14:paraId="47B333CB" w14:textId="117C8C73" w:rsidR="00C3329A" w:rsidRDefault="00C3329A" w:rsidP="001B042B">
            <w:pPr>
              <w:jc w:val="center"/>
              <w:rPr>
                <w:b/>
                <w:bCs/>
                <w:sz w:val="20"/>
                <w:szCs w:val="20"/>
              </w:rPr>
            </w:pPr>
            <w:r>
              <w:rPr>
                <w:b/>
                <w:bCs/>
                <w:sz w:val="20"/>
                <w:szCs w:val="20"/>
              </w:rPr>
              <w:t>Murder</w:t>
            </w:r>
          </w:p>
        </w:tc>
        <w:tc>
          <w:tcPr>
            <w:tcW w:w="1776" w:type="dxa"/>
          </w:tcPr>
          <w:p w14:paraId="40D6D37B" w14:textId="6293D869" w:rsidR="00C3329A" w:rsidRDefault="00C3329A" w:rsidP="001B042B">
            <w:pPr>
              <w:jc w:val="center"/>
              <w:rPr>
                <w:b/>
                <w:bCs/>
                <w:sz w:val="20"/>
                <w:szCs w:val="20"/>
              </w:rPr>
            </w:pPr>
            <w:r>
              <w:rPr>
                <w:b/>
                <w:bCs/>
                <w:sz w:val="20"/>
                <w:szCs w:val="20"/>
              </w:rPr>
              <w:t>1</w:t>
            </w:r>
          </w:p>
        </w:tc>
      </w:tr>
      <w:tr w:rsidR="00C3329A" w:rsidRPr="00622A59" w14:paraId="22739314" w14:textId="77777777" w:rsidTr="00C3329A">
        <w:trPr>
          <w:gridAfter w:val="1"/>
          <w:wAfter w:w="18" w:type="dxa"/>
          <w:jc w:val="center"/>
        </w:trPr>
        <w:tc>
          <w:tcPr>
            <w:tcW w:w="1749" w:type="dxa"/>
          </w:tcPr>
          <w:p w14:paraId="1469F11B" w14:textId="67807829"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⑨</w:t>
            </w:r>
          </w:p>
        </w:tc>
        <w:tc>
          <w:tcPr>
            <w:tcW w:w="1981" w:type="dxa"/>
          </w:tcPr>
          <w:p w14:paraId="3F5364A3" w14:textId="7B2F5D85" w:rsidR="00C3329A" w:rsidRDefault="00AE509E" w:rsidP="001B042B">
            <w:pPr>
              <w:tabs>
                <w:tab w:val="left" w:pos="284"/>
              </w:tabs>
              <w:jc w:val="center"/>
              <w:rPr>
                <w:b/>
                <w:bCs/>
                <w:sz w:val="20"/>
                <w:szCs w:val="20"/>
              </w:rPr>
            </w:pPr>
            <w:r>
              <w:rPr>
                <w:b/>
                <w:bCs/>
                <w:sz w:val="20"/>
                <w:szCs w:val="20"/>
              </w:rPr>
              <w:t>14 Mar 2024</w:t>
            </w:r>
          </w:p>
        </w:tc>
        <w:tc>
          <w:tcPr>
            <w:tcW w:w="2485" w:type="dxa"/>
            <w:shd w:val="clear" w:color="auto" w:fill="F7D5FF"/>
          </w:tcPr>
          <w:p w14:paraId="7D489428" w14:textId="3351788C" w:rsidR="00C3329A" w:rsidRDefault="00C3329A" w:rsidP="001B042B">
            <w:pPr>
              <w:jc w:val="center"/>
              <w:rPr>
                <w:b/>
                <w:bCs/>
                <w:sz w:val="20"/>
                <w:szCs w:val="20"/>
              </w:rPr>
            </w:pPr>
            <w:r>
              <w:rPr>
                <w:b/>
                <w:bCs/>
                <w:sz w:val="20"/>
                <w:szCs w:val="20"/>
              </w:rPr>
              <w:t>Murder</w:t>
            </w:r>
          </w:p>
        </w:tc>
        <w:tc>
          <w:tcPr>
            <w:tcW w:w="1776" w:type="dxa"/>
          </w:tcPr>
          <w:p w14:paraId="6468C5A7" w14:textId="5CE20C77" w:rsidR="00C3329A" w:rsidRDefault="00C3329A" w:rsidP="001B042B">
            <w:pPr>
              <w:jc w:val="center"/>
              <w:rPr>
                <w:b/>
                <w:bCs/>
                <w:sz w:val="20"/>
                <w:szCs w:val="20"/>
              </w:rPr>
            </w:pPr>
            <w:r>
              <w:rPr>
                <w:b/>
                <w:bCs/>
                <w:sz w:val="20"/>
                <w:szCs w:val="20"/>
              </w:rPr>
              <w:t>1</w:t>
            </w:r>
          </w:p>
        </w:tc>
      </w:tr>
      <w:tr w:rsidR="00C3329A" w:rsidRPr="00622A59" w14:paraId="4736668B" w14:textId="77777777" w:rsidTr="00C3329A">
        <w:trPr>
          <w:gridAfter w:val="1"/>
          <w:wAfter w:w="18" w:type="dxa"/>
          <w:jc w:val="center"/>
        </w:trPr>
        <w:tc>
          <w:tcPr>
            <w:tcW w:w="1749" w:type="dxa"/>
          </w:tcPr>
          <w:p w14:paraId="64E89871" w14:textId="468EBB4C"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⑩</w:t>
            </w:r>
          </w:p>
        </w:tc>
        <w:tc>
          <w:tcPr>
            <w:tcW w:w="1981" w:type="dxa"/>
          </w:tcPr>
          <w:p w14:paraId="4A2D034A" w14:textId="617BE8D3" w:rsidR="00C3329A" w:rsidRDefault="00AE509E" w:rsidP="001B042B">
            <w:pPr>
              <w:tabs>
                <w:tab w:val="left" w:pos="284"/>
              </w:tabs>
              <w:jc w:val="center"/>
              <w:rPr>
                <w:b/>
                <w:bCs/>
                <w:sz w:val="20"/>
                <w:szCs w:val="20"/>
              </w:rPr>
            </w:pPr>
            <w:r>
              <w:rPr>
                <w:b/>
                <w:bCs/>
                <w:sz w:val="20"/>
                <w:szCs w:val="20"/>
              </w:rPr>
              <w:t>11 Apr 2024</w:t>
            </w:r>
          </w:p>
        </w:tc>
        <w:tc>
          <w:tcPr>
            <w:tcW w:w="2485" w:type="dxa"/>
            <w:shd w:val="clear" w:color="auto" w:fill="F7D5FF"/>
          </w:tcPr>
          <w:p w14:paraId="3BE3F85D" w14:textId="18B9D9CB" w:rsidR="00C3329A" w:rsidRDefault="00C3329A" w:rsidP="001B042B">
            <w:pPr>
              <w:jc w:val="center"/>
              <w:rPr>
                <w:b/>
                <w:bCs/>
                <w:sz w:val="20"/>
                <w:szCs w:val="20"/>
              </w:rPr>
            </w:pPr>
            <w:r>
              <w:rPr>
                <w:b/>
                <w:bCs/>
                <w:sz w:val="20"/>
                <w:szCs w:val="20"/>
              </w:rPr>
              <w:t>Dangerous driving death</w:t>
            </w:r>
          </w:p>
        </w:tc>
        <w:tc>
          <w:tcPr>
            <w:tcW w:w="1776" w:type="dxa"/>
          </w:tcPr>
          <w:p w14:paraId="33BBD064" w14:textId="670518DB" w:rsidR="00C3329A" w:rsidRDefault="00C3329A" w:rsidP="001B042B">
            <w:pPr>
              <w:jc w:val="center"/>
              <w:rPr>
                <w:b/>
                <w:bCs/>
                <w:sz w:val="20"/>
                <w:szCs w:val="20"/>
              </w:rPr>
            </w:pPr>
            <w:r>
              <w:rPr>
                <w:b/>
                <w:bCs/>
                <w:sz w:val="20"/>
                <w:szCs w:val="20"/>
              </w:rPr>
              <w:t>1</w:t>
            </w:r>
          </w:p>
        </w:tc>
      </w:tr>
      <w:tr w:rsidR="00C3329A" w:rsidRPr="00622A59" w14:paraId="0ABBBE0D" w14:textId="77777777" w:rsidTr="00C3329A">
        <w:trPr>
          <w:gridAfter w:val="1"/>
          <w:wAfter w:w="18" w:type="dxa"/>
          <w:jc w:val="center"/>
        </w:trPr>
        <w:tc>
          <w:tcPr>
            <w:tcW w:w="1749" w:type="dxa"/>
          </w:tcPr>
          <w:p w14:paraId="03F96D59" w14:textId="6CB43CDB"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⑪</w:t>
            </w:r>
          </w:p>
        </w:tc>
        <w:tc>
          <w:tcPr>
            <w:tcW w:w="1981" w:type="dxa"/>
          </w:tcPr>
          <w:p w14:paraId="12E4B338" w14:textId="150886A4" w:rsidR="00C3329A" w:rsidRDefault="00AE509E" w:rsidP="001B042B">
            <w:pPr>
              <w:tabs>
                <w:tab w:val="left" w:pos="284"/>
              </w:tabs>
              <w:jc w:val="center"/>
              <w:rPr>
                <w:b/>
                <w:bCs/>
                <w:sz w:val="20"/>
                <w:szCs w:val="20"/>
              </w:rPr>
            </w:pPr>
            <w:r>
              <w:rPr>
                <w:b/>
                <w:bCs/>
                <w:sz w:val="20"/>
                <w:szCs w:val="20"/>
              </w:rPr>
              <w:t>14 May 2024</w:t>
            </w:r>
          </w:p>
        </w:tc>
        <w:tc>
          <w:tcPr>
            <w:tcW w:w="2485" w:type="dxa"/>
            <w:shd w:val="clear" w:color="auto" w:fill="F7D5FF"/>
          </w:tcPr>
          <w:p w14:paraId="6ABC348C" w14:textId="402167A9" w:rsidR="00C3329A" w:rsidRDefault="00C3329A" w:rsidP="001B042B">
            <w:pPr>
              <w:jc w:val="center"/>
              <w:rPr>
                <w:b/>
                <w:bCs/>
                <w:sz w:val="20"/>
                <w:szCs w:val="20"/>
              </w:rPr>
            </w:pPr>
            <w:r>
              <w:rPr>
                <w:b/>
                <w:bCs/>
                <w:sz w:val="20"/>
                <w:szCs w:val="20"/>
              </w:rPr>
              <w:t>Aggravated burglary</w:t>
            </w:r>
          </w:p>
        </w:tc>
        <w:tc>
          <w:tcPr>
            <w:tcW w:w="1776" w:type="dxa"/>
          </w:tcPr>
          <w:p w14:paraId="5138CA75" w14:textId="209C2843" w:rsidR="00C3329A" w:rsidRDefault="00C3329A" w:rsidP="001B042B">
            <w:pPr>
              <w:jc w:val="center"/>
              <w:rPr>
                <w:b/>
                <w:bCs/>
                <w:sz w:val="20"/>
                <w:szCs w:val="20"/>
              </w:rPr>
            </w:pPr>
            <w:r>
              <w:rPr>
                <w:b/>
                <w:bCs/>
                <w:sz w:val="20"/>
                <w:szCs w:val="20"/>
              </w:rPr>
              <w:t>1</w:t>
            </w:r>
          </w:p>
        </w:tc>
      </w:tr>
      <w:tr w:rsidR="00C3329A" w:rsidRPr="00622A59" w14:paraId="6E0A5BB5" w14:textId="77777777" w:rsidTr="00C3329A">
        <w:trPr>
          <w:gridAfter w:val="1"/>
          <w:wAfter w:w="18" w:type="dxa"/>
          <w:jc w:val="center"/>
        </w:trPr>
        <w:tc>
          <w:tcPr>
            <w:tcW w:w="1749" w:type="dxa"/>
          </w:tcPr>
          <w:p w14:paraId="3BA36655" w14:textId="598F8D20" w:rsidR="00C3329A" w:rsidRDefault="00C3329A" w:rsidP="001B042B">
            <w:pPr>
              <w:jc w:val="center"/>
              <w:rPr>
                <w:rFonts w:ascii="MS Gothic" w:eastAsia="MS Gothic" w:hAnsi="MS Gothic"/>
                <w:b/>
                <w:bCs/>
                <w:sz w:val="20"/>
                <w:szCs w:val="20"/>
              </w:rPr>
            </w:pPr>
            <w:r>
              <w:rPr>
                <w:rFonts w:ascii="MS Gothic" w:eastAsia="MS Gothic" w:hAnsi="MS Gothic" w:hint="eastAsia"/>
                <w:b/>
                <w:bCs/>
                <w:sz w:val="20"/>
                <w:szCs w:val="20"/>
              </w:rPr>
              <w:t>⑫</w:t>
            </w:r>
          </w:p>
        </w:tc>
        <w:tc>
          <w:tcPr>
            <w:tcW w:w="1981" w:type="dxa"/>
          </w:tcPr>
          <w:p w14:paraId="0699A7DE" w14:textId="4D5D094D" w:rsidR="00C3329A" w:rsidRDefault="00AE509E" w:rsidP="001B042B">
            <w:pPr>
              <w:tabs>
                <w:tab w:val="left" w:pos="284"/>
              </w:tabs>
              <w:jc w:val="center"/>
              <w:rPr>
                <w:b/>
                <w:bCs/>
                <w:sz w:val="20"/>
                <w:szCs w:val="20"/>
              </w:rPr>
            </w:pPr>
            <w:r>
              <w:rPr>
                <w:b/>
                <w:bCs/>
                <w:sz w:val="20"/>
                <w:szCs w:val="20"/>
              </w:rPr>
              <w:t>30 May 2024</w:t>
            </w:r>
          </w:p>
        </w:tc>
        <w:tc>
          <w:tcPr>
            <w:tcW w:w="2485" w:type="dxa"/>
            <w:shd w:val="clear" w:color="auto" w:fill="F7D5FF"/>
          </w:tcPr>
          <w:p w14:paraId="4FC9B315" w14:textId="10DF5385" w:rsidR="00C3329A" w:rsidRDefault="00C3329A" w:rsidP="001B042B">
            <w:pPr>
              <w:jc w:val="center"/>
              <w:rPr>
                <w:b/>
                <w:bCs/>
                <w:sz w:val="20"/>
                <w:szCs w:val="20"/>
              </w:rPr>
            </w:pPr>
            <w:r>
              <w:rPr>
                <w:b/>
                <w:bCs/>
                <w:sz w:val="20"/>
                <w:szCs w:val="20"/>
              </w:rPr>
              <w:t>Murder</w:t>
            </w:r>
          </w:p>
        </w:tc>
        <w:tc>
          <w:tcPr>
            <w:tcW w:w="1776" w:type="dxa"/>
          </w:tcPr>
          <w:p w14:paraId="07E818C1" w14:textId="21C1624A" w:rsidR="00C3329A" w:rsidRDefault="00C3329A" w:rsidP="001B042B">
            <w:pPr>
              <w:jc w:val="center"/>
              <w:rPr>
                <w:b/>
                <w:bCs/>
                <w:sz w:val="20"/>
                <w:szCs w:val="20"/>
              </w:rPr>
            </w:pPr>
            <w:r>
              <w:rPr>
                <w:b/>
                <w:bCs/>
                <w:sz w:val="20"/>
                <w:szCs w:val="20"/>
              </w:rPr>
              <w:t>2</w:t>
            </w:r>
          </w:p>
        </w:tc>
      </w:tr>
      <w:tr w:rsidR="00C3329A" w:rsidRPr="00622A59" w14:paraId="5A389171" w14:textId="77777777" w:rsidTr="00C3329A">
        <w:trPr>
          <w:jc w:val="center"/>
        </w:trPr>
        <w:tc>
          <w:tcPr>
            <w:tcW w:w="3730" w:type="dxa"/>
            <w:gridSpan w:val="2"/>
            <w:shd w:val="clear" w:color="auto" w:fill="000000" w:themeFill="text1"/>
          </w:tcPr>
          <w:p w14:paraId="439694A8" w14:textId="77777777" w:rsidR="00C3329A" w:rsidRPr="00622A59" w:rsidRDefault="00C3329A" w:rsidP="001B042B">
            <w:pPr>
              <w:tabs>
                <w:tab w:val="left" w:pos="284"/>
              </w:tabs>
              <w:jc w:val="center"/>
              <w:rPr>
                <w:b/>
                <w:bCs/>
                <w:sz w:val="20"/>
                <w:szCs w:val="20"/>
              </w:rPr>
            </w:pPr>
          </w:p>
        </w:tc>
        <w:tc>
          <w:tcPr>
            <w:tcW w:w="2485" w:type="dxa"/>
            <w:shd w:val="clear" w:color="auto" w:fill="000000" w:themeFill="text1"/>
          </w:tcPr>
          <w:p w14:paraId="02D1BE36" w14:textId="77777777" w:rsidR="00C3329A" w:rsidRPr="00622A59" w:rsidRDefault="00C3329A" w:rsidP="001B042B">
            <w:pPr>
              <w:jc w:val="center"/>
              <w:rPr>
                <w:b/>
                <w:bCs/>
                <w:sz w:val="20"/>
                <w:szCs w:val="20"/>
              </w:rPr>
            </w:pPr>
            <w:r>
              <w:rPr>
                <w:b/>
                <w:bCs/>
                <w:sz w:val="20"/>
                <w:szCs w:val="20"/>
              </w:rPr>
              <w:t>TOTAL</w:t>
            </w:r>
          </w:p>
        </w:tc>
        <w:tc>
          <w:tcPr>
            <w:tcW w:w="1794" w:type="dxa"/>
            <w:gridSpan w:val="2"/>
            <w:shd w:val="clear" w:color="auto" w:fill="000000" w:themeFill="text1"/>
          </w:tcPr>
          <w:p w14:paraId="437AD48A" w14:textId="77777777" w:rsidR="00C3329A" w:rsidRPr="00622A59" w:rsidRDefault="00C3329A" w:rsidP="001B042B">
            <w:pPr>
              <w:jc w:val="center"/>
              <w:rPr>
                <w:b/>
                <w:bCs/>
                <w:sz w:val="20"/>
                <w:szCs w:val="20"/>
              </w:rPr>
            </w:pPr>
            <w:r>
              <w:rPr>
                <w:b/>
                <w:bCs/>
                <w:sz w:val="20"/>
                <w:szCs w:val="20"/>
              </w:rPr>
              <w:t>16</w:t>
            </w:r>
          </w:p>
        </w:tc>
      </w:tr>
    </w:tbl>
    <w:p w14:paraId="25FF1705" w14:textId="166EA0C5" w:rsidR="00C3329A" w:rsidRDefault="00C3329A" w:rsidP="00BF122D">
      <w:pPr>
        <w:jc w:val="both"/>
        <w:rPr>
          <w:rFonts w:ascii="Arial" w:hAnsi="Arial" w:cs="Arial"/>
          <w:b/>
          <w:bCs/>
          <w:sz w:val="20"/>
          <w:szCs w:val="20"/>
        </w:rPr>
      </w:pPr>
    </w:p>
    <w:p w14:paraId="22F82D7F" w14:textId="25E54339"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r w:rsidR="00AE509E">
        <w:rPr>
          <w:rFonts w:ascii="Arial" w:hAnsi="Arial" w:cs="Arial"/>
          <w:sz w:val="20"/>
          <w:szCs w:val="20"/>
        </w:rPr>
        <w:t xml:space="preserve"> It does the same for the committal orders made by the Children’s Court statewide in 2023/24 for the 16 young persons who were committed for trial arising from 12 separate incidents.</w:t>
      </w:r>
    </w:p>
    <w:p w14:paraId="6D14361C" w14:textId="77777777" w:rsidR="00BF122D" w:rsidRDefault="00BF122D" w:rsidP="00D20C86">
      <w:pPr>
        <w:rPr>
          <w:rFonts w:ascii="Arial" w:hAnsi="Arial" w:cs="Arial"/>
          <w:sz w:val="20"/>
          <w:szCs w:val="20"/>
        </w:rPr>
      </w:pPr>
    </w:p>
    <w:bookmarkEnd w:id="115"/>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6" w:name="_10.3_Criminal_Division"/>
      <w:bookmarkEnd w:id="116"/>
      <w:r>
        <w:rPr>
          <w:rFonts w:ascii="Arial" w:hAnsi="Arial" w:cs="Arial"/>
          <w:b/>
          <w:bCs/>
        </w:rPr>
        <w:lastRenderedPageBreak/>
        <w:t>10.3</w:t>
      </w:r>
      <w:r>
        <w:rPr>
          <w:rFonts w:ascii="Arial" w:hAnsi="Arial" w:cs="Arial"/>
          <w:b/>
          <w:bCs/>
        </w:rPr>
        <w:tab/>
        <w:t>Criminal Division summary proceedings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7" w:name="_10.3.1_Jurisdiction"/>
      <w:bookmarkStart w:id="118" w:name="_Toc30743990"/>
      <w:bookmarkStart w:id="119" w:name="_Toc30754813"/>
      <w:bookmarkStart w:id="120" w:name="_Toc30757269"/>
      <w:bookmarkStart w:id="121" w:name="_Toc30757817"/>
      <w:bookmarkStart w:id="122" w:name="_Toc30758217"/>
      <w:bookmarkStart w:id="123" w:name="_Toc30762978"/>
      <w:bookmarkStart w:id="124" w:name="_Toc30767632"/>
      <w:bookmarkStart w:id="125" w:name="_Toc34823650"/>
      <w:bookmarkEnd w:id="117"/>
      <w:r>
        <w:rPr>
          <w:rFonts w:ascii="Arial" w:hAnsi="Arial" w:cs="Arial"/>
          <w:b/>
          <w:bCs/>
          <w:sz w:val="20"/>
        </w:rPr>
        <w:t>10.3.1</w:t>
      </w:r>
      <w:r>
        <w:rPr>
          <w:rFonts w:ascii="Arial" w:hAnsi="Arial" w:cs="Arial"/>
          <w:b/>
          <w:bCs/>
          <w:sz w:val="20"/>
        </w:rPr>
        <w:tab/>
        <w:t>Jurisdiction</w:t>
      </w:r>
      <w:bookmarkEnd w:id="118"/>
      <w:bookmarkEnd w:id="119"/>
      <w:bookmarkEnd w:id="120"/>
      <w:bookmarkEnd w:id="121"/>
      <w:bookmarkEnd w:id="122"/>
      <w:bookmarkEnd w:id="123"/>
      <w:bookmarkEnd w:id="124"/>
      <w:bookmarkEnd w:id="125"/>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6" w:name="_10.3.2_Transfer_of"/>
      <w:bookmarkEnd w:id="126"/>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7" w:name="_10.3.2_Hearings"/>
      <w:bookmarkStart w:id="128" w:name="_Toc30743991"/>
      <w:bookmarkStart w:id="129" w:name="_Toc30754814"/>
      <w:bookmarkStart w:id="130" w:name="_Toc30757270"/>
      <w:bookmarkStart w:id="131" w:name="_Toc30757818"/>
      <w:bookmarkStart w:id="132" w:name="_Toc30758218"/>
      <w:bookmarkStart w:id="133" w:name="_Toc30762979"/>
      <w:bookmarkStart w:id="134" w:name="_Toc30767633"/>
      <w:bookmarkStart w:id="135" w:name="_Toc34823651"/>
      <w:bookmarkEnd w:id="127"/>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8"/>
      <w:bookmarkEnd w:id="129"/>
      <w:bookmarkEnd w:id="130"/>
      <w:bookmarkEnd w:id="131"/>
      <w:bookmarkEnd w:id="132"/>
      <w:bookmarkEnd w:id="133"/>
      <w:bookmarkEnd w:id="134"/>
      <w:bookmarkEnd w:id="135"/>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6" w:name="_10.3.2.1_Ment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7" w:name="_10.3.2.2_Diversion"/>
      <w:bookmarkEnd w:id="137"/>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8" w:name="_10.3.2.3_Summary_case"/>
      <w:bookmarkEnd w:id="138"/>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9" w:name="_10.3.2.3_Contest_mention"/>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40" w:name="_10.3.2.4_Contested_hearing"/>
      <w:bookmarkEnd w:id="140"/>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1" w:name="_10.3.3.5A_Contested_hearing"/>
      <w:bookmarkEnd w:id="141"/>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for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2"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2"/>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Ors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3" w:name="_10.3.3.5B_Contested_hearing"/>
      <w:bookmarkStart w:id="144" w:name="_Hlk155616675"/>
      <w:bookmarkEnd w:id="143"/>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4"/>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5"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Default="00852046" w:rsidP="00302C9E">
      <w:pPr>
        <w:jc w:val="both"/>
        <w:rPr>
          <w:rFonts w:ascii="Arial" w:hAnsi="Arial" w:cs="Arial"/>
          <w:sz w:val="20"/>
          <w:szCs w:val="20"/>
        </w:rPr>
      </w:pPr>
      <w:bookmarkStart w:id="146" w:name="_Hlk170306861"/>
    </w:p>
    <w:p w14:paraId="3014B9C0" w14:textId="6954019F" w:rsidR="00B423AC" w:rsidRDefault="00AD1221" w:rsidP="00302C9E">
      <w:pPr>
        <w:jc w:val="both"/>
        <w:rPr>
          <w:rFonts w:ascii="Arial" w:hAnsi="Arial" w:cs="Arial"/>
          <w:sz w:val="20"/>
          <w:szCs w:val="20"/>
        </w:rPr>
      </w:pPr>
      <w:r>
        <w:rPr>
          <w:rFonts w:ascii="Arial" w:hAnsi="Arial" w:cs="Arial"/>
          <w:sz w:val="20"/>
          <w:szCs w:val="20"/>
        </w:rPr>
        <w:t xml:space="preserve">An offence for which proof of </w:t>
      </w:r>
      <w:proofErr w:type="spellStart"/>
      <w:r w:rsidRPr="00AD1221">
        <w:rPr>
          <w:rFonts w:ascii="Arial" w:hAnsi="Arial" w:cs="Arial"/>
          <w:b/>
          <w:bCs/>
          <w:i/>
          <w:iCs/>
          <w:sz w:val="20"/>
          <w:szCs w:val="20"/>
        </w:rPr>
        <w:t>mens</w:t>
      </w:r>
      <w:proofErr w:type="spellEnd"/>
      <w:r w:rsidRPr="00AD1221">
        <w:rPr>
          <w:rFonts w:ascii="Arial" w:hAnsi="Arial" w:cs="Arial"/>
          <w:b/>
          <w:bCs/>
          <w:i/>
          <w:iCs/>
          <w:sz w:val="20"/>
          <w:szCs w:val="20"/>
        </w:rPr>
        <w:t xml:space="preserve"> rea</w:t>
      </w:r>
      <w:r>
        <w:rPr>
          <w:rFonts w:ascii="Arial" w:hAnsi="Arial" w:cs="Arial"/>
          <w:sz w:val="20"/>
          <w:szCs w:val="20"/>
        </w:rPr>
        <w:t xml:space="preserve"> is not required is colloquially described as a ‘strict liability offence’. In </w:t>
      </w:r>
      <w:proofErr w:type="spellStart"/>
      <w:r w:rsidRPr="00AD1221">
        <w:rPr>
          <w:rFonts w:ascii="Arial" w:hAnsi="Arial" w:cs="Arial"/>
          <w:i/>
          <w:iCs/>
          <w:sz w:val="20"/>
          <w:szCs w:val="20"/>
        </w:rPr>
        <w:t>G</w:t>
      </w:r>
      <w:r w:rsidR="0040654B">
        <w:rPr>
          <w:rFonts w:ascii="Arial" w:hAnsi="Arial" w:cs="Arial"/>
          <w:i/>
          <w:iCs/>
          <w:sz w:val="20"/>
          <w:szCs w:val="20"/>
        </w:rPr>
        <w:t>iu</w:t>
      </w:r>
      <w:r w:rsidRPr="00AD1221">
        <w:rPr>
          <w:rFonts w:ascii="Arial" w:hAnsi="Arial" w:cs="Arial"/>
          <w:i/>
          <w:iCs/>
          <w:sz w:val="20"/>
          <w:szCs w:val="20"/>
        </w:rPr>
        <w:t>rina</w:t>
      </w:r>
      <w:proofErr w:type="spellEnd"/>
      <w:r w:rsidRPr="00AD1221">
        <w:rPr>
          <w:rFonts w:ascii="Arial" w:hAnsi="Arial" w:cs="Arial"/>
          <w:i/>
          <w:iCs/>
          <w:sz w:val="20"/>
          <w:szCs w:val="20"/>
        </w:rPr>
        <w:t xml:space="preserve"> v McLeay </w:t>
      </w:r>
      <w:r>
        <w:rPr>
          <w:rFonts w:ascii="Arial" w:hAnsi="Arial" w:cs="Arial"/>
          <w:sz w:val="20"/>
          <w:szCs w:val="20"/>
        </w:rPr>
        <w:t xml:space="preserve">[2024] VSCA 326 the applicant had been convicted of breach of s.11(1) of the </w:t>
      </w:r>
      <w:r w:rsidRPr="00AD1221">
        <w:rPr>
          <w:rFonts w:ascii="Arial" w:hAnsi="Arial" w:cs="Arial"/>
          <w:i/>
          <w:iCs/>
          <w:sz w:val="20"/>
          <w:szCs w:val="20"/>
        </w:rPr>
        <w:t>Legal Profession Uniform Law</w:t>
      </w:r>
      <w:r>
        <w:rPr>
          <w:rFonts w:ascii="Arial" w:hAnsi="Arial" w:cs="Arial"/>
          <w:sz w:val="20"/>
          <w:szCs w:val="20"/>
        </w:rPr>
        <w:t xml:space="preserve"> by representing that he was entitled to engage in legal practice when he was not a ‘qualified entity’. In dismissing </w:t>
      </w:r>
      <w:r w:rsidR="008F18A3">
        <w:rPr>
          <w:rFonts w:ascii="Arial" w:hAnsi="Arial" w:cs="Arial"/>
          <w:sz w:val="20"/>
          <w:szCs w:val="20"/>
        </w:rPr>
        <w:t>his</w:t>
      </w:r>
      <w:r>
        <w:rPr>
          <w:rFonts w:ascii="Arial" w:hAnsi="Arial" w:cs="Arial"/>
          <w:sz w:val="20"/>
          <w:szCs w:val="20"/>
        </w:rPr>
        <w:t xml:space="preserve"> appeal from a judicial review the Court of Appeal held that Forbes J had not erred in concluding that s.11(1) created a strict liability offence. At</w:t>
      </w:r>
      <w:r w:rsidR="00A96318">
        <w:rPr>
          <w:rFonts w:ascii="Arial" w:hAnsi="Arial" w:cs="Arial"/>
          <w:sz w:val="20"/>
          <w:szCs w:val="20"/>
        </w:rPr>
        <w:t xml:space="preserve"> </w:t>
      </w:r>
      <w:r>
        <w:rPr>
          <w:rFonts w:ascii="Arial" w:hAnsi="Arial" w:cs="Arial"/>
          <w:sz w:val="20"/>
          <w:szCs w:val="20"/>
        </w:rPr>
        <w:t>[</w:t>
      </w:r>
      <w:r w:rsidR="00566391">
        <w:rPr>
          <w:rFonts w:ascii="Arial" w:hAnsi="Arial" w:cs="Arial"/>
          <w:sz w:val="20"/>
          <w:szCs w:val="20"/>
        </w:rPr>
        <w:t>103</w:t>
      </w:r>
      <w:r>
        <w:rPr>
          <w:rFonts w:ascii="Arial" w:hAnsi="Arial" w:cs="Arial"/>
          <w:sz w:val="20"/>
          <w:szCs w:val="20"/>
        </w:rPr>
        <w:t>]-[</w:t>
      </w:r>
      <w:r w:rsidR="00566391">
        <w:rPr>
          <w:rFonts w:ascii="Arial" w:hAnsi="Arial" w:cs="Arial"/>
          <w:sz w:val="20"/>
          <w:szCs w:val="20"/>
        </w:rPr>
        <w:t>10</w:t>
      </w:r>
      <w:r w:rsidR="00644ADD">
        <w:rPr>
          <w:rFonts w:ascii="Arial" w:hAnsi="Arial" w:cs="Arial"/>
          <w:sz w:val="20"/>
          <w:szCs w:val="20"/>
        </w:rPr>
        <w:t>6</w:t>
      </w:r>
      <w:r>
        <w:rPr>
          <w:rFonts w:ascii="Arial" w:hAnsi="Arial" w:cs="Arial"/>
          <w:sz w:val="20"/>
          <w:szCs w:val="20"/>
        </w:rPr>
        <w:t xml:space="preserve">] </w:t>
      </w:r>
      <w:r w:rsidR="00CB379C">
        <w:rPr>
          <w:rFonts w:ascii="Arial" w:hAnsi="Arial" w:cs="Arial"/>
          <w:sz w:val="20"/>
          <w:szCs w:val="20"/>
        </w:rPr>
        <w:t xml:space="preserve">&amp; [118] </w:t>
      </w:r>
      <w:r>
        <w:rPr>
          <w:rFonts w:ascii="Arial" w:hAnsi="Arial" w:cs="Arial"/>
          <w:sz w:val="20"/>
          <w:szCs w:val="20"/>
        </w:rPr>
        <w:t>Lyons &amp; Orr JJA said:</w:t>
      </w:r>
    </w:p>
    <w:p w14:paraId="2A4EB6E8" w14:textId="76042F57" w:rsidR="00AD1221" w:rsidRDefault="008F18A3" w:rsidP="00AD1221">
      <w:pPr>
        <w:spacing w:before="60"/>
        <w:ind w:left="567" w:right="567"/>
        <w:jc w:val="both"/>
        <w:rPr>
          <w:rFonts w:ascii="Arial" w:hAnsi="Arial" w:cs="Arial"/>
          <w:sz w:val="20"/>
          <w:szCs w:val="20"/>
        </w:rPr>
      </w:pPr>
      <w:r>
        <w:rPr>
          <w:rFonts w:ascii="Arial" w:hAnsi="Arial" w:cs="Arial"/>
          <w:sz w:val="20"/>
          <w:szCs w:val="20"/>
        </w:rPr>
        <w:t xml:space="preserve">[103] </w:t>
      </w:r>
      <w:r w:rsidR="00AD1221">
        <w:rPr>
          <w:rFonts w:ascii="Arial" w:hAnsi="Arial" w:cs="Arial"/>
          <w:sz w:val="20"/>
          <w:szCs w:val="20"/>
        </w:rPr>
        <w:t>“</w:t>
      </w:r>
      <w:r w:rsidR="00566391" w:rsidRPr="00B423AC">
        <w:rPr>
          <w:rFonts w:ascii="Arial" w:hAnsi="Arial" w:cs="Arial"/>
          <w:sz w:val="20"/>
          <w:szCs w:val="20"/>
        </w:rPr>
        <w:t>The applicant is correct to say that it is presumed that every statutory offence contains a mental element, and that the presumption may only be rebutted by express words or necessary implication</w:t>
      </w:r>
      <w:r w:rsidR="00566391">
        <w:rPr>
          <w:rFonts w:ascii="Arial" w:hAnsi="Arial" w:cs="Arial"/>
          <w:sz w:val="20"/>
          <w:szCs w:val="20"/>
        </w:rPr>
        <w:t xml:space="preserve">: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sidRPr="00566391">
        <w:rPr>
          <w:rFonts w:ascii="Arial" w:hAnsi="Arial" w:cs="Arial"/>
          <w:i/>
          <w:iCs/>
          <w:sz w:val="20"/>
          <w:szCs w:val="20"/>
        </w:rPr>
        <w:t xml:space="preserve"> v The Queen</w:t>
      </w:r>
      <w:r w:rsidR="00566391">
        <w:rPr>
          <w:rFonts w:ascii="Arial" w:hAnsi="Arial" w:cs="Arial"/>
          <w:sz w:val="20"/>
          <w:szCs w:val="20"/>
        </w:rPr>
        <w:t xml:space="preserve"> (1985) 157 CLR 523, 556 &amp; </w:t>
      </w:r>
      <w:r w:rsidR="00566391">
        <w:rPr>
          <w:rFonts w:ascii="Arial" w:hAnsi="Arial" w:cs="Arial"/>
          <w:sz w:val="20"/>
          <w:szCs w:val="20"/>
        </w:rPr>
        <w:lastRenderedPageBreak/>
        <w:t xml:space="preserve">566. However, he is incorrect to say that the factors considered in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Pr>
          <w:rFonts w:ascii="Arial" w:hAnsi="Arial" w:cs="Arial"/>
          <w:sz w:val="20"/>
          <w:szCs w:val="20"/>
        </w:rPr>
        <w:t xml:space="preserve"> </w:t>
      </w:r>
      <w:r w:rsidR="00566391" w:rsidRPr="00B423AC">
        <w:rPr>
          <w:rFonts w:ascii="Arial" w:hAnsi="Arial" w:cs="Arial"/>
          <w:sz w:val="20"/>
          <w:szCs w:val="20"/>
        </w:rPr>
        <w:t xml:space="preserve">do not apply until the presumption is rebutted. That is evident from the language used by Gibbs CJ (with whom Mason J agreed) in that case, where, after referring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528 </w:t>
      </w:r>
      <w:r w:rsidR="00566391" w:rsidRPr="00B423AC">
        <w:rPr>
          <w:rFonts w:ascii="Arial" w:hAnsi="Arial" w:cs="Arial"/>
          <w:sz w:val="20"/>
          <w:szCs w:val="20"/>
        </w:rPr>
        <w:t xml:space="preserve">to the ‘presumption that </w:t>
      </w:r>
      <w:proofErr w:type="spellStart"/>
      <w:r w:rsidR="00566391" w:rsidRPr="00B423AC">
        <w:rPr>
          <w:rFonts w:ascii="Arial" w:hAnsi="Arial" w:cs="Arial"/>
          <w:sz w:val="20"/>
          <w:szCs w:val="20"/>
        </w:rPr>
        <w:t>mens</w:t>
      </w:r>
      <w:proofErr w:type="spellEnd"/>
      <w:r w:rsidR="00566391" w:rsidRPr="00B423AC">
        <w:rPr>
          <w:rFonts w:ascii="Arial" w:hAnsi="Arial" w:cs="Arial"/>
          <w:sz w:val="20"/>
          <w:szCs w:val="20"/>
        </w:rPr>
        <w:t xml:space="preserve"> rea … is an essential ingredient in every offence’,</w:t>
      </w:r>
      <w:r w:rsidR="00566391">
        <w:rPr>
          <w:rFonts w:ascii="Arial" w:hAnsi="Arial" w:cs="Arial"/>
          <w:sz w:val="20"/>
          <w:szCs w:val="20"/>
        </w:rPr>
        <w:t xml:space="preserve"> </w:t>
      </w:r>
      <w:r w:rsidR="00566391" w:rsidRPr="00B423AC">
        <w:rPr>
          <w:rFonts w:ascii="Arial" w:hAnsi="Arial" w:cs="Arial"/>
          <w:sz w:val="20"/>
          <w:szCs w:val="20"/>
        </w:rPr>
        <w:t>his Honour said</w:t>
      </w:r>
      <w:r w:rsidR="00566391">
        <w:rPr>
          <w:rFonts w:ascii="Arial" w:hAnsi="Arial" w:cs="Arial"/>
          <w:sz w:val="20"/>
          <w:szCs w:val="20"/>
        </w:rPr>
        <w:t xml:space="preserve"> at </w:t>
      </w:r>
      <w:r w:rsidR="00D32533">
        <w:rPr>
          <w:rFonts w:ascii="Arial" w:hAnsi="Arial" w:cs="Arial"/>
          <w:sz w:val="20"/>
          <w:szCs w:val="20"/>
        </w:rPr>
        <w:t>pp.</w:t>
      </w:r>
      <w:r w:rsidR="00566391">
        <w:rPr>
          <w:rFonts w:ascii="Arial" w:hAnsi="Arial" w:cs="Arial"/>
          <w:sz w:val="20"/>
          <w:szCs w:val="20"/>
        </w:rPr>
        <w:t>52</w:t>
      </w:r>
      <w:r>
        <w:rPr>
          <w:rFonts w:ascii="Arial" w:hAnsi="Arial" w:cs="Arial"/>
          <w:sz w:val="20"/>
          <w:szCs w:val="20"/>
        </w:rPr>
        <w:t>9-30</w:t>
      </w:r>
      <w:r w:rsidR="00566391">
        <w:rPr>
          <w:rFonts w:ascii="Arial" w:hAnsi="Arial" w:cs="Arial"/>
          <w:sz w:val="20"/>
          <w:szCs w:val="20"/>
        </w:rPr>
        <w:t xml:space="preserve"> quoting </w:t>
      </w:r>
      <w:r w:rsidRPr="008F18A3">
        <w:rPr>
          <w:rFonts w:ascii="Arial" w:hAnsi="Arial" w:cs="Arial"/>
          <w:i/>
          <w:iCs/>
          <w:sz w:val="20"/>
          <w:szCs w:val="20"/>
        </w:rPr>
        <w:t>Sherras v De Rutzen</w:t>
      </w:r>
      <w:r w:rsidRPr="00B423AC">
        <w:rPr>
          <w:rFonts w:ascii="Arial" w:hAnsi="Arial" w:cs="Arial"/>
          <w:sz w:val="20"/>
          <w:szCs w:val="20"/>
        </w:rPr>
        <w:t xml:space="preserve"> [1895] 1 QB 918, 921</w:t>
      </w:r>
      <w:r w:rsidR="00566391" w:rsidRPr="00B423AC">
        <w:rPr>
          <w:rFonts w:ascii="Arial" w:hAnsi="Arial" w:cs="Arial"/>
          <w:sz w:val="20"/>
          <w:szCs w:val="20"/>
        </w:rPr>
        <w:t>:</w:t>
      </w:r>
    </w:p>
    <w:p w14:paraId="384F5234" w14:textId="531EF2E6" w:rsidR="00B423AC"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In deciding whether the presumption has been displaced by s 233B(1)(b), and whether the Parliament intended that the offence created by that provision should </w:t>
      </w:r>
      <w:r w:rsidRPr="00D32533">
        <w:rPr>
          <w:rFonts w:ascii="Arial" w:hAnsi="Arial" w:cs="Arial"/>
          <w:sz w:val="18"/>
          <w:szCs w:val="18"/>
        </w:rPr>
        <w:t>have</w:t>
      </w:r>
      <w:r w:rsidRPr="008F18A3">
        <w:rPr>
          <w:rFonts w:ascii="Arial" w:hAnsi="Arial" w:cs="Arial"/>
          <w:sz w:val="18"/>
          <w:szCs w:val="18"/>
        </w:rPr>
        <w:t xml:space="preserve"> no mental ingredient, there are a number of matters to be considered. First, of course, one must have regard to the words of the statute creating the offence. …</w:t>
      </w:r>
    </w:p>
    <w:p w14:paraId="5E4E105B" w14:textId="52F64CD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The second matter to be considered is the subject-matter with which the statute deals. …</w:t>
      </w:r>
    </w:p>
    <w:p w14:paraId="003CA5D0" w14:textId="78D3A84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A third consideration is that which was mentioned in </w:t>
      </w:r>
      <w:r w:rsidRPr="008F18A3">
        <w:rPr>
          <w:rFonts w:ascii="Arial" w:hAnsi="Arial" w:cs="Arial"/>
          <w:i/>
          <w:iCs/>
          <w:sz w:val="18"/>
          <w:szCs w:val="18"/>
        </w:rPr>
        <w:t>Lim Chin Aik v The Queen</w:t>
      </w:r>
      <w:r>
        <w:rPr>
          <w:rFonts w:ascii="Arial" w:hAnsi="Arial" w:cs="Arial"/>
          <w:sz w:val="18"/>
          <w:szCs w:val="18"/>
        </w:rPr>
        <w:t xml:space="preserve"> [1963] AC 160 at 174:</w:t>
      </w:r>
    </w:p>
    <w:p w14:paraId="0735454D" w14:textId="793E87A4" w:rsidR="008F18A3" w:rsidRPr="008F18A3" w:rsidRDefault="008F18A3" w:rsidP="008F18A3">
      <w:pPr>
        <w:spacing w:before="60"/>
        <w:ind w:left="1474" w:right="1474"/>
        <w:jc w:val="both"/>
        <w:rPr>
          <w:rFonts w:ascii="Arial" w:hAnsi="Arial" w:cs="Arial"/>
          <w:sz w:val="18"/>
          <w:szCs w:val="18"/>
        </w:rPr>
      </w:pPr>
      <w:r w:rsidRPr="008F18A3">
        <w:rPr>
          <w:rFonts w:ascii="Arial" w:hAnsi="Arial" w:cs="Arial"/>
          <w:sz w:val="18"/>
          <w:szCs w:val="18"/>
        </w:rPr>
        <w:t>It is pertinent also to inquire whether putting the defendant under strict liability will assist in the enforcement of the regulations. That means that there must be something he can do, directly or indirectly … which will promote the observance of the regulations. Unless this is so, there is no reason in penalizing him, and it cannot be inferred that the legislature imposed strict liability merely in order to find a luckless victim.</w:t>
      </w:r>
      <w:r>
        <w:rPr>
          <w:rFonts w:ascii="Arial" w:hAnsi="Arial" w:cs="Arial"/>
          <w:sz w:val="18"/>
          <w:szCs w:val="18"/>
        </w:rPr>
        <w:t>”</w:t>
      </w:r>
    </w:p>
    <w:p w14:paraId="4FE8C9F4" w14:textId="14E4DB67"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[104] </w:t>
      </w:r>
      <w:r w:rsidRPr="00B423AC">
        <w:rPr>
          <w:rFonts w:ascii="Arial" w:hAnsi="Arial" w:cs="Arial"/>
          <w:sz w:val="20"/>
          <w:szCs w:val="20"/>
        </w:rPr>
        <w:t xml:space="preserve">Later in his reasons, Gibbs CJ also referred to the maximum sentence that a contravention of one of the statutory offences under consideration in that case (the offence of importing a prohibited import) would attract, namely life imprisonment. His Honour said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535 </w:t>
      </w:r>
      <w:r w:rsidRPr="00B423AC">
        <w:rPr>
          <w:rFonts w:ascii="Arial" w:hAnsi="Arial" w:cs="Arial"/>
          <w:sz w:val="20"/>
          <w:szCs w:val="20"/>
        </w:rPr>
        <w:t>that this factor tended to suggest that guilty knowledge was intended to be an element of the offence.</w:t>
      </w:r>
    </w:p>
    <w:p w14:paraId="018D86C9" w14:textId="701C5D8E"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[105] </w:t>
      </w:r>
      <w:r w:rsidRPr="00B423AC">
        <w:rPr>
          <w:rFonts w:ascii="Arial" w:hAnsi="Arial" w:cs="Arial"/>
          <w:sz w:val="20"/>
          <w:szCs w:val="20"/>
        </w:rPr>
        <w:t>The approach of Gibbs CJ to determining whether a statutory offence contains a mental element was consistent with the approach adopted by Wilson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556-9</w:t>
      </w:r>
      <w:r w:rsidRPr="00B423AC">
        <w:rPr>
          <w:rFonts w:ascii="Arial" w:hAnsi="Arial" w:cs="Arial"/>
          <w:sz w:val="20"/>
          <w:szCs w:val="20"/>
        </w:rPr>
        <w:t>, Brennan</w:t>
      </w:r>
      <w:r w:rsidR="00D95689">
        <w:rPr>
          <w:rFonts w:ascii="Arial" w:hAnsi="Arial" w:cs="Arial"/>
          <w:sz w:val="20"/>
          <w:szCs w:val="20"/>
        </w:rPr>
        <w:t xml:space="preserve"> </w:t>
      </w:r>
      <w:r w:rsidRPr="00B423AC">
        <w:rPr>
          <w:rFonts w:ascii="Arial" w:hAnsi="Arial" w:cs="Arial"/>
          <w:sz w:val="20"/>
          <w:szCs w:val="20"/>
        </w:rPr>
        <w:t xml:space="preserve">J </w:t>
      </w:r>
      <w:r>
        <w:rPr>
          <w:rFonts w:ascii="Arial" w:hAnsi="Arial" w:cs="Arial"/>
          <w:sz w:val="20"/>
          <w:szCs w:val="20"/>
        </w:rPr>
        <w:t xml:space="preserve">at </w:t>
      </w:r>
      <w:r w:rsidR="00D32533">
        <w:rPr>
          <w:rFonts w:ascii="Arial" w:hAnsi="Arial" w:cs="Arial"/>
          <w:sz w:val="20"/>
          <w:szCs w:val="20"/>
        </w:rPr>
        <w:t>pp.</w:t>
      </w:r>
      <w:r>
        <w:rPr>
          <w:rFonts w:ascii="Arial" w:hAnsi="Arial" w:cs="Arial"/>
          <w:sz w:val="20"/>
          <w:szCs w:val="20"/>
        </w:rPr>
        <w:t xml:space="preserve">582-5 </w:t>
      </w:r>
      <w:r w:rsidRPr="00B423AC">
        <w:rPr>
          <w:rFonts w:ascii="Arial" w:hAnsi="Arial" w:cs="Arial"/>
          <w:sz w:val="20"/>
          <w:szCs w:val="20"/>
        </w:rPr>
        <w:t>and Dawson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594-7</w:t>
      </w:r>
      <w:r w:rsidRPr="00B423AC">
        <w:rPr>
          <w:rFonts w:ascii="Arial" w:hAnsi="Arial" w:cs="Arial"/>
          <w:sz w:val="20"/>
          <w:szCs w:val="20"/>
        </w:rPr>
        <w:t>.</w:t>
      </w:r>
    </w:p>
    <w:p w14:paraId="0919FE84" w14:textId="129259E3" w:rsidR="00CB379C" w:rsidRDefault="00644ADD" w:rsidP="00644ADD">
      <w:pPr>
        <w:spacing w:before="60"/>
        <w:ind w:left="567" w:right="567"/>
        <w:jc w:val="both"/>
        <w:rPr>
          <w:rFonts w:ascii="Arial" w:hAnsi="Arial" w:cs="Arial"/>
          <w:sz w:val="20"/>
          <w:szCs w:val="20"/>
        </w:rPr>
      </w:pPr>
      <w:r>
        <w:rPr>
          <w:rFonts w:ascii="Arial" w:hAnsi="Arial" w:cs="Arial"/>
          <w:sz w:val="20"/>
          <w:szCs w:val="20"/>
        </w:rPr>
        <w:t xml:space="preserve">[106] It can be seen from the passage of </w:t>
      </w:r>
      <w:proofErr w:type="spellStart"/>
      <w:r w:rsidRPr="00644ADD">
        <w:rPr>
          <w:rFonts w:ascii="Arial" w:hAnsi="Arial" w:cs="Arial"/>
          <w:i/>
          <w:iCs/>
          <w:sz w:val="20"/>
          <w:szCs w:val="20"/>
        </w:rPr>
        <w:t>He</w:t>
      </w:r>
      <w:proofErr w:type="spellEnd"/>
      <w:r w:rsidRPr="00644ADD">
        <w:rPr>
          <w:rFonts w:ascii="Arial" w:hAnsi="Arial" w:cs="Arial"/>
          <w:i/>
          <w:iCs/>
          <w:sz w:val="20"/>
          <w:szCs w:val="20"/>
        </w:rPr>
        <w:t xml:space="preserve"> Kaw </w:t>
      </w:r>
      <w:proofErr w:type="spellStart"/>
      <w:r w:rsidRPr="00644ADD">
        <w:rPr>
          <w:rFonts w:ascii="Arial" w:hAnsi="Arial" w:cs="Arial"/>
          <w:i/>
          <w:iCs/>
          <w:sz w:val="20"/>
          <w:szCs w:val="20"/>
        </w:rPr>
        <w:t>Teh</w:t>
      </w:r>
      <w:proofErr w:type="spellEnd"/>
      <w:r>
        <w:rPr>
          <w:rFonts w:ascii="Arial" w:hAnsi="Arial" w:cs="Arial"/>
          <w:sz w:val="20"/>
          <w:szCs w:val="20"/>
        </w:rPr>
        <w:t xml:space="preserve"> set out above that in this case, the judge correctly identified the following factors as relevant to determining whether the presumption of </w:t>
      </w:r>
      <w:proofErr w:type="spellStart"/>
      <w:r w:rsidR="00C61C35">
        <w:rPr>
          <w:rFonts w:ascii="Arial" w:hAnsi="Arial" w:cs="Arial"/>
          <w:sz w:val="20"/>
          <w:szCs w:val="20"/>
        </w:rPr>
        <w:t>mens</w:t>
      </w:r>
      <w:proofErr w:type="spellEnd"/>
      <w:r w:rsidR="00C61C35">
        <w:rPr>
          <w:rFonts w:ascii="Arial" w:hAnsi="Arial" w:cs="Arial"/>
          <w:sz w:val="20"/>
          <w:szCs w:val="20"/>
        </w:rPr>
        <w:t xml:space="preserve"> rea has been rebutted; the text of the statute, its subject matter (including the relevant maximum penalty), and the utility of imposing strict liability. We</w:t>
      </w:r>
      <w:r w:rsidR="00D32533">
        <w:rPr>
          <w:rFonts w:ascii="Arial" w:hAnsi="Arial" w:cs="Arial"/>
          <w:sz w:val="20"/>
          <w:szCs w:val="20"/>
        </w:rPr>
        <w:t> </w:t>
      </w:r>
      <w:r w:rsidR="00C61C35">
        <w:rPr>
          <w:rFonts w:ascii="Arial" w:hAnsi="Arial" w:cs="Arial"/>
          <w:sz w:val="20"/>
          <w:szCs w:val="20"/>
        </w:rPr>
        <w:t>agree with her Honour’s analysis, and her view that each of these factors militates for the displacement of the presumption.</w:t>
      </w:r>
    </w:p>
    <w:p w14:paraId="4B57CD81" w14:textId="77777777" w:rsidR="00CB379C" w:rsidRDefault="00CB379C" w:rsidP="00644ADD">
      <w:pPr>
        <w:spacing w:before="60"/>
        <w:ind w:left="567" w:right="567"/>
        <w:jc w:val="both"/>
        <w:rPr>
          <w:rFonts w:ascii="Arial" w:hAnsi="Arial" w:cs="Arial"/>
          <w:sz w:val="20"/>
          <w:szCs w:val="20"/>
        </w:rPr>
      </w:pPr>
      <w:r>
        <w:rPr>
          <w:rFonts w:ascii="Arial" w:hAnsi="Arial" w:cs="Arial"/>
          <w:sz w:val="20"/>
          <w:szCs w:val="20"/>
        </w:rPr>
        <w:t>...</w:t>
      </w:r>
    </w:p>
    <w:p w14:paraId="48E66364" w14:textId="1C4DBC67" w:rsidR="00644ADD" w:rsidRDefault="00CB379C" w:rsidP="00644ADD">
      <w:pPr>
        <w:spacing w:before="60"/>
        <w:ind w:left="567" w:right="567"/>
        <w:jc w:val="both"/>
        <w:rPr>
          <w:rFonts w:ascii="Arial" w:hAnsi="Arial" w:cs="Arial"/>
          <w:sz w:val="20"/>
          <w:szCs w:val="20"/>
        </w:rPr>
      </w:pPr>
      <w:r>
        <w:rPr>
          <w:rFonts w:ascii="Arial" w:hAnsi="Arial" w:cs="Arial"/>
          <w:sz w:val="20"/>
          <w:szCs w:val="20"/>
        </w:rPr>
        <w:t xml:space="preserve">[118] </w:t>
      </w:r>
      <w:r w:rsidRPr="00CB379C">
        <w:rPr>
          <w:rFonts w:ascii="Arial" w:hAnsi="Arial" w:cs="Arial"/>
          <w:sz w:val="20"/>
          <w:szCs w:val="20"/>
        </w:rPr>
        <w:t>Finally, we accept the Commissioner’s submission that the protective and regulatory nature of s</w:t>
      </w:r>
      <w:r>
        <w:rPr>
          <w:rFonts w:ascii="Arial" w:hAnsi="Arial" w:cs="Arial"/>
          <w:sz w:val="20"/>
          <w:szCs w:val="20"/>
        </w:rPr>
        <w:t>.</w:t>
      </w:r>
      <w:r w:rsidRPr="00CB379C">
        <w:rPr>
          <w:rFonts w:ascii="Arial" w:hAnsi="Arial" w:cs="Arial"/>
          <w:sz w:val="20"/>
          <w:szCs w:val="20"/>
        </w:rPr>
        <w:t xml:space="preserve">11(1) within pt 2.1 of the Uniform Law tends against the presumption of an element of </w:t>
      </w:r>
      <w:proofErr w:type="spellStart"/>
      <w:r w:rsidRPr="00CB379C">
        <w:rPr>
          <w:rFonts w:ascii="Arial" w:hAnsi="Arial" w:cs="Arial"/>
          <w:sz w:val="20"/>
          <w:szCs w:val="20"/>
        </w:rPr>
        <w:t>mens</w:t>
      </w:r>
      <w:proofErr w:type="spellEnd"/>
      <w:r w:rsidRPr="00CB379C">
        <w:rPr>
          <w:rFonts w:ascii="Arial" w:hAnsi="Arial" w:cs="Arial"/>
          <w:sz w:val="20"/>
          <w:szCs w:val="20"/>
        </w:rPr>
        <w:t xml:space="preserve"> rea, consistent with the comments of Dixon J in </w:t>
      </w:r>
      <w:r w:rsidRPr="00CB379C">
        <w:rPr>
          <w:rFonts w:ascii="Arial" w:hAnsi="Arial" w:cs="Arial"/>
          <w:i/>
          <w:iCs/>
          <w:sz w:val="20"/>
          <w:szCs w:val="20"/>
        </w:rPr>
        <w:t>Proudman v Dayman</w:t>
      </w:r>
      <w:r>
        <w:rPr>
          <w:rFonts w:ascii="Arial" w:hAnsi="Arial" w:cs="Arial"/>
          <w:sz w:val="20"/>
          <w:szCs w:val="20"/>
        </w:rPr>
        <w:t xml:space="preserve"> (1941) 67 CLR 536 at 540:</w:t>
      </w:r>
    </w:p>
    <w:p w14:paraId="5C7CCD90" w14:textId="7CEA7FEA"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If the purpose of the statute is to add a new crime to the general criminal law, it is natural to suppose that it is to be read subject to the general principles according to which that law is administered. But other considerations arise where in matters of police, of health, of safety or the like the legislature adopts penal measures in order to cast on the individual the responsibility of so conducting his affairs that the general welfare will not be prejudiced. In such cases there is less ground, either in reason or in actual probability, for presuming an intention that the general rule should apply making honest and reasonable mistake a ground of exoneration, and the presumption is but a weak one.</w:t>
      </w:r>
    </w:p>
    <w:p w14:paraId="36710014" w14:textId="3B3860E8"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Indeed, there has been a marked and growing tendency to treat the prima facie rule as excluded or rebutted in the case of summary offences created by mode</w:t>
      </w:r>
      <w:r>
        <w:rPr>
          <w:rFonts w:ascii="Arial" w:hAnsi="Arial" w:cs="Arial"/>
          <w:sz w:val="18"/>
          <w:szCs w:val="18"/>
        </w:rPr>
        <w:t>rn</w:t>
      </w:r>
      <w:r w:rsidRPr="00CB379C">
        <w:rPr>
          <w:rFonts w:ascii="Arial" w:hAnsi="Arial" w:cs="Arial"/>
          <w:sz w:val="18"/>
          <w:szCs w:val="18"/>
        </w:rPr>
        <w:t xml:space="preserve"> statutes, particularly those dealing with social and industrial regulation.</w:t>
      </w:r>
      <w:r>
        <w:rPr>
          <w:rFonts w:ascii="Arial" w:hAnsi="Arial" w:cs="Arial"/>
          <w:sz w:val="18"/>
          <w:szCs w:val="18"/>
        </w:rPr>
        <w:t>”</w:t>
      </w:r>
    </w:p>
    <w:p w14:paraId="57C41A69" w14:textId="77777777" w:rsidR="00CB379C" w:rsidRPr="00852046" w:rsidRDefault="00CB379C" w:rsidP="00302C9E">
      <w:pPr>
        <w:jc w:val="both"/>
        <w:rPr>
          <w:rFonts w:ascii="Arial" w:hAnsi="Arial" w:cs="Arial"/>
          <w:sz w:val="20"/>
          <w:szCs w:val="20"/>
        </w:rPr>
      </w:pPr>
    </w:p>
    <w:bookmarkEnd w:id="145"/>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7"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7"/>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6"/>
    <w:p w14:paraId="3AA81459" w14:textId="77777777" w:rsidR="00862C33" w:rsidRDefault="00862C33" w:rsidP="00862C33">
      <w:pPr>
        <w:jc w:val="both"/>
        <w:rPr>
          <w:rFonts w:ascii="Arial" w:hAnsi="Arial" w:cs="Arial"/>
          <w:color w:val="000000"/>
          <w:sz w:val="20"/>
          <w:szCs w:val="20"/>
        </w:rPr>
      </w:pPr>
      <w:r>
        <w:rPr>
          <w:rFonts w:ascii="Arial" w:hAnsi="Arial" w:cs="Arial"/>
          <w:sz w:val="20"/>
        </w:rPr>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lastRenderedPageBreak/>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6FA1326"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w:t>
      </w:r>
      <w:r w:rsidR="009A17FC">
        <w:rPr>
          <w:rFonts w:ascii="Arial" w:hAnsi="Arial" w:cs="Arial"/>
          <w:color w:val="000000"/>
          <w:sz w:val="20"/>
          <w:szCs w:val="20"/>
          <w:shd w:val="clear" w:color="auto" w:fill="FFFFFF"/>
        </w:rPr>
        <w:t>[</w:t>
      </w:r>
      <w:r w:rsidR="00AD3E78">
        <w:rPr>
          <w:rFonts w:ascii="Arial" w:hAnsi="Arial" w:cs="Arial"/>
          <w:color w:val="000000"/>
          <w:sz w:val="20"/>
          <w:szCs w:val="20"/>
          <w:shd w:val="clear" w:color="auto" w:fill="FFFFFF"/>
        </w:rPr>
        <w:t>citations omitted</w:t>
      </w:r>
      <w:r w:rsidR="001D47D4">
        <w:rPr>
          <w:rFonts w:ascii="Arial" w:hAnsi="Arial" w:cs="Arial"/>
          <w:color w:val="000000"/>
          <w:sz w:val="20"/>
          <w:szCs w:val="20"/>
          <w:shd w:val="clear" w:color="auto" w:fill="FFFFFF"/>
        </w:rPr>
        <w:t xml:space="preserve"> and emphasis added</w:t>
      </w:r>
      <w:r w:rsidR="009A17FC">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629C923F" w14:textId="77777777" w:rsidR="00F25FD9" w:rsidRDefault="00F25FD9" w:rsidP="00EA23A7">
      <w:pPr>
        <w:jc w:val="both"/>
        <w:rPr>
          <w:rFonts w:ascii="Arial" w:hAnsi="Arial" w:cs="Arial"/>
          <w:sz w:val="20"/>
        </w:rPr>
      </w:pPr>
    </w:p>
    <w:p w14:paraId="75C2570D" w14:textId="696EF538" w:rsidR="00546095" w:rsidRDefault="00546095" w:rsidP="00EA23A7">
      <w:pPr>
        <w:jc w:val="both"/>
        <w:rPr>
          <w:rFonts w:ascii="Arial" w:hAnsi="Arial" w:cs="Arial"/>
          <w:sz w:val="20"/>
        </w:rPr>
      </w:pPr>
      <w:r>
        <w:rPr>
          <w:rFonts w:ascii="Arial" w:hAnsi="Arial" w:cs="Arial"/>
          <w:sz w:val="20"/>
        </w:rPr>
        <w:t xml:space="preserve">In </w:t>
      </w:r>
      <w:r w:rsidRPr="00546095">
        <w:rPr>
          <w:rFonts w:ascii="Arial" w:hAnsi="Arial" w:cs="Arial"/>
          <w:i/>
          <w:iCs/>
          <w:sz w:val="20"/>
        </w:rPr>
        <w:t>The King v ZT</w:t>
      </w:r>
      <w:r>
        <w:rPr>
          <w:rFonts w:ascii="Arial" w:hAnsi="Arial" w:cs="Arial"/>
          <w:sz w:val="20"/>
        </w:rPr>
        <w:t xml:space="preserve"> [2025] HCA 9 the respondent – who was a child when the offence the subject of the appeal was committed – had been found guilty of murder and sentenced to a substantial term of imprisonment: [2022] NSWSC 511. ZT applied to the NSW Court of Criminal Appeal </w:t>
      </w:r>
      <w:r w:rsidR="00D6111F">
        <w:rPr>
          <w:rFonts w:ascii="Arial" w:hAnsi="Arial" w:cs="Arial"/>
          <w:sz w:val="20"/>
        </w:rPr>
        <w:t xml:space="preserve">[NSWCCA] </w:t>
      </w:r>
      <w:r>
        <w:rPr>
          <w:rFonts w:ascii="Arial" w:hAnsi="Arial" w:cs="Arial"/>
          <w:sz w:val="20"/>
        </w:rPr>
        <w:t xml:space="preserve">for leave to appeal against his conviction. </w:t>
      </w:r>
      <w:r w:rsidRPr="00546095">
        <w:rPr>
          <w:rFonts w:ascii="Arial" w:hAnsi="Arial" w:cs="Arial"/>
          <w:sz w:val="20"/>
        </w:rPr>
        <w:t>A majority of the Court of Criminal Appeal (Kirk JA and Sweeney J, Fagan J dissenting) upheld the respondent's contention that his conviction was unreasonable, or could not be supported, having regard to the evidence.</w:t>
      </w:r>
      <w:r>
        <w:rPr>
          <w:rFonts w:ascii="Arial" w:hAnsi="Arial" w:cs="Arial"/>
          <w:sz w:val="20"/>
        </w:rPr>
        <w:t xml:space="preserve"> </w:t>
      </w:r>
      <w:r w:rsidRPr="00546095">
        <w:rPr>
          <w:rFonts w:ascii="Arial" w:hAnsi="Arial" w:cs="Arial"/>
          <w:sz w:val="20"/>
        </w:rPr>
        <w:t>The Court of Criminal Appeal granted the respondent leave to appeal against his conviction</w:t>
      </w:r>
      <w:r w:rsidR="00E3369A">
        <w:rPr>
          <w:rFonts w:ascii="Arial" w:hAnsi="Arial" w:cs="Arial"/>
          <w:sz w:val="20"/>
        </w:rPr>
        <w:t>,</w:t>
      </w:r>
      <w:r w:rsidRPr="00546095">
        <w:rPr>
          <w:rFonts w:ascii="Arial" w:hAnsi="Arial" w:cs="Arial"/>
          <w:sz w:val="20"/>
        </w:rPr>
        <w:t xml:space="preserve"> allowed the appeal</w:t>
      </w:r>
      <w:r w:rsidR="00E3369A">
        <w:rPr>
          <w:rFonts w:ascii="Arial" w:hAnsi="Arial" w:cs="Arial"/>
          <w:sz w:val="20"/>
        </w:rPr>
        <w:t>,</w:t>
      </w:r>
      <w:r w:rsidRPr="00546095">
        <w:rPr>
          <w:rFonts w:ascii="Arial" w:hAnsi="Arial" w:cs="Arial"/>
          <w:sz w:val="20"/>
        </w:rPr>
        <w:t xml:space="preserve"> quashed the respondent's conviction and in its place entered a judgment of acquittal</w:t>
      </w:r>
      <w:r>
        <w:rPr>
          <w:rFonts w:ascii="Arial" w:hAnsi="Arial" w:cs="Arial"/>
          <w:sz w:val="20"/>
        </w:rPr>
        <w:t xml:space="preserve">: </w:t>
      </w:r>
      <w:r w:rsidRPr="00546095">
        <w:rPr>
          <w:rFonts w:ascii="Arial" w:hAnsi="Arial" w:cs="Arial"/>
          <w:sz w:val="20"/>
        </w:rPr>
        <w:t>[2023] NSWCCA 241 at [132], [267].</w:t>
      </w:r>
    </w:p>
    <w:p w14:paraId="1F0F7000" w14:textId="17CF1DB9" w:rsidR="00D6111F" w:rsidRDefault="00546095" w:rsidP="00D6111F">
      <w:pPr>
        <w:spacing w:before="120"/>
        <w:jc w:val="both"/>
        <w:rPr>
          <w:rFonts w:ascii="Arial" w:hAnsi="Arial" w:cs="Arial"/>
          <w:sz w:val="20"/>
        </w:rPr>
      </w:pPr>
      <w:r>
        <w:rPr>
          <w:rFonts w:ascii="Arial" w:hAnsi="Arial" w:cs="Arial"/>
          <w:sz w:val="20"/>
        </w:rPr>
        <w:t xml:space="preserve">The principal evidence implicating ZT was alleged admissions in intercepted telephone calls and police interviews. The recordings of the principal evidence had been played to the jury and tendered as exhibits. </w:t>
      </w:r>
      <w:r w:rsidR="00D6111F">
        <w:rPr>
          <w:rFonts w:ascii="Arial" w:hAnsi="Arial" w:cs="Arial"/>
          <w:sz w:val="20"/>
        </w:rPr>
        <w:t xml:space="preserve">ZT appealed the </w:t>
      </w:r>
      <w:r w:rsidRPr="00546095">
        <w:rPr>
          <w:rFonts w:ascii="Arial" w:hAnsi="Arial" w:cs="Arial"/>
          <w:sz w:val="20"/>
        </w:rPr>
        <w:t xml:space="preserve">conviction on </w:t>
      </w:r>
      <w:r w:rsidR="00D6111F">
        <w:rPr>
          <w:rFonts w:ascii="Arial" w:hAnsi="Arial" w:cs="Arial"/>
          <w:sz w:val="20"/>
        </w:rPr>
        <w:t xml:space="preserve">the </w:t>
      </w:r>
      <w:r w:rsidRPr="00546095">
        <w:rPr>
          <w:rFonts w:ascii="Arial" w:hAnsi="Arial" w:cs="Arial"/>
          <w:sz w:val="20"/>
        </w:rPr>
        <w:t xml:space="preserve">ground that </w:t>
      </w:r>
      <w:r w:rsidR="00D6111F">
        <w:rPr>
          <w:rFonts w:ascii="Arial" w:hAnsi="Arial" w:cs="Arial"/>
          <w:sz w:val="20"/>
        </w:rPr>
        <w:t xml:space="preserve">the </w:t>
      </w:r>
      <w:r w:rsidRPr="00546095">
        <w:rPr>
          <w:rFonts w:ascii="Arial" w:hAnsi="Arial" w:cs="Arial"/>
          <w:sz w:val="20"/>
        </w:rPr>
        <w:t xml:space="preserve">verdict </w:t>
      </w:r>
      <w:r w:rsidR="00D6111F">
        <w:rPr>
          <w:rFonts w:ascii="Arial" w:hAnsi="Arial" w:cs="Arial"/>
          <w:sz w:val="20"/>
        </w:rPr>
        <w:t xml:space="preserve">was </w:t>
      </w:r>
      <w:r w:rsidRPr="00546095">
        <w:rPr>
          <w:rFonts w:ascii="Arial" w:hAnsi="Arial" w:cs="Arial"/>
          <w:sz w:val="20"/>
        </w:rPr>
        <w:t>unreasonable or could not be supported having regard to the evidence</w:t>
      </w:r>
      <w:r w:rsidR="00D6111F">
        <w:rPr>
          <w:rFonts w:ascii="Arial" w:hAnsi="Arial" w:cs="Arial"/>
          <w:sz w:val="20"/>
        </w:rPr>
        <w:t xml:space="preserve">. The majority of the NSWCCA </w:t>
      </w:r>
      <w:r w:rsidRPr="00546095">
        <w:rPr>
          <w:rFonts w:ascii="Arial" w:hAnsi="Arial" w:cs="Arial"/>
          <w:sz w:val="20"/>
        </w:rPr>
        <w:t xml:space="preserve">held </w:t>
      </w:r>
      <w:r w:rsidR="00D6111F">
        <w:rPr>
          <w:rFonts w:ascii="Arial" w:hAnsi="Arial" w:cs="Arial"/>
          <w:sz w:val="20"/>
        </w:rPr>
        <w:t xml:space="preserve">a </w:t>
      </w:r>
      <w:r w:rsidRPr="00546095">
        <w:rPr>
          <w:rFonts w:ascii="Arial" w:hAnsi="Arial" w:cs="Arial"/>
          <w:sz w:val="20"/>
        </w:rPr>
        <w:t xml:space="preserve">reasonable doubt as to respondent's guilt </w:t>
      </w:r>
      <w:r w:rsidR="00D6111F">
        <w:rPr>
          <w:rFonts w:ascii="Arial" w:hAnsi="Arial" w:cs="Arial"/>
          <w:sz w:val="20"/>
        </w:rPr>
        <w:t>but</w:t>
      </w:r>
      <w:r w:rsidRPr="00546095">
        <w:rPr>
          <w:rFonts w:ascii="Arial" w:hAnsi="Arial" w:cs="Arial"/>
          <w:sz w:val="20"/>
        </w:rPr>
        <w:t xml:space="preserve"> did not view or listen to recordings of principal evidence</w:t>
      </w:r>
      <w:r w:rsidR="00D6111F">
        <w:rPr>
          <w:rFonts w:ascii="Arial" w:hAnsi="Arial" w:cs="Arial"/>
          <w:sz w:val="20"/>
        </w:rPr>
        <w:t>. The High Court allowed the Crown appeal</w:t>
      </w:r>
      <w:r w:rsidR="00B241A9">
        <w:rPr>
          <w:rFonts w:ascii="Arial" w:hAnsi="Arial" w:cs="Arial"/>
          <w:sz w:val="20"/>
        </w:rPr>
        <w:t>, set aside the orders of the NSWCCA and remitted the matter to the NSWCCA for determination according to law. At [56] the plurality (</w:t>
      </w:r>
      <w:proofErr w:type="spellStart"/>
      <w:r w:rsidR="00B241A9" w:rsidRPr="00B241A9">
        <w:rPr>
          <w:rFonts w:ascii="Arial" w:hAnsi="Arial" w:cs="Arial"/>
          <w:sz w:val="20"/>
        </w:rPr>
        <w:t>Gageler</w:t>
      </w:r>
      <w:proofErr w:type="spellEnd"/>
      <w:r w:rsidR="00B241A9" w:rsidRPr="00B241A9">
        <w:rPr>
          <w:rFonts w:ascii="Arial" w:hAnsi="Arial" w:cs="Arial"/>
          <w:sz w:val="20"/>
        </w:rPr>
        <w:t xml:space="preserve"> CJ</w:t>
      </w:r>
      <w:r w:rsidR="00B241A9">
        <w:rPr>
          <w:rFonts w:ascii="Arial" w:hAnsi="Arial" w:cs="Arial"/>
          <w:sz w:val="20"/>
        </w:rPr>
        <w:t>,</w:t>
      </w:r>
      <w:r w:rsidR="00B241A9" w:rsidRPr="00B241A9">
        <w:rPr>
          <w:rFonts w:ascii="Arial" w:hAnsi="Arial" w:cs="Arial"/>
          <w:sz w:val="20"/>
        </w:rPr>
        <w:t xml:space="preserve"> Gleeson</w:t>
      </w:r>
      <w:r w:rsidR="00B241A9">
        <w:rPr>
          <w:rFonts w:ascii="Arial" w:hAnsi="Arial" w:cs="Arial"/>
          <w:sz w:val="20"/>
        </w:rPr>
        <w:t xml:space="preserve">, </w:t>
      </w:r>
      <w:proofErr w:type="spellStart"/>
      <w:r w:rsidR="00B241A9" w:rsidRPr="00B241A9">
        <w:rPr>
          <w:rFonts w:ascii="Arial" w:hAnsi="Arial" w:cs="Arial"/>
          <w:sz w:val="20"/>
        </w:rPr>
        <w:t>Jagot</w:t>
      </w:r>
      <w:proofErr w:type="spellEnd"/>
      <w:r w:rsidR="00B241A9" w:rsidRPr="00B241A9">
        <w:rPr>
          <w:rFonts w:ascii="Arial" w:hAnsi="Arial" w:cs="Arial"/>
          <w:sz w:val="20"/>
        </w:rPr>
        <w:t xml:space="preserve"> </w:t>
      </w:r>
      <w:r w:rsidR="00B241A9">
        <w:rPr>
          <w:rFonts w:ascii="Arial" w:hAnsi="Arial" w:cs="Arial"/>
          <w:sz w:val="20"/>
        </w:rPr>
        <w:t>&amp;</w:t>
      </w:r>
      <w:r w:rsidR="00B241A9" w:rsidRPr="00B241A9">
        <w:rPr>
          <w:rFonts w:ascii="Arial" w:hAnsi="Arial" w:cs="Arial"/>
          <w:sz w:val="20"/>
        </w:rPr>
        <w:t xml:space="preserve"> Beech-Jones </w:t>
      </w:r>
      <w:r w:rsidR="00B241A9">
        <w:rPr>
          <w:rFonts w:ascii="Arial" w:hAnsi="Arial" w:cs="Arial"/>
          <w:sz w:val="20"/>
        </w:rPr>
        <w:t>J</w:t>
      </w:r>
      <w:r w:rsidR="00B241A9" w:rsidRPr="00B241A9">
        <w:rPr>
          <w:rFonts w:ascii="Arial" w:hAnsi="Arial" w:cs="Arial"/>
          <w:sz w:val="20"/>
        </w:rPr>
        <w:t>J</w:t>
      </w:r>
      <w:r w:rsidR="00B241A9">
        <w:rPr>
          <w:rFonts w:ascii="Arial" w:hAnsi="Arial" w:cs="Arial"/>
          <w:sz w:val="20"/>
        </w:rPr>
        <w:t>)</w:t>
      </w:r>
      <w:r w:rsidR="00B241A9" w:rsidRPr="00B241A9">
        <w:rPr>
          <w:rFonts w:ascii="Arial" w:hAnsi="Arial" w:cs="Arial"/>
          <w:sz w:val="20"/>
        </w:rPr>
        <w:t xml:space="preserve"> </w:t>
      </w:r>
      <w:r w:rsidR="00B241A9">
        <w:rPr>
          <w:rFonts w:ascii="Arial" w:hAnsi="Arial" w:cs="Arial"/>
          <w:sz w:val="20"/>
        </w:rPr>
        <w:t>said:</w:t>
      </w:r>
      <w:r w:rsidR="00B241A9" w:rsidRPr="00B241A9">
        <w:rPr>
          <w:rFonts w:ascii="Arial" w:hAnsi="Arial" w:cs="Arial"/>
          <w:sz w:val="20"/>
        </w:rPr>
        <w:t xml:space="preserve"> </w:t>
      </w:r>
    </w:p>
    <w:p w14:paraId="447BE78E" w14:textId="02252079" w:rsidR="00B241A9" w:rsidRDefault="00B241A9" w:rsidP="00B241A9">
      <w:pPr>
        <w:spacing w:before="60"/>
        <w:ind w:left="567" w:right="567"/>
        <w:jc w:val="both"/>
        <w:rPr>
          <w:rFonts w:ascii="Arial" w:hAnsi="Arial" w:cs="Arial"/>
          <w:sz w:val="20"/>
          <w:szCs w:val="20"/>
        </w:rPr>
      </w:pPr>
      <w:r>
        <w:rPr>
          <w:rFonts w:ascii="Arial" w:hAnsi="Arial" w:cs="Arial"/>
          <w:sz w:val="20"/>
        </w:rPr>
        <w:t>“</w:t>
      </w:r>
      <w:r w:rsidRPr="00B241A9">
        <w:rPr>
          <w:rFonts w:ascii="Arial" w:hAnsi="Arial" w:cs="Arial"/>
          <w:sz w:val="20"/>
        </w:rPr>
        <w:t>In light of the length of the intercepted telephone calls and police interviews, the identity of the participants, the debate over the contextual meaning</w:t>
      </w:r>
      <w:r>
        <w:rPr>
          <w:rFonts w:ascii="Arial" w:hAnsi="Arial" w:cs="Arial"/>
          <w:sz w:val="20"/>
        </w:rPr>
        <w:t xml:space="preserve"> </w:t>
      </w:r>
      <w:r w:rsidRPr="00B241A9">
        <w:rPr>
          <w:rFonts w:ascii="Arial" w:hAnsi="Arial" w:cs="Arial"/>
          <w:sz w:val="20"/>
        </w:rPr>
        <w:t xml:space="preserve">and whether there was any difference between how the respondent spoke to his parents and how he spoke to others, the majority's </w:t>
      </w:r>
      <w:r w:rsidR="00D6111F" w:rsidRPr="00D6111F">
        <w:rPr>
          <w:rFonts w:ascii="Arial" w:hAnsi="Arial" w:cs="Arial"/>
          <w:sz w:val="20"/>
        </w:rPr>
        <w:t xml:space="preserve">conclusion that the jury had no relevant advantage over the appellate court could not be reached without listening to a sufficient part of the intercepted telephone calls and watching a sufficient part of the police interviews to make an assessment of the existence, nature and scope of the advantages the jury held. In the result, the majority's assessment of the advantages of the jury miscarried and their Honours could not discharge the function of the appellate court as described in </w:t>
      </w:r>
      <w:r w:rsidR="00D6111F" w:rsidRPr="00B241A9">
        <w:rPr>
          <w:rFonts w:ascii="Arial" w:hAnsi="Arial" w:cs="Arial"/>
          <w:i/>
          <w:iCs/>
          <w:sz w:val="20"/>
        </w:rPr>
        <w:t>M v The Queen</w:t>
      </w:r>
      <w:r>
        <w:rPr>
          <w:rFonts w:ascii="Arial" w:hAnsi="Arial" w:cs="Arial"/>
          <w:sz w:val="20"/>
        </w:rPr>
        <w:t xml:space="preserve"> </w:t>
      </w:r>
      <w:r w:rsidRPr="00B241A9">
        <w:rPr>
          <w:rFonts w:ascii="Arial" w:hAnsi="Arial" w:cs="Arial"/>
          <w:sz w:val="20"/>
        </w:rPr>
        <w:t>(1994) 181 CLR 487</w:t>
      </w:r>
      <w:r>
        <w:rPr>
          <w:rFonts w:ascii="Arial" w:hAnsi="Arial" w:cs="Arial"/>
          <w:sz w:val="20"/>
        </w:rPr>
        <w:t>.”</w:t>
      </w:r>
    </w:p>
    <w:p w14:paraId="51D6C101" w14:textId="77777777" w:rsidR="00546095" w:rsidRDefault="00546095"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w:t>
      </w:r>
      <w:proofErr w:type="gramStart"/>
      <w:r>
        <w:rPr>
          <w:rFonts w:ascii="Arial" w:hAnsi="Arial" w:cs="Arial"/>
          <w:sz w:val="20"/>
        </w:rPr>
        <w:t>young accused</w:t>
      </w:r>
      <w:proofErr w:type="gramEnd"/>
      <w:r>
        <w:rPr>
          <w:rFonts w:ascii="Arial" w:hAnsi="Arial" w:cs="Arial"/>
          <w:sz w:val="20"/>
        </w:rPr>
        <w:t xml:space="preserve">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lastRenderedPageBreak/>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16 year old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DPP v JA &amp; Ors</w:t>
      </w:r>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t>[27] “</w:t>
      </w:r>
      <w:r w:rsidRPr="001766CF">
        <w:rPr>
          <w:rFonts w:ascii="Arial" w:hAnsi="Arial" w:cs="Arial"/>
          <w:sz w:val="20"/>
          <w:szCs w:val="20"/>
        </w:rPr>
        <w:t>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[46]</w:t>
      </w:r>
      <w:r w:rsidR="00D94E75">
        <w:rPr>
          <w:rFonts w:ascii="Arial" w:hAnsi="Arial" w:cs="Arial"/>
          <w:sz w:val="20"/>
          <w:szCs w:val="20"/>
        </w:rPr>
        <w:noBreakHyphen/>
      </w:r>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lastRenderedPageBreak/>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lastRenderedPageBreak/>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DPP v SA &amp; Ors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0CA13FC1"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t>
      </w:r>
      <w:r w:rsidR="007A7AE8">
        <w:rPr>
          <w:rFonts w:ascii="Arial" w:hAnsi="Arial" w:cs="Arial"/>
          <w:sz w:val="20"/>
          <w:szCs w:val="20"/>
        </w:rPr>
        <w:t>had been</w:t>
      </w:r>
      <w:r w:rsidR="005730C7">
        <w:rPr>
          <w:rFonts w:ascii="Arial" w:hAnsi="Arial" w:cs="Arial"/>
          <w:sz w:val="20"/>
          <w:szCs w:val="20"/>
        </w:rPr>
        <w:t>:</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the Court of Appeal granted the 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71F67F24" w14:textId="29B9CED9" w:rsidR="007A7AE8" w:rsidRDefault="007A7AE8" w:rsidP="000A2D10">
      <w:pPr>
        <w:jc w:val="both"/>
        <w:rPr>
          <w:rFonts w:ascii="Arial" w:hAnsi="Arial" w:cs="Arial"/>
          <w:sz w:val="20"/>
          <w:szCs w:val="20"/>
        </w:rPr>
      </w:pPr>
      <w:r>
        <w:rPr>
          <w:rFonts w:ascii="Arial" w:hAnsi="Arial" w:cs="Arial"/>
          <w:sz w:val="20"/>
          <w:szCs w:val="20"/>
        </w:rPr>
        <w:t xml:space="preserve">In a jury trial in </w:t>
      </w:r>
      <w:r w:rsidRPr="007A7AE8">
        <w:rPr>
          <w:rFonts w:ascii="Arial" w:hAnsi="Arial" w:cs="Arial"/>
          <w:i/>
          <w:iCs/>
          <w:sz w:val="20"/>
          <w:szCs w:val="20"/>
        </w:rPr>
        <w:t>Lithgow v The King</w:t>
      </w:r>
      <w:r>
        <w:rPr>
          <w:rFonts w:ascii="Arial" w:hAnsi="Arial" w:cs="Arial"/>
          <w:sz w:val="20"/>
          <w:szCs w:val="20"/>
        </w:rPr>
        <w:t xml:space="preserve"> [2025] VSCA 64 the applicant had been:</w:t>
      </w:r>
    </w:p>
    <w:p w14:paraId="6192027A" w14:textId="5DF0475D"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acquitted of </w:t>
      </w:r>
      <w:r>
        <w:rPr>
          <w:rFonts w:ascii="Arial" w:hAnsi="Arial" w:cs="Arial"/>
          <w:sz w:val="20"/>
          <w:szCs w:val="20"/>
        </w:rPr>
        <w:t>2 charges of attempted rape and 1 charge of false imprisonment; and</w:t>
      </w:r>
    </w:p>
    <w:p w14:paraId="3975FBEE" w14:textId="37AEF1D9" w:rsidR="007A7AE8" w:rsidRDefault="007A7AE8" w:rsidP="007A7AE8">
      <w:pPr>
        <w:pStyle w:val="ListParagraph"/>
        <w:numPr>
          <w:ilvl w:val="0"/>
          <w:numId w:val="104"/>
        </w:numPr>
        <w:ind w:left="357" w:hanging="357"/>
        <w:jc w:val="both"/>
        <w:rPr>
          <w:rFonts w:ascii="Arial" w:hAnsi="Arial" w:cs="Arial"/>
          <w:sz w:val="20"/>
          <w:szCs w:val="20"/>
        </w:rPr>
      </w:pPr>
      <w:r w:rsidRPr="000A2D10">
        <w:rPr>
          <w:rFonts w:ascii="Arial" w:hAnsi="Arial" w:cs="Arial"/>
          <w:sz w:val="20"/>
          <w:szCs w:val="20"/>
        </w:rPr>
        <w:t xml:space="preserve">convicted of </w:t>
      </w:r>
      <w:r>
        <w:rPr>
          <w:rFonts w:ascii="Arial" w:hAnsi="Arial" w:cs="Arial"/>
          <w:sz w:val="20"/>
          <w:szCs w:val="20"/>
        </w:rPr>
        <w:t>2 charges of sexual assault and 2 charges of</w:t>
      </w:r>
      <w:r w:rsidRPr="000A2D10">
        <w:rPr>
          <w:rFonts w:ascii="Arial" w:hAnsi="Arial" w:cs="Arial"/>
          <w:sz w:val="20"/>
          <w:szCs w:val="20"/>
        </w:rPr>
        <w:t xml:space="preserve"> rape</w:t>
      </w:r>
      <w:r>
        <w:rPr>
          <w:rFonts w:ascii="Arial" w:hAnsi="Arial" w:cs="Arial"/>
          <w:sz w:val="20"/>
          <w:szCs w:val="20"/>
        </w:rPr>
        <w:t>.</w:t>
      </w:r>
    </w:p>
    <w:p w14:paraId="61AA6672" w14:textId="230CCB93" w:rsidR="007A7AE8" w:rsidRDefault="007A7AE8" w:rsidP="00302C9E">
      <w:pPr>
        <w:jc w:val="both"/>
        <w:rPr>
          <w:rFonts w:ascii="Arial" w:hAnsi="Arial" w:cs="Arial"/>
          <w:sz w:val="20"/>
          <w:szCs w:val="20"/>
        </w:rPr>
      </w:pPr>
      <w:r>
        <w:rPr>
          <w:rFonts w:ascii="Arial" w:hAnsi="Arial" w:cs="Arial"/>
          <w:sz w:val="20"/>
          <w:szCs w:val="20"/>
        </w:rPr>
        <w:t xml:space="preserve">All </w:t>
      </w:r>
      <w:r w:rsidRPr="000A2D10">
        <w:rPr>
          <w:rFonts w:ascii="Arial" w:hAnsi="Arial" w:cs="Arial"/>
          <w:sz w:val="20"/>
          <w:szCs w:val="20"/>
        </w:rPr>
        <w:t>charges arose from incident</w:t>
      </w:r>
      <w:r>
        <w:rPr>
          <w:rFonts w:ascii="Arial" w:hAnsi="Arial" w:cs="Arial"/>
          <w:sz w:val="20"/>
          <w:szCs w:val="20"/>
        </w:rPr>
        <w:t>s</w:t>
      </w:r>
      <w:r w:rsidRPr="000A2D10">
        <w:rPr>
          <w:rFonts w:ascii="Arial" w:hAnsi="Arial" w:cs="Arial"/>
          <w:sz w:val="20"/>
          <w:szCs w:val="20"/>
        </w:rPr>
        <w:t xml:space="preserve"> involving the same complainant</w:t>
      </w:r>
      <w:r>
        <w:rPr>
          <w:rFonts w:ascii="Arial" w:hAnsi="Arial" w:cs="Arial"/>
          <w:sz w:val="20"/>
          <w:szCs w:val="20"/>
        </w:rPr>
        <w:t xml:space="preserve"> and the prosecution case was based substantially on the evidence of the complainant. The complainant’s evidence was </w:t>
      </w:r>
      <w:r w:rsidRPr="007A7AE8">
        <w:rPr>
          <w:rFonts w:ascii="Arial" w:hAnsi="Arial" w:cs="Arial"/>
          <w:sz w:val="20"/>
          <w:szCs w:val="20"/>
        </w:rPr>
        <w:t>not less credible with respect to acquittal charges than charges on which applicant was convicted</w:t>
      </w:r>
      <w:r>
        <w:rPr>
          <w:rFonts w:ascii="Arial" w:hAnsi="Arial" w:cs="Arial"/>
          <w:sz w:val="20"/>
          <w:szCs w:val="20"/>
        </w:rPr>
        <w:t>. The a</w:t>
      </w:r>
      <w:r w:rsidRPr="007A7AE8">
        <w:rPr>
          <w:rFonts w:ascii="Arial" w:hAnsi="Arial" w:cs="Arial"/>
          <w:sz w:val="20"/>
          <w:szCs w:val="20"/>
        </w:rPr>
        <w:t xml:space="preserve">pplicant’s account in </w:t>
      </w:r>
      <w:r>
        <w:rPr>
          <w:rFonts w:ascii="Arial" w:hAnsi="Arial" w:cs="Arial"/>
          <w:sz w:val="20"/>
          <w:szCs w:val="20"/>
        </w:rPr>
        <w:t xml:space="preserve">his </w:t>
      </w:r>
      <w:r w:rsidRPr="007A7AE8">
        <w:rPr>
          <w:rFonts w:ascii="Arial" w:hAnsi="Arial" w:cs="Arial"/>
          <w:sz w:val="20"/>
          <w:szCs w:val="20"/>
        </w:rPr>
        <w:t xml:space="preserve">record of interview </w:t>
      </w:r>
      <w:r>
        <w:rPr>
          <w:rFonts w:ascii="Arial" w:hAnsi="Arial" w:cs="Arial"/>
          <w:sz w:val="20"/>
          <w:szCs w:val="20"/>
        </w:rPr>
        <w:t xml:space="preserve">was </w:t>
      </w:r>
      <w:r w:rsidRPr="007A7AE8">
        <w:rPr>
          <w:rFonts w:ascii="Arial" w:hAnsi="Arial" w:cs="Arial"/>
          <w:sz w:val="20"/>
          <w:szCs w:val="20"/>
        </w:rPr>
        <w:t>not less credible with respect to charges on which he was convicted than on acquittal charges</w:t>
      </w:r>
      <w:r>
        <w:rPr>
          <w:rFonts w:ascii="Arial" w:hAnsi="Arial" w:cs="Arial"/>
          <w:sz w:val="20"/>
          <w:szCs w:val="20"/>
        </w:rPr>
        <w:t>. The Court of Appeal set aside the guilty verdicts, holding that the c</w:t>
      </w:r>
      <w:r w:rsidRPr="007A7AE8">
        <w:rPr>
          <w:rFonts w:ascii="Arial" w:hAnsi="Arial" w:cs="Arial"/>
          <w:sz w:val="20"/>
          <w:szCs w:val="20"/>
        </w:rPr>
        <w:t xml:space="preserve">onvictions </w:t>
      </w:r>
      <w:r>
        <w:rPr>
          <w:rFonts w:ascii="Arial" w:hAnsi="Arial" w:cs="Arial"/>
          <w:sz w:val="20"/>
          <w:szCs w:val="20"/>
        </w:rPr>
        <w:t xml:space="preserve">were </w:t>
      </w:r>
      <w:r w:rsidRPr="007A7AE8">
        <w:rPr>
          <w:rFonts w:ascii="Arial" w:hAnsi="Arial" w:cs="Arial"/>
          <w:sz w:val="20"/>
          <w:szCs w:val="20"/>
        </w:rPr>
        <w:t xml:space="preserve">irreconcilable </w:t>
      </w:r>
      <w:r>
        <w:rPr>
          <w:rFonts w:ascii="Arial" w:hAnsi="Arial" w:cs="Arial"/>
          <w:sz w:val="20"/>
          <w:szCs w:val="20"/>
        </w:rPr>
        <w:t>with the</w:t>
      </w:r>
      <w:r w:rsidRPr="007A7AE8">
        <w:rPr>
          <w:rFonts w:ascii="Arial" w:hAnsi="Arial" w:cs="Arial"/>
          <w:sz w:val="20"/>
          <w:szCs w:val="20"/>
        </w:rPr>
        <w:t xml:space="preserve"> acquittals</w:t>
      </w:r>
      <w:r>
        <w:rPr>
          <w:rFonts w:ascii="Arial" w:hAnsi="Arial" w:cs="Arial"/>
          <w:sz w:val="20"/>
          <w:szCs w:val="20"/>
        </w:rPr>
        <w:t xml:space="preserve">. In their analysis of inconsistent verdicts, Taylor, Kaye &amp; T Forrest JJA referred to and considered </w:t>
      </w:r>
      <w:proofErr w:type="spellStart"/>
      <w:r w:rsidRPr="00AA1451">
        <w:rPr>
          <w:rFonts w:ascii="Arial" w:hAnsi="Arial" w:cs="Arial"/>
          <w:i/>
          <w:iCs/>
          <w:sz w:val="20"/>
          <w:szCs w:val="20"/>
        </w:rPr>
        <w:t>MacKenzie</w:t>
      </w:r>
      <w:proofErr w:type="spellEnd"/>
      <w:r w:rsidRPr="00AA1451">
        <w:rPr>
          <w:rFonts w:ascii="Arial" w:hAnsi="Arial" w:cs="Arial"/>
          <w:i/>
          <w:iCs/>
          <w:sz w:val="20"/>
          <w:szCs w:val="20"/>
        </w:rPr>
        <w:t xml:space="preserve"> v The Queen</w:t>
      </w:r>
      <w:r w:rsidRPr="00AA1451">
        <w:rPr>
          <w:rFonts w:ascii="Arial" w:hAnsi="Arial" w:cs="Arial"/>
          <w:sz w:val="20"/>
          <w:szCs w:val="20"/>
        </w:rPr>
        <w:t xml:space="preserve"> (1996) 190 CLR 348; </w:t>
      </w:r>
      <w:r w:rsidRPr="00AA1451">
        <w:rPr>
          <w:rFonts w:ascii="Arial" w:hAnsi="Arial" w:cs="Arial"/>
          <w:i/>
          <w:iCs/>
          <w:sz w:val="20"/>
          <w:szCs w:val="20"/>
        </w:rPr>
        <w:t>MFA v The Queen</w:t>
      </w:r>
      <w:r w:rsidRPr="00AA1451">
        <w:rPr>
          <w:rFonts w:ascii="Arial" w:hAnsi="Arial" w:cs="Arial"/>
          <w:sz w:val="20"/>
          <w:szCs w:val="20"/>
        </w:rPr>
        <w:t xml:space="preserve"> (2002) 213 CLR 606</w:t>
      </w:r>
      <w:r>
        <w:rPr>
          <w:rFonts w:ascii="Arial" w:hAnsi="Arial" w:cs="Arial"/>
          <w:sz w:val="20"/>
          <w:szCs w:val="20"/>
        </w:rPr>
        <w:t xml:space="preserve"> and </w:t>
      </w:r>
      <w:r w:rsidRPr="00AA1451">
        <w:rPr>
          <w:rFonts w:ascii="Arial" w:hAnsi="Arial" w:cs="Arial"/>
          <w:i/>
          <w:iCs/>
          <w:sz w:val="20"/>
          <w:szCs w:val="20"/>
        </w:rPr>
        <w:t>R v Kirkman</w:t>
      </w:r>
      <w:r w:rsidRPr="00AA1451">
        <w:rPr>
          <w:rFonts w:ascii="Arial" w:hAnsi="Arial" w:cs="Arial"/>
          <w:sz w:val="20"/>
          <w:szCs w:val="20"/>
        </w:rPr>
        <w:t xml:space="preserve"> (1987) 44 SASR 591.</w:t>
      </w:r>
    </w:p>
    <w:p w14:paraId="5C126927" w14:textId="77777777" w:rsidR="007A7AE8" w:rsidRDefault="007A7AE8" w:rsidP="00302C9E">
      <w:pPr>
        <w:jc w:val="both"/>
        <w:rPr>
          <w:rFonts w:ascii="Arial" w:hAnsi="Arial" w:cs="Arial"/>
          <w:sz w:val="20"/>
          <w:szCs w:val="20"/>
        </w:rPr>
      </w:pPr>
    </w:p>
    <w:p w14:paraId="2F212EC1" w14:textId="2BE93A5D" w:rsidR="00666439" w:rsidRPr="005C5A38" w:rsidRDefault="004D0222" w:rsidP="00302C9E">
      <w:pPr>
        <w:jc w:val="both"/>
        <w:rPr>
          <w:rFonts w:ascii="Arial" w:hAnsi="Arial" w:cs="Arial"/>
          <w:sz w:val="20"/>
          <w:szCs w:val="20"/>
        </w:rPr>
      </w:pPr>
      <w:r>
        <w:rPr>
          <w:rFonts w:ascii="Arial" w:hAnsi="Arial" w:cs="Arial"/>
          <w:sz w:val="20"/>
          <w:szCs w:val="20"/>
        </w:rPr>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8"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9"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8"/>
      <w:bookmarkEnd w:id="149"/>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r w:rsidR="004D679E">
        <w:rPr>
          <w:rFonts w:ascii="Arial" w:hAnsi="Arial" w:cs="Arial"/>
          <w:sz w:val="20"/>
          <w:szCs w:val="20"/>
        </w:rPr>
        <w:t xml:space="preserve">; </w:t>
      </w:r>
      <w:r w:rsidR="004D679E" w:rsidRPr="004D679E">
        <w:rPr>
          <w:rFonts w:ascii="Arial" w:hAnsi="Arial" w:cs="Arial"/>
          <w:i/>
          <w:iCs/>
          <w:sz w:val="20"/>
          <w:szCs w:val="20"/>
        </w:rPr>
        <w:t>Booth v The King</w:t>
      </w:r>
      <w:r w:rsidR="004D679E">
        <w:rPr>
          <w:rFonts w:ascii="Arial" w:hAnsi="Arial" w:cs="Arial"/>
          <w:sz w:val="20"/>
          <w:szCs w:val="20"/>
        </w:rPr>
        <w:t xml:space="preserve"> [2024] VSCA 318</w:t>
      </w:r>
      <w:r w:rsidR="00CD4880">
        <w:rPr>
          <w:rFonts w:ascii="Arial" w:hAnsi="Arial" w:cs="Arial"/>
          <w:sz w:val="20"/>
          <w:szCs w:val="20"/>
        </w:rPr>
        <w:t xml:space="preserve">; </w:t>
      </w:r>
      <w:r w:rsidR="00CD4880" w:rsidRPr="00CD4880">
        <w:rPr>
          <w:rFonts w:ascii="Arial" w:hAnsi="Arial" w:cs="Arial"/>
          <w:i/>
          <w:iCs/>
          <w:sz w:val="20"/>
          <w:szCs w:val="20"/>
        </w:rPr>
        <w:t>Director of Public Prosecutions v Hall</w:t>
      </w:r>
      <w:r w:rsidR="00CD4880" w:rsidRPr="00CD4880">
        <w:rPr>
          <w:rFonts w:ascii="Arial" w:hAnsi="Arial" w:cs="Arial"/>
          <w:sz w:val="20"/>
          <w:szCs w:val="20"/>
        </w:rPr>
        <w:t xml:space="preserve"> [2024] VSC 791</w:t>
      </w:r>
      <w:r w:rsidR="00CD4880">
        <w:rPr>
          <w:rFonts w:ascii="Arial" w:hAnsi="Arial" w:cs="Arial"/>
          <w:sz w:val="20"/>
          <w:szCs w:val="20"/>
        </w:rPr>
        <w:t xml:space="preserve"> at [13] &amp; [33]</w:t>
      </w:r>
      <w:r w:rsidR="00257BD3">
        <w:rPr>
          <w:rFonts w:ascii="Arial" w:hAnsi="Arial" w:cs="Arial"/>
          <w:sz w:val="20"/>
          <w:szCs w:val="20"/>
        </w:rPr>
        <w:t xml:space="preserve">; </w:t>
      </w:r>
      <w:r w:rsidR="00257BD3" w:rsidRPr="00257BD3">
        <w:rPr>
          <w:rFonts w:ascii="Arial" w:hAnsi="Arial" w:cs="Arial"/>
          <w:i/>
          <w:iCs/>
          <w:sz w:val="20"/>
          <w:szCs w:val="20"/>
        </w:rPr>
        <w:t>Irwin v The King</w:t>
      </w:r>
      <w:r w:rsidR="00257BD3">
        <w:rPr>
          <w:rFonts w:ascii="Arial" w:hAnsi="Arial" w:cs="Arial"/>
          <w:sz w:val="20"/>
          <w:szCs w:val="20"/>
        </w:rPr>
        <w:t xml:space="preserve"> [2022] VSCA 218 at [12]-[16] &amp; [83]-[85]</w:t>
      </w:r>
      <w:r w:rsidR="009473C0">
        <w:rPr>
          <w:rFonts w:ascii="Arial" w:hAnsi="Arial" w:cs="Arial"/>
          <w:sz w:val="20"/>
          <w:szCs w:val="20"/>
        </w:rPr>
        <w:t xml:space="preserve">; </w:t>
      </w:r>
      <w:r w:rsidR="009473C0">
        <w:rPr>
          <w:rFonts w:ascii="Arial" w:hAnsi="Arial" w:cs="Arial"/>
          <w:i/>
          <w:iCs/>
          <w:sz w:val="20"/>
          <w:szCs w:val="20"/>
        </w:rPr>
        <w:t xml:space="preserve">Wu v The King </w:t>
      </w:r>
      <w:r w:rsidR="009473C0" w:rsidRPr="009473C0">
        <w:rPr>
          <w:rFonts w:ascii="Arial" w:hAnsi="Arial" w:cs="Arial"/>
          <w:sz w:val="20"/>
          <w:szCs w:val="20"/>
        </w:rPr>
        <w:t xml:space="preserve">[2025] VSCA </w:t>
      </w:r>
      <w:r w:rsidR="009473C0">
        <w:rPr>
          <w:rFonts w:ascii="Arial" w:hAnsi="Arial" w:cs="Arial"/>
          <w:sz w:val="20"/>
          <w:szCs w:val="20"/>
        </w:rPr>
        <w:t>4 at [64]-[65]</w:t>
      </w:r>
      <w:r w:rsidR="004849D4">
        <w:rPr>
          <w:rFonts w:ascii="Arial" w:hAnsi="Arial" w:cs="Arial"/>
          <w:sz w:val="20"/>
          <w:szCs w:val="20"/>
        </w:rPr>
        <w:t xml:space="preserve">; </w:t>
      </w:r>
      <w:r w:rsidR="004849D4" w:rsidRPr="004849D4">
        <w:rPr>
          <w:rFonts w:ascii="Arial" w:hAnsi="Arial" w:cs="Arial"/>
          <w:i/>
          <w:iCs/>
          <w:sz w:val="20"/>
          <w:szCs w:val="20"/>
        </w:rPr>
        <w:t>Holland v The King</w:t>
      </w:r>
      <w:r w:rsidR="004849D4">
        <w:rPr>
          <w:rFonts w:ascii="Arial" w:hAnsi="Arial" w:cs="Arial"/>
          <w:sz w:val="20"/>
          <w:szCs w:val="20"/>
        </w:rPr>
        <w:t xml:space="preserve"> [2025] VSCA 5 at [8]-[9] &amp; [72]-[73]</w:t>
      </w:r>
      <w:r w:rsidR="001A2DDE">
        <w:rPr>
          <w:rFonts w:ascii="Arial" w:hAnsi="Arial" w:cs="Arial"/>
          <w:sz w:val="20"/>
          <w:szCs w:val="20"/>
        </w:rPr>
        <w:t xml:space="preserve">; </w:t>
      </w:r>
      <w:r w:rsidR="001A2DDE" w:rsidRPr="001A2DDE">
        <w:rPr>
          <w:rFonts w:ascii="Arial" w:hAnsi="Arial" w:cs="Arial"/>
          <w:i/>
          <w:iCs/>
          <w:sz w:val="20"/>
          <w:szCs w:val="20"/>
        </w:rPr>
        <w:t>Ong v The King</w:t>
      </w:r>
      <w:r w:rsidR="001A2DDE">
        <w:rPr>
          <w:rFonts w:ascii="Arial" w:hAnsi="Arial" w:cs="Arial"/>
          <w:sz w:val="20"/>
          <w:szCs w:val="20"/>
        </w:rPr>
        <w:t xml:space="preserve"> [2025] VSCA 21 at [107]-[133]</w:t>
      </w:r>
      <w:r w:rsidR="00B34C16">
        <w:rPr>
          <w:rFonts w:ascii="Arial" w:hAnsi="Arial" w:cs="Arial"/>
          <w:sz w:val="20"/>
          <w:szCs w:val="20"/>
        </w:rPr>
        <w:t xml:space="preserve">; </w:t>
      </w:r>
      <w:bookmarkStart w:id="150" w:name="_Hlk193092118"/>
      <w:r w:rsidR="00B34C16" w:rsidRPr="00B34C16">
        <w:rPr>
          <w:rFonts w:ascii="Arial" w:hAnsi="Arial" w:cs="Arial"/>
          <w:i/>
          <w:iCs/>
          <w:sz w:val="20"/>
          <w:szCs w:val="20"/>
        </w:rPr>
        <w:t>Pears v The King</w:t>
      </w:r>
      <w:r w:rsidR="00B34C16">
        <w:rPr>
          <w:rFonts w:ascii="Arial" w:hAnsi="Arial" w:cs="Arial"/>
          <w:sz w:val="20"/>
          <w:szCs w:val="20"/>
        </w:rPr>
        <w:t xml:space="preserve"> [2025] VSCA 35 at [79]</w:t>
      </w:r>
      <w:r w:rsidR="00851553">
        <w:rPr>
          <w:rFonts w:ascii="Arial" w:hAnsi="Arial" w:cs="Arial"/>
          <w:sz w:val="20"/>
          <w:szCs w:val="20"/>
        </w:rPr>
        <w:t xml:space="preserve">; </w:t>
      </w:r>
      <w:r w:rsidR="00851553" w:rsidRPr="002F45B3">
        <w:rPr>
          <w:rFonts w:ascii="Arial" w:hAnsi="Arial" w:cs="Arial"/>
          <w:i/>
          <w:iCs/>
          <w:sz w:val="20"/>
          <w:szCs w:val="20"/>
        </w:rPr>
        <w:t>Ortisi v The King</w:t>
      </w:r>
      <w:r w:rsidR="00851553">
        <w:rPr>
          <w:rFonts w:ascii="Arial" w:hAnsi="Arial" w:cs="Arial"/>
          <w:sz w:val="20"/>
          <w:szCs w:val="20"/>
        </w:rPr>
        <w:t xml:space="preserve"> [2025] VSCA 42 at [63]-[78]</w:t>
      </w:r>
      <w:r w:rsidR="00F87BE8">
        <w:rPr>
          <w:rFonts w:ascii="Arial" w:hAnsi="Arial" w:cs="Arial"/>
          <w:sz w:val="20"/>
          <w:szCs w:val="20"/>
        </w:rPr>
        <w:t xml:space="preserve">; </w:t>
      </w:r>
      <w:proofErr w:type="spellStart"/>
      <w:r w:rsidR="00B11F11" w:rsidRPr="00B11F11">
        <w:rPr>
          <w:rFonts w:ascii="Arial" w:hAnsi="Arial" w:cs="Arial"/>
          <w:i/>
          <w:iCs/>
          <w:sz w:val="20"/>
          <w:szCs w:val="20"/>
        </w:rPr>
        <w:t>Matthams</w:t>
      </w:r>
      <w:proofErr w:type="spellEnd"/>
      <w:r w:rsidR="00B11F11" w:rsidRPr="00B11F11">
        <w:rPr>
          <w:rFonts w:ascii="Arial" w:hAnsi="Arial" w:cs="Arial"/>
          <w:i/>
          <w:iCs/>
          <w:sz w:val="20"/>
          <w:szCs w:val="20"/>
        </w:rPr>
        <w:t xml:space="preserve"> </w:t>
      </w:r>
      <w:r w:rsidR="00B11F11" w:rsidRPr="00B11F11">
        <w:rPr>
          <w:rFonts w:ascii="Arial" w:hAnsi="Arial" w:cs="Arial"/>
          <w:i/>
          <w:iCs/>
          <w:sz w:val="20"/>
          <w:szCs w:val="20"/>
        </w:rPr>
        <w:lastRenderedPageBreak/>
        <w:t>(a</w:t>
      </w:r>
      <w:r w:rsidR="00B11F11">
        <w:rPr>
          <w:rFonts w:ascii="Arial" w:hAnsi="Arial" w:cs="Arial"/>
          <w:i/>
          <w:iCs/>
          <w:sz w:val="20"/>
          <w:szCs w:val="20"/>
        </w:rPr>
        <w:t> </w:t>
      </w:r>
      <w:r w:rsidR="00B11F11" w:rsidRPr="00B11F11">
        <w:rPr>
          <w:rFonts w:ascii="Arial" w:hAnsi="Arial" w:cs="Arial"/>
          <w:i/>
          <w:iCs/>
          <w:sz w:val="20"/>
          <w:szCs w:val="20"/>
        </w:rPr>
        <w:t>pseudonym) v The King</w:t>
      </w:r>
      <w:r w:rsidR="00B11F11">
        <w:rPr>
          <w:rFonts w:ascii="Arial" w:hAnsi="Arial" w:cs="Arial"/>
          <w:sz w:val="20"/>
          <w:szCs w:val="20"/>
        </w:rPr>
        <w:t xml:space="preserve"> [2025] VSCA 44; </w:t>
      </w:r>
      <w:r w:rsidR="00F87BE8" w:rsidRPr="00F87BE8">
        <w:rPr>
          <w:rFonts w:ascii="Arial" w:hAnsi="Arial" w:cs="Arial"/>
          <w:i/>
          <w:iCs/>
          <w:sz w:val="20"/>
          <w:szCs w:val="20"/>
        </w:rPr>
        <w:t>Charlton v The King</w:t>
      </w:r>
      <w:r w:rsidR="00F87BE8">
        <w:rPr>
          <w:rFonts w:ascii="Arial" w:hAnsi="Arial" w:cs="Arial"/>
          <w:sz w:val="20"/>
          <w:szCs w:val="20"/>
        </w:rPr>
        <w:t xml:space="preserve"> [2025] VSCA 46 at [111]-[126]</w:t>
      </w:r>
      <w:r w:rsidR="005A6FCB">
        <w:rPr>
          <w:rFonts w:ascii="Arial" w:hAnsi="Arial" w:cs="Arial"/>
          <w:sz w:val="20"/>
          <w:szCs w:val="20"/>
        </w:rPr>
        <w:t xml:space="preserve">; </w:t>
      </w:r>
      <w:r w:rsidR="005A6FCB" w:rsidRPr="005A6FCB">
        <w:rPr>
          <w:rFonts w:ascii="Arial" w:hAnsi="Arial" w:cs="Arial"/>
          <w:i/>
          <w:iCs/>
          <w:sz w:val="20"/>
          <w:szCs w:val="20"/>
        </w:rPr>
        <w:t xml:space="preserve">Ward </w:t>
      </w:r>
      <w:r w:rsidR="005A6FCB" w:rsidRPr="005C5A38">
        <w:rPr>
          <w:rFonts w:ascii="Arial" w:hAnsi="Arial" w:cs="Arial"/>
          <w:i/>
          <w:iCs/>
          <w:sz w:val="20"/>
          <w:szCs w:val="20"/>
        </w:rPr>
        <w:t>v The King</w:t>
      </w:r>
      <w:r w:rsidR="005A6FCB" w:rsidRPr="005C5A38">
        <w:rPr>
          <w:rFonts w:ascii="Arial" w:hAnsi="Arial" w:cs="Arial"/>
          <w:sz w:val="20"/>
          <w:szCs w:val="20"/>
        </w:rPr>
        <w:t xml:space="preserve"> [2025] VSCA 101 at [92]-[139]</w:t>
      </w:r>
      <w:r w:rsidR="005C5A38" w:rsidRPr="005C5A38">
        <w:rPr>
          <w:rFonts w:ascii="Arial" w:hAnsi="Arial" w:cs="Arial"/>
          <w:sz w:val="20"/>
          <w:szCs w:val="20"/>
        </w:rPr>
        <w:t>, esp. at [93]-[94]</w:t>
      </w:r>
      <w:r w:rsidR="00AB0777">
        <w:rPr>
          <w:rFonts w:ascii="Arial" w:hAnsi="Arial" w:cs="Arial"/>
          <w:sz w:val="20"/>
          <w:szCs w:val="20"/>
        </w:rPr>
        <w:t xml:space="preserve">; </w:t>
      </w:r>
      <w:r w:rsidR="004F62F3" w:rsidRPr="008B18C1">
        <w:rPr>
          <w:rFonts w:ascii="Arial" w:hAnsi="Arial" w:cs="Arial"/>
          <w:i/>
          <w:iCs/>
          <w:color w:val="000000"/>
          <w:sz w:val="20"/>
          <w:szCs w:val="20"/>
        </w:rPr>
        <w:t>Baker (a pseudonym) v The King</w:t>
      </w:r>
      <w:r w:rsidR="004F62F3">
        <w:rPr>
          <w:rFonts w:ascii="Arial" w:hAnsi="Arial" w:cs="Arial"/>
          <w:color w:val="000000"/>
          <w:sz w:val="20"/>
          <w:szCs w:val="20"/>
        </w:rPr>
        <w:t xml:space="preserve"> [2025] VSCA 139 at [</w:t>
      </w:r>
      <w:r w:rsidR="00636A9D">
        <w:rPr>
          <w:rFonts w:ascii="Arial" w:hAnsi="Arial" w:cs="Arial"/>
          <w:color w:val="000000"/>
          <w:sz w:val="20"/>
          <w:szCs w:val="20"/>
        </w:rPr>
        <w:t>103</w:t>
      </w:r>
      <w:r w:rsidR="004F62F3">
        <w:rPr>
          <w:rFonts w:ascii="Arial" w:hAnsi="Arial" w:cs="Arial"/>
          <w:color w:val="000000"/>
          <w:sz w:val="20"/>
          <w:szCs w:val="20"/>
        </w:rPr>
        <w:t>]-[</w:t>
      </w:r>
      <w:r w:rsidR="00636A9D">
        <w:rPr>
          <w:rFonts w:ascii="Arial" w:hAnsi="Arial" w:cs="Arial"/>
          <w:color w:val="000000"/>
          <w:sz w:val="20"/>
          <w:szCs w:val="20"/>
        </w:rPr>
        <w:t>109</w:t>
      </w:r>
      <w:r w:rsidR="004F62F3">
        <w:rPr>
          <w:rFonts w:ascii="Arial" w:hAnsi="Arial" w:cs="Arial"/>
          <w:color w:val="000000"/>
          <w:sz w:val="20"/>
          <w:szCs w:val="20"/>
        </w:rPr>
        <w:t>]</w:t>
      </w:r>
      <w:r w:rsidR="00636A9D">
        <w:rPr>
          <w:rFonts w:ascii="Arial" w:hAnsi="Arial" w:cs="Arial"/>
          <w:color w:val="000000"/>
          <w:sz w:val="20"/>
          <w:szCs w:val="20"/>
        </w:rPr>
        <w:t xml:space="preserve">; </w:t>
      </w:r>
      <w:r w:rsidR="00636A9D" w:rsidRPr="004F62F3">
        <w:rPr>
          <w:rFonts w:ascii="Arial" w:hAnsi="Arial" w:cs="Arial"/>
          <w:i/>
          <w:iCs/>
          <w:sz w:val="20"/>
          <w:szCs w:val="20"/>
        </w:rPr>
        <w:t>James v The King</w:t>
      </w:r>
      <w:r w:rsidR="00636A9D">
        <w:rPr>
          <w:rFonts w:ascii="Arial" w:hAnsi="Arial" w:cs="Arial"/>
          <w:sz w:val="20"/>
          <w:szCs w:val="20"/>
        </w:rPr>
        <w:t xml:space="preserve"> [2025] VSCA 140 at [137]-[153]</w:t>
      </w:r>
      <w:r w:rsidR="000A6E89">
        <w:rPr>
          <w:rFonts w:ascii="Arial" w:hAnsi="Arial" w:cs="Arial"/>
          <w:sz w:val="20"/>
          <w:szCs w:val="20"/>
        </w:rPr>
        <w:t xml:space="preserve">; </w:t>
      </w:r>
      <w:r w:rsidR="000A6E89" w:rsidRPr="000A6E89">
        <w:rPr>
          <w:rFonts w:ascii="Arial" w:hAnsi="Arial" w:cs="Arial"/>
          <w:i/>
          <w:iCs/>
          <w:sz w:val="20"/>
          <w:szCs w:val="20"/>
        </w:rPr>
        <w:t>Sharman v The King</w:t>
      </w:r>
      <w:r w:rsidR="000A6E89">
        <w:rPr>
          <w:rFonts w:ascii="Arial" w:hAnsi="Arial" w:cs="Arial"/>
          <w:sz w:val="20"/>
          <w:szCs w:val="20"/>
        </w:rPr>
        <w:t xml:space="preserve"> [2025] VSCA 151 at [72]-[77]</w:t>
      </w:r>
      <w:r w:rsidR="006111EB">
        <w:rPr>
          <w:rFonts w:ascii="Arial" w:hAnsi="Arial" w:cs="Arial"/>
          <w:sz w:val="20"/>
          <w:szCs w:val="20"/>
        </w:rPr>
        <w:t xml:space="preserve">; </w:t>
      </w:r>
      <w:proofErr w:type="spellStart"/>
      <w:r w:rsidR="006111EB" w:rsidRPr="006111EB">
        <w:rPr>
          <w:rFonts w:ascii="Arial" w:hAnsi="Arial" w:cs="Arial"/>
          <w:i/>
          <w:iCs/>
          <w:sz w:val="20"/>
          <w:szCs w:val="20"/>
        </w:rPr>
        <w:t>Moharaminia</w:t>
      </w:r>
      <w:proofErr w:type="spellEnd"/>
      <w:r w:rsidR="006111EB" w:rsidRPr="006111EB">
        <w:rPr>
          <w:rFonts w:ascii="Arial" w:hAnsi="Arial" w:cs="Arial"/>
          <w:i/>
          <w:iCs/>
          <w:sz w:val="20"/>
          <w:szCs w:val="20"/>
        </w:rPr>
        <w:t xml:space="preserve"> v The King</w:t>
      </w:r>
      <w:r w:rsidR="006111EB">
        <w:rPr>
          <w:rFonts w:ascii="Arial" w:hAnsi="Arial" w:cs="Arial"/>
          <w:sz w:val="20"/>
          <w:szCs w:val="20"/>
        </w:rPr>
        <w:t xml:space="preserve"> [2025] VSCA 159 at [79]-[90]</w:t>
      </w:r>
      <w:r w:rsidR="005C5A38" w:rsidRPr="005C5A38">
        <w:rPr>
          <w:rFonts w:ascii="Arial" w:hAnsi="Arial" w:cs="Arial"/>
          <w:sz w:val="20"/>
          <w:szCs w:val="20"/>
        </w:rPr>
        <w:t>.</w:t>
      </w:r>
      <w:bookmarkEnd w:id="150"/>
    </w:p>
    <w:p w14:paraId="1C66CAD7" w14:textId="77777777" w:rsidR="006111EB" w:rsidRDefault="006111EB"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51" w:name="_10.3.3.5C_Contested_hearing"/>
      <w:bookmarkStart w:id="152" w:name="_Hlk164835213"/>
      <w:bookmarkStart w:id="153" w:name="_Hlk202246320"/>
      <w:bookmarkEnd w:id="151"/>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2"/>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bookmarkEnd w:id="153"/>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Incerti J &amp; Jane 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 xml:space="preserve">The onus of proof is on the prosecution and the accused comes to this Court with the presumption of innocence in his favour. The accused is regarded as innocent unless and until the prosecution has proved his guilt beyond reasonable doubt. In order to do so, the </w:t>
      </w:r>
      <w:r w:rsidR="00EA58BE" w:rsidRPr="0067504C">
        <w:rPr>
          <w:rFonts w:ascii="Arial" w:hAnsi="Arial" w:cs="Arial"/>
          <w:sz w:val="20"/>
          <w:szCs w:val="20"/>
        </w:rPr>
        <w:lastRenderedPageBreak/>
        <w:t>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lastRenderedPageBreak/>
        <w:t xml:space="preserve">Sections 15 &amp; 16 of the JDA provide that the trial judge must not give the jury a direction that has not been requested under s.12 unless the trial judge considers that there are substantial and compelling 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7B8BD858" w14:textId="77777777" w:rsidR="00CF4BD2" w:rsidRDefault="00CF4BD2" w:rsidP="00CF4BD2">
      <w:pPr>
        <w:jc w:val="both"/>
        <w:rPr>
          <w:rFonts w:ascii="Arial" w:hAnsi="Arial" w:cs="Arial"/>
          <w:sz w:val="20"/>
        </w:rPr>
      </w:pPr>
      <w:r>
        <w:rPr>
          <w:rFonts w:ascii="Arial" w:hAnsi="Arial" w:cs="Arial"/>
          <w:sz w:val="20"/>
        </w:rPr>
        <w:t xml:space="preserve">In </w:t>
      </w:r>
      <w:r w:rsidRPr="00A305E3">
        <w:rPr>
          <w:rFonts w:ascii="Arial" w:hAnsi="Arial" w:cs="Arial"/>
          <w:i/>
          <w:iCs/>
          <w:sz w:val="20"/>
        </w:rPr>
        <w:t>The King v Churchill (a pseudonym)</w:t>
      </w:r>
      <w:r>
        <w:rPr>
          <w:rFonts w:ascii="Arial" w:hAnsi="Arial" w:cs="Arial"/>
          <w:sz w:val="20"/>
        </w:rPr>
        <w:t xml:space="preserve"> [2025] HCA 11 </w:t>
      </w:r>
      <w:r w:rsidRPr="00787056">
        <w:rPr>
          <w:rFonts w:ascii="Arial" w:hAnsi="Arial" w:cs="Arial"/>
          <w:sz w:val="20"/>
        </w:rPr>
        <w:t xml:space="preserve">the respondent </w:t>
      </w:r>
      <w:r>
        <w:rPr>
          <w:rFonts w:ascii="Arial" w:hAnsi="Arial" w:cs="Arial"/>
          <w:sz w:val="20"/>
        </w:rPr>
        <w:t>had been</w:t>
      </w:r>
      <w:r w:rsidRPr="00787056">
        <w:rPr>
          <w:rFonts w:ascii="Arial" w:hAnsi="Arial" w:cs="Arial"/>
          <w:sz w:val="20"/>
        </w:rPr>
        <w:t xml:space="preserve"> found guilty </w:t>
      </w:r>
      <w:r>
        <w:rPr>
          <w:rFonts w:ascii="Arial" w:hAnsi="Arial" w:cs="Arial"/>
          <w:sz w:val="20"/>
        </w:rPr>
        <w:t>of two offences of incest in 2005 against hi</w:t>
      </w:r>
      <w:r w:rsidRPr="00787056">
        <w:rPr>
          <w:rFonts w:ascii="Arial" w:hAnsi="Arial" w:cs="Arial"/>
          <w:sz w:val="20"/>
        </w:rPr>
        <w:t xml:space="preserve">s </w:t>
      </w:r>
      <w:r>
        <w:rPr>
          <w:rFonts w:ascii="Arial" w:hAnsi="Arial" w:cs="Arial"/>
          <w:sz w:val="20"/>
        </w:rPr>
        <w:t xml:space="preserve">then 13 or 14 year old stepdaughter. The issue on appeal was in relation to directions given by the trial judge to the jury on the use they could make of </w:t>
      </w:r>
      <w:r w:rsidRPr="00A305E3">
        <w:rPr>
          <w:rFonts w:ascii="Arial" w:hAnsi="Arial" w:cs="Arial"/>
          <w:sz w:val="20"/>
        </w:rPr>
        <w:t>pre</w:t>
      </w:r>
      <w:r>
        <w:rPr>
          <w:rFonts w:ascii="Arial" w:hAnsi="Arial" w:cs="Arial"/>
          <w:sz w:val="20"/>
        </w:rPr>
        <w:t>-</w:t>
      </w:r>
      <w:r w:rsidRPr="00A305E3">
        <w:rPr>
          <w:rFonts w:ascii="Arial" w:hAnsi="Arial" w:cs="Arial"/>
          <w:sz w:val="20"/>
        </w:rPr>
        <w:t xml:space="preserve">trial distress evidence </w:t>
      </w:r>
      <w:r>
        <w:rPr>
          <w:rFonts w:ascii="Arial" w:hAnsi="Arial" w:cs="Arial"/>
          <w:sz w:val="20"/>
        </w:rPr>
        <w:t xml:space="preserve">by the complainant. The Court of Appeal had allowed the respondent’s appeal and quashed the convictions: see [2024] VSCA 151. The High Court allowed the Crown appeal, set aside the Court of Appeal’s orders quashing the convictions and dismissed the respondent’s appeal to the Court of Appeal. At [1]-[4] </w:t>
      </w:r>
      <w:proofErr w:type="spellStart"/>
      <w:r>
        <w:rPr>
          <w:rFonts w:ascii="Arial" w:hAnsi="Arial" w:cs="Arial"/>
          <w:sz w:val="20"/>
        </w:rPr>
        <w:t>Gageler</w:t>
      </w:r>
      <w:proofErr w:type="spellEnd"/>
      <w:r>
        <w:rPr>
          <w:rFonts w:ascii="Arial" w:hAnsi="Arial" w:cs="Arial"/>
          <w:sz w:val="20"/>
        </w:rPr>
        <w:t xml:space="preserve"> CJ, Gordon, Gleeson, Jagot &amp; Beech-Jones JJ said:</w:t>
      </w:r>
    </w:p>
    <w:p w14:paraId="3EF79211" w14:textId="77777777" w:rsidR="00CF4BD2" w:rsidRDefault="00CF4BD2" w:rsidP="00CF4BD2">
      <w:pPr>
        <w:spacing w:before="80"/>
        <w:ind w:left="567" w:right="567"/>
        <w:jc w:val="both"/>
        <w:rPr>
          <w:rFonts w:ascii="Arial" w:hAnsi="Arial" w:cs="Arial"/>
          <w:sz w:val="20"/>
        </w:rPr>
      </w:pPr>
      <w:r>
        <w:rPr>
          <w:rFonts w:ascii="Arial" w:hAnsi="Arial" w:cs="Arial"/>
          <w:sz w:val="20"/>
        </w:rPr>
        <w:lastRenderedPageBreak/>
        <w:t>[1] “</w:t>
      </w:r>
      <w:r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Pr="00787056">
        <w:rPr>
          <w:rFonts w:ascii="Arial" w:hAnsi="Arial" w:cs="Arial"/>
          <w:sz w:val="20"/>
        </w:rPr>
        <w:t xml:space="preserve">is whether, in a trial of a sexual offence governed by the </w:t>
      </w:r>
      <w:r w:rsidRPr="00416D08">
        <w:rPr>
          <w:rFonts w:ascii="Arial" w:hAnsi="Arial" w:cs="Arial"/>
          <w:i/>
          <w:iCs/>
          <w:sz w:val="20"/>
        </w:rPr>
        <w:t>Evidence Act 2008</w:t>
      </w:r>
      <w:r w:rsidRPr="00787056">
        <w:rPr>
          <w:rFonts w:ascii="Arial" w:hAnsi="Arial" w:cs="Arial"/>
          <w:sz w:val="20"/>
        </w:rPr>
        <w:t xml:space="preserve"> (Vic) and the </w:t>
      </w:r>
      <w:r w:rsidRPr="00416D08">
        <w:rPr>
          <w:rFonts w:ascii="Arial" w:hAnsi="Arial" w:cs="Arial"/>
          <w:i/>
          <w:iCs/>
          <w:sz w:val="20"/>
        </w:rPr>
        <w:t>Jury Directions Act 2015</w:t>
      </w:r>
      <w:r w:rsidRPr="00787056">
        <w:rPr>
          <w:rFonts w:ascii="Arial" w:hAnsi="Arial" w:cs="Arial"/>
          <w:sz w:val="20"/>
        </w:rPr>
        <w:t xml:space="preserve"> (Vic)</w:t>
      </w:r>
      <w:r>
        <w:rPr>
          <w:rFonts w:ascii="Arial" w:hAnsi="Arial" w:cs="Arial"/>
          <w:sz w:val="20"/>
        </w:rPr>
        <w:t xml:space="preserve"> [JDA]</w:t>
      </w:r>
      <w:r w:rsidRPr="00787056">
        <w:rPr>
          <w:rFonts w:ascii="Arial" w:hAnsi="Arial" w:cs="Arial"/>
          <w:sz w:val="20"/>
        </w:rPr>
        <w:t>, where evidence that the complainant was distressed at the time of making a pre</w:t>
      </w:r>
      <w:r>
        <w:rPr>
          <w:rFonts w:ascii="Arial" w:hAnsi="Arial" w:cs="Arial"/>
          <w:sz w:val="20"/>
        </w:rPr>
        <w:noBreakHyphen/>
      </w:r>
      <w:r w:rsidRPr="00787056">
        <w:rPr>
          <w:rFonts w:ascii="Arial" w:hAnsi="Arial" w:cs="Arial"/>
          <w:sz w:val="20"/>
        </w:rPr>
        <w:t xml:space="preserve">trial complaint was relied upon by the prosecution to support the complainant's version of events, there are </w:t>
      </w:r>
      <w:r>
        <w:rPr>
          <w:rFonts w:ascii="Arial" w:hAnsi="Arial" w:cs="Arial"/>
          <w:sz w:val="20"/>
        </w:rPr>
        <w:t>‘</w:t>
      </w:r>
      <w:r w:rsidRPr="00787056">
        <w:rPr>
          <w:rFonts w:ascii="Arial" w:hAnsi="Arial" w:cs="Arial"/>
          <w:sz w:val="20"/>
        </w:rPr>
        <w:t>substantial and compelling reasons</w:t>
      </w:r>
      <w:r>
        <w:rPr>
          <w:rFonts w:ascii="Arial" w:hAnsi="Arial" w:cs="Arial"/>
          <w:sz w:val="20"/>
        </w:rPr>
        <w:t>’</w:t>
      </w:r>
      <w:r w:rsidRPr="00787056">
        <w:rPr>
          <w:rFonts w:ascii="Arial" w:hAnsi="Arial" w:cs="Arial"/>
          <w:sz w:val="20"/>
        </w:rPr>
        <w:t xml:space="preserve"> </w:t>
      </w:r>
      <w:r>
        <w:rPr>
          <w:rFonts w:ascii="Arial" w:hAnsi="Arial" w:cs="Arial"/>
          <w:sz w:val="20"/>
        </w:rPr>
        <w:t xml:space="preserve">[s.16 JDA] </w:t>
      </w:r>
      <w:r w:rsidRPr="00787056">
        <w:rPr>
          <w:rFonts w:ascii="Arial" w:hAnsi="Arial" w:cs="Arial"/>
          <w:sz w:val="20"/>
        </w:rPr>
        <w:t>for the trial judge to warn the jury that:</w:t>
      </w:r>
    </w:p>
    <w:p w14:paraId="3AAB77CF" w14:textId="77777777" w:rsidR="00CF4BD2" w:rsidRDefault="00CF4BD2" w:rsidP="00CF4BD2">
      <w:pPr>
        <w:ind w:left="924" w:right="567" w:hanging="357"/>
        <w:jc w:val="both"/>
        <w:rPr>
          <w:rFonts w:ascii="Arial" w:hAnsi="Arial" w:cs="Arial"/>
          <w:sz w:val="20"/>
        </w:rPr>
      </w:pPr>
      <w:r w:rsidRPr="00787056">
        <w:rPr>
          <w:rFonts w:ascii="Arial" w:hAnsi="Arial" w:cs="Arial"/>
          <w:sz w:val="20"/>
        </w:rPr>
        <w:t>(1)</w:t>
      </w:r>
      <w:r>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5F200DAC" w14:textId="77777777" w:rsidR="00CF4BD2" w:rsidRDefault="00CF4BD2" w:rsidP="00CF4BD2">
      <w:pPr>
        <w:ind w:left="924" w:right="567" w:hanging="357"/>
        <w:jc w:val="both"/>
        <w:rPr>
          <w:rFonts w:ascii="Arial" w:hAnsi="Arial" w:cs="Arial"/>
          <w:sz w:val="20"/>
        </w:rPr>
      </w:pPr>
      <w:r w:rsidRPr="00787056">
        <w:rPr>
          <w:rFonts w:ascii="Arial" w:hAnsi="Arial" w:cs="Arial"/>
          <w:sz w:val="20"/>
        </w:rPr>
        <w:t>(2)</w:t>
      </w:r>
      <w:r>
        <w:rPr>
          <w:rFonts w:ascii="Arial" w:hAnsi="Arial" w:cs="Arial"/>
          <w:sz w:val="20"/>
        </w:rPr>
        <w:tab/>
      </w:r>
      <w:r w:rsidRPr="00787056">
        <w:rPr>
          <w:rFonts w:ascii="Arial" w:hAnsi="Arial" w:cs="Arial"/>
          <w:sz w:val="20"/>
        </w:rPr>
        <w:t>such evidence generally carries little weight.</w:t>
      </w:r>
    </w:p>
    <w:p w14:paraId="6BB978A4" w14:textId="77777777" w:rsidR="00CF4BD2" w:rsidRDefault="00CF4BD2" w:rsidP="00CF4BD2">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455620C4"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2</w:t>
      </w:r>
      <w:r>
        <w:rPr>
          <w:rFonts w:ascii="Arial" w:hAnsi="Arial" w:cs="Arial"/>
          <w:sz w:val="20"/>
        </w:rPr>
        <w:t>]</w:t>
      </w:r>
      <w:r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Pr="00C50E61">
        <w:rPr>
          <w:rFonts w:ascii="Arial" w:hAnsi="Arial" w:cs="Arial"/>
          <w:i/>
          <w:iCs/>
          <w:sz w:val="20"/>
        </w:rPr>
        <w:t>Crimes Act 1958</w:t>
      </w:r>
      <w:r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Pr="00C50E61">
        <w:rPr>
          <w:rFonts w:ascii="Arial" w:hAnsi="Arial" w:cs="Arial"/>
          <w:i/>
          <w:iCs/>
          <w:sz w:val="20"/>
        </w:rPr>
        <w:t xml:space="preserve">Criminal Procedure Act 2009 </w:t>
      </w:r>
      <w:r w:rsidRPr="00787056">
        <w:rPr>
          <w:rFonts w:ascii="Arial" w:hAnsi="Arial" w:cs="Arial"/>
          <w:sz w:val="20"/>
        </w:rPr>
        <w:t>(Vic).</w:t>
      </w:r>
    </w:p>
    <w:p w14:paraId="1433DC58"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3</w:t>
      </w:r>
      <w:r>
        <w:rPr>
          <w:rFonts w:ascii="Arial" w:hAnsi="Arial" w:cs="Arial"/>
          <w:sz w:val="20"/>
        </w:rPr>
        <w:t>]</w:t>
      </w:r>
      <w:r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Pr="00C50E61">
        <w:rPr>
          <w:rFonts w:ascii="Arial" w:hAnsi="Arial" w:cs="Arial"/>
          <w:i/>
          <w:iCs/>
          <w:sz w:val="20"/>
        </w:rPr>
        <w:t>Evidence Act</w:t>
      </w:r>
      <w:r w:rsidRPr="00787056">
        <w:rPr>
          <w:rFonts w:ascii="Arial" w:hAnsi="Arial" w:cs="Arial"/>
          <w:sz w:val="20"/>
        </w:rPr>
        <w:t xml:space="preserve"> on either or both of two bases: as evidence that, if accepted, could</w:t>
      </w:r>
      <w:r>
        <w:rPr>
          <w:rFonts w:ascii="Arial" w:hAnsi="Arial" w:cs="Arial"/>
          <w:sz w:val="20"/>
        </w:rPr>
        <w:t>–</w:t>
      </w:r>
    </w:p>
    <w:p w14:paraId="2498C6FB"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Pr>
          <w:rFonts w:ascii="Arial" w:hAnsi="Arial" w:cs="Arial"/>
          <w:sz w:val="20"/>
        </w:rPr>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Pr="00C50E61">
        <w:rPr>
          <w:rFonts w:ascii="Arial" w:hAnsi="Arial" w:cs="Arial"/>
          <w:sz w:val="20"/>
        </w:rPr>
        <w:t>the jury were to find a causal connection between the distress and the making of the complaint</w:t>
      </w:r>
      <w:r>
        <w:rPr>
          <w:rFonts w:ascii="Arial" w:hAnsi="Arial" w:cs="Arial"/>
          <w:sz w:val="20"/>
        </w:rPr>
        <w:t xml:space="preserve"> [s.55(2)(a) of the </w:t>
      </w:r>
      <w:r w:rsidRPr="00C50E61">
        <w:rPr>
          <w:rFonts w:ascii="Arial" w:hAnsi="Arial" w:cs="Arial"/>
          <w:i/>
          <w:iCs/>
          <w:sz w:val="20"/>
        </w:rPr>
        <w:t>Evidence Act</w:t>
      </w:r>
      <w:r>
        <w:rPr>
          <w:rFonts w:ascii="Arial" w:hAnsi="Arial" w:cs="Arial"/>
          <w:sz w:val="20"/>
        </w:rPr>
        <w:t xml:space="preserve"> provides that evidence is not to be taken to be irrelevant only because it relates to the credibility of a witness]; and</w:t>
      </w:r>
    </w:p>
    <w:p w14:paraId="141648B4" w14:textId="77777777" w:rsidR="00CF4BD2" w:rsidRDefault="00CF4BD2" w:rsidP="00CF4BD2">
      <w:pPr>
        <w:pStyle w:val="ListParagraph"/>
        <w:numPr>
          <w:ilvl w:val="0"/>
          <w:numId w:val="103"/>
        </w:numPr>
        <w:ind w:left="924" w:right="567" w:hanging="357"/>
        <w:contextualSpacing w:val="0"/>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35EFD9BD" w14:textId="77777777" w:rsidR="00CF4BD2" w:rsidRPr="00C50E61" w:rsidRDefault="00CF4BD2" w:rsidP="00CF4BD2">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Pr>
          <w:rFonts w:ascii="Arial" w:hAnsi="Arial" w:cs="Arial"/>
          <w:sz w:val="20"/>
        </w:rPr>
        <w:t xml:space="preserve"> subject to the potential for exclusion or limitation in the circumstances of a particular case under ss.66, 135, 136 or 137 of the </w:t>
      </w:r>
      <w:r w:rsidRPr="00C50E61">
        <w:rPr>
          <w:rFonts w:ascii="Arial" w:hAnsi="Arial" w:cs="Arial"/>
          <w:i/>
          <w:iCs/>
          <w:sz w:val="20"/>
        </w:rPr>
        <w:t>Evidence Act</w:t>
      </w:r>
      <w:r>
        <w:rPr>
          <w:rFonts w:ascii="Arial" w:hAnsi="Arial" w:cs="Arial"/>
          <w:sz w:val="20"/>
        </w:rPr>
        <w:t>.</w:t>
      </w:r>
    </w:p>
    <w:p w14:paraId="4D80F1EA" w14:textId="77777777" w:rsidR="00CF4BD2" w:rsidRDefault="00CF4BD2" w:rsidP="00CF4BD2">
      <w:pPr>
        <w:spacing w:before="80"/>
        <w:ind w:left="567" w:right="567"/>
        <w:jc w:val="both"/>
        <w:rPr>
          <w:rFonts w:ascii="Arial" w:hAnsi="Arial" w:cs="Arial"/>
          <w:sz w:val="20"/>
        </w:rPr>
      </w:pPr>
      <w:r>
        <w:rPr>
          <w:rFonts w:ascii="Arial" w:hAnsi="Arial" w:cs="Arial"/>
          <w:sz w:val="20"/>
        </w:rPr>
        <w:t>[</w:t>
      </w:r>
      <w:r w:rsidRPr="00787056">
        <w:rPr>
          <w:rFonts w:ascii="Arial" w:hAnsi="Arial" w:cs="Arial"/>
          <w:sz w:val="20"/>
        </w:rPr>
        <w:t>4</w:t>
      </w:r>
      <w:r>
        <w:rPr>
          <w:rFonts w:ascii="Arial" w:hAnsi="Arial" w:cs="Arial"/>
          <w:sz w:val="20"/>
        </w:rPr>
        <w:t>]</w:t>
      </w:r>
      <w:r w:rsidRPr="00787056">
        <w:rPr>
          <w:rFonts w:ascii="Arial" w:hAnsi="Arial" w:cs="Arial"/>
          <w:sz w:val="20"/>
        </w:rPr>
        <w:t xml:space="preserve"> Evidence that a complainant was distressed at the time of making a pre-trial complaint is not evidence </w:t>
      </w:r>
      <w:r>
        <w:rPr>
          <w:rFonts w:ascii="Arial" w:hAnsi="Arial" w:cs="Arial"/>
          <w:sz w:val="20"/>
        </w:rPr>
        <w:t>‘</w:t>
      </w:r>
      <w:r w:rsidRPr="00787056">
        <w:rPr>
          <w:rFonts w:ascii="Arial" w:hAnsi="Arial" w:cs="Arial"/>
          <w:sz w:val="20"/>
        </w:rPr>
        <w:t>of a kind that may be unreliable</w:t>
      </w:r>
      <w:r>
        <w:rPr>
          <w:rFonts w:ascii="Arial" w:hAnsi="Arial" w:cs="Arial"/>
          <w:sz w:val="20"/>
        </w:rPr>
        <w:t>’</w:t>
      </w:r>
      <w:r w:rsidRPr="00787056">
        <w:rPr>
          <w:rFonts w:ascii="Arial" w:hAnsi="Arial" w:cs="Arial"/>
          <w:sz w:val="20"/>
        </w:rPr>
        <w:t xml:space="preserve"> under </w:t>
      </w:r>
      <w:r>
        <w:rPr>
          <w:rFonts w:ascii="Arial" w:hAnsi="Arial" w:cs="Arial"/>
          <w:sz w:val="20"/>
        </w:rPr>
        <w:t xml:space="preserve">s.31 of </w:t>
      </w:r>
      <w:r w:rsidRPr="00787056">
        <w:rPr>
          <w:rFonts w:ascii="Arial" w:hAnsi="Arial" w:cs="Arial"/>
          <w:sz w:val="20"/>
        </w:rPr>
        <w:t xml:space="preserve">the </w:t>
      </w:r>
      <w:r w:rsidRPr="00C50E61">
        <w:rPr>
          <w:rFonts w:ascii="Arial" w:hAnsi="Arial" w:cs="Arial"/>
          <w:sz w:val="20"/>
        </w:rPr>
        <w:t>JDA.</w:t>
      </w:r>
      <w:r w:rsidRPr="00787056">
        <w:rPr>
          <w:rFonts w:ascii="Arial" w:hAnsi="Arial" w:cs="Arial"/>
          <w:sz w:val="20"/>
        </w:rPr>
        <w:t xml:space="preserve"> Therefore, the </w:t>
      </w:r>
      <w:r w:rsidRPr="00C50E61">
        <w:rPr>
          <w:rFonts w:ascii="Arial" w:hAnsi="Arial" w:cs="Arial"/>
          <w:sz w:val="20"/>
        </w:rPr>
        <w:t xml:space="preserve">JDA </w:t>
      </w:r>
      <w:r w:rsidRPr="00787056">
        <w:rPr>
          <w:rFonts w:ascii="Arial" w:hAnsi="Arial" w:cs="Arial"/>
          <w:sz w:val="20"/>
        </w:rPr>
        <w:t xml:space="preserve">does not permit a prosecutor or defence counsel to request the trial judge to direct the jury that such evidence is </w:t>
      </w:r>
      <w:r>
        <w:rPr>
          <w:rFonts w:ascii="Arial" w:hAnsi="Arial" w:cs="Arial"/>
          <w:sz w:val="20"/>
        </w:rPr>
        <w:t>‘</w:t>
      </w:r>
      <w:r w:rsidRPr="00787056">
        <w:rPr>
          <w:rFonts w:ascii="Arial" w:hAnsi="Arial" w:cs="Arial"/>
          <w:sz w:val="20"/>
        </w:rPr>
        <w:t>of a kind that may be unreliable</w:t>
      </w:r>
      <w:r>
        <w:rPr>
          <w:rFonts w:ascii="Arial" w:hAnsi="Arial" w:cs="Arial"/>
          <w:sz w:val="20"/>
        </w:rPr>
        <w:t xml:space="preserve">’: see s.34(1) of the JDA read with ss.32, 12 &amp; 14. </w:t>
      </w:r>
      <w:r w:rsidRPr="00787056">
        <w:rPr>
          <w:rFonts w:ascii="Arial" w:hAnsi="Arial" w:cs="Arial"/>
          <w:sz w:val="20"/>
        </w:rPr>
        <w:t>Any rule of the common law to the contrary is abolished</w:t>
      </w:r>
      <w:r>
        <w:rPr>
          <w:rFonts w:ascii="Arial" w:hAnsi="Arial" w:cs="Arial"/>
          <w:sz w:val="20"/>
        </w:rPr>
        <w:t>: s.34(2) of the JDA</w:t>
      </w:r>
      <w:r w:rsidRPr="00787056">
        <w:rPr>
          <w:rFonts w:ascii="Arial" w:hAnsi="Arial" w:cs="Arial"/>
          <w:sz w:val="20"/>
        </w:rPr>
        <w:t>.</w:t>
      </w:r>
      <w:r>
        <w:rPr>
          <w:rFonts w:ascii="Arial" w:hAnsi="Arial" w:cs="Arial"/>
          <w:sz w:val="20"/>
        </w:rPr>
        <w:t xml:space="preserve"> </w:t>
      </w:r>
      <w:r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Pr>
          <w:rFonts w:ascii="Arial" w:hAnsi="Arial" w:cs="Arial"/>
          <w:sz w:val="20"/>
        </w:rPr>
        <w:t>: s.16 of the JDA.”</w:t>
      </w:r>
    </w:p>
    <w:p w14:paraId="3EC1251F" w14:textId="77777777" w:rsidR="00B32FB2" w:rsidRDefault="00B32FB2" w:rsidP="00995462">
      <w:pPr>
        <w:jc w:val="both"/>
        <w:rPr>
          <w:rFonts w:ascii="Arial" w:hAnsi="Arial" w:cs="Arial"/>
          <w:color w:val="000000"/>
          <w:sz w:val="20"/>
          <w:szCs w:val="20"/>
        </w:rPr>
      </w:pPr>
    </w:p>
    <w:p w14:paraId="7C43DAEF" w14:textId="77777777" w:rsidR="000A2449" w:rsidRDefault="00F93A6E" w:rsidP="000A2449">
      <w:pPr>
        <w:jc w:val="both"/>
        <w:rPr>
          <w:rFonts w:ascii="Arial" w:hAnsi="Arial" w:cs="Arial"/>
          <w:color w:val="000000"/>
          <w:sz w:val="20"/>
          <w:szCs w:val="20"/>
        </w:rPr>
      </w:pPr>
      <w:r>
        <w:rPr>
          <w:rFonts w:ascii="Arial" w:hAnsi="Arial" w:cs="Arial"/>
          <w:color w:val="000000"/>
          <w:sz w:val="20"/>
          <w:szCs w:val="20"/>
        </w:rPr>
        <w:t xml:space="preserve">In </w:t>
      </w:r>
      <w:r w:rsidRPr="00F93A6E">
        <w:rPr>
          <w:rFonts w:ascii="Arial" w:hAnsi="Arial" w:cs="Arial"/>
          <w:i/>
          <w:iCs/>
          <w:color w:val="000000"/>
          <w:sz w:val="20"/>
          <w:szCs w:val="20"/>
        </w:rPr>
        <w:t>R v Crupi (Ruling No 3)</w:t>
      </w:r>
      <w:r>
        <w:rPr>
          <w:rFonts w:ascii="Arial" w:hAnsi="Arial" w:cs="Arial"/>
          <w:color w:val="000000"/>
          <w:sz w:val="20"/>
          <w:szCs w:val="20"/>
        </w:rPr>
        <w:t xml:space="preserve"> [2020] VSC 783 the accused was charged with murder. The identity of the shooter was in dispute. </w:t>
      </w:r>
      <w:r w:rsidR="000A2449">
        <w:rPr>
          <w:rFonts w:ascii="Arial" w:hAnsi="Arial" w:cs="Arial"/>
          <w:color w:val="000000"/>
          <w:sz w:val="20"/>
          <w:szCs w:val="20"/>
        </w:rPr>
        <w:t>Beale J held that evidence that the accused had set fire to the deceased’s restaurant approximately 7 weeks before the shooting was admissible in the murder trial as evidence of a motive to kill notwithstanding that other evidence of the accused’s animosity to the accused was available to the prosecution. In admitting the impugned evidence his Honour said at [21]-[23]:</w:t>
      </w:r>
    </w:p>
    <w:p w14:paraId="375A8B24" w14:textId="1CD6EF95" w:rsidR="000A2449" w:rsidRDefault="000A2449" w:rsidP="000A2449">
      <w:pPr>
        <w:spacing w:before="80"/>
        <w:ind w:left="567" w:right="567"/>
        <w:jc w:val="both"/>
        <w:rPr>
          <w:rFonts w:ascii="Arial" w:hAnsi="Arial" w:cs="Arial"/>
          <w:sz w:val="20"/>
        </w:rPr>
      </w:pPr>
      <w:r>
        <w:rPr>
          <w:rFonts w:ascii="Arial" w:hAnsi="Arial" w:cs="Arial"/>
          <w:sz w:val="20"/>
        </w:rPr>
        <w:t>[21] “</w:t>
      </w:r>
      <w:r w:rsidRPr="000A2449">
        <w:rPr>
          <w:rFonts w:ascii="Arial" w:hAnsi="Arial" w:cs="Arial"/>
          <w:color w:val="000000"/>
          <w:sz w:val="20"/>
          <w:szCs w:val="20"/>
        </w:rPr>
        <w:t>I consider that the probative value of the evidence is high. The fact that there is other evidence of animus does not diminish the probative value of the impugned evidence, which has the capacity to provide the jury with greater insight into the depths of D’s feelings about V. Actions speak louder than words. That is especially so of extreme actions such as arson.</w:t>
      </w:r>
    </w:p>
    <w:p w14:paraId="4D7FD5A0" w14:textId="6484ECBC" w:rsidR="000A2449" w:rsidRDefault="000A2449" w:rsidP="000A2449">
      <w:pPr>
        <w:spacing w:before="80"/>
        <w:ind w:left="567" w:right="567"/>
        <w:jc w:val="both"/>
        <w:rPr>
          <w:rFonts w:ascii="Arial" w:hAnsi="Arial" w:cs="Arial"/>
          <w:sz w:val="20"/>
        </w:rPr>
      </w:pPr>
      <w:r>
        <w:rPr>
          <w:rFonts w:ascii="Arial" w:hAnsi="Arial" w:cs="Arial"/>
          <w:sz w:val="20"/>
        </w:rPr>
        <w:t xml:space="preserve">[22] </w:t>
      </w:r>
      <w:r w:rsidRPr="000A2449">
        <w:rPr>
          <w:rFonts w:ascii="Arial" w:hAnsi="Arial" w:cs="Arial"/>
          <w:color w:val="000000"/>
          <w:sz w:val="20"/>
          <w:szCs w:val="20"/>
        </w:rPr>
        <w:t xml:space="preserve">The danger of rank propensity reasoning can be ameliorated if not eliminated by a direction in accordance with s 29 of the </w:t>
      </w:r>
      <w:r w:rsidRPr="000A2449">
        <w:rPr>
          <w:rFonts w:ascii="Arial" w:hAnsi="Arial" w:cs="Arial"/>
          <w:i/>
          <w:iCs/>
          <w:color w:val="000000"/>
          <w:sz w:val="20"/>
          <w:szCs w:val="20"/>
        </w:rPr>
        <w:t>Jury Directions Act 2015</w:t>
      </w:r>
      <w:r w:rsidRPr="000A2449">
        <w:rPr>
          <w:rFonts w:ascii="Arial" w:hAnsi="Arial" w:cs="Arial"/>
          <w:color w:val="000000"/>
          <w:sz w:val="20"/>
          <w:szCs w:val="20"/>
        </w:rPr>
        <w:t xml:space="preserve"> (Vic). Assisted by such a </w:t>
      </w:r>
      <w:r w:rsidRPr="000A2449">
        <w:rPr>
          <w:rFonts w:ascii="Arial" w:hAnsi="Arial" w:cs="Arial"/>
          <w:color w:val="000000"/>
          <w:sz w:val="20"/>
          <w:szCs w:val="20"/>
        </w:rPr>
        <w:lastRenderedPageBreak/>
        <w:t>direction, the jury can reasonably be expected to discriminate between legitimate reasoning (if D lit the fire, he harboured intense hostility for V at a time proximate to the shooting and thus had a motive to kill him) and illegitimate reasoning (D is an arsonist and therefore the kind of person who would commit murder). In my view, the risk of illegitimate reasoning by the jury is also reduced by the fact that the uncharged act is not an offence of physical violence against another person.</w:t>
      </w:r>
    </w:p>
    <w:p w14:paraId="4327B3F1" w14:textId="1DDEAC8A" w:rsidR="000A2449" w:rsidRDefault="000A2449" w:rsidP="000A2449">
      <w:pPr>
        <w:spacing w:before="80"/>
        <w:ind w:left="567" w:right="567"/>
        <w:jc w:val="both"/>
        <w:rPr>
          <w:rFonts w:ascii="Arial" w:hAnsi="Arial" w:cs="Arial"/>
          <w:sz w:val="20"/>
        </w:rPr>
      </w:pPr>
      <w:r>
        <w:rPr>
          <w:rFonts w:ascii="Arial" w:hAnsi="Arial" w:cs="Arial"/>
          <w:sz w:val="20"/>
        </w:rPr>
        <w:t xml:space="preserve">[23] </w:t>
      </w:r>
      <w:r w:rsidRPr="000A2449">
        <w:rPr>
          <w:rFonts w:ascii="Arial" w:hAnsi="Arial" w:cs="Arial"/>
          <w:color w:val="000000"/>
          <w:sz w:val="20"/>
          <w:szCs w:val="20"/>
        </w:rPr>
        <w:t>Consequently, the impugned evidence has probative value which is not outweighed by the danger of unfair prejudice (s 137</w:t>
      </w:r>
      <w:r>
        <w:rPr>
          <w:rFonts w:ascii="Arial" w:hAnsi="Arial" w:cs="Arial"/>
          <w:color w:val="000000"/>
          <w:sz w:val="20"/>
          <w:szCs w:val="20"/>
        </w:rPr>
        <w:t xml:space="preserve"> [</w:t>
      </w:r>
      <w:r w:rsidRPr="000A2449">
        <w:rPr>
          <w:rFonts w:ascii="Arial" w:hAnsi="Arial" w:cs="Arial"/>
          <w:i/>
          <w:iCs/>
          <w:color w:val="000000"/>
          <w:sz w:val="20"/>
          <w:szCs w:val="20"/>
        </w:rPr>
        <w:t>Evidence Act</w:t>
      </w:r>
      <w:r w:rsidRPr="00095F39">
        <w:rPr>
          <w:rFonts w:ascii="Arial" w:hAnsi="Arial" w:cs="Arial"/>
          <w:color w:val="000000"/>
          <w:sz w:val="20"/>
          <w:szCs w:val="20"/>
        </w:rPr>
        <w:t>]</w:t>
      </w:r>
      <w:r w:rsidRPr="000A2449">
        <w:rPr>
          <w:rFonts w:ascii="Arial" w:hAnsi="Arial" w:cs="Arial"/>
          <w:color w:val="000000"/>
          <w:sz w:val="20"/>
          <w:szCs w:val="20"/>
        </w:rPr>
        <w:t>).</w:t>
      </w:r>
      <w:r>
        <w:rPr>
          <w:rFonts w:ascii="Arial" w:hAnsi="Arial" w:cs="Arial"/>
          <w:color w:val="000000"/>
          <w:sz w:val="20"/>
          <w:szCs w:val="20"/>
        </w:rPr>
        <w:t>”</w:t>
      </w:r>
    </w:p>
    <w:p w14:paraId="09FC75D0" w14:textId="77777777" w:rsidR="000A2449" w:rsidRDefault="000A2449" w:rsidP="00F30B9D">
      <w:pPr>
        <w:jc w:val="both"/>
        <w:rPr>
          <w:rFonts w:ascii="Arial" w:hAnsi="Arial" w:cs="Arial"/>
          <w:color w:val="000000"/>
          <w:sz w:val="20"/>
          <w:szCs w:val="20"/>
        </w:rPr>
      </w:pPr>
    </w:p>
    <w:p w14:paraId="2FA267DE" w14:textId="319B43CF" w:rsidR="008B18C1" w:rsidRDefault="008B18C1" w:rsidP="000A2449">
      <w:pPr>
        <w:jc w:val="both"/>
        <w:rPr>
          <w:rFonts w:ascii="Arial" w:hAnsi="Arial" w:cs="Arial"/>
          <w:color w:val="000000"/>
          <w:sz w:val="20"/>
          <w:szCs w:val="20"/>
        </w:rPr>
      </w:pPr>
      <w:r>
        <w:rPr>
          <w:rFonts w:ascii="Arial" w:hAnsi="Arial" w:cs="Arial"/>
          <w:color w:val="000000"/>
          <w:sz w:val="20"/>
          <w:szCs w:val="20"/>
        </w:rPr>
        <w:t xml:space="preserve">In </w:t>
      </w:r>
      <w:r w:rsidRPr="008B18C1">
        <w:rPr>
          <w:rFonts w:ascii="Arial" w:hAnsi="Arial" w:cs="Arial"/>
          <w:i/>
          <w:iCs/>
          <w:color w:val="000000"/>
          <w:sz w:val="20"/>
          <w:szCs w:val="20"/>
        </w:rPr>
        <w:t>Baker (a pseudonym) v The King</w:t>
      </w:r>
      <w:r>
        <w:rPr>
          <w:rFonts w:ascii="Arial" w:hAnsi="Arial" w:cs="Arial"/>
          <w:color w:val="000000"/>
          <w:sz w:val="20"/>
          <w:szCs w:val="20"/>
        </w:rPr>
        <w:t xml:space="preserve"> [2025] VSCA 139 the applicant had been found guilty of sexual offences against his stepdaughter, a child under 16. </w:t>
      </w:r>
      <w:r w:rsidR="00D07A38">
        <w:rPr>
          <w:rFonts w:ascii="Arial" w:hAnsi="Arial" w:cs="Arial"/>
          <w:color w:val="000000"/>
          <w:sz w:val="20"/>
          <w:szCs w:val="20"/>
        </w:rPr>
        <w:t xml:space="preserve">The Court of Appeal </w:t>
      </w:r>
      <w:r>
        <w:rPr>
          <w:rFonts w:ascii="Arial" w:hAnsi="Arial" w:cs="Arial"/>
          <w:color w:val="000000"/>
          <w:sz w:val="20"/>
          <w:szCs w:val="20"/>
        </w:rPr>
        <w:t xml:space="preserve">allowed </w:t>
      </w:r>
      <w:r w:rsidR="00D07A38">
        <w:rPr>
          <w:rFonts w:ascii="Arial" w:hAnsi="Arial" w:cs="Arial"/>
          <w:color w:val="000000"/>
          <w:sz w:val="20"/>
          <w:szCs w:val="20"/>
        </w:rPr>
        <w:t xml:space="preserve">his appeal and ordered </w:t>
      </w:r>
      <w:r>
        <w:rPr>
          <w:rFonts w:ascii="Arial" w:hAnsi="Arial" w:cs="Arial"/>
          <w:color w:val="000000"/>
          <w:sz w:val="20"/>
          <w:szCs w:val="20"/>
        </w:rPr>
        <w:t xml:space="preserve">a new trial on some of the charges on the </w:t>
      </w:r>
      <w:r w:rsidR="00CF78E8">
        <w:rPr>
          <w:rFonts w:ascii="Arial" w:hAnsi="Arial" w:cs="Arial"/>
          <w:color w:val="000000"/>
          <w:sz w:val="20"/>
          <w:szCs w:val="20"/>
        </w:rPr>
        <w:t>ground</w:t>
      </w:r>
      <w:r>
        <w:rPr>
          <w:rFonts w:ascii="Arial" w:hAnsi="Arial" w:cs="Arial"/>
          <w:color w:val="000000"/>
          <w:sz w:val="20"/>
          <w:szCs w:val="20"/>
        </w:rPr>
        <w:t xml:space="preserve"> that the prosecutor had impermissibly relied on evidence of incriminating conduct. </w:t>
      </w:r>
      <w:r w:rsidR="00D07A38">
        <w:rPr>
          <w:rFonts w:ascii="Arial" w:hAnsi="Arial" w:cs="Arial"/>
          <w:color w:val="000000"/>
          <w:sz w:val="20"/>
          <w:szCs w:val="20"/>
        </w:rPr>
        <w:t>At [90]-[9</w:t>
      </w:r>
      <w:r w:rsidR="00D6231F">
        <w:rPr>
          <w:rFonts w:ascii="Arial" w:hAnsi="Arial" w:cs="Arial"/>
          <w:color w:val="000000"/>
          <w:sz w:val="20"/>
          <w:szCs w:val="20"/>
        </w:rPr>
        <w:t>2</w:t>
      </w:r>
      <w:r w:rsidR="00D07A38">
        <w:rPr>
          <w:rFonts w:ascii="Arial" w:hAnsi="Arial" w:cs="Arial"/>
          <w:color w:val="000000"/>
          <w:sz w:val="20"/>
          <w:szCs w:val="20"/>
        </w:rPr>
        <w:t>] McLeish, Orr &amp; Kidd JJA said:</w:t>
      </w:r>
    </w:p>
    <w:p w14:paraId="507A5E42" w14:textId="585846CC" w:rsidR="00D07A38" w:rsidRDefault="00D07A38" w:rsidP="009A17FC">
      <w:pPr>
        <w:spacing w:before="60"/>
        <w:ind w:left="567" w:right="567"/>
        <w:jc w:val="both"/>
        <w:rPr>
          <w:rFonts w:ascii="Arial" w:hAnsi="Arial" w:cs="Arial"/>
          <w:sz w:val="20"/>
        </w:rPr>
      </w:pPr>
      <w:r>
        <w:rPr>
          <w:rFonts w:ascii="Arial" w:hAnsi="Arial" w:cs="Arial"/>
          <w:sz w:val="20"/>
        </w:rPr>
        <w:t>[90] “</w:t>
      </w:r>
      <w:r w:rsidRPr="00D07A38">
        <w:rPr>
          <w:rFonts w:ascii="Arial" w:hAnsi="Arial" w:cs="Arial"/>
          <w:color w:val="000000"/>
          <w:sz w:val="20"/>
          <w:szCs w:val="20"/>
        </w:rPr>
        <w:t>Evidence of post-offence conduct is a category of evidence that may be easily misused. Such evidence may be seductive to a jury, which may accord it an ‘unjustified sinister significance’, leading to a form of reasoning that is both invalid and unfair to an accused person.</w:t>
      </w:r>
      <w:r>
        <w:rPr>
          <w:rFonts w:ascii="Arial" w:hAnsi="Arial" w:cs="Arial"/>
          <w:color w:val="000000"/>
          <w:sz w:val="20"/>
          <w:szCs w:val="20"/>
        </w:rPr>
        <w:t xml:space="preserve"> </w:t>
      </w:r>
      <w:r w:rsidRPr="00D07A38">
        <w:rPr>
          <w:rFonts w:ascii="Arial" w:hAnsi="Arial" w:cs="Arial"/>
          <w:color w:val="000000"/>
          <w:sz w:val="20"/>
          <w:szCs w:val="20"/>
        </w:rPr>
        <w:t xml:space="preserve">See </w:t>
      </w:r>
      <w:proofErr w:type="spellStart"/>
      <w:r w:rsidRPr="00D07A38">
        <w:rPr>
          <w:rFonts w:ascii="Arial" w:hAnsi="Arial" w:cs="Arial"/>
          <w:i/>
          <w:iCs/>
          <w:color w:val="000000"/>
          <w:sz w:val="20"/>
          <w:szCs w:val="20"/>
        </w:rPr>
        <w:t>Mocenigo</w:t>
      </w:r>
      <w:proofErr w:type="spellEnd"/>
      <w:r w:rsidRPr="00D07A38">
        <w:rPr>
          <w:rFonts w:ascii="Arial" w:hAnsi="Arial" w:cs="Arial"/>
          <w:i/>
          <w:iCs/>
          <w:color w:val="000000"/>
          <w:sz w:val="20"/>
          <w:szCs w:val="20"/>
        </w:rPr>
        <w:t xml:space="preserve"> v The Queen</w:t>
      </w:r>
      <w:r w:rsidRPr="00D07A38">
        <w:rPr>
          <w:rFonts w:ascii="Arial" w:hAnsi="Arial" w:cs="Arial"/>
          <w:color w:val="000000"/>
          <w:sz w:val="20"/>
          <w:szCs w:val="20"/>
        </w:rPr>
        <w:t xml:space="preserve"> [2013] VSCA 231, [73]; </w:t>
      </w:r>
      <w:r w:rsidRPr="00D07A38">
        <w:rPr>
          <w:rFonts w:ascii="Arial" w:hAnsi="Arial" w:cs="Arial"/>
          <w:i/>
          <w:iCs/>
          <w:color w:val="000000"/>
          <w:sz w:val="20"/>
          <w:szCs w:val="20"/>
        </w:rPr>
        <w:t>Pompei</w:t>
      </w:r>
      <w:r w:rsidRPr="00D07A38">
        <w:rPr>
          <w:rFonts w:ascii="Arial" w:hAnsi="Arial" w:cs="Arial"/>
          <w:color w:val="000000"/>
          <w:sz w:val="20"/>
          <w:szCs w:val="20"/>
        </w:rPr>
        <w:t xml:space="preserve"> [2023] VSCA 71, [42]</w:t>
      </w:r>
      <w:proofErr w:type="gramStart"/>
      <w:r w:rsidRPr="00D07A38">
        <w:rPr>
          <w:rFonts w:ascii="Arial" w:hAnsi="Arial" w:cs="Arial"/>
          <w:color w:val="000000"/>
          <w:sz w:val="20"/>
          <w:szCs w:val="20"/>
        </w:rPr>
        <w:t>–[</w:t>
      </w:r>
      <w:proofErr w:type="gramEnd"/>
      <w:r w:rsidRPr="00D07A38">
        <w:rPr>
          <w:rFonts w:ascii="Arial" w:hAnsi="Arial" w:cs="Arial"/>
          <w:color w:val="000000"/>
          <w:sz w:val="20"/>
          <w:szCs w:val="20"/>
        </w:rPr>
        <w:t xml:space="preserve">43]; </w:t>
      </w:r>
      <w:r w:rsidRPr="00D07A38">
        <w:rPr>
          <w:rFonts w:ascii="Arial" w:hAnsi="Arial" w:cs="Arial"/>
          <w:i/>
          <w:iCs/>
          <w:color w:val="000000"/>
          <w:sz w:val="20"/>
          <w:szCs w:val="20"/>
        </w:rPr>
        <w:t>Hussain v The King</w:t>
      </w:r>
      <w:r w:rsidRPr="00D07A38">
        <w:rPr>
          <w:rFonts w:ascii="Arial" w:hAnsi="Arial" w:cs="Arial"/>
          <w:color w:val="000000"/>
          <w:sz w:val="20"/>
          <w:szCs w:val="20"/>
        </w:rPr>
        <w:t xml:space="preserve"> [2024] VSCA 288, [110].</w:t>
      </w:r>
      <w:r>
        <w:rPr>
          <w:rFonts w:ascii="Arial" w:hAnsi="Arial" w:cs="Arial"/>
          <w:color w:val="000000"/>
          <w:sz w:val="20"/>
          <w:szCs w:val="20"/>
        </w:rPr>
        <w:t xml:space="preserve"> </w:t>
      </w:r>
      <w:r w:rsidRPr="00D07A38">
        <w:rPr>
          <w:rFonts w:ascii="Arial" w:hAnsi="Arial" w:cs="Arial"/>
          <w:color w:val="000000"/>
          <w:sz w:val="20"/>
          <w:szCs w:val="20"/>
        </w:rPr>
        <w:t xml:space="preserve">The provisions in Division 1 of Part 4 of the </w:t>
      </w:r>
      <w:r w:rsidRPr="00B15AA6">
        <w:rPr>
          <w:rFonts w:ascii="Arial" w:hAnsi="Arial" w:cs="Arial"/>
          <w:i/>
          <w:iCs/>
          <w:color w:val="000000"/>
          <w:sz w:val="20"/>
          <w:szCs w:val="20"/>
        </w:rPr>
        <w:t>Jury Directions Act</w:t>
      </w:r>
      <w:r w:rsidRPr="00D07A38">
        <w:rPr>
          <w:rFonts w:ascii="Arial" w:hAnsi="Arial" w:cs="Arial"/>
          <w:color w:val="000000"/>
          <w:sz w:val="20"/>
          <w:szCs w:val="20"/>
        </w:rPr>
        <w:t xml:space="preserve"> </w:t>
      </w:r>
      <w:r>
        <w:rPr>
          <w:rFonts w:ascii="Arial" w:hAnsi="Arial" w:cs="Arial"/>
          <w:color w:val="000000"/>
          <w:sz w:val="20"/>
          <w:szCs w:val="20"/>
        </w:rPr>
        <w:t xml:space="preserve">[JDA] </w:t>
      </w:r>
      <w:r w:rsidRPr="00D07A38">
        <w:rPr>
          <w:rFonts w:ascii="Arial" w:hAnsi="Arial" w:cs="Arial"/>
          <w:color w:val="000000"/>
          <w:sz w:val="20"/>
          <w:szCs w:val="20"/>
        </w:rPr>
        <w:t>are designed to reflect and respond to this risk. In</w:t>
      </w:r>
      <w:r>
        <w:rPr>
          <w:rFonts w:ascii="Arial" w:hAnsi="Arial" w:cs="Arial"/>
          <w:color w:val="000000"/>
          <w:sz w:val="20"/>
          <w:szCs w:val="20"/>
        </w:rPr>
        <w:t> </w:t>
      </w:r>
      <w:r w:rsidRPr="00D07A38">
        <w:rPr>
          <w:rFonts w:ascii="Arial" w:hAnsi="Arial" w:cs="Arial"/>
          <w:i/>
          <w:iCs/>
          <w:color w:val="000000"/>
          <w:sz w:val="20"/>
          <w:szCs w:val="20"/>
        </w:rPr>
        <w:t>Pompei</w:t>
      </w:r>
      <w:r>
        <w:rPr>
          <w:rFonts w:ascii="Arial" w:hAnsi="Arial" w:cs="Arial"/>
          <w:i/>
          <w:iCs/>
          <w:color w:val="000000"/>
          <w:sz w:val="20"/>
          <w:szCs w:val="20"/>
        </w:rPr>
        <w:t xml:space="preserve"> </w:t>
      </w:r>
      <w:r w:rsidR="00D6231F">
        <w:rPr>
          <w:rFonts w:ascii="Arial" w:hAnsi="Arial" w:cs="Arial"/>
          <w:i/>
          <w:iCs/>
          <w:color w:val="000000"/>
          <w:sz w:val="20"/>
          <w:szCs w:val="20"/>
        </w:rPr>
        <w:t xml:space="preserve">v The King </w:t>
      </w:r>
      <w:r w:rsidRPr="00D07A38">
        <w:rPr>
          <w:rFonts w:ascii="Arial" w:hAnsi="Arial" w:cs="Arial"/>
          <w:color w:val="000000"/>
          <w:sz w:val="20"/>
          <w:szCs w:val="20"/>
        </w:rPr>
        <w:t xml:space="preserve">[2023] VSCA 71, </w:t>
      </w:r>
      <w:r>
        <w:rPr>
          <w:rFonts w:ascii="Arial" w:hAnsi="Arial" w:cs="Arial"/>
          <w:color w:val="000000"/>
          <w:sz w:val="20"/>
          <w:szCs w:val="20"/>
        </w:rPr>
        <w:t>[</w:t>
      </w:r>
      <w:r w:rsidRPr="00D07A38">
        <w:rPr>
          <w:rFonts w:ascii="Arial" w:hAnsi="Arial" w:cs="Arial"/>
          <w:color w:val="000000"/>
          <w:sz w:val="20"/>
          <w:szCs w:val="20"/>
        </w:rPr>
        <w:t>35</w:t>
      </w:r>
      <w:r>
        <w:rPr>
          <w:rFonts w:ascii="Arial" w:hAnsi="Arial" w:cs="Arial"/>
          <w:color w:val="000000"/>
          <w:sz w:val="20"/>
          <w:szCs w:val="20"/>
        </w:rPr>
        <w:t>]</w:t>
      </w:r>
      <w:r w:rsidRPr="00D07A38">
        <w:rPr>
          <w:rFonts w:ascii="Arial" w:hAnsi="Arial" w:cs="Arial"/>
          <w:color w:val="000000"/>
          <w:sz w:val="20"/>
          <w:szCs w:val="20"/>
        </w:rPr>
        <w:t>, this Court (Beach, T Forrest and Kaye JJA)</w:t>
      </w:r>
      <w:r>
        <w:rPr>
          <w:rFonts w:ascii="Arial" w:hAnsi="Arial" w:cs="Arial"/>
          <w:color w:val="000000"/>
          <w:sz w:val="20"/>
          <w:szCs w:val="20"/>
        </w:rPr>
        <w:t xml:space="preserve"> </w:t>
      </w:r>
      <w:r w:rsidRPr="00D07A38">
        <w:rPr>
          <w:rFonts w:ascii="Arial" w:hAnsi="Arial" w:cs="Arial"/>
          <w:color w:val="000000"/>
          <w:sz w:val="20"/>
          <w:szCs w:val="20"/>
        </w:rPr>
        <w:t>summarised the scheme created by the provisions as follows</w:t>
      </w:r>
      <w:r>
        <w:rPr>
          <w:rFonts w:ascii="Arial" w:hAnsi="Arial" w:cs="Arial"/>
          <w:color w:val="000000"/>
          <w:sz w:val="20"/>
          <w:szCs w:val="20"/>
        </w:rPr>
        <w:t>:</w:t>
      </w:r>
    </w:p>
    <w:p w14:paraId="77A3406F" w14:textId="72C98708" w:rsidR="008B18C1"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(a)</w:t>
      </w:r>
      <w:r w:rsidRPr="00D07A38">
        <w:rPr>
          <w:rFonts w:ascii="Arial" w:hAnsi="Arial" w:cs="Arial"/>
          <w:color w:val="000000"/>
          <w:sz w:val="18"/>
          <w:szCs w:val="18"/>
        </w:rPr>
        <w:tab/>
        <w:t>Incriminating conduct means conduct (being an act or omission of the accused that occurs after the event(s) alleged to constitute the offence charged) that amounts to an implied admission by the accused of having committed the offence charged or an element thereof</w:t>
      </w:r>
      <w:r>
        <w:rPr>
          <w:rFonts w:ascii="Arial" w:hAnsi="Arial" w:cs="Arial"/>
          <w:color w:val="000000"/>
          <w:sz w:val="18"/>
          <w:szCs w:val="18"/>
        </w:rPr>
        <w:t xml:space="preserve">: </w:t>
      </w:r>
      <w:r w:rsidR="00D6231F">
        <w:rPr>
          <w:rFonts w:ascii="Arial" w:hAnsi="Arial" w:cs="Arial"/>
          <w:color w:val="000000"/>
          <w:sz w:val="18"/>
          <w:szCs w:val="18"/>
        </w:rPr>
        <w:t>JDA, s.18.</w:t>
      </w:r>
    </w:p>
    <w:p w14:paraId="4177D5CA" w14:textId="0B0F1976" w:rsidR="00D07A38"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(b)</w:t>
      </w:r>
      <w:r w:rsidRPr="00D07A38">
        <w:rPr>
          <w:rFonts w:ascii="Arial" w:hAnsi="Arial" w:cs="Arial"/>
          <w:color w:val="000000"/>
          <w:sz w:val="18"/>
          <w:szCs w:val="18"/>
        </w:rPr>
        <w:tab/>
        <w:t xml:space="preserve">The prosecution must give a notice of intention to rely on evidence of incriminating conduct, and a copy of the evidence on which it intends to rely, at least 28 days before the trial is listed to commence: </w:t>
      </w:r>
      <w:r w:rsidR="00D6231F">
        <w:rPr>
          <w:rFonts w:ascii="Arial" w:hAnsi="Arial" w:cs="Arial"/>
          <w:color w:val="000000"/>
          <w:sz w:val="18"/>
          <w:szCs w:val="18"/>
        </w:rPr>
        <w:t>JDA, s.19.</w:t>
      </w:r>
    </w:p>
    <w:p w14:paraId="6BB7C594" w14:textId="2CBA6EF4" w:rsidR="00D07A38" w:rsidRPr="00D07A38" w:rsidRDefault="00D07A38" w:rsidP="00D07A38">
      <w:pPr>
        <w:spacing w:before="40"/>
        <w:ind w:left="924" w:right="567" w:hanging="357"/>
        <w:jc w:val="both"/>
        <w:rPr>
          <w:rFonts w:ascii="Arial" w:hAnsi="Arial" w:cs="Arial"/>
          <w:color w:val="000000"/>
          <w:sz w:val="18"/>
          <w:szCs w:val="18"/>
        </w:rPr>
      </w:pPr>
      <w:r w:rsidRPr="00D07A38">
        <w:rPr>
          <w:rFonts w:ascii="Arial" w:hAnsi="Arial" w:cs="Arial"/>
          <w:color w:val="000000"/>
          <w:sz w:val="18"/>
          <w:szCs w:val="18"/>
        </w:rPr>
        <w:t>(c)</w:t>
      </w:r>
      <w:r w:rsidRPr="00D07A38">
        <w:rPr>
          <w:rFonts w:ascii="Arial" w:hAnsi="Arial" w:cs="Arial"/>
          <w:color w:val="000000"/>
          <w:sz w:val="18"/>
          <w:szCs w:val="18"/>
        </w:rPr>
        <w:tab/>
        <w:t>The judge may dispense with notice requirements if the prosecution gives oral notice to the court and the accused of its intention to rely on evidence of incriminating conduct and it is in the interests of justice to dispense with those requirements</w:t>
      </w:r>
      <w:r w:rsidR="00D6231F">
        <w:rPr>
          <w:rFonts w:ascii="Arial" w:hAnsi="Arial" w:cs="Arial"/>
          <w:color w:val="000000"/>
          <w:sz w:val="18"/>
          <w:szCs w:val="18"/>
        </w:rPr>
        <w:t>: JDA, ss.19(3)(b)-(c).</w:t>
      </w:r>
    </w:p>
    <w:p w14:paraId="76269EA5" w14:textId="2FE70211" w:rsidR="00D07A38"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(d)</w:t>
      </w:r>
      <w:r w:rsidRPr="00D6231F">
        <w:rPr>
          <w:rFonts w:ascii="Arial" w:hAnsi="Arial" w:cs="Arial"/>
          <w:color w:val="000000"/>
          <w:sz w:val="18"/>
          <w:szCs w:val="18"/>
        </w:rPr>
        <w:tab/>
        <w:t>The prosecution must not rely on evidence of conduct as incriminating conduct unless the s 19 notice has been given, and the trial judge determines on the basis of all the evidence, that the evidence of conduct is reasonably capable of being viewed by the jury as evidence of incriminating conduct</w:t>
      </w:r>
      <w:r>
        <w:rPr>
          <w:rFonts w:ascii="Arial" w:hAnsi="Arial" w:cs="Arial"/>
          <w:color w:val="000000"/>
          <w:sz w:val="18"/>
          <w:szCs w:val="18"/>
        </w:rPr>
        <w:t>: JDA, ss</w:t>
      </w:r>
      <w:r w:rsidRPr="00D6231F">
        <w:rPr>
          <w:rFonts w:ascii="Arial" w:hAnsi="Arial" w:cs="Arial"/>
          <w:color w:val="000000"/>
          <w:sz w:val="18"/>
          <w:szCs w:val="18"/>
        </w:rPr>
        <w:t>.</w:t>
      </w:r>
      <w:r>
        <w:rPr>
          <w:rFonts w:ascii="Arial" w:hAnsi="Arial" w:cs="Arial"/>
          <w:color w:val="000000"/>
          <w:sz w:val="18"/>
          <w:szCs w:val="18"/>
        </w:rPr>
        <w:t>20(1)(a)-(b).</w:t>
      </w:r>
    </w:p>
    <w:p w14:paraId="5D37270F" w14:textId="11EAB724" w:rsidR="00D6231F"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(e)</w:t>
      </w:r>
      <w:r w:rsidRPr="00D6231F">
        <w:rPr>
          <w:rFonts w:ascii="Arial" w:hAnsi="Arial" w:cs="Arial"/>
          <w:color w:val="000000"/>
          <w:sz w:val="18"/>
          <w:szCs w:val="18"/>
        </w:rPr>
        <w:tab/>
        <w:t>If the prosecution relies on evidence of conduct as evidence of incriminating conduct, the trial judge must direct the jury on the way in which they may use that evidence</w:t>
      </w:r>
      <w:r>
        <w:rPr>
          <w:rFonts w:ascii="Arial" w:hAnsi="Arial" w:cs="Arial"/>
          <w:color w:val="000000"/>
          <w:sz w:val="18"/>
          <w:szCs w:val="18"/>
        </w:rPr>
        <w:t>: JDA, ss.21(a)-(b)…</w:t>
      </w:r>
    </w:p>
    <w:p w14:paraId="00C57B1D" w14:textId="5BFC55BE" w:rsidR="00D6231F" w:rsidRPr="00D6231F" w:rsidRDefault="00D6231F" w:rsidP="00D07A38">
      <w:pPr>
        <w:spacing w:before="40"/>
        <w:ind w:left="924" w:right="567" w:hanging="357"/>
        <w:jc w:val="both"/>
        <w:rPr>
          <w:rFonts w:ascii="Arial" w:hAnsi="Arial" w:cs="Arial"/>
          <w:color w:val="000000"/>
          <w:sz w:val="18"/>
          <w:szCs w:val="18"/>
        </w:rPr>
      </w:pPr>
      <w:r w:rsidRPr="00D6231F">
        <w:rPr>
          <w:rFonts w:ascii="Arial" w:hAnsi="Arial" w:cs="Arial"/>
          <w:color w:val="000000"/>
          <w:sz w:val="18"/>
          <w:szCs w:val="18"/>
        </w:rPr>
        <w:t>(f)</w:t>
      </w:r>
      <w:r w:rsidRPr="00D6231F">
        <w:rPr>
          <w:rFonts w:ascii="Arial" w:hAnsi="Arial" w:cs="Arial"/>
          <w:color w:val="000000"/>
          <w:sz w:val="18"/>
          <w:szCs w:val="18"/>
        </w:rPr>
        <w:tab/>
        <w:t>An additional optional direction on incriminating conduct is available upon request by defence counsel: JDA, s.</w:t>
      </w:r>
      <w:r>
        <w:rPr>
          <w:rFonts w:ascii="Arial" w:hAnsi="Arial" w:cs="Arial"/>
          <w:color w:val="000000"/>
          <w:sz w:val="18"/>
          <w:szCs w:val="18"/>
        </w:rPr>
        <w:t>22.</w:t>
      </w:r>
    </w:p>
    <w:p w14:paraId="5ABA9962" w14:textId="4A37D091" w:rsidR="00D6231F" w:rsidRDefault="00D6231F" w:rsidP="009A17FC">
      <w:pPr>
        <w:spacing w:before="60"/>
        <w:ind w:left="567" w:right="567"/>
        <w:jc w:val="both"/>
        <w:rPr>
          <w:rFonts w:ascii="Arial" w:hAnsi="Arial" w:cs="Arial"/>
          <w:color w:val="000000"/>
          <w:sz w:val="20"/>
          <w:szCs w:val="20"/>
        </w:rPr>
      </w:pPr>
      <w:r>
        <w:rPr>
          <w:rFonts w:ascii="Arial" w:hAnsi="Arial" w:cs="Arial"/>
          <w:sz w:val="20"/>
        </w:rPr>
        <w:t xml:space="preserve">[91] </w:t>
      </w:r>
      <w:r w:rsidRPr="00D07A38">
        <w:rPr>
          <w:rFonts w:ascii="Arial" w:hAnsi="Arial" w:cs="Arial"/>
          <w:color w:val="000000"/>
          <w:sz w:val="20"/>
          <w:szCs w:val="20"/>
        </w:rPr>
        <w:t>There is no dispute in this case that, if the prosecutor ‘relied’ on evidence of the applicant’s conduct as evidence of incriminating conduct, he did so without complying with the requirements of this legislative scheme.</w:t>
      </w:r>
    </w:p>
    <w:p w14:paraId="501CDF46" w14:textId="778F297E" w:rsidR="00D6231F" w:rsidRDefault="00D6231F" w:rsidP="009A17FC">
      <w:pPr>
        <w:spacing w:before="60"/>
        <w:ind w:left="567" w:right="567"/>
        <w:jc w:val="both"/>
        <w:rPr>
          <w:rFonts w:ascii="Arial" w:hAnsi="Arial" w:cs="Arial"/>
          <w:sz w:val="20"/>
        </w:rPr>
      </w:pPr>
      <w:r>
        <w:rPr>
          <w:rFonts w:ascii="Arial" w:hAnsi="Arial" w:cs="Arial"/>
          <w:sz w:val="20"/>
        </w:rPr>
        <w:t xml:space="preserve">[92] </w:t>
      </w:r>
      <w:r w:rsidRPr="00D6231F">
        <w:rPr>
          <w:rFonts w:ascii="Arial" w:hAnsi="Arial" w:cs="Arial"/>
          <w:sz w:val="20"/>
        </w:rPr>
        <w:t>The question is whether the impugned remarks of the prosecutor constituted ‘reliance’ on the evidence that the applicant had obtained a new phone for the complainant and taken her old phone as evidence of incriminating conduct. In our view, they did.</w:t>
      </w:r>
      <w:r>
        <w:rPr>
          <w:rFonts w:ascii="Arial" w:hAnsi="Arial" w:cs="Arial"/>
          <w:sz w:val="20"/>
        </w:rPr>
        <w:t>”</w:t>
      </w:r>
    </w:p>
    <w:p w14:paraId="488ED957" w14:textId="283A5B5B" w:rsidR="009A17FC" w:rsidRDefault="00D6231F" w:rsidP="00D6231F">
      <w:pPr>
        <w:spacing w:before="60"/>
        <w:jc w:val="both"/>
        <w:rPr>
          <w:rFonts w:ascii="Arial" w:hAnsi="Arial" w:cs="Arial"/>
          <w:color w:val="000000"/>
          <w:sz w:val="20"/>
          <w:szCs w:val="20"/>
        </w:rPr>
      </w:pPr>
      <w:r>
        <w:rPr>
          <w:rFonts w:ascii="Arial" w:hAnsi="Arial" w:cs="Arial"/>
          <w:color w:val="000000"/>
          <w:sz w:val="20"/>
          <w:szCs w:val="20"/>
        </w:rPr>
        <w:t>However, the Court of Appeal</w:t>
      </w:r>
      <w:r w:rsidR="00CF78E8">
        <w:rPr>
          <w:rFonts w:ascii="Arial" w:hAnsi="Arial" w:cs="Arial"/>
          <w:color w:val="000000"/>
          <w:sz w:val="20"/>
          <w:szCs w:val="20"/>
        </w:rPr>
        <w:t xml:space="preserve"> </w:t>
      </w:r>
      <w:r>
        <w:rPr>
          <w:rFonts w:ascii="Arial" w:hAnsi="Arial" w:cs="Arial"/>
          <w:color w:val="000000"/>
          <w:sz w:val="20"/>
          <w:szCs w:val="20"/>
        </w:rPr>
        <w:t xml:space="preserve">refused the applicant leave to appeal on </w:t>
      </w:r>
      <w:r w:rsidR="009A17FC">
        <w:rPr>
          <w:rFonts w:ascii="Arial" w:hAnsi="Arial" w:cs="Arial"/>
          <w:color w:val="000000"/>
          <w:sz w:val="20"/>
          <w:szCs w:val="20"/>
        </w:rPr>
        <w:t>two other grounds, holding that:</w:t>
      </w:r>
    </w:p>
    <w:p w14:paraId="2D0CEDCF" w14:textId="5AE4F31D" w:rsidR="00F30B9D" w:rsidRDefault="00F30B9D" w:rsidP="009A17FC">
      <w:pPr>
        <w:pStyle w:val="ListParagraph"/>
        <w:numPr>
          <w:ilvl w:val="0"/>
          <w:numId w:val="95"/>
        </w:numPr>
        <w:ind w:left="357" w:hanging="357"/>
        <w:jc w:val="both"/>
        <w:rPr>
          <w:rFonts w:ascii="Arial" w:hAnsi="Arial" w:cs="Arial"/>
          <w:color w:val="000000"/>
          <w:sz w:val="20"/>
          <w:szCs w:val="20"/>
        </w:rPr>
      </w:pPr>
      <w:r>
        <w:rPr>
          <w:rFonts w:ascii="Arial" w:hAnsi="Arial" w:cs="Arial"/>
          <w:color w:val="000000"/>
          <w:sz w:val="20"/>
          <w:szCs w:val="20"/>
        </w:rPr>
        <w:t xml:space="preserve">a </w:t>
      </w:r>
      <w:r w:rsidRPr="00F30B9D">
        <w:rPr>
          <w:rFonts w:ascii="Arial" w:hAnsi="Arial" w:cs="Arial"/>
          <w:color w:val="000000"/>
          <w:sz w:val="20"/>
          <w:szCs w:val="20"/>
        </w:rPr>
        <w:t xml:space="preserve">failure by defence counsel to adduce evidence of applicant’s lack of prior and subsequent sexual offending </w:t>
      </w:r>
      <w:r>
        <w:rPr>
          <w:rFonts w:ascii="Arial" w:hAnsi="Arial" w:cs="Arial"/>
          <w:color w:val="000000"/>
          <w:sz w:val="20"/>
          <w:szCs w:val="20"/>
        </w:rPr>
        <w:t xml:space="preserve">was </w:t>
      </w:r>
      <w:r w:rsidRPr="00F30B9D">
        <w:rPr>
          <w:rFonts w:ascii="Arial" w:hAnsi="Arial" w:cs="Arial"/>
          <w:color w:val="000000"/>
          <w:sz w:val="20"/>
          <w:szCs w:val="20"/>
        </w:rPr>
        <w:t>capable of explanation as rational forensic decision</w:t>
      </w:r>
      <w:r>
        <w:rPr>
          <w:rFonts w:ascii="Arial" w:hAnsi="Arial" w:cs="Arial"/>
          <w:color w:val="000000"/>
          <w:sz w:val="20"/>
          <w:szCs w:val="20"/>
        </w:rPr>
        <w:t>; and</w:t>
      </w:r>
    </w:p>
    <w:p w14:paraId="694D6243" w14:textId="2C93616A" w:rsidR="00D07A38" w:rsidRPr="009A17FC" w:rsidRDefault="00D6231F" w:rsidP="009A17FC">
      <w:pPr>
        <w:pStyle w:val="ListParagraph"/>
        <w:numPr>
          <w:ilvl w:val="0"/>
          <w:numId w:val="95"/>
        </w:numPr>
        <w:ind w:left="357" w:hanging="357"/>
        <w:jc w:val="both"/>
        <w:rPr>
          <w:rFonts w:ascii="Arial" w:hAnsi="Arial" w:cs="Arial"/>
          <w:color w:val="000000"/>
          <w:sz w:val="20"/>
          <w:szCs w:val="20"/>
        </w:rPr>
      </w:pPr>
      <w:r w:rsidRPr="009A17FC">
        <w:rPr>
          <w:rFonts w:ascii="Arial" w:hAnsi="Arial" w:cs="Arial"/>
          <w:color w:val="000000"/>
          <w:sz w:val="20"/>
          <w:szCs w:val="20"/>
        </w:rPr>
        <w:t xml:space="preserve">the trial judge’s direction that reasonable doubt is not an imaginary or fanciful doubt or an unrealistic possibility was </w:t>
      </w:r>
      <w:r w:rsidR="009A17FC">
        <w:rPr>
          <w:rFonts w:ascii="Arial" w:hAnsi="Arial" w:cs="Arial"/>
          <w:color w:val="000000"/>
          <w:sz w:val="20"/>
          <w:szCs w:val="20"/>
        </w:rPr>
        <w:t xml:space="preserve">not </w:t>
      </w:r>
      <w:r w:rsidRPr="009A17FC">
        <w:rPr>
          <w:rFonts w:ascii="Arial" w:hAnsi="Arial" w:cs="Arial"/>
          <w:color w:val="000000"/>
          <w:sz w:val="20"/>
          <w:szCs w:val="20"/>
        </w:rPr>
        <w:t xml:space="preserve">inconsistent with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and the Constitution</w:t>
      </w:r>
      <w:r w:rsidR="009A17FC">
        <w:rPr>
          <w:rFonts w:ascii="Arial" w:hAnsi="Arial" w:cs="Arial"/>
          <w:color w:val="000000"/>
          <w:sz w:val="20"/>
          <w:szCs w:val="20"/>
        </w:rPr>
        <w:t>, saying at</w:t>
      </w:r>
      <w:r w:rsidRPr="009A17FC">
        <w:rPr>
          <w:rFonts w:ascii="Arial" w:hAnsi="Arial" w:cs="Arial"/>
          <w:color w:val="000000"/>
          <w:sz w:val="20"/>
          <w:szCs w:val="20"/>
        </w:rPr>
        <w:t xml:space="preserve"> </w:t>
      </w:r>
      <w:r w:rsidR="00A221CB" w:rsidRPr="009A17FC">
        <w:rPr>
          <w:rFonts w:ascii="Arial" w:hAnsi="Arial" w:cs="Arial"/>
          <w:color w:val="000000"/>
          <w:sz w:val="20"/>
          <w:szCs w:val="20"/>
        </w:rPr>
        <w:t>[</w:t>
      </w:r>
      <w:r w:rsidR="009A17FC">
        <w:rPr>
          <w:rFonts w:ascii="Arial" w:hAnsi="Arial" w:cs="Arial"/>
          <w:color w:val="000000"/>
          <w:sz w:val="20"/>
          <w:szCs w:val="20"/>
        </w:rPr>
        <w:t>109</w:t>
      </w:r>
      <w:r w:rsidR="00A221CB" w:rsidRPr="009A17FC">
        <w:rPr>
          <w:rFonts w:ascii="Arial" w:hAnsi="Arial" w:cs="Arial"/>
          <w:color w:val="000000"/>
          <w:sz w:val="20"/>
          <w:szCs w:val="20"/>
        </w:rPr>
        <w:t>]:</w:t>
      </w:r>
    </w:p>
    <w:p w14:paraId="170C3350" w14:textId="4EB5C99E" w:rsidR="009A17FC" w:rsidRPr="00A55B58" w:rsidRDefault="009A17FC" w:rsidP="00A55B58">
      <w:pPr>
        <w:spacing w:before="60"/>
        <w:ind w:left="924" w:right="567"/>
        <w:jc w:val="both"/>
        <w:rPr>
          <w:rFonts w:ascii="Arial" w:hAnsi="Arial" w:cs="Arial"/>
          <w:color w:val="000000"/>
          <w:sz w:val="20"/>
          <w:szCs w:val="20"/>
        </w:rPr>
      </w:pPr>
      <w:r>
        <w:rPr>
          <w:rFonts w:ascii="Arial" w:hAnsi="Arial" w:cs="Arial"/>
          <w:color w:val="000000"/>
          <w:sz w:val="20"/>
          <w:szCs w:val="20"/>
        </w:rPr>
        <w:t>“</w:t>
      </w:r>
      <w:r w:rsidRPr="009A17FC">
        <w:rPr>
          <w:rFonts w:ascii="Arial" w:hAnsi="Arial" w:cs="Arial"/>
          <w:color w:val="000000"/>
          <w:sz w:val="20"/>
          <w:szCs w:val="20"/>
        </w:rPr>
        <w:t xml:space="preserve">Proposed ground three must fail. It is contrary to the authority of this Court. In </w:t>
      </w:r>
      <w:proofErr w:type="spellStart"/>
      <w:r w:rsidRPr="009A17FC">
        <w:rPr>
          <w:rFonts w:ascii="Arial" w:hAnsi="Arial" w:cs="Arial"/>
          <w:i/>
          <w:iCs/>
          <w:color w:val="000000"/>
          <w:sz w:val="20"/>
          <w:szCs w:val="20"/>
        </w:rPr>
        <w:t>Farshchi</w:t>
      </w:r>
      <w:proofErr w:type="spellEnd"/>
      <w:r w:rsidRPr="009A17FC">
        <w:rPr>
          <w:rFonts w:ascii="Arial" w:hAnsi="Arial" w:cs="Arial"/>
          <w:i/>
          <w:iCs/>
          <w:color w:val="000000"/>
          <w:sz w:val="20"/>
          <w:szCs w:val="20"/>
        </w:rPr>
        <w:t xml:space="preserve"> </w:t>
      </w:r>
      <w:r>
        <w:rPr>
          <w:rFonts w:ascii="Arial" w:hAnsi="Arial" w:cs="Arial"/>
          <w:i/>
          <w:iCs/>
          <w:color w:val="000000"/>
          <w:sz w:val="20"/>
          <w:szCs w:val="20"/>
        </w:rPr>
        <w:t xml:space="preserve">v The King </w:t>
      </w:r>
      <w:r w:rsidRPr="0000108C">
        <w:rPr>
          <w:rFonts w:ascii="Arial" w:hAnsi="Arial" w:cs="Arial"/>
          <w:color w:val="000000"/>
          <w:sz w:val="20"/>
          <w:szCs w:val="20"/>
        </w:rPr>
        <w:t>[2024] VSCA 235</w:t>
      </w:r>
      <w:r w:rsidRPr="009A17FC">
        <w:rPr>
          <w:rFonts w:ascii="Arial" w:hAnsi="Arial" w:cs="Arial"/>
          <w:color w:val="000000"/>
          <w:sz w:val="20"/>
          <w:szCs w:val="20"/>
        </w:rPr>
        <w:t xml:space="preserve">, this Court held that s 64(1)(e) of the </w:t>
      </w:r>
      <w:r w:rsidRPr="009A17FC">
        <w:rPr>
          <w:rFonts w:ascii="Arial" w:hAnsi="Arial" w:cs="Arial"/>
          <w:i/>
          <w:iCs/>
          <w:color w:val="000000"/>
          <w:sz w:val="20"/>
          <w:szCs w:val="20"/>
        </w:rPr>
        <w:t>Jury Directions Act</w:t>
      </w:r>
      <w:r w:rsidRPr="009A17FC">
        <w:rPr>
          <w:rFonts w:ascii="Arial" w:hAnsi="Arial" w:cs="Arial"/>
          <w:color w:val="000000"/>
          <w:sz w:val="20"/>
          <w:szCs w:val="20"/>
        </w:rPr>
        <w:t xml:space="preserve"> was not inconsistent with s 13.2 of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xml:space="preserve">). That was held to be so because, by permitting a jury to be directed that an unrealistic possibility could not be the source of reasonable doubt, s 64(1)(e) does not provide for a different standard of proof than that contained in s 13.2 of the </w:t>
      </w:r>
      <w:r w:rsidRPr="009A17FC">
        <w:rPr>
          <w:rFonts w:ascii="Arial" w:hAnsi="Arial" w:cs="Arial"/>
          <w:i/>
          <w:iCs/>
          <w:color w:val="000000"/>
          <w:sz w:val="20"/>
          <w:szCs w:val="20"/>
        </w:rPr>
        <w:t>Criminal Code</w:t>
      </w:r>
      <w:r w:rsidRPr="009A17FC">
        <w:rPr>
          <w:rFonts w:ascii="Arial" w:hAnsi="Arial" w:cs="Arial"/>
          <w:color w:val="000000"/>
          <w:sz w:val="20"/>
          <w:szCs w:val="20"/>
        </w:rPr>
        <w:t xml:space="preserve"> (</w:t>
      </w:r>
      <w:proofErr w:type="spellStart"/>
      <w:r w:rsidRPr="009A17FC">
        <w:rPr>
          <w:rFonts w:ascii="Arial" w:hAnsi="Arial" w:cs="Arial"/>
          <w:color w:val="000000"/>
          <w:sz w:val="20"/>
          <w:szCs w:val="20"/>
        </w:rPr>
        <w:t>Cth</w:t>
      </w:r>
      <w:proofErr w:type="spellEnd"/>
      <w:r w:rsidRPr="009A17FC">
        <w:rPr>
          <w:rFonts w:ascii="Arial" w:hAnsi="Arial" w:cs="Arial"/>
          <w:color w:val="000000"/>
          <w:sz w:val="20"/>
          <w:szCs w:val="20"/>
        </w:rPr>
        <w:t xml:space="preserve">); rather, it simply provides an explanation for that standard of proof. Further, </w:t>
      </w:r>
      <w:proofErr w:type="spellStart"/>
      <w:r w:rsidRPr="009A17FC">
        <w:rPr>
          <w:rFonts w:ascii="Arial" w:hAnsi="Arial" w:cs="Arial"/>
          <w:i/>
          <w:iCs/>
          <w:color w:val="000000"/>
          <w:sz w:val="20"/>
          <w:szCs w:val="20"/>
        </w:rPr>
        <w:t>Farshchi</w:t>
      </w:r>
      <w:proofErr w:type="spellEnd"/>
      <w:r w:rsidRPr="009A17FC">
        <w:rPr>
          <w:rFonts w:ascii="Arial" w:hAnsi="Arial" w:cs="Arial"/>
          <w:color w:val="000000"/>
          <w:sz w:val="20"/>
          <w:szCs w:val="20"/>
        </w:rPr>
        <w:t xml:space="preserve"> held that s 64(1)(e) is not inconsistent with s</w:t>
      </w:r>
      <w:r>
        <w:rPr>
          <w:rFonts w:ascii="Arial" w:hAnsi="Arial" w:cs="Arial"/>
          <w:color w:val="000000"/>
          <w:sz w:val="20"/>
          <w:szCs w:val="20"/>
        </w:rPr>
        <w:t> </w:t>
      </w:r>
      <w:r w:rsidRPr="009A17FC">
        <w:rPr>
          <w:rFonts w:ascii="Arial" w:hAnsi="Arial" w:cs="Arial"/>
          <w:color w:val="000000"/>
          <w:sz w:val="20"/>
          <w:szCs w:val="20"/>
        </w:rPr>
        <w:t>80 of the Constitution, because it does not diminish the standard of proof which has been held to be an essential feature of the institution of trial by jury under the Constitution — again, it merely permits an explanation of that standard. It</w:t>
      </w:r>
      <w:r w:rsidR="00A55B58">
        <w:rPr>
          <w:rFonts w:ascii="Arial" w:hAnsi="Arial" w:cs="Arial"/>
          <w:color w:val="000000"/>
          <w:sz w:val="20"/>
          <w:szCs w:val="20"/>
        </w:rPr>
        <w:t> </w:t>
      </w:r>
      <w:r w:rsidRPr="009A17FC">
        <w:rPr>
          <w:rFonts w:ascii="Arial" w:hAnsi="Arial" w:cs="Arial"/>
          <w:color w:val="000000"/>
          <w:sz w:val="20"/>
          <w:szCs w:val="20"/>
        </w:rPr>
        <w:t xml:space="preserve">was not submitted before us that this Court’s decision in </w:t>
      </w:r>
      <w:proofErr w:type="spellStart"/>
      <w:r w:rsidRPr="009A17FC">
        <w:rPr>
          <w:rFonts w:ascii="Arial" w:hAnsi="Arial" w:cs="Arial"/>
          <w:i/>
          <w:iCs/>
          <w:color w:val="000000"/>
          <w:sz w:val="20"/>
          <w:szCs w:val="20"/>
        </w:rPr>
        <w:t>Farshchi</w:t>
      </w:r>
      <w:proofErr w:type="spellEnd"/>
      <w:r w:rsidRPr="009A17FC">
        <w:rPr>
          <w:rFonts w:ascii="Arial" w:hAnsi="Arial" w:cs="Arial"/>
          <w:color w:val="000000"/>
          <w:sz w:val="20"/>
          <w:szCs w:val="20"/>
        </w:rPr>
        <w:t xml:space="preserve"> was plainly wrong, or that there were compelling reasons to depart from it. We are therefore bound to </w:t>
      </w:r>
      <w:r w:rsidRPr="009A17FC">
        <w:rPr>
          <w:rFonts w:ascii="Arial" w:hAnsi="Arial" w:cs="Arial"/>
          <w:color w:val="000000"/>
          <w:sz w:val="20"/>
          <w:szCs w:val="20"/>
        </w:rPr>
        <w:lastRenderedPageBreak/>
        <w:t xml:space="preserve">apply </w:t>
      </w:r>
      <w:proofErr w:type="spellStart"/>
      <w:r w:rsidRPr="00A55B58">
        <w:rPr>
          <w:rFonts w:ascii="Arial" w:hAnsi="Arial" w:cs="Arial"/>
          <w:i/>
          <w:iCs/>
          <w:color w:val="000000"/>
          <w:sz w:val="20"/>
          <w:szCs w:val="20"/>
        </w:rPr>
        <w:t>Farshchi</w:t>
      </w:r>
      <w:proofErr w:type="spellEnd"/>
      <w:r w:rsidRPr="009A17FC">
        <w:rPr>
          <w:rFonts w:ascii="Arial" w:hAnsi="Arial" w:cs="Arial"/>
          <w:color w:val="000000"/>
          <w:sz w:val="20"/>
          <w:szCs w:val="20"/>
        </w:rPr>
        <w:t xml:space="preserve"> and it stands in the way of acceptance of the applicant’s contentions in respect of proposed ground three.</w:t>
      </w:r>
      <w:r>
        <w:rPr>
          <w:rFonts w:ascii="Arial" w:hAnsi="Arial" w:cs="Arial"/>
          <w:color w:val="000000"/>
          <w:sz w:val="20"/>
          <w:szCs w:val="20"/>
        </w:rPr>
        <w:t>” [citations omitted]</w:t>
      </w:r>
    </w:p>
    <w:p w14:paraId="1A8AD0F2" w14:textId="7031EE18" w:rsidR="00A55B58" w:rsidRDefault="00A55B58" w:rsidP="00A55B58">
      <w:pPr>
        <w:spacing w:before="60"/>
        <w:ind w:left="924" w:right="567"/>
        <w:jc w:val="both"/>
        <w:rPr>
          <w:rFonts w:ascii="Arial" w:hAnsi="Arial" w:cs="Arial"/>
          <w:color w:val="000000"/>
          <w:sz w:val="20"/>
          <w:szCs w:val="20"/>
        </w:rPr>
      </w:pPr>
      <w:r>
        <w:rPr>
          <w:rFonts w:ascii="Arial" w:hAnsi="Arial" w:cs="Arial"/>
          <w:color w:val="000000"/>
          <w:sz w:val="20"/>
          <w:szCs w:val="20"/>
        </w:rPr>
        <w:t>[</w:t>
      </w:r>
      <w:r w:rsidRPr="00A55B58">
        <w:rPr>
          <w:rFonts w:ascii="Arial" w:hAnsi="Arial" w:cs="Arial"/>
          <w:color w:val="000000"/>
          <w:sz w:val="20"/>
          <w:szCs w:val="20"/>
          <w:u w:val="single"/>
        </w:rPr>
        <w:t>Note</w:t>
      </w:r>
      <w:r>
        <w:rPr>
          <w:rFonts w:ascii="Arial" w:hAnsi="Arial" w:cs="Arial"/>
          <w:color w:val="000000"/>
          <w:sz w:val="20"/>
          <w:szCs w:val="20"/>
        </w:rPr>
        <w:t xml:space="preserve">: The applicant did not </w:t>
      </w:r>
      <w:r w:rsidRPr="00A55B58">
        <w:rPr>
          <w:rFonts w:ascii="Arial" w:hAnsi="Arial" w:cs="Arial"/>
          <w:color w:val="000000"/>
          <w:sz w:val="20"/>
          <w:szCs w:val="20"/>
        </w:rPr>
        <w:t xml:space="preserve">argue the substance of </w:t>
      </w:r>
      <w:r>
        <w:rPr>
          <w:rFonts w:ascii="Arial" w:hAnsi="Arial" w:cs="Arial"/>
          <w:color w:val="000000"/>
          <w:sz w:val="20"/>
          <w:szCs w:val="20"/>
        </w:rPr>
        <w:t xml:space="preserve">proposed </w:t>
      </w:r>
      <w:r w:rsidRPr="00A55B58">
        <w:rPr>
          <w:rFonts w:ascii="Arial" w:hAnsi="Arial" w:cs="Arial"/>
          <w:color w:val="000000"/>
          <w:sz w:val="20"/>
          <w:szCs w:val="20"/>
        </w:rPr>
        <w:t>ground</w:t>
      </w:r>
      <w:r>
        <w:rPr>
          <w:rFonts w:ascii="Arial" w:hAnsi="Arial" w:cs="Arial"/>
          <w:color w:val="000000"/>
          <w:sz w:val="20"/>
          <w:szCs w:val="20"/>
        </w:rPr>
        <w:t xml:space="preserve"> 3</w:t>
      </w:r>
      <w:r w:rsidRPr="00A55B58">
        <w:rPr>
          <w:rFonts w:ascii="Arial" w:hAnsi="Arial" w:cs="Arial"/>
          <w:color w:val="000000"/>
          <w:sz w:val="20"/>
          <w:szCs w:val="20"/>
        </w:rPr>
        <w:t xml:space="preserve">, but merely sought to formally preserve his position, in light of the decision of the High Court to grant special leave to appeal from the decision in </w:t>
      </w:r>
      <w:proofErr w:type="spellStart"/>
      <w:r w:rsidRPr="00A55B58">
        <w:rPr>
          <w:rFonts w:ascii="Arial" w:hAnsi="Arial" w:cs="Arial"/>
          <w:i/>
          <w:iCs/>
          <w:color w:val="000000"/>
          <w:sz w:val="20"/>
          <w:szCs w:val="20"/>
        </w:rPr>
        <w:t>Farshchi</w:t>
      </w:r>
      <w:proofErr w:type="spellEnd"/>
      <w:r>
        <w:rPr>
          <w:rFonts w:ascii="Arial" w:hAnsi="Arial" w:cs="Arial"/>
          <w:color w:val="000000"/>
          <w:sz w:val="20"/>
          <w:szCs w:val="20"/>
        </w:rPr>
        <w:t xml:space="preserve"> [2025] HCA Disp 41].</w:t>
      </w:r>
    </w:p>
    <w:p w14:paraId="2B86822A" w14:textId="77777777" w:rsidR="008B18C1" w:rsidRDefault="008B18C1" w:rsidP="000A2449">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7459E07A" w14:textId="703E21F2" w:rsidR="00E942D2" w:rsidRPr="00E942D2" w:rsidRDefault="00E942D2" w:rsidP="00A300D0">
      <w:pPr>
        <w:pStyle w:val="ListParagraph"/>
        <w:numPr>
          <w:ilvl w:val="0"/>
          <w:numId w:val="95"/>
        </w:numPr>
        <w:ind w:left="357" w:hanging="357"/>
        <w:jc w:val="both"/>
        <w:rPr>
          <w:rFonts w:ascii="Arial" w:hAnsi="Arial" w:cs="Arial"/>
          <w:color w:val="000000"/>
          <w:sz w:val="20"/>
          <w:szCs w:val="20"/>
        </w:rPr>
      </w:pPr>
      <w:r w:rsidRPr="00E942D2">
        <w:rPr>
          <w:rFonts w:ascii="Arial" w:hAnsi="Arial" w:cs="Arial"/>
          <w:i/>
          <w:iCs/>
          <w:color w:val="000000"/>
          <w:sz w:val="20"/>
          <w:szCs w:val="20"/>
        </w:rPr>
        <w:t>DP (a pseudonym) v Bird</w:t>
      </w:r>
      <w:r>
        <w:rPr>
          <w:rFonts w:ascii="Arial" w:hAnsi="Arial" w:cs="Arial"/>
          <w:color w:val="000000"/>
          <w:sz w:val="20"/>
          <w:szCs w:val="20"/>
        </w:rPr>
        <w:t xml:space="preserve"> [2021] VSC 850 {re ss.39 &amp; 53 JDA};</w:t>
      </w:r>
    </w:p>
    <w:p w14:paraId="189663C2" w14:textId="3E30E1F9"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[71]</w:t>
      </w:r>
      <w:r w:rsidR="00535178">
        <w:rPr>
          <w:rFonts w:ascii="Arial" w:hAnsi="Arial" w:cs="Arial"/>
          <w:color w:val="000000"/>
          <w:sz w:val="20"/>
          <w:szCs w:val="20"/>
        </w:rPr>
        <w:noBreakHyphen/>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DPP v SA &amp; Ors</w:t>
      </w:r>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4"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4"/>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7E43C104"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007604EA">
        <w:rPr>
          <w:rFonts w:ascii="Arial" w:hAnsi="Arial" w:cs="Arial"/>
          <w:color w:val="000000"/>
          <w:sz w:val="20"/>
          <w:szCs w:val="20"/>
        </w:rPr>
        <w:t xml:space="preserve"> [</w:t>
      </w:r>
      <w:r w:rsidR="007604EA" w:rsidRPr="007604EA">
        <w:rPr>
          <w:rFonts w:ascii="Arial" w:hAnsi="Arial" w:cs="Arial"/>
          <w:color w:val="000000"/>
          <w:sz w:val="20"/>
          <w:szCs w:val="20"/>
          <w:u w:val="single"/>
        </w:rPr>
        <w:t>Note</w:t>
      </w:r>
      <w:r w:rsidR="007604EA">
        <w:rPr>
          <w:rFonts w:ascii="Arial" w:hAnsi="Arial" w:cs="Arial"/>
          <w:color w:val="000000"/>
          <w:sz w:val="20"/>
          <w:szCs w:val="20"/>
        </w:rPr>
        <w:t>: Special leave to appeal granted by the High Court: [2025] HCA Disp 41];</w:t>
      </w:r>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r w:rsidR="006668EE">
        <w:rPr>
          <w:rFonts w:ascii="Arial" w:hAnsi="Arial" w:cs="Arial"/>
          <w:color w:val="000000"/>
          <w:sz w:val="20"/>
          <w:szCs w:val="20"/>
        </w:rPr>
        <w:t>;</w:t>
      </w:r>
    </w:p>
    <w:p w14:paraId="1D6DEC6F" w14:textId="6A10E6B6" w:rsidR="006668EE" w:rsidRPr="002408A1" w:rsidRDefault="006668EE" w:rsidP="006668EE">
      <w:pPr>
        <w:pStyle w:val="ListParagraph"/>
        <w:numPr>
          <w:ilvl w:val="0"/>
          <w:numId w:val="95"/>
        </w:numPr>
        <w:ind w:left="357" w:hanging="357"/>
        <w:jc w:val="both"/>
        <w:rPr>
          <w:rFonts w:ascii="Arial" w:hAnsi="Arial" w:cs="Arial"/>
          <w:color w:val="000000"/>
          <w:sz w:val="16"/>
          <w:szCs w:val="16"/>
        </w:rPr>
      </w:pPr>
      <w:bookmarkStart w:id="155" w:name="_10.3.3.5D_Contested_hearing"/>
      <w:bookmarkStart w:id="156" w:name="_10.3.3.5D_Contested_hearing_1"/>
      <w:bookmarkEnd w:id="155"/>
      <w:bookmarkEnd w:id="156"/>
      <w:r w:rsidRPr="001E3540">
        <w:rPr>
          <w:rFonts w:ascii="Arial" w:hAnsi="Arial" w:cs="Arial"/>
          <w:i/>
          <w:iCs/>
          <w:sz w:val="20"/>
          <w:szCs w:val="20"/>
        </w:rPr>
        <w:t>Bangoura v The King</w:t>
      </w:r>
      <w:r>
        <w:rPr>
          <w:rFonts w:ascii="Arial" w:hAnsi="Arial" w:cs="Arial"/>
          <w:sz w:val="20"/>
          <w:szCs w:val="20"/>
        </w:rPr>
        <w:t xml:space="preserve"> [2024] VSCA 292 {re ss.20-22 JDA}</w:t>
      </w:r>
      <w:r w:rsidR="002408A1">
        <w:rPr>
          <w:rFonts w:ascii="Arial" w:hAnsi="Arial" w:cs="Arial"/>
          <w:color w:val="000000"/>
          <w:sz w:val="20"/>
          <w:szCs w:val="20"/>
        </w:rPr>
        <w:t>;</w:t>
      </w:r>
    </w:p>
    <w:p w14:paraId="689A8E14" w14:textId="5600B9B7" w:rsidR="002408A1" w:rsidRPr="006C3FE7" w:rsidRDefault="002408A1" w:rsidP="006668EE">
      <w:pPr>
        <w:pStyle w:val="ListParagraph"/>
        <w:numPr>
          <w:ilvl w:val="0"/>
          <w:numId w:val="95"/>
        </w:numPr>
        <w:ind w:left="357" w:hanging="357"/>
        <w:jc w:val="both"/>
        <w:rPr>
          <w:rFonts w:ascii="Arial" w:hAnsi="Arial" w:cs="Arial"/>
          <w:color w:val="000000"/>
          <w:sz w:val="16"/>
          <w:szCs w:val="16"/>
        </w:rPr>
      </w:pPr>
      <w:bookmarkStart w:id="157" w:name="_Hlk185243138"/>
      <w:r>
        <w:rPr>
          <w:rFonts w:ascii="Arial" w:hAnsi="Arial" w:cs="Arial"/>
          <w:i/>
          <w:iCs/>
          <w:sz w:val="20"/>
          <w:szCs w:val="20"/>
        </w:rPr>
        <w:t xml:space="preserve">Gaunt v The King </w:t>
      </w:r>
      <w:r w:rsidRPr="002408A1">
        <w:rPr>
          <w:rFonts w:ascii="Arial" w:hAnsi="Arial" w:cs="Arial"/>
          <w:sz w:val="20"/>
          <w:szCs w:val="20"/>
        </w:rPr>
        <w:t xml:space="preserve">[2024] VSCA </w:t>
      </w:r>
      <w:r>
        <w:rPr>
          <w:rFonts w:ascii="Arial" w:hAnsi="Arial" w:cs="Arial"/>
          <w:sz w:val="20"/>
          <w:szCs w:val="20"/>
        </w:rPr>
        <w:t xml:space="preserve">311 </w:t>
      </w:r>
      <w:bookmarkEnd w:id="157"/>
      <w:r>
        <w:rPr>
          <w:rFonts w:ascii="Arial" w:hAnsi="Arial" w:cs="Arial"/>
          <w:sz w:val="20"/>
          <w:szCs w:val="20"/>
        </w:rPr>
        <w:t xml:space="preserve">{re </w:t>
      </w:r>
      <w:r w:rsidRPr="002408A1">
        <w:rPr>
          <w:rFonts w:ascii="Arial" w:hAnsi="Arial" w:cs="Arial"/>
          <w:sz w:val="20"/>
          <w:szCs w:val="20"/>
        </w:rPr>
        <w:t>ss</w:t>
      </w:r>
      <w:r w:rsidR="00D55530">
        <w:rPr>
          <w:rFonts w:ascii="Arial" w:hAnsi="Arial" w:cs="Arial"/>
          <w:sz w:val="20"/>
          <w:szCs w:val="20"/>
        </w:rPr>
        <w:t>.</w:t>
      </w:r>
      <w:r w:rsidRPr="002408A1">
        <w:rPr>
          <w:rFonts w:ascii="Arial" w:hAnsi="Arial" w:cs="Arial"/>
          <w:sz w:val="20"/>
          <w:szCs w:val="20"/>
        </w:rPr>
        <w:t xml:space="preserve">12, 15, 16, 26, 27 </w:t>
      </w:r>
      <w:r>
        <w:rPr>
          <w:rFonts w:ascii="Arial" w:hAnsi="Arial" w:cs="Arial"/>
          <w:sz w:val="20"/>
          <w:szCs w:val="20"/>
        </w:rPr>
        <w:t>&amp;</w:t>
      </w:r>
      <w:r w:rsidRPr="002408A1">
        <w:rPr>
          <w:rFonts w:ascii="Arial" w:hAnsi="Arial" w:cs="Arial"/>
          <w:sz w:val="20"/>
          <w:szCs w:val="20"/>
        </w:rPr>
        <w:t xml:space="preserve"> 29</w:t>
      </w:r>
      <w:r w:rsidR="006C3FE7">
        <w:rPr>
          <w:rFonts w:ascii="Arial" w:hAnsi="Arial" w:cs="Arial"/>
          <w:sz w:val="20"/>
          <w:szCs w:val="20"/>
        </w:rPr>
        <w:t xml:space="preserve"> JDA</w:t>
      </w:r>
      <w:r>
        <w:rPr>
          <w:rFonts w:ascii="Arial" w:hAnsi="Arial" w:cs="Arial"/>
          <w:sz w:val="20"/>
          <w:szCs w:val="20"/>
        </w:rPr>
        <w:t>}</w:t>
      </w:r>
      <w:r w:rsidR="006C3FE7">
        <w:rPr>
          <w:rFonts w:ascii="Arial" w:hAnsi="Arial" w:cs="Arial"/>
          <w:sz w:val="20"/>
          <w:szCs w:val="20"/>
        </w:rPr>
        <w:t>;</w:t>
      </w:r>
    </w:p>
    <w:p w14:paraId="101F2970" w14:textId="28139A31" w:rsidR="006C3FE7" w:rsidRPr="009473C0" w:rsidRDefault="006C3FE7"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Kovachev (a pseudonym) v The King </w:t>
      </w:r>
      <w:r w:rsidRPr="006C3FE7">
        <w:rPr>
          <w:rFonts w:ascii="Arial" w:hAnsi="Arial" w:cs="Arial"/>
          <w:sz w:val="20"/>
          <w:szCs w:val="20"/>
        </w:rPr>
        <w:t>[2024] VSCA 325 {re ss.12, 31 &amp; 32 JDA}</w:t>
      </w:r>
      <w:r w:rsidR="00FD467F" w:rsidRPr="00FD467F">
        <w:rPr>
          <w:rFonts w:ascii="Arial" w:hAnsi="Arial" w:cs="Arial"/>
          <w:sz w:val="20"/>
          <w:szCs w:val="20"/>
        </w:rPr>
        <w:t>;</w:t>
      </w:r>
    </w:p>
    <w:p w14:paraId="552F9078" w14:textId="77777777" w:rsidR="00D2354D" w:rsidRPr="00D2354D" w:rsidRDefault="009473C0"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Wu v The King </w:t>
      </w:r>
      <w:r w:rsidRPr="009473C0">
        <w:rPr>
          <w:rFonts w:ascii="Arial" w:hAnsi="Arial" w:cs="Arial"/>
          <w:sz w:val="20"/>
          <w:szCs w:val="20"/>
        </w:rPr>
        <w:t xml:space="preserve">[2025] VSCA </w:t>
      </w:r>
      <w:r>
        <w:rPr>
          <w:rFonts w:ascii="Arial" w:hAnsi="Arial" w:cs="Arial"/>
          <w:sz w:val="20"/>
          <w:szCs w:val="20"/>
        </w:rPr>
        <w:t>4</w:t>
      </w:r>
      <w:r w:rsidRPr="009473C0">
        <w:rPr>
          <w:rFonts w:ascii="Arial" w:hAnsi="Arial" w:cs="Arial"/>
          <w:sz w:val="20"/>
          <w:szCs w:val="20"/>
        </w:rPr>
        <w:t xml:space="preserve"> {re ss.19, 20, 21 &amp; 23 JDA}</w:t>
      </w:r>
      <w:r w:rsidR="00D2354D">
        <w:rPr>
          <w:rFonts w:ascii="Arial" w:hAnsi="Arial" w:cs="Arial"/>
          <w:sz w:val="20"/>
          <w:szCs w:val="20"/>
        </w:rPr>
        <w:t>;</w:t>
      </w:r>
    </w:p>
    <w:p w14:paraId="40BC114F" w14:textId="75234CE5" w:rsidR="009473C0" w:rsidRPr="000077FD" w:rsidRDefault="00D2354D"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Edmunds v The King </w:t>
      </w:r>
      <w:r w:rsidRPr="00D2354D">
        <w:rPr>
          <w:rFonts w:ascii="Arial" w:hAnsi="Arial" w:cs="Arial"/>
          <w:sz w:val="20"/>
          <w:szCs w:val="20"/>
        </w:rPr>
        <w:t>[2025] VSCA 31 {re ss.12 &amp; 14 JDA}</w:t>
      </w:r>
      <w:r w:rsidR="009473C0" w:rsidRPr="00D2354D">
        <w:rPr>
          <w:rFonts w:ascii="Arial" w:hAnsi="Arial" w:cs="Arial"/>
          <w:sz w:val="20"/>
          <w:szCs w:val="20"/>
        </w:rPr>
        <w:t>.</w:t>
      </w:r>
    </w:p>
    <w:p w14:paraId="2ACF19A8" w14:textId="10FA0A0C" w:rsidR="00F87BE8" w:rsidRPr="00A50832" w:rsidRDefault="00F87BE8"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Charlton v The King </w:t>
      </w:r>
      <w:r w:rsidRPr="00D2354D">
        <w:rPr>
          <w:rFonts w:ascii="Arial" w:hAnsi="Arial" w:cs="Arial"/>
          <w:sz w:val="20"/>
          <w:szCs w:val="20"/>
        </w:rPr>
        <w:t xml:space="preserve">[2025] VSCA </w:t>
      </w:r>
      <w:r>
        <w:rPr>
          <w:rFonts w:ascii="Arial" w:hAnsi="Arial" w:cs="Arial"/>
          <w:sz w:val="20"/>
          <w:szCs w:val="20"/>
        </w:rPr>
        <w:t>46</w:t>
      </w:r>
      <w:r w:rsidRPr="00D2354D">
        <w:rPr>
          <w:rFonts w:ascii="Arial" w:hAnsi="Arial" w:cs="Arial"/>
          <w:sz w:val="20"/>
          <w:szCs w:val="20"/>
        </w:rPr>
        <w:t xml:space="preserve"> </w:t>
      </w:r>
      <w:r>
        <w:rPr>
          <w:rFonts w:ascii="Arial" w:hAnsi="Arial" w:cs="Arial"/>
          <w:sz w:val="20"/>
          <w:szCs w:val="20"/>
        </w:rPr>
        <w:t xml:space="preserve">at [95]-[99] </w:t>
      </w:r>
      <w:r w:rsidRPr="00D2354D">
        <w:rPr>
          <w:rFonts w:ascii="Arial" w:hAnsi="Arial" w:cs="Arial"/>
          <w:sz w:val="20"/>
          <w:szCs w:val="20"/>
        </w:rPr>
        <w:t>{re ss.</w:t>
      </w:r>
      <w:r>
        <w:rPr>
          <w:rFonts w:ascii="Arial" w:hAnsi="Arial" w:cs="Arial"/>
          <w:sz w:val="20"/>
          <w:szCs w:val="20"/>
        </w:rPr>
        <w:t>63</w:t>
      </w:r>
      <w:r w:rsidRPr="00D2354D">
        <w:rPr>
          <w:rFonts w:ascii="Arial" w:hAnsi="Arial" w:cs="Arial"/>
          <w:sz w:val="20"/>
          <w:szCs w:val="20"/>
        </w:rPr>
        <w:t xml:space="preserve"> &amp; </w:t>
      </w:r>
      <w:r>
        <w:rPr>
          <w:rFonts w:ascii="Arial" w:hAnsi="Arial" w:cs="Arial"/>
          <w:sz w:val="20"/>
          <w:szCs w:val="20"/>
        </w:rPr>
        <w:t>6</w:t>
      </w:r>
      <w:r w:rsidRPr="00D2354D">
        <w:rPr>
          <w:rFonts w:ascii="Arial" w:hAnsi="Arial" w:cs="Arial"/>
          <w:sz w:val="20"/>
          <w:szCs w:val="20"/>
        </w:rPr>
        <w:t>4 JDA}.</w:t>
      </w:r>
    </w:p>
    <w:p w14:paraId="14B5429F" w14:textId="4CBBEF31" w:rsidR="00A50832" w:rsidRPr="00B966A3" w:rsidRDefault="00A50832"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R v Birchall </w:t>
      </w:r>
      <w:r w:rsidRPr="00A50832">
        <w:rPr>
          <w:rFonts w:ascii="Arial" w:hAnsi="Arial" w:cs="Arial"/>
          <w:sz w:val="20"/>
          <w:szCs w:val="20"/>
        </w:rPr>
        <w:t>[2025] VSC 172 {re ss.8, 19 &amp; 20 JDA}.</w:t>
      </w:r>
    </w:p>
    <w:p w14:paraId="3CBDB889" w14:textId="1D293AC4" w:rsidR="00B966A3" w:rsidRPr="00D55530" w:rsidRDefault="00B966A3" w:rsidP="00F87BE8">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sz w:val="20"/>
          <w:szCs w:val="20"/>
        </w:rPr>
        <w:t>Ugle</w:t>
      </w:r>
      <w:proofErr w:type="spellEnd"/>
      <w:r>
        <w:rPr>
          <w:rFonts w:ascii="Arial" w:hAnsi="Arial" w:cs="Arial"/>
          <w:i/>
          <w:iCs/>
          <w:sz w:val="20"/>
          <w:szCs w:val="20"/>
        </w:rPr>
        <w:t xml:space="preserve"> v The King </w:t>
      </w:r>
      <w:r w:rsidRPr="00B966A3">
        <w:rPr>
          <w:rFonts w:ascii="Arial" w:hAnsi="Arial" w:cs="Arial"/>
          <w:sz w:val="20"/>
          <w:szCs w:val="20"/>
        </w:rPr>
        <w:t xml:space="preserve">[2025] VSCA </w:t>
      </w:r>
      <w:r>
        <w:rPr>
          <w:rFonts w:ascii="Arial" w:hAnsi="Arial" w:cs="Arial"/>
          <w:sz w:val="20"/>
          <w:szCs w:val="20"/>
        </w:rPr>
        <w:t xml:space="preserve">102 </w:t>
      </w:r>
      <w:r w:rsidRPr="00B966A3">
        <w:rPr>
          <w:rFonts w:ascii="Arial" w:hAnsi="Arial" w:cs="Arial"/>
          <w:sz w:val="20"/>
          <w:szCs w:val="20"/>
        </w:rPr>
        <w:t>{re ss</w:t>
      </w:r>
      <w:r w:rsidR="00D55530">
        <w:rPr>
          <w:rFonts w:ascii="Arial" w:hAnsi="Arial" w:cs="Arial"/>
          <w:sz w:val="20"/>
          <w:szCs w:val="20"/>
        </w:rPr>
        <w:t>.</w:t>
      </w:r>
      <w:r w:rsidRPr="00B966A3">
        <w:rPr>
          <w:rFonts w:ascii="Arial" w:hAnsi="Arial" w:cs="Arial"/>
          <w:sz w:val="20"/>
          <w:szCs w:val="20"/>
        </w:rPr>
        <w:t>6, 46, 47, 47C, 47G and 47I JDA}.</w:t>
      </w:r>
    </w:p>
    <w:p w14:paraId="6300D0F7" w14:textId="0932D1AB" w:rsidR="00D55530" w:rsidRPr="000A6E89" w:rsidRDefault="00D55530"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James v The King </w:t>
      </w:r>
      <w:r w:rsidRPr="00D55530">
        <w:rPr>
          <w:rFonts w:ascii="Arial" w:hAnsi="Arial" w:cs="Arial"/>
          <w:sz w:val="20"/>
          <w:szCs w:val="20"/>
        </w:rPr>
        <w:t>[2025] VSCA 140 {re ss</w:t>
      </w:r>
      <w:r w:rsidR="00CA7045">
        <w:rPr>
          <w:rFonts w:ascii="Arial" w:hAnsi="Arial" w:cs="Arial"/>
          <w:sz w:val="20"/>
          <w:szCs w:val="20"/>
        </w:rPr>
        <w:t>.</w:t>
      </w:r>
      <w:r w:rsidRPr="00D55530">
        <w:rPr>
          <w:rFonts w:ascii="Arial" w:hAnsi="Arial" w:cs="Arial"/>
          <w:sz w:val="20"/>
          <w:szCs w:val="20"/>
        </w:rPr>
        <w:t>11(b)(i), 12, 13, 14 &amp; 15 JDA}.</w:t>
      </w:r>
    </w:p>
    <w:p w14:paraId="04332858" w14:textId="12CF447F" w:rsidR="000A6E89" w:rsidRPr="008039F0" w:rsidRDefault="000A6E89"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Ho v The King </w:t>
      </w:r>
      <w:r w:rsidRPr="000A6E89">
        <w:rPr>
          <w:rFonts w:ascii="Arial" w:hAnsi="Arial" w:cs="Arial"/>
          <w:sz w:val="20"/>
          <w:szCs w:val="20"/>
        </w:rPr>
        <w:t>[2025] VSCA 150 {re ss.12, 14 &amp; 16 JDA}.</w:t>
      </w:r>
    </w:p>
    <w:p w14:paraId="4EE06723" w14:textId="2FCA5084" w:rsidR="008039F0" w:rsidRPr="0064048E" w:rsidRDefault="008039F0" w:rsidP="00F87BE8">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Maskell v The King </w:t>
      </w:r>
      <w:r w:rsidRPr="008039F0">
        <w:rPr>
          <w:rFonts w:ascii="Arial" w:hAnsi="Arial" w:cs="Arial"/>
          <w:sz w:val="20"/>
          <w:szCs w:val="20"/>
        </w:rPr>
        <w:t>[2025] VSCA 170 {re ss.61 &amp; 65(b) JDA}.</w:t>
      </w:r>
    </w:p>
    <w:p w14:paraId="20661459" w14:textId="746A60CC" w:rsidR="0064048E" w:rsidRPr="0064048E" w:rsidRDefault="0064048E" w:rsidP="00F87BE8">
      <w:pPr>
        <w:pStyle w:val="ListParagraph"/>
        <w:numPr>
          <w:ilvl w:val="0"/>
          <w:numId w:val="95"/>
        </w:numPr>
        <w:ind w:left="357" w:hanging="357"/>
        <w:jc w:val="both"/>
        <w:rPr>
          <w:rFonts w:ascii="Arial" w:hAnsi="Arial" w:cs="Arial"/>
          <w:color w:val="000000"/>
          <w:sz w:val="16"/>
          <w:szCs w:val="16"/>
        </w:rPr>
      </w:pPr>
      <w:r w:rsidRPr="0064048E">
        <w:rPr>
          <w:rFonts w:ascii="Arial" w:hAnsi="Arial" w:cs="Arial"/>
          <w:i/>
          <w:iCs/>
          <w:color w:val="000000"/>
          <w:sz w:val="20"/>
          <w:szCs w:val="20"/>
        </w:rPr>
        <w:t>DPP v KT (Ruling 1)</w:t>
      </w:r>
      <w:r w:rsidRPr="00886CA7">
        <w:rPr>
          <w:rFonts w:ascii="Arial" w:hAnsi="Arial" w:cs="Arial"/>
          <w:color w:val="000000"/>
          <w:sz w:val="20"/>
          <w:szCs w:val="20"/>
        </w:rPr>
        <w:t xml:space="preserve"> [2025] VSC 397 </w:t>
      </w:r>
      <w:r>
        <w:rPr>
          <w:rFonts w:ascii="Arial" w:hAnsi="Arial" w:cs="Arial"/>
          <w:color w:val="000000"/>
          <w:sz w:val="20"/>
          <w:szCs w:val="20"/>
        </w:rPr>
        <w:t>at [60]-[87] {re s.20 JDA}.</w:t>
      </w:r>
    </w:p>
    <w:p w14:paraId="01D47875" w14:textId="091A9E8D" w:rsidR="0000108C" w:rsidRPr="000077FD" w:rsidRDefault="0000108C" w:rsidP="000077FD">
      <w:pPr>
        <w:jc w:val="both"/>
        <w:rPr>
          <w:rFonts w:ascii="Arial" w:hAnsi="Arial" w:cs="Arial"/>
          <w:sz w:val="20"/>
          <w:szCs w:val="20"/>
        </w:rPr>
      </w:pPr>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1C0699E5" w14:textId="48A1E74B" w:rsidR="00763245" w:rsidRDefault="00763245" w:rsidP="00763245">
      <w:pPr>
        <w:rPr>
          <w:rFonts w:ascii="Arial" w:hAnsi="Arial" w:cs="Arial"/>
          <w:sz w:val="20"/>
          <w:szCs w:val="20"/>
        </w:rPr>
      </w:pPr>
    </w:p>
    <w:p w14:paraId="399C3205" w14:textId="77777777" w:rsidR="000A2C86" w:rsidRDefault="000A2C86">
      <w:pPr>
        <w:rPr>
          <w:rFonts w:ascii="Arial" w:hAnsi="Arial" w:cs="Arial"/>
          <w:b/>
          <w:bCs/>
          <w:kern w:val="28"/>
          <w:sz w:val="20"/>
          <w:szCs w:val="20"/>
          <w:lang w:val="en-GB"/>
        </w:rPr>
      </w:pPr>
      <w:r>
        <w:rPr>
          <w:rFonts w:ascii="Arial" w:hAnsi="Arial" w:cs="Arial"/>
          <w:b/>
          <w:bCs/>
          <w:sz w:val="20"/>
        </w:rPr>
        <w:br w:type="page"/>
      </w:r>
    </w:p>
    <w:p w14:paraId="1A7BF159" w14:textId="3073F842" w:rsidR="001362CB" w:rsidRPr="00666FA7" w:rsidRDefault="001362CB" w:rsidP="00331DA0">
      <w:pPr>
        <w:pStyle w:val="Heading3"/>
        <w:keepNext/>
        <w:widowControl/>
        <w:spacing w:line="240" w:lineRule="auto"/>
        <w:rPr>
          <w:rFonts w:ascii="Arial" w:hAnsi="Arial" w:cs="Arial"/>
          <w:b/>
          <w:bCs/>
          <w:sz w:val="20"/>
          <w:lang w:val="en-AU"/>
        </w:rPr>
      </w:pPr>
      <w:bookmarkStart w:id="158" w:name="_10.3.3.5D_Contested_hearing_2"/>
      <w:bookmarkEnd w:id="158"/>
      <w:r>
        <w:rPr>
          <w:rFonts w:ascii="Arial" w:hAnsi="Arial" w:cs="Arial"/>
          <w:b/>
          <w:bCs/>
          <w:sz w:val="20"/>
        </w:rPr>
        <w:lastRenderedPageBreak/>
        <w:t>10.3.3.5</w:t>
      </w:r>
      <w:r w:rsidR="001D4716">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9"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9"/>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60"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60"/>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Lasry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Chaarani &amp; Ors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Chaarani &amp; Ors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54A5672E" w14:textId="0FC94B1B" w:rsidR="00C30EDA" w:rsidRDefault="00C30EDA" w:rsidP="001362CB">
      <w:pPr>
        <w:rPr>
          <w:rFonts w:ascii="Arial" w:hAnsi="Arial" w:cs="Arial"/>
          <w:sz w:val="20"/>
          <w:szCs w:val="20"/>
        </w:rPr>
      </w:pPr>
    </w:p>
    <w:p w14:paraId="7CB1D0F1" w14:textId="5240BC83" w:rsidR="009A6889" w:rsidRPr="00666FA7" w:rsidRDefault="009A6889" w:rsidP="009A6889">
      <w:pPr>
        <w:pStyle w:val="Heading3"/>
        <w:keepNext/>
        <w:widowControl/>
        <w:spacing w:line="240" w:lineRule="auto"/>
        <w:rPr>
          <w:rFonts w:ascii="Arial" w:hAnsi="Arial" w:cs="Arial"/>
          <w:b/>
          <w:bCs/>
          <w:sz w:val="20"/>
          <w:lang w:val="en-AU"/>
        </w:rPr>
      </w:pPr>
      <w:bookmarkStart w:id="161" w:name="_10.3.3.5E_Contested_hearing"/>
      <w:bookmarkEnd w:id="161"/>
      <w:r>
        <w:rPr>
          <w:rFonts w:ascii="Arial" w:hAnsi="Arial" w:cs="Arial"/>
          <w:b/>
          <w:bCs/>
          <w:sz w:val="20"/>
        </w:rPr>
        <w:t>10.3.3.5</w:t>
      </w:r>
      <w:r>
        <w:rPr>
          <w:rFonts w:ascii="Arial" w:hAnsi="Arial" w:cs="Arial"/>
          <w:b/>
          <w:color w:val="FFFFFF" w:themeColor="background1"/>
          <w:sz w:val="20"/>
          <w:szCs w:val="22"/>
          <w:shd w:val="clear" w:color="auto" w:fill="000000"/>
        </w:rPr>
        <w:t>E</w:t>
      </w:r>
      <w:r>
        <w:rPr>
          <w:rFonts w:ascii="Arial" w:hAnsi="Arial" w:cs="Arial"/>
          <w:b/>
          <w:bCs/>
          <w:sz w:val="20"/>
        </w:rPr>
        <w:t xml:space="preserve"> Contested hearing – Inconsistent verdicts</w:t>
      </w:r>
    </w:p>
    <w:p w14:paraId="4CA99972" w14:textId="77777777" w:rsidR="009A6889" w:rsidRDefault="009A6889" w:rsidP="009A6889">
      <w:pPr>
        <w:jc w:val="both"/>
        <w:rPr>
          <w:rFonts w:ascii="Arial" w:hAnsi="Arial" w:cs="Arial"/>
          <w:color w:val="000000"/>
          <w:sz w:val="20"/>
          <w:szCs w:val="20"/>
        </w:rPr>
      </w:pPr>
    </w:p>
    <w:p w14:paraId="148A35ED" w14:textId="41C9A049" w:rsidR="009A6889" w:rsidRDefault="009A6889" w:rsidP="009A6889">
      <w:pPr>
        <w:jc w:val="both"/>
        <w:rPr>
          <w:rFonts w:ascii="Arial" w:hAnsi="Arial" w:cs="Arial"/>
          <w:sz w:val="20"/>
        </w:rPr>
      </w:pPr>
      <w:r>
        <w:rPr>
          <w:rFonts w:ascii="Arial" w:hAnsi="Arial" w:cs="Arial"/>
          <w:sz w:val="20"/>
        </w:rPr>
        <w:t xml:space="preserve">In </w:t>
      </w:r>
      <w:r w:rsidRPr="009A6889">
        <w:rPr>
          <w:rFonts w:ascii="Arial" w:hAnsi="Arial" w:cs="Arial"/>
          <w:i/>
          <w:iCs/>
          <w:sz w:val="20"/>
        </w:rPr>
        <w:t>Ballard (a pseudonym) v The King</w:t>
      </w:r>
      <w:r>
        <w:rPr>
          <w:rFonts w:ascii="Arial" w:hAnsi="Arial" w:cs="Arial"/>
          <w:sz w:val="20"/>
        </w:rPr>
        <w:t xml:space="preserve"> [2025] VSCA 120 the applicant had been charged on indictment with two charges of rape of his wife. The jury had </w:t>
      </w:r>
      <w:r w:rsidRPr="009A6889">
        <w:rPr>
          <w:rFonts w:ascii="Arial" w:hAnsi="Arial" w:cs="Arial"/>
          <w:sz w:val="20"/>
        </w:rPr>
        <w:t xml:space="preserve">returned </w:t>
      </w:r>
      <w:r>
        <w:rPr>
          <w:rFonts w:ascii="Arial" w:hAnsi="Arial" w:cs="Arial"/>
          <w:sz w:val="20"/>
        </w:rPr>
        <w:t xml:space="preserve">a </w:t>
      </w:r>
      <w:r w:rsidRPr="009A6889">
        <w:rPr>
          <w:rFonts w:ascii="Arial" w:hAnsi="Arial" w:cs="Arial"/>
          <w:sz w:val="20"/>
        </w:rPr>
        <w:t xml:space="preserve">verdict of guilty on </w:t>
      </w:r>
      <w:r>
        <w:rPr>
          <w:rFonts w:ascii="Arial" w:hAnsi="Arial" w:cs="Arial"/>
          <w:sz w:val="20"/>
        </w:rPr>
        <w:t>c</w:t>
      </w:r>
      <w:r w:rsidRPr="009A6889">
        <w:rPr>
          <w:rFonts w:ascii="Arial" w:hAnsi="Arial" w:cs="Arial"/>
          <w:sz w:val="20"/>
        </w:rPr>
        <w:t xml:space="preserve">harge 1 and not guilty on </w:t>
      </w:r>
      <w:r>
        <w:rPr>
          <w:rFonts w:ascii="Arial" w:hAnsi="Arial" w:cs="Arial"/>
          <w:sz w:val="20"/>
        </w:rPr>
        <w:t>c</w:t>
      </w:r>
      <w:r w:rsidRPr="009A6889">
        <w:rPr>
          <w:rFonts w:ascii="Arial" w:hAnsi="Arial" w:cs="Arial"/>
          <w:sz w:val="20"/>
        </w:rPr>
        <w:t>harge 2</w:t>
      </w:r>
      <w:r>
        <w:rPr>
          <w:rFonts w:ascii="Arial" w:hAnsi="Arial" w:cs="Arial"/>
          <w:sz w:val="20"/>
        </w:rPr>
        <w:t>. Holding that</w:t>
      </w:r>
      <w:r w:rsidR="004A4495">
        <w:rPr>
          <w:rFonts w:ascii="Arial" w:hAnsi="Arial" w:cs="Arial"/>
          <w:sz w:val="20"/>
        </w:rPr>
        <w:t>–</w:t>
      </w:r>
    </w:p>
    <w:p w14:paraId="49647392" w14:textId="33D3D029" w:rsidR="009A6889" w:rsidRDefault="004A4495" w:rsidP="009A6889">
      <w:pPr>
        <w:numPr>
          <w:ilvl w:val="0"/>
          <w:numId w:val="60"/>
        </w:numPr>
        <w:ind w:left="357" w:hanging="357"/>
        <w:jc w:val="both"/>
        <w:rPr>
          <w:rFonts w:ascii="Arial" w:hAnsi="Arial" w:cs="Arial"/>
          <w:sz w:val="20"/>
        </w:rPr>
      </w:pPr>
      <w:r>
        <w:rPr>
          <w:rFonts w:ascii="Arial" w:hAnsi="Arial" w:cs="Arial"/>
          <w:sz w:val="20"/>
        </w:rPr>
        <w:t>t</w:t>
      </w:r>
      <w:r w:rsidR="009A6889">
        <w:rPr>
          <w:rFonts w:ascii="Arial" w:hAnsi="Arial" w:cs="Arial"/>
          <w:sz w:val="20"/>
        </w:rPr>
        <w:t>he complainant’s evidence on charge 1 was not</w:t>
      </w:r>
      <w:r>
        <w:rPr>
          <w:rFonts w:ascii="Arial" w:hAnsi="Arial" w:cs="Arial"/>
          <w:sz w:val="20"/>
        </w:rPr>
        <w:t xml:space="preserve"> able to be distinguished from her evidence on charge 2; and</w:t>
      </w:r>
    </w:p>
    <w:p w14:paraId="61FE5A6C" w14:textId="5B5AC58D" w:rsidR="004A4495" w:rsidRDefault="004A4495" w:rsidP="009A6889">
      <w:pPr>
        <w:numPr>
          <w:ilvl w:val="0"/>
          <w:numId w:val="60"/>
        </w:numPr>
        <w:ind w:left="357" w:hanging="357"/>
        <w:jc w:val="both"/>
        <w:rPr>
          <w:rFonts w:ascii="Arial" w:hAnsi="Arial" w:cs="Arial"/>
          <w:sz w:val="20"/>
        </w:rPr>
      </w:pPr>
      <w:r>
        <w:rPr>
          <w:rFonts w:ascii="Arial" w:hAnsi="Arial" w:cs="Arial"/>
          <w:sz w:val="20"/>
        </w:rPr>
        <w:t>the complainant’s evidence was not capable of rationally explaining the different verdicts–</w:t>
      </w:r>
    </w:p>
    <w:p w14:paraId="2DB2846D" w14:textId="6F16F5BF" w:rsidR="009A6889" w:rsidRDefault="004A4495" w:rsidP="004A4495">
      <w:pPr>
        <w:jc w:val="both"/>
        <w:rPr>
          <w:rFonts w:ascii="Arial" w:hAnsi="Arial" w:cs="Arial"/>
          <w:sz w:val="20"/>
        </w:rPr>
      </w:pPr>
      <w:r>
        <w:rPr>
          <w:rFonts w:ascii="Arial" w:hAnsi="Arial" w:cs="Arial"/>
          <w:sz w:val="20"/>
        </w:rPr>
        <w:t xml:space="preserve">the Court of Appeal held that the verdicts were explicable only as a compromise. Accordingly the Court </w:t>
      </w:r>
      <w:r w:rsidRPr="004A4495">
        <w:rPr>
          <w:rFonts w:ascii="Arial" w:hAnsi="Arial" w:cs="Arial"/>
          <w:sz w:val="20"/>
        </w:rPr>
        <w:t xml:space="preserve">set aside the applicant’s conviction on </w:t>
      </w:r>
      <w:r>
        <w:rPr>
          <w:rFonts w:ascii="Arial" w:hAnsi="Arial" w:cs="Arial"/>
          <w:sz w:val="20"/>
        </w:rPr>
        <w:t>c</w:t>
      </w:r>
      <w:r w:rsidRPr="004A4495">
        <w:rPr>
          <w:rFonts w:ascii="Arial" w:hAnsi="Arial" w:cs="Arial"/>
          <w:sz w:val="20"/>
        </w:rPr>
        <w:t>harge 1 and enter</w:t>
      </w:r>
      <w:r>
        <w:rPr>
          <w:rFonts w:ascii="Arial" w:hAnsi="Arial" w:cs="Arial"/>
          <w:sz w:val="20"/>
        </w:rPr>
        <w:t>ed</w:t>
      </w:r>
      <w:r w:rsidRPr="004A4495">
        <w:rPr>
          <w:rFonts w:ascii="Arial" w:hAnsi="Arial" w:cs="Arial"/>
          <w:sz w:val="20"/>
        </w:rPr>
        <w:t xml:space="preserve"> an acquittal on that charge</w:t>
      </w:r>
      <w:r>
        <w:rPr>
          <w:rFonts w:ascii="Arial" w:hAnsi="Arial" w:cs="Arial"/>
          <w:sz w:val="20"/>
        </w:rPr>
        <w:t>.</w:t>
      </w:r>
    </w:p>
    <w:p w14:paraId="0C24FCAD" w14:textId="40886026" w:rsidR="00C57BCD" w:rsidRDefault="004A4495" w:rsidP="00C57BCD">
      <w:pPr>
        <w:spacing w:before="120"/>
        <w:jc w:val="both"/>
        <w:rPr>
          <w:rFonts w:ascii="Arial" w:hAnsi="Arial" w:cs="Arial"/>
          <w:sz w:val="20"/>
        </w:rPr>
      </w:pPr>
      <w:r>
        <w:rPr>
          <w:rFonts w:ascii="Arial" w:hAnsi="Arial" w:cs="Arial"/>
          <w:sz w:val="20"/>
        </w:rPr>
        <w:t>In their judgment at [79]-[</w:t>
      </w:r>
      <w:r w:rsidR="00C57BCD">
        <w:rPr>
          <w:rFonts w:ascii="Arial" w:hAnsi="Arial" w:cs="Arial"/>
          <w:sz w:val="20"/>
        </w:rPr>
        <w:t>109</w:t>
      </w:r>
      <w:r>
        <w:rPr>
          <w:rFonts w:ascii="Arial" w:hAnsi="Arial" w:cs="Arial"/>
          <w:sz w:val="20"/>
        </w:rPr>
        <w:t xml:space="preserve">] Emerton P, Kidd &amp; Kaye JJA discussed and applied dicta from </w:t>
      </w:r>
      <w:proofErr w:type="spellStart"/>
      <w:r w:rsidRPr="004A4495">
        <w:rPr>
          <w:rFonts w:ascii="Arial" w:hAnsi="Arial" w:cs="Arial"/>
          <w:i/>
          <w:iCs/>
          <w:sz w:val="20"/>
        </w:rPr>
        <w:t>MacKenzie</w:t>
      </w:r>
      <w:proofErr w:type="spellEnd"/>
      <w:r w:rsidRPr="004A4495">
        <w:rPr>
          <w:rFonts w:ascii="Arial" w:hAnsi="Arial" w:cs="Arial"/>
          <w:i/>
          <w:iCs/>
          <w:sz w:val="20"/>
        </w:rPr>
        <w:t xml:space="preserve"> v The Queen</w:t>
      </w:r>
      <w:r w:rsidRPr="004A4495">
        <w:rPr>
          <w:rFonts w:ascii="Arial" w:hAnsi="Arial" w:cs="Arial"/>
          <w:sz w:val="20"/>
        </w:rPr>
        <w:t xml:space="preserve"> (1996) 190 CLR 348</w:t>
      </w:r>
      <w:r w:rsidR="009A35AD">
        <w:rPr>
          <w:rFonts w:ascii="Arial" w:hAnsi="Arial" w:cs="Arial"/>
          <w:sz w:val="20"/>
        </w:rPr>
        <w:t>; [1996] HCA 35</w:t>
      </w:r>
      <w:r>
        <w:rPr>
          <w:rFonts w:ascii="Arial" w:hAnsi="Arial" w:cs="Arial"/>
          <w:sz w:val="20"/>
        </w:rPr>
        <w:t xml:space="preserve"> in relation to </w:t>
      </w:r>
      <w:r w:rsidR="00C57BCD">
        <w:rPr>
          <w:rFonts w:ascii="Arial" w:hAnsi="Arial" w:cs="Arial"/>
          <w:sz w:val="20"/>
        </w:rPr>
        <w:t>inconsistent verdicts, saying in particular at [83]-[84]</w:t>
      </w:r>
      <w:r w:rsidR="009A35AD">
        <w:rPr>
          <w:rFonts w:ascii="Arial" w:hAnsi="Arial" w:cs="Arial"/>
          <w:sz w:val="20"/>
        </w:rPr>
        <w:t xml:space="preserve"> &amp; [108]-[109]</w:t>
      </w:r>
      <w:r w:rsidR="00C57BCD">
        <w:rPr>
          <w:rFonts w:ascii="Arial" w:hAnsi="Arial" w:cs="Arial"/>
          <w:sz w:val="20"/>
        </w:rPr>
        <w:t>:</w:t>
      </w:r>
    </w:p>
    <w:p w14:paraId="7C87B7CA" w14:textId="45A4FC8D" w:rsidR="00C57BCD" w:rsidRDefault="00C57BCD" w:rsidP="00C57BCD">
      <w:pPr>
        <w:spacing w:before="60"/>
        <w:ind w:left="567" w:right="567"/>
        <w:jc w:val="both"/>
        <w:rPr>
          <w:rFonts w:ascii="Arial" w:hAnsi="Arial" w:cs="Arial"/>
          <w:sz w:val="20"/>
        </w:rPr>
      </w:pPr>
      <w:r>
        <w:rPr>
          <w:rFonts w:ascii="Arial" w:hAnsi="Arial" w:cs="Arial"/>
          <w:sz w:val="20"/>
          <w:szCs w:val="20"/>
        </w:rPr>
        <w:t>[83] “</w:t>
      </w:r>
      <w:r w:rsidRPr="00C57BCD">
        <w:rPr>
          <w:rFonts w:ascii="Arial" w:hAnsi="Arial" w:cs="Arial"/>
          <w:sz w:val="20"/>
        </w:rPr>
        <w:t>In determining whether verdicts are inconsistent, the High Court cautioned that ‘if there is a proper way by which the appellate court may reconcile the verdicts, allowing it to conclude that the jury performed their functions as required, that conclusion will generally be accepted’</w:t>
      </w:r>
      <w:r>
        <w:rPr>
          <w:rFonts w:ascii="Arial" w:hAnsi="Arial" w:cs="Arial"/>
          <w:sz w:val="20"/>
        </w:rPr>
        <w:t xml:space="preserve">: </w:t>
      </w:r>
      <w:r w:rsidRPr="009A35AD">
        <w:rPr>
          <w:rFonts w:ascii="Arial" w:hAnsi="Arial" w:cs="Arial"/>
          <w:i/>
          <w:iCs/>
          <w:sz w:val="20"/>
        </w:rPr>
        <w:t>Mackenzie</w:t>
      </w:r>
      <w:r>
        <w:rPr>
          <w:rFonts w:ascii="Arial" w:hAnsi="Arial" w:cs="Arial"/>
          <w:sz w:val="20"/>
        </w:rPr>
        <w:t xml:space="preserve"> at 367, citing </w:t>
      </w:r>
      <w:r w:rsidRPr="009A35AD">
        <w:rPr>
          <w:rFonts w:ascii="Arial" w:hAnsi="Arial" w:cs="Arial"/>
          <w:i/>
          <w:iCs/>
          <w:sz w:val="20"/>
        </w:rPr>
        <w:t>R v Wilkinson</w:t>
      </w:r>
      <w:r>
        <w:rPr>
          <w:rFonts w:ascii="Arial" w:hAnsi="Arial" w:cs="Arial"/>
          <w:sz w:val="20"/>
        </w:rPr>
        <w:t xml:space="preserve"> [1970] Crim LR 176. </w:t>
      </w:r>
      <w:r w:rsidRPr="00C57BCD">
        <w:rPr>
          <w:rFonts w:ascii="Arial" w:hAnsi="Arial" w:cs="Arial"/>
          <w:sz w:val="20"/>
        </w:rPr>
        <w:t>Nevertheless, cases do arise where different verdicts returned by a jury represent ‘an affront to logic and commonsense’ and suggest a compromise in the performance of the jury’s duty</w:t>
      </w:r>
      <w:r w:rsidR="009A35AD">
        <w:rPr>
          <w:rFonts w:ascii="Arial" w:hAnsi="Arial" w:cs="Arial"/>
          <w:sz w:val="20"/>
        </w:rPr>
        <w:t xml:space="preserve">: </w:t>
      </w:r>
      <w:r w:rsidR="009A35AD" w:rsidRPr="009A35AD">
        <w:rPr>
          <w:rFonts w:ascii="Arial" w:hAnsi="Arial" w:cs="Arial"/>
          <w:i/>
          <w:iCs/>
          <w:sz w:val="20"/>
        </w:rPr>
        <w:t>Mackenzie</w:t>
      </w:r>
      <w:r w:rsidR="009A35AD">
        <w:rPr>
          <w:rFonts w:ascii="Arial" w:hAnsi="Arial" w:cs="Arial"/>
          <w:sz w:val="20"/>
        </w:rPr>
        <w:t xml:space="preserve"> at 368. </w:t>
      </w:r>
      <w:r w:rsidRPr="00C57BCD">
        <w:rPr>
          <w:rFonts w:ascii="Arial" w:hAnsi="Arial" w:cs="Arial"/>
          <w:sz w:val="20"/>
        </w:rPr>
        <w:t>Such a conclusion ‘depends upon the facts of the case’. There can be no ‘hard and fast rules’ except that the obligation to demonstrate inconsistency in jury verdicts rests upon the person making the submission</w:t>
      </w:r>
      <w:r w:rsidR="009A35AD">
        <w:rPr>
          <w:rFonts w:ascii="Arial" w:hAnsi="Arial" w:cs="Arial"/>
          <w:sz w:val="20"/>
        </w:rPr>
        <w:t xml:space="preserve">: </w:t>
      </w:r>
      <w:r w:rsidR="009A35AD" w:rsidRPr="009A35AD">
        <w:rPr>
          <w:rFonts w:ascii="Arial" w:hAnsi="Arial" w:cs="Arial"/>
          <w:i/>
          <w:iCs/>
          <w:sz w:val="20"/>
        </w:rPr>
        <w:t>ibid</w:t>
      </w:r>
      <w:r w:rsidR="009A35AD">
        <w:rPr>
          <w:rFonts w:ascii="Arial" w:hAnsi="Arial" w:cs="Arial"/>
          <w:sz w:val="20"/>
        </w:rPr>
        <w:t>.</w:t>
      </w:r>
    </w:p>
    <w:p w14:paraId="4F698196" w14:textId="0E78B257" w:rsidR="00C57BCD" w:rsidRDefault="00C57BCD" w:rsidP="00C57BCD">
      <w:pPr>
        <w:spacing w:before="60"/>
        <w:ind w:left="567" w:right="567"/>
        <w:jc w:val="both"/>
        <w:rPr>
          <w:rFonts w:ascii="Arial" w:hAnsi="Arial" w:cs="Arial"/>
          <w:sz w:val="20"/>
        </w:rPr>
      </w:pPr>
      <w:r>
        <w:rPr>
          <w:rFonts w:ascii="Arial" w:hAnsi="Arial" w:cs="Arial"/>
          <w:sz w:val="20"/>
        </w:rPr>
        <w:t xml:space="preserve">[84] </w:t>
      </w:r>
      <w:r w:rsidRPr="00C57BCD">
        <w:rPr>
          <w:rFonts w:ascii="Arial" w:hAnsi="Arial" w:cs="Arial"/>
          <w:sz w:val="20"/>
        </w:rPr>
        <w:t>Thus, where the inconsistency is said to be based on jury verdicts on different charges, the test is, as the applicant submits, ultimately one of logic and reasonableness. The appellant must demonstrate that no reasonable jury, applying their minds properly to the facts of the case, could have arrived at the conclusion reflected in the different verdicts</w:t>
      </w:r>
      <w:r w:rsidR="009A35AD">
        <w:rPr>
          <w:rFonts w:ascii="Arial" w:hAnsi="Arial" w:cs="Arial"/>
          <w:sz w:val="20"/>
        </w:rPr>
        <w:t xml:space="preserve">: </w:t>
      </w:r>
      <w:r w:rsidR="009A35AD" w:rsidRPr="009A35AD">
        <w:rPr>
          <w:rFonts w:ascii="Arial" w:hAnsi="Arial" w:cs="Arial"/>
          <w:i/>
          <w:iCs/>
          <w:sz w:val="20"/>
        </w:rPr>
        <w:t>Mackenzie</w:t>
      </w:r>
      <w:r w:rsidR="009A35AD">
        <w:rPr>
          <w:rFonts w:ascii="Arial" w:hAnsi="Arial" w:cs="Arial"/>
          <w:sz w:val="20"/>
        </w:rPr>
        <w:t xml:space="preserve"> at 366, citing </w:t>
      </w:r>
      <w:r w:rsidR="009A35AD" w:rsidRPr="009A35AD">
        <w:rPr>
          <w:rFonts w:ascii="Arial" w:hAnsi="Arial" w:cs="Arial"/>
          <w:i/>
          <w:iCs/>
          <w:sz w:val="20"/>
        </w:rPr>
        <w:t>R v Stone</w:t>
      </w:r>
      <w:r w:rsidR="009A35AD">
        <w:rPr>
          <w:rFonts w:ascii="Arial" w:hAnsi="Arial" w:cs="Arial"/>
          <w:sz w:val="20"/>
        </w:rPr>
        <w:t xml:space="preserve"> (Unreported, Devlin J, 13/12/1954).”</w:t>
      </w:r>
    </w:p>
    <w:p w14:paraId="1B5774BA" w14:textId="35A3E01D" w:rsidR="009A35AD" w:rsidRDefault="009A35AD" w:rsidP="00C57BCD">
      <w:pPr>
        <w:spacing w:before="60"/>
        <w:ind w:left="567" w:right="567"/>
        <w:jc w:val="both"/>
        <w:rPr>
          <w:rFonts w:ascii="Arial" w:hAnsi="Arial" w:cs="Arial"/>
          <w:sz w:val="20"/>
        </w:rPr>
      </w:pPr>
      <w:r>
        <w:rPr>
          <w:rFonts w:ascii="Arial" w:hAnsi="Arial" w:cs="Arial"/>
          <w:sz w:val="20"/>
        </w:rPr>
        <w:t>...</w:t>
      </w:r>
    </w:p>
    <w:p w14:paraId="350B3E7E" w14:textId="7F921C35" w:rsidR="009A35AD" w:rsidRDefault="009A35AD" w:rsidP="00C57BCD">
      <w:pPr>
        <w:spacing w:before="60"/>
        <w:ind w:left="567" w:right="567"/>
        <w:jc w:val="both"/>
        <w:rPr>
          <w:rFonts w:ascii="Arial" w:hAnsi="Arial" w:cs="Arial"/>
          <w:sz w:val="20"/>
        </w:rPr>
      </w:pPr>
      <w:r>
        <w:rPr>
          <w:rFonts w:ascii="Arial" w:hAnsi="Arial" w:cs="Arial"/>
          <w:sz w:val="20"/>
        </w:rPr>
        <w:t>[108] “</w:t>
      </w:r>
      <w:r w:rsidRPr="009A35AD">
        <w:rPr>
          <w:rFonts w:ascii="Arial" w:hAnsi="Arial" w:cs="Arial"/>
          <w:sz w:val="20"/>
        </w:rPr>
        <w:t xml:space="preserve">In view of the foregoing, it must be concluded that no feature of the complainant’s separate evidence in relation to </w:t>
      </w:r>
      <w:r>
        <w:rPr>
          <w:rFonts w:ascii="Arial" w:hAnsi="Arial" w:cs="Arial"/>
          <w:sz w:val="20"/>
        </w:rPr>
        <w:t>c</w:t>
      </w:r>
      <w:r w:rsidRPr="009A35AD">
        <w:rPr>
          <w:rFonts w:ascii="Arial" w:hAnsi="Arial" w:cs="Arial"/>
          <w:sz w:val="20"/>
        </w:rPr>
        <w:t xml:space="preserve">harge 1 and </w:t>
      </w:r>
      <w:r>
        <w:rPr>
          <w:rFonts w:ascii="Arial" w:hAnsi="Arial" w:cs="Arial"/>
          <w:sz w:val="20"/>
        </w:rPr>
        <w:t>c</w:t>
      </w:r>
      <w:r w:rsidRPr="009A35AD">
        <w:rPr>
          <w:rFonts w:ascii="Arial" w:hAnsi="Arial" w:cs="Arial"/>
          <w:sz w:val="20"/>
        </w:rPr>
        <w:t xml:space="preserve">harge 2 was capable of rationally explaining the different verdicts. There was no distinguishing feature, such as different elements arising in relation to one charge, but not the other, or different features of the applicant’s denial of one charge but not the other. The different verdicts on </w:t>
      </w:r>
      <w:r>
        <w:rPr>
          <w:rFonts w:ascii="Arial" w:hAnsi="Arial" w:cs="Arial"/>
          <w:sz w:val="20"/>
        </w:rPr>
        <w:t>c</w:t>
      </w:r>
      <w:r w:rsidRPr="009A35AD">
        <w:rPr>
          <w:rFonts w:ascii="Arial" w:hAnsi="Arial" w:cs="Arial"/>
          <w:sz w:val="20"/>
        </w:rPr>
        <w:t>harges 1 and 2 appear to be explicable only as a compromise.</w:t>
      </w:r>
    </w:p>
    <w:p w14:paraId="462A5AE6" w14:textId="2292A367" w:rsidR="00C57BCD" w:rsidRDefault="009A35AD" w:rsidP="009A35AD">
      <w:pPr>
        <w:spacing w:before="60"/>
        <w:ind w:left="567" w:right="567"/>
        <w:jc w:val="both"/>
        <w:rPr>
          <w:rFonts w:ascii="Arial" w:hAnsi="Arial" w:cs="Arial"/>
          <w:sz w:val="20"/>
        </w:rPr>
      </w:pPr>
      <w:r>
        <w:rPr>
          <w:rFonts w:ascii="Arial" w:hAnsi="Arial" w:cs="Arial"/>
          <w:sz w:val="20"/>
        </w:rPr>
        <w:t xml:space="preserve">[109] </w:t>
      </w:r>
      <w:r w:rsidRPr="009A35AD">
        <w:rPr>
          <w:rFonts w:ascii="Arial" w:hAnsi="Arial" w:cs="Arial"/>
          <w:sz w:val="20"/>
        </w:rPr>
        <w:t>This conclusion does not depend on, but is supported by, the fact that the jury, on two separate occasions, informed the trial judge in emphatic terms that it was impossible for them to reach a unanimous decision before, apparently, doing so.</w:t>
      </w:r>
      <w:r>
        <w:rPr>
          <w:rFonts w:ascii="Arial" w:hAnsi="Arial" w:cs="Arial"/>
          <w:sz w:val="20"/>
        </w:rPr>
        <w:t>”</w:t>
      </w:r>
    </w:p>
    <w:p w14:paraId="0DB26C71" w14:textId="77777777" w:rsidR="00C57BCD" w:rsidRDefault="00C57BCD" w:rsidP="009A6889">
      <w:pPr>
        <w:jc w:val="both"/>
        <w:rPr>
          <w:rFonts w:ascii="Arial" w:hAnsi="Arial" w:cs="Arial"/>
          <w:sz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62" w:name="_10.3.3_‘No-case’_procedure"/>
      <w:bookmarkStart w:id="163" w:name="_Toc73162082"/>
      <w:bookmarkEnd w:id="162"/>
      <w:r>
        <w:rPr>
          <w:rFonts w:ascii="Arial" w:hAnsi="Arial" w:cs="Arial"/>
          <w:b/>
          <w:bCs/>
          <w:sz w:val="20"/>
        </w:rPr>
        <w:lastRenderedPageBreak/>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r w:rsidRPr="00CF53CA">
        <w:rPr>
          <w:rFonts w:ascii="Arial" w:hAnsi="Arial" w:cs="Arial"/>
          <w:color w:val="000000"/>
          <w:sz w:val="20"/>
        </w:rPr>
        <w:t>Lasry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lastRenderedPageBreak/>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w:t>
      </w:r>
      <w:r w:rsidRPr="006F04E5">
        <w:rPr>
          <w:rFonts w:ascii="Arial" w:hAnsi="Arial" w:cs="Arial"/>
          <w:sz w:val="20"/>
        </w:rPr>
        <w:lastRenderedPageBreak/>
        <w:t>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r>
        <w:rPr>
          <w:rFonts w:ascii="Arial" w:hAnsi="Arial" w:cs="Arial"/>
          <w:i/>
          <w:sz w:val="20"/>
          <w:szCs w:val="20"/>
        </w:rPr>
        <w:t>O</w:t>
      </w:r>
      <w:r w:rsidRPr="00DF6D00">
        <w:rPr>
          <w:rFonts w:ascii="Arial" w:hAnsi="Arial" w:cs="Arial"/>
          <w:i/>
          <w:sz w:val="20"/>
          <w:szCs w:val="20"/>
        </w:rPr>
        <w:t>rs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The Queen v The Herald &amp; Weekly Times Pty Ltd &amp; Ors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DPP v McCartin &amp; Ors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Ors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lastRenderedPageBreak/>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64" w:name="_10.3.5_Sentence_indication"/>
      <w:bookmarkEnd w:id="163"/>
      <w:bookmarkEnd w:id="164"/>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Street">
        <w:smartTag w:uri="urn:schemas-microsoft-com:office:smarttags" w:element="address">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w:t>
      </w:r>
      <w:r w:rsidR="009452E9">
        <w:rPr>
          <w:rFonts w:ascii="Arial" w:hAnsi="Arial" w:cs="Arial"/>
          <w:sz w:val="20"/>
        </w:rPr>
        <w:lastRenderedPageBreak/>
        <w:t>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65" w:name="_10.3.5_No_summary"/>
      <w:bookmarkStart w:id="166" w:name="_10.3.5_Summary_case"/>
      <w:bookmarkEnd w:id="165"/>
      <w:bookmarkEnd w:id="166"/>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xml:space="preserve">. That procedure involves an appellate court announcing that it intends to allow a Crown appeal and indicating the </w:t>
      </w:r>
      <w:r w:rsidRPr="0085159B">
        <w:rPr>
          <w:rFonts w:ascii="Arial" w:hAnsi="Arial" w:cs="Arial"/>
          <w:sz w:val="20"/>
          <w:szCs w:val="20"/>
        </w:rPr>
        <w:lastRenderedPageBreak/>
        <w:t>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22 year old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takes into account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480BA488" w14:textId="485D2E0D" w:rsidR="000B4BA7" w:rsidRDefault="000B4BA7" w:rsidP="00A61C65">
      <w:pPr>
        <w:jc w:val="both"/>
        <w:rPr>
          <w:rFonts w:ascii="Arial" w:hAnsi="Arial" w:cs="Arial"/>
          <w:sz w:val="20"/>
          <w:szCs w:val="20"/>
        </w:rPr>
      </w:pPr>
      <w:r>
        <w:rPr>
          <w:rFonts w:ascii="Arial" w:hAnsi="Arial" w:cs="Arial"/>
          <w:sz w:val="20"/>
          <w:szCs w:val="20"/>
        </w:rPr>
        <w:t xml:space="preserve">In </w:t>
      </w:r>
      <w:r w:rsidRPr="000B4BA7">
        <w:rPr>
          <w:rFonts w:ascii="Arial" w:hAnsi="Arial" w:cs="Arial"/>
          <w:i/>
          <w:iCs/>
          <w:sz w:val="20"/>
          <w:szCs w:val="20"/>
        </w:rPr>
        <w:t>DPP v Waterhouse</w:t>
      </w:r>
      <w:r>
        <w:rPr>
          <w:rFonts w:ascii="Arial" w:hAnsi="Arial" w:cs="Arial"/>
          <w:sz w:val="20"/>
          <w:szCs w:val="20"/>
        </w:rPr>
        <w:t xml:space="preserve"> [2024] VSC 585 Champion J published his sentence indication of a maximum IMP4y6m/3y6m on a charge of dangerous driving causing death. The sentence ultimately imposed was IMP4y/3y: see [2025] VSC 61.</w:t>
      </w:r>
    </w:p>
    <w:p w14:paraId="6A929083" w14:textId="77777777" w:rsidR="000B4BA7" w:rsidRDefault="000B4BA7"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7" w:name="_10.3.6_Plea_agreements"/>
      <w:bookmarkEnd w:id="167"/>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GAS v The Queen; 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8" w:name="_10.3.7_Withdrawal_of"/>
      <w:bookmarkEnd w:id="168"/>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place">
        <w:smartTag w:uri="urn:schemas-microsoft-com:office:smarttags" w:element="City">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4C8E0DE4"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r w:rsidR="00CC4858">
        <w:rPr>
          <w:rFonts w:ascii="Arial" w:hAnsi="Arial" w:cs="Arial"/>
          <w:color w:val="000000"/>
          <w:sz w:val="20"/>
        </w:rPr>
        <w:t xml:space="preserve"> See also </w:t>
      </w:r>
      <w:r w:rsidR="00CC4858" w:rsidRPr="00CC4858">
        <w:rPr>
          <w:rFonts w:ascii="Arial" w:hAnsi="Arial" w:cs="Arial"/>
          <w:i/>
          <w:iCs/>
          <w:color w:val="000000"/>
          <w:sz w:val="20"/>
        </w:rPr>
        <w:t>Grimm v The King</w:t>
      </w:r>
      <w:r w:rsidR="00CC4858">
        <w:rPr>
          <w:rFonts w:ascii="Arial" w:hAnsi="Arial" w:cs="Arial"/>
          <w:color w:val="000000"/>
          <w:sz w:val="20"/>
        </w:rPr>
        <w:t xml:space="preserve"> [2025] VSCA 11 at [63]-[64] &amp; [76]-[109].</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9" w:name="_10.3.8_Duplicity,_Uncertainty"/>
      <w:bookmarkEnd w:id="169"/>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Pr="000B4BA7" w:rsidRDefault="00D7335E" w:rsidP="005B1658">
      <w:pPr>
        <w:spacing w:after="60"/>
        <w:ind w:left="1134" w:right="1134"/>
        <w:jc w:val="both"/>
        <w:rPr>
          <w:rFonts w:ascii="Arial" w:hAnsi="Arial" w:cs="Arial"/>
          <w:sz w:val="18"/>
          <w:szCs w:val="18"/>
        </w:rPr>
      </w:pPr>
      <w:r w:rsidRPr="000B4BA7">
        <w:rPr>
          <w:rFonts w:ascii="Arial" w:hAnsi="Arial" w:cs="Arial"/>
          <w:sz w:val="18"/>
          <w:szCs w:val="18"/>
        </w:rPr>
        <w:t>'...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9C65E5">
      <w:pPr>
        <w:spacing w:before="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6816AA" w14:textId="7276126B" w:rsidR="00AB22F7" w:rsidRDefault="00AB22F7">
      <w:pPr>
        <w:jc w:val="both"/>
        <w:rPr>
          <w:rFonts w:ascii="Arial" w:hAnsi="Arial" w:cs="Arial"/>
          <w:sz w:val="20"/>
        </w:rPr>
      </w:pPr>
      <w:r>
        <w:rPr>
          <w:rFonts w:ascii="Arial" w:hAnsi="Arial" w:cs="Arial"/>
          <w:sz w:val="20"/>
        </w:rPr>
        <w:t xml:space="preserve">In </w:t>
      </w:r>
      <w:r w:rsidRPr="00AB22F7">
        <w:rPr>
          <w:rFonts w:ascii="Arial" w:hAnsi="Arial" w:cs="Arial"/>
          <w:i/>
          <w:iCs/>
          <w:sz w:val="20"/>
        </w:rPr>
        <w:t>Butcher v The King</w:t>
      </w:r>
      <w:r>
        <w:rPr>
          <w:rFonts w:ascii="Arial" w:hAnsi="Arial" w:cs="Arial"/>
          <w:sz w:val="20"/>
        </w:rPr>
        <w:t xml:space="preserve"> [2024] VSCA 322 the applicant and the complainant were work colleagues and friends. The applicant took the complainant back to his home after a work function.  The complainant who was intoxicated and </w:t>
      </w:r>
      <w:r w:rsidR="00C660F1">
        <w:rPr>
          <w:rFonts w:ascii="Arial" w:hAnsi="Arial" w:cs="Arial"/>
          <w:sz w:val="20"/>
        </w:rPr>
        <w:t>had fallen</w:t>
      </w:r>
      <w:r>
        <w:rPr>
          <w:rFonts w:ascii="Arial" w:hAnsi="Arial" w:cs="Arial"/>
          <w:sz w:val="20"/>
        </w:rPr>
        <w:t xml:space="preserve"> asleep in the applicant’s bed, alleged that she was repeatedly woken </w:t>
      </w:r>
      <w:r>
        <w:rPr>
          <w:rFonts w:ascii="Arial" w:hAnsi="Arial" w:cs="Arial"/>
          <w:sz w:val="20"/>
        </w:rPr>
        <w:lastRenderedPageBreak/>
        <w:t xml:space="preserve">by the applicant penetrating her vagina with his penis. The applicant was </w:t>
      </w:r>
      <w:r w:rsidRPr="00AB22F7">
        <w:rPr>
          <w:rFonts w:ascii="Arial" w:hAnsi="Arial" w:cs="Arial"/>
          <w:sz w:val="20"/>
        </w:rPr>
        <w:t>charged on indictment with two charges of sexual assault and five charges of rape</w:t>
      </w:r>
      <w:r>
        <w:rPr>
          <w:rFonts w:ascii="Arial" w:hAnsi="Arial" w:cs="Arial"/>
          <w:sz w:val="20"/>
        </w:rPr>
        <w:t>. The j</w:t>
      </w:r>
      <w:r w:rsidRPr="00AB22F7">
        <w:rPr>
          <w:rFonts w:ascii="Arial" w:hAnsi="Arial" w:cs="Arial"/>
          <w:sz w:val="20"/>
        </w:rPr>
        <w:t>ury returned verdicts of guilty on one charge of sexual assault and one charge of rape (charge 6)</w:t>
      </w:r>
      <w:r>
        <w:rPr>
          <w:rFonts w:ascii="Arial" w:hAnsi="Arial" w:cs="Arial"/>
          <w:sz w:val="20"/>
        </w:rPr>
        <w:t xml:space="preserve"> which charged one sexual penetration only.</w:t>
      </w:r>
      <w:r w:rsidRPr="00AB22F7">
        <w:rPr>
          <w:rFonts w:ascii="Arial" w:hAnsi="Arial" w:cs="Arial"/>
          <w:sz w:val="20"/>
        </w:rPr>
        <w:t xml:space="preserve"> </w:t>
      </w:r>
      <w:r>
        <w:rPr>
          <w:rFonts w:ascii="Arial" w:hAnsi="Arial" w:cs="Arial"/>
          <w:sz w:val="20"/>
        </w:rPr>
        <w:t>Refusing leave to appeal the Court of Appeal held that charge 6 was not bad for latent duplicity. At</w:t>
      </w:r>
      <w:r w:rsidR="0061011E">
        <w:rPr>
          <w:rFonts w:ascii="Arial" w:hAnsi="Arial" w:cs="Arial"/>
          <w:sz w:val="20"/>
        </w:rPr>
        <w:t> </w:t>
      </w:r>
      <w:r>
        <w:rPr>
          <w:rFonts w:ascii="Arial" w:hAnsi="Arial" w:cs="Arial"/>
          <w:sz w:val="20"/>
        </w:rPr>
        <w:t>[</w:t>
      </w:r>
      <w:r w:rsidR="00702EE8">
        <w:rPr>
          <w:rFonts w:ascii="Arial" w:hAnsi="Arial" w:cs="Arial"/>
          <w:sz w:val="20"/>
        </w:rPr>
        <w:t>90</w:t>
      </w:r>
      <w:r>
        <w:rPr>
          <w:rFonts w:ascii="Arial" w:hAnsi="Arial" w:cs="Arial"/>
          <w:sz w:val="20"/>
        </w:rPr>
        <w:t>]</w:t>
      </w:r>
      <w:r w:rsidR="0061011E">
        <w:rPr>
          <w:rFonts w:ascii="Arial" w:hAnsi="Arial" w:cs="Arial"/>
          <w:sz w:val="20"/>
        </w:rPr>
        <w:noBreakHyphen/>
      </w:r>
      <w:r w:rsidR="00702EE8">
        <w:rPr>
          <w:rFonts w:ascii="Arial" w:hAnsi="Arial" w:cs="Arial"/>
          <w:sz w:val="20"/>
        </w:rPr>
        <w:t>[</w:t>
      </w:r>
      <w:r w:rsidR="00C660F1">
        <w:rPr>
          <w:rFonts w:ascii="Arial" w:hAnsi="Arial" w:cs="Arial"/>
          <w:sz w:val="20"/>
        </w:rPr>
        <w:t>99</w:t>
      </w:r>
      <w:r w:rsidR="00702EE8">
        <w:rPr>
          <w:rFonts w:ascii="Arial" w:hAnsi="Arial" w:cs="Arial"/>
          <w:sz w:val="20"/>
        </w:rPr>
        <w:t>]</w:t>
      </w:r>
      <w:r>
        <w:rPr>
          <w:rFonts w:ascii="Arial" w:hAnsi="Arial" w:cs="Arial"/>
          <w:sz w:val="20"/>
        </w:rPr>
        <w:t xml:space="preserve"> </w:t>
      </w:r>
      <w:r w:rsidR="00702EE8">
        <w:rPr>
          <w:rFonts w:ascii="Arial" w:hAnsi="Arial" w:cs="Arial"/>
          <w:sz w:val="20"/>
        </w:rPr>
        <w:t xml:space="preserve">Emerton P, Taylor JA &amp; Kidd AJA </w:t>
      </w:r>
      <w:r w:rsidR="0061011E">
        <w:rPr>
          <w:rFonts w:ascii="Arial" w:hAnsi="Arial" w:cs="Arial"/>
          <w:sz w:val="20"/>
        </w:rPr>
        <w:t>summarised the principles governing duplicity as follows:</w:t>
      </w:r>
    </w:p>
    <w:p w14:paraId="135F4A4A" w14:textId="0D8528FC" w:rsidR="00702EE8" w:rsidRDefault="00702EE8" w:rsidP="00702EE8">
      <w:pPr>
        <w:spacing w:before="60" w:after="60"/>
        <w:ind w:left="567" w:right="567"/>
        <w:jc w:val="both"/>
        <w:rPr>
          <w:rFonts w:ascii="Arial" w:hAnsi="Arial" w:cs="Arial"/>
          <w:sz w:val="20"/>
        </w:rPr>
      </w:pPr>
      <w:r>
        <w:rPr>
          <w:rFonts w:ascii="Arial" w:hAnsi="Arial" w:cs="Arial"/>
          <w:sz w:val="20"/>
        </w:rPr>
        <w:t>[90] “</w:t>
      </w:r>
      <w:r w:rsidRPr="00702EE8">
        <w:rPr>
          <w:rFonts w:ascii="Arial" w:hAnsi="Arial" w:cs="Arial"/>
          <w:sz w:val="20"/>
        </w:rPr>
        <w:t>The rule against duplicity precludes the prosecution alleging two or more offences in a single charge on an indictment</w:t>
      </w:r>
      <w:r>
        <w:rPr>
          <w:rFonts w:ascii="Arial" w:hAnsi="Arial" w:cs="Arial"/>
          <w:sz w:val="20"/>
        </w:rPr>
        <w:t xml:space="preserve">: </w:t>
      </w:r>
      <w:r w:rsidRPr="00702EE8">
        <w:rPr>
          <w:rFonts w:ascii="Arial" w:hAnsi="Arial" w:cs="Arial"/>
          <w:i/>
          <w:iCs/>
          <w:sz w:val="20"/>
        </w:rPr>
        <w:t>Walsh v Tattersall</w:t>
      </w:r>
      <w:r w:rsidRPr="00702EE8">
        <w:rPr>
          <w:rFonts w:ascii="Arial" w:hAnsi="Arial" w:cs="Arial"/>
          <w:sz w:val="20"/>
        </w:rPr>
        <w:t xml:space="preserve"> (1996) 188 CLR 77; [1996] HCA 26.</w:t>
      </w:r>
    </w:p>
    <w:p w14:paraId="40CA9C34" w14:textId="45B4F302" w:rsidR="00702EE8" w:rsidRDefault="00702EE8" w:rsidP="00702EE8">
      <w:pPr>
        <w:spacing w:before="60" w:after="60"/>
        <w:ind w:left="567" w:right="567"/>
        <w:jc w:val="both"/>
        <w:rPr>
          <w:rFonts w:ascii="Arial" w:hAnsi="Arial" w:cs="Arial"/>
          <w:sz w:val="20"/>
        </w:rPr>
      </w:pPr>
      <w:r>
        <w:rPr>
          <w:rFonts w:ascii="Arial" w:hAnsi="Arial" w:cs="Arial"/>
          <w:sz w:val="20"/>
        </w:rPr>
        <w:t xml:space="preserve">[91] </w:t>
      </w:r>
      <w:r w:rsidRPr="00702EE8">
        <w:rPr>
          <w:rFonts w:ascii="Arial" w:hAnsi="Arial" w:cs="Arial"/>
          <w:sz w:val="20"/>
        </w:rPr>
        <w:t>The rule applies to both patent and latent duplicity</w:t>
      </w:r>
      <w:r w:rsidR="002E4787">
        <w:rPr>
          <w:rFonts w:ascii="Arial" w:hAnsi="Arial" w:cs="Arial"/>
          <w:sz w:val="20"/>
        </w:rPr>
        <w:t xml:space="preserve"> {see </w:t>
      </w:r>
      <w:proofErr w:type="spellStart"/>
      <w:r w:rsidR="002E4787">
        <w:rPr>
          <w:rFonts w:ascii="Arial" w:hAnsi="Arial" w:cs="Arial"/>
          <w:sz w:val="20"/>
        </w:rPr>
        <w:t>eg.</w:t>
      </w:r>
      <w:proofErr w:type="spellEnd"/>
      <w:r w:rsidR="002E4787">
        <w:rPr>
          <w:rFonts w:ascii="Arial" w:hAnsi="Arial" w:cs="Arial"/>
          <w:sz w:val="20"/>
        </w:rPr>
        <w:t xml:space="preserve"> </w:t>
      </w:r>
      <w:r w:rsidR="002E4787" w:rsidRPr="002E4787">
        <w:rPr>
          <w:rFonts w:ascii="Arial" w:hAnsi="Arial" w:cs="Arial"/>
          <w:i/>
          <w:iCs/>
          <w:sz w:val="20"/>
        </w:rPr>
        <w:t>McDonald v Higgins</w:t>
      </w:r>
      <w:r w:rsidR="002E4787">
        <w:rPr>
          <w:rFonts w:ascii="Arial" w:hAnsi="Arial" w:cs="Arial"/>
          <w:sz w:val="20"/>
        </w:rPr>
        <w:t xml:space="preserve"> (2013) 227 A Crim R 130, 136 [24]-[26]; [2013] WASC 61}</w:t>
      </w:r>
      <w:r>
        <w:rPr>
          <w:rFonts w:ascii="Arial" w:hAnsi="Arial" w:cs="Arial"/>
          <w:sz w:val="20"/>
        </w:rPr>
        <w:t>:</w:t>
      </w:r>
    </w:p>
    <w:p w14:paraId="4EFEC1C9" w14:textId="1979142B" w:rsidR="00702EE8" w:rsidRDefault="00702EE8" w:rsidP="00702EE8">
      <w:pPr>
        <w:pStyle w:val="ListParagraph"/>
        <w:numPr>
          <w:ilvl w:val="0"/>
          <w:numId w:val="102"/>
        </w:numPr>
        <w:spacing w:before="60" w:after="60"/>
        <w:ind w:left="924" w:right="567" w:hanging="357"/>
        <w:jc w:val="both"/>
        <w:rPr>
          <w:rFonts w:ascii="Arial" w:hAnsi="Arial" w:cs="Arial"/>
          <w:sz w:val="20"/>
        </w:rPr>
      </w:pPr>
      <w:r w:rsidRPr="00702EE8">
        <w:rPr>
          <w:rFonts w:ascii="Arial" w:hAnsi="Arial" w:cs="Arial"/>
          <w:sz w:val="20"/>
        </w:rPr>
        <w:t>Patent duplicity is a matter of form, not evidence. If, upon a fair reading of a charge, it alleges the commission of two or more separate offences, the charge would be patently duplicitous.</w:t>
      </w:r>
      <w:r w:rsidR="002E4787">
        <w:rPr>
          <w:rFonts w:ascii="Arial" w:hAnsi="Arial" w:cs="Arial"/>
          <w:sz w:val="20"/>
        </w:rPr>
        <w:t xml:space="preserve"> See </w:t>
      </w:r>
      <w:r w:rsidR="002E4787" w:rsidRPr="002E4787">
        <w:rPr>
          <w:rFonts w:ascii="Arial" w:hAnsi="Arial" w:cs="Arial"/>
          <w:i/>
          <w:iCs/>
          <w:sz w:val="20"/>
        </w:rPr>
        <w:t>Rixon v Thompson</w:t>
      </w:r>
      <w:r w:rsidR="002E4787" w:rsidRPr="00702EE8">
        <w:rPr>
          <w:rFonts w:ascii="Arial" w:hAnsi="Arial" w:cs="Arial"/>
          <w:sz w:val="20"/>
        </w:rPr>
        <w:t xml:space="preserve"> (2009) 22 VR 323, 339 [85]; [2009] VSCA 84. In</w:t>
      </w:r>
      <w:r w:rsidR="002E4787">
        <w:rPr>
          <w:rFonts w:ascii="Arial" w:hAnsi="Arial" w:cs="Arial"/>
          <w:sz w:val="20"/>
        </w:rPr>
        <w:t> </w:t>
      </w:r>
      <w:r w:rsidR="002E4787" w:rsidRPr="002E4787">
        <w:rPr>
          <w:rFonts w:ascii="Arial" w:hAnsi="Arial" w:cs="Arial"/>
          <w:i/>
          <w:iCs/>
          <w:sz w:val="20"/>
        </w:rPr>
        <w:t>Rixon</w:t>
      </w:r>
      <w:r w:rsidR="002E4787" w:rsidRPr="00702EE8">
        <w:rPr>
          <w:rFonts w:ascii="Arial" w:hAnsi="Arial" w:cs="Arial"/>
          <w:sz w:val="20"/>
        </w:rPr>
        <w:t>, the Court observed that the charge would be patently duplicitous on a ‘prima facie’ basis. The Court used the term ‘prima facie’ to make it clear that ‘even an apparently duplicitous charge will not fall foul of the rule if one of the recognised exceptions to the rule is made out’.</w:t>
      </w:r>
    </w:p>
    <w:p w14:paraId="47E501F9" w14:textId="5D9A07EA" w:rsidR="00966609" w:rsidRPr="00702EE8" w:rsidRDefault="00966609" w:rsidP="00702EE8">
      <w:pPr>
        <w:pStyle w:val="ListParagraph"/>
        <w:numPr>
          <w:ilvl w:val="0"/>
          <w:numId w:val="102"/>
        </w:numPr>
        <w:spacing w:before="60" w:after="60"/>
        <w:ind w:left="924" w:right="567" w:hanging="357"/>
        <w:jc w:val="both"/>
        <w:rPr>
          <w:rFonts w:ascii="Arial" w:hAnsi="Arial" w:cs="Arial"/>
          <w:sz w:val="20"/>
        </w:rPr>
      </w:pPr>
      <w:r>
        <w:rPr>
          <w:rFonts w:ascii="Arial" w:hAnsi="Arial" w:cs="Arial"/>
          <w:sz w:val="20"/>
        </w:rPr>
        <w:t xml:space="preserve">Latent duplicity will arise </w:t>
      </w:r>
      <w:r w:rsidR="00C660F1" w:rsidRPr="00702EE8">
        <w:rPr>
          <w:rFonts w:ascii="Arial" w:hAnsi="Arial" w:cs="Arial"/>
          <w:sz w:val="20"/>
        </w:rPr>
        <w:t xml:space="preserve">where the prosecution relies on a number of discrete acts and any one of them would entitle the jury to convict. It is latent ‘in the sense that it does not appear on the face of the indictment or complaint’. </w:t>
      </w:r>
      <w:r w:rsidR="002E4787">
        <w:rPr>
          <w:rFonts w:ascii="Arial" w:hAnsi="Arial" w:cs="Arial"/>
          <w:sz w:val="20"/>
        </w:rPr>
        <w:t xml:space="preserve">See </w:t>
      </w:r>
      <w:r w:rsidR="002E4787" w:rsidRPr="002E4787">
        <w:rPr>
          <w:rFonts w:ascii="Arial" w:hAnsi="Arial" w:cs="Arial"/>
          <w:i/>
          <w:iCs/>
          <w:sz w:val="20"/>
        </w:rPr>
        <w:t>PDI v The Queen</w:t>
      </w:r>
      <w:r w:rsidR="002E4787" w:rsidRPr="00702EE8">
        <w:rPr>
          <w:rFonts w:ascii="Arial" w:hAnsi="Arial" w:cs="Arial"/>
          <w:sz w:val="20"/>
        </w:rPr>
        <w:t xml:space="preserve"> (2011) 216 A Crim R 577, 580–581 [11]; [2011] VSCA 446.</w:t>
      </w:r>
    </w:p>
    <w:p w14:paraId="76D9CB09" w14:textId="3EA81EFB" w:rsidR="00702EE8" w:rsidRDefault="00C660F1" w:rsidP="00702EE8">
      <w:pPr>
        <w:spacing w:before="60" w:after="60"/>
        <w:ind w:left="567" w:right="567"/>
        <w:jc w:val="both"/>
        <w:rPr>
          <w:rFonts w:ascii="Arial" w:hAnsi="Arial" w:cs="Arial"/>
          <w:sz w:val="20"/>
        </w:rPr>
      </w:pPr>
      <w:r>
        <w:rPr>
          <w:rFonts w:ascii="Arial" w:hAnsi="Arial" w:cs="Arial"/>
          <w:sz w:val="20"/>
        </w:rPr>
        <w:t xml:space="preserve">[92] </w:t>
      </w:r>
      <w:r w:rsidRPr="00702EE8">
        <w:rPr>
          <w:rFonts w:ascii="Arial" w:hAnsi="Arial" w:cs="Arial"/>
          <w:sz w:val="20"/>
        </w:rPr>
        <w:t>Where latent duplicity arises, it is incumbent on the prosecution to identify the specific act or transaction on which it relies to establish the offence charged. That is, the prosecution will be put to an election.</w:t>
      </w:r>
      <w:r w:rsidR="002E4787">
        <w:rPr>
          <w:rFonts w:ascii="Arial" w:hAnsi="Arial" w:cs="Arial"/>
          <w:sz w:val="20"/>
        </w:rPr>
        <w:t xml:space="preserve"> See </w:t>
      </w:r>
      <w:r w:rsidR="002E4787" w:rsidRPr="002E4787">
        <w:rPr>
          <w:rFonts w:ascii="Arial" w:hAnsi="Arial" w:cs="Arial"/>
          <w:i/>
          <w:iCs/>
          <w:sz w:val="20"/>
        </w:rPr>
        <w:t>Johnson v Miller</w:t>
      </w:r>
      <w:r w:rsidR="002E4787" w:rsidRPr="00702EE8">
        <w:rPr>
          <w:rFonts w:ascii="Arial" w:hAnsi="Arial" w:cs="Arial"/>
          <w:sz w:val="20"/>
        </w:rPr>
        <w:t xml:space="preserve"> (1937) 59 CLR 467, 489; [1937] HCA 77.</w:t>
      </w:r>
    </w:p>
    <w:p w14:paraId="0B341A27" w14:textId="5C2A7AED" w:rsidR="002E4787" w:rsidRDefault="00C660F1" w:rsidP="002E4787">
      <w:pPr>
        <w:spacing w:before="60"/>
        <w:ind w:left="567" w:right="567"/>
        <w:jc w:val="both"/>
        <w:rPr>
          <w:rFonts w:ascii="Arial" w:hAnsi="Arial" w:cs="Arial"/>
          <w:sz w:val="20"/>
        </w:rPr>
      </w:pPr>
      <w:r>
        <w:rPr>
          <w:rFonts w:ascii="Arial" w:hAnsi="Arial" w:cs="Arial"/>
          <w:sz w:val="20"/>
        </w:rPr>
        <w:t xml:space="preserve">[93] </w:t>
      </w:r>
      <w:r w:rsidRPr="00702EE8">
        <w:rPr>
          <w:rFonts w:ascii="Arial" w:hAnsi="Arial" w:cs="Arial"/>
          <w:sz w:val="20"/>
        </w:rPr>
        <w:t xml:space="preserve">It is useful to recall the reasons why the law does not tolerate or countenance latent duplicity. As Redlich JA observed in </w:t>
      </w:r>
      <w:r w:rsidRPr="002E4787">
        <w:rPr>
          <w:rFonts w:ascii="Arial" w:hAnsi="Arial" w:cs="Arial"/>
          <w:i/>
          <w:iCs/>
          <w:sz w:val="20"/>
        </w:rPr>
        <w:t>PPP v The Queen</w:t>
      </w:r>
      <w:r w:rsidR="002E4787" w:rsidRPr="002E4787">
        <w:rPr>
          <w:rFonts w:ascii="Arial" w:hAnsi="Arial" w:cs="Arial"/>
          <w:i/>
          <w:iCs/>
          <w:sz w:val="20"/>
        </w:rPr>
        <w:t xml:space="preserve"> </w:t>
      </w:r>
      <w:r w:rsidR="002E4787" w:rsidRPr="00702EE8">
        <w:rPr>
          <w:rFonts w:ascii="Arial" w:hAnsi="Arial" w:cs="Arial"/>
          <w:sz w:val="20"/>
        </w:rPr>
        <w:t>(2010) 27 VR 68; [2010] VSCA 110</w:t>
      </w:r>
      <w:r w:rsidR="002E4787">
        <w:rPr>
          <w:rFonts w:ascii="Arial" w:hAnsi="Arial" w:cs="Arial"/>
          <w:sz w:val="20"/>
        </w:rPr>
        <w:t xml:space="preserve"> at </w:t>
      </w:r>
      <w:r w:rsidR="0061011E">
        <w:rPr>
          <w:rFonts w:ascii="Arial" w:hAnsi="Arial" w:cs="Arial"/>
          <w:sz w:val="20"/>
        </w:rPr>
        <w:t>[</w:t>
      </w:r>
      <w:r w:rsidR="002E4787">
        <w:rPr>
          <w:rFonts w:ascii="Arial" w:hAnsi="Arial" w:cs="Arial"/>
          <w:sz w:val="20"/>
        </w:rPr>
        <w:t>43]:</w:t>
      </w:r>
      <w:r w:rsidRPr="00702EE8">
        <w:rPr>
          <w:rFonts w:ascii="Arial" w:hAnsi="Arial" w:cs="Arial"/>
          <w:sz w:val="20"/>
        </w:rPr>
        <w:t xml:space="preserve"> ‘the rule against duplicitous counts rests upon a basic consideration of fairness, namely, that an accused should know what case he or she has to meet.’ The rule exists </w:t>
      </w:r>
      <w:r w:rsidR="002E4787">
        <w:rPr>
          <w:rFonts w:ascii="Arial" w:hAnsi="Arial" w:cs="Arial"/>
          <w:sz w:val="20"/>
        </w:rPr>
        <w:t>‘</w:t>
      </w:r>
      <w:r w:rsidRPr="00702EE8">
        <w:rPr>
          <w:rFonts w:ascii="Arial" w:hAnsi="Arial" w:cs="Arial"/>
          <w:sz w:val="20"/>
        </w:rPr>
        <w:t>to</w:t>
      </w:r>
      <w:r w:rsidR="002E4787">
        <w:rPr>
          <w:rFonts w:ascii="Arial" w:hAnsi="Arial" w:cs="Arial"/>
          <w:sz w:val="20"/>
        </w:rPr>
        <w:t> </w:t>
      </w:r>
      <w:r w:rsidRPr="00702EE8">
        <w:rPr>
          <w:rFonts w:ascii="Arial" w:hAnsi="Arial" w:cs="Arial"/>
          <w:sz w:val="20"/>
        </w:rPr>
        <w:t>‘ensure that the accused knows the “particular act, matter or thing alleged as the foundation of the charge”.’ His Honour identified seven reasons why the law insists on proper particularisation:</w:t>
      </w:r>
    </w:p>
    <w:p w14:paraId="1B633BAF"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(1)</w:t>
      </w:r>
      <w:r w:rsidR="002E4787" w:rsidRPr="0061011E">
        <w:rPr>
          <w:rFonts w:ascii="Arial" w:hAnsi="Arial" w:cs="Arial"/>
          <w:sz w:val="18"/>
          <w:szCs w:val="18"/>
        </w:rPr>
        <w:tab/>
      </w:r>
      <w:r w:rsidRPr="0061011E">
        <w:rPr>
          <w:rFonts w:ascii="Arial" w:hAnsi="Arial" w:cs="Arial"/>
          <w:sz w:val="18"/>
          <w:szCs w:val="18"/>
        </w:rPr>
        <w:t>to enable the accused to exercise the right to object to evidence on the ground of relevance;</w:t>
      </w:r>
    </w:p>
    <w:p w14:paraId="3FD9DB82" w14:textId="60745519"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(2)</w:t>
      </w:r>
      <w:r w:rsidR="002E4787" w:rsidRPr="0061011E">
        <w:rPr>
          <w:rFonts w:ascii="Arial" w:hAnsi="Arial" w:cs="Arial"/>
          <w:sz w:val="18"/>
          <w:szCs w:val="18"/>
        </w:rPr>
        <w:tab/>
      </w:r>
      <w:r w:rsidRPr="0061011E">
        <w:rPr>
          <w:rFonts w:ascii="Arial" w:hAnsi="Arial" w:cs="Arial"/>
          <w:sz w:val="18"/>
          <w:szCs w:val="18"/>
        </w:rPr>
        <w:t>to permit the accused to know how the charge might be answered;</w:t>
      </w:r>
    </w:p>
    <w:p w14:paraId="38EC26B5"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(3)</w:t>
      </w:r>
      <w:r w:rsidR="002E4787" w:rsidRPr="0061011E">
        <w:rPr>
          <w:rFonts w:ascii="Arial" w:hAnsi="Arial" w:cs="Arial"/>
          <w:sz w:val="18"/>
          <w:szCs w:val="18"/>
        </w:rPr>
        <w:tab/>
      </w:r>
      <w:r w:rsidRPr="0061011E">
        <w:rPr>
          <w:rFonts w:ascii="Arial" w:hAnsi="Arial" w:cs="Arial"/>
          <w:sz w:val="18"/>
          <w:szCs w:val="18"/>
        </w:rPr>
        <w:t>to provide the accused with the opportunity to test the credibility of the complainant by reference to the surrounding circumstances disclosed as a result of the particularisation of the count;</w:t>
      </w:r>
    </w:p>
    <w:p w14:paraId="3AFC4C63"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(4)</w:t>
      </w:r>
      <w:r w:rsidR="002E4787" w:rsidRPr="0061011E">
        <w:rPr>
          <w:rFonts w:ascii="Arial" w:hAnsi="Arial" w:cs="Arial"/>
          <w:sz w:val="18"/>
          <w:szCs w:val="18"/>
        </w:rPr>
        <w:tab/>
      </w:r>
      <w:r w:rsidRPr="0061011E">
        <w:rPr>
          <w:rFonts w:ascii="Arial" w:hAnsi="Arial" w:cs="Arial"/>
          <w:sz w:val="18"/>
          <w:szCs w:val="18"/>
        </w:rPr>
        <w:t>to enable the trial judge to instruct the jury properly as to the law to be applied;</w:t>
      </w:r>
    </w:p>
    <w:p w14:paraId="3D959E8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(5)</w:t>
      </w:r>
      <w:r w:rsidR="002E4787" w:rsidRPr="0061011E">
        <w:rPr>
          <w:rFonts w:ascii="Arial" w:hAnsi="Arial" w:cs="Arial"/>
          <w:sz w:val="18"/>
          <w:szCs w:val="18"/>
        </w:rPr>
        <w:tab/>
      </w:r>
      <w:r w:rsidRPr="0061011E">
        <w:rPr>
          <w:rFonts w:ascii="Arial" w:hAnsi="Arial" w:cs="Arial"/>
          <w:sz w:val="18"/>
          <w:szCs w:val="18"/>
        </w:rPr>
        <w:t xml:space="preserve"> to ensure that there is a unanimity of view by the jury as to a specific act by the accused;</w:t>
      </w:r>
    </w:p>
    <w:p w14:paraId="0DCCDBD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(6)</w:t>
      </w:r>
      <w:r w:rsidR="002E4787" w:rsidRPr="0061011E">
        <w:rPr>
          <w:rFonts w:ascii="Arial" w:hAnsi="Arial" w:cs="Arial"/>
          <w:sz w:val="18"/>
          <w:szCs w:val="18"/>
        </w:rPr>
        <w:tab/>
      </w:r>
      <w:r w:rsidRPr="0061011E">
        <w:rPr>
          <w:rFonts w:ascii="Arial" w:hAnsi="Arial" w:cs="Arial"/>
          <w:sz w:val="18"/>
          <w:szCs w:val="18"/>
        </w:rPr>
        <w:t>in the event of conviction, to enable the court to know the offence for which the defendant is to be punished;</w:t>
      </w:r>
    </w:p>
    <w:p w14:paraId="7C373F13" w14:textId="4CA1A41E"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(7) to ensure that the record discloses of what offence a person has been acquitted or convicted in order for that person to avail himself or herself,</w:t>
      </w:r>
      <w:r w:rsidR="0061011E" w:rsidRPr="0061011E">
        <w:rPr>
          <w:rFonts w:ascii="Arial" w:hAnsi="Arial" w:cs="Arial"/>
          <w:sz w:val="18"/>
          <w:szCs w:val="18"/>
        </w:rPr>
        <w:t xml:space="preserve"> if the need should arise, of a plea of autrefois acquit or autrefois convict: </w:t>
      </w:r>
      <w:r w:rsidR="0061011E" w:rsidRPr="0061011E">
        <w:rPr>
          <w:rFonts w:ascii="Arial" w:hAnsi="Arial" w:cs="Arial"/>
          <w:i/>
          <w:iCs/>
          <w:sz w:val="18"/>
          <w:szCs w:val="18"/>
        </w:rPr>
        <w:t>PPP v The Queen</w:t>
      </w:r>
      <w:r w:rsidR="0061011E" w:rsidRPr="0061011E">
        <w:rPr>
          <w:rFonts w:ascii="Arial" w:hAnsi="Arial" w:cs="Arial"/>
          <w:sz w:val="18"/>
          <w:szCs w:val="18"/>
        </w:rPr>
        <w:t xml:space="preserve"> at [44].</w:t>
      </w:r>
    </w:p>
    <w:p w14:paraId="1BA6531E" w14:textId="681870AA" w:rsidR="0061011E" w:rsidRDefault="0061011E" w:rsidP="0061011E">
      <w:pPr>
        <w:spacing w:before="60"/>
        <w:ind w:left="567" w:right="567"/>
        <w:jc w:val="both"/>
        <w:rPr>
          <w:rFonts w:ascii="Arial" w:hAnsi="Arial" w:cs="Arial"/>
          <w:sz w:val="20"/>
        </w:rPr>
      </w:pPr>
      <w:r>
        <w:rPr>
          <w:rFonts w:ascii="Arial" w:hAnsi="Arial" w:cs="Arial"/>
          <w:sz w:val="20"/>
        </w:rPr>
        <w:t xml:space="preserve">[94] </w:t>
      </w:r>
      <w:r w:rsidRPr="00702EE8">
        <w:rPr>
          <w:rFonts w:ascii="Arial" w:hAnsi="Arial" w:cs="Arial"/>
          <w:sz w:val="20"/>
        </w:rPr>
        <w:t>There are recognised means by which possible latent ambiguity might be redressed. Sometimes these are referred to as ‘exceptions’ to the rule against latent duplicity.</w:t>
      </w:r>
    </w:p>
    <w:p w14:paraId="0260C6CC" w14:textId="2F50C259" w:rsidR="0061011E" w:rsidRDefault="0061011E" w:rsidP="0061011E">
      <w:pPr>
        <w:spacing w:before="60"/>
        <w:ind w:left="567" w:right="567"/>
        <w:jc w:val="both"/>
        <w:rPr>
          <w:rFonts w:ascii="Arial" w:hAnsi="Arial" w:cs="Arial"/>
          <w:sz w:val="20"/>
        </w:rPr>
      </w:pPr>
      <w:r>
        <w:rPr>
          <w:rFonts w:ascii="Arial" w:hAnsi="Arial" w:cs="Arial"/>
          <w:sz w:val="20"/>
        </w:rPr>
        <w:t xml:space="preserve">[95] </w:t>
      </w:r>
      <w:r w:rsidRPr="00702EE8">
        <w:rPr>
          <w:rFonts w:ascii="Arial" w:hAnsi="Arial" w:cs="Arial"/>
          <w:sz w:val="20"/>
        </w:rPr>
        <w:t xml:space="preserve">One exception can conveniently be referred to as the ‘first or other occasion’ exception. The prosecution nominates the ‘first occasion’ within a specified period of time to distinguish between the act — the subject of the charge — from the other acts of the same nature. This may not be an exception </w:t>
      </w:r>
      <w:r w:rsidRPr="0048244E">
        <w:rPr>
          <w:rFonts w:ascii="Arial" w:hAnsi="Arial" w:cs="Arial"/>
          <w:i/>
          <w:iCs/>
          <w:sz w:val="20"/>
        </w:rPr>
        <w:t>per se</w:t>
      </w:r>
      <w:r w:rsidRPr="00702EE8">
        <w:rPr>
          <w:rFonts w:ascii="Arial" w:hAnsi="Arial" w:cs="Arial"/>
          <w:sz w:val="20"/>
        </w:rPr>
        <w:t xml:space="preserve"> but, rather, an example of the prosecution making an election to rely upon a specific occasion of wrongdoing, to the exclusion of other occasions of similar wrongdoing.</w:t>
      </w:r>
    </w:p>
    <w:p w14:paraId="5A9E288D" w14:textId="113B943D" w:rsidR="0061011E" w:rsidRDefault="0061011E" w:rsidP="0048244E">
      <w:pPr>
        <w:spacing w:before="60"/>
        <w:ind w:left="567" w:right="567"/>
        <w:jc w:val="both"/>
        <w:rPr>
          <w:rFonts w:ascii="Arial" w:hAnsi="Arial" w:cs="Arial"/>
          <w:sz w:val="20"/>
        </w:rPr>
      </w:pPr>
      <w:r>
        <w:rPr>
          <w:rFonts w:ascii="Arial" w:hAnsi="Arial" w:cs="Arial"/>
          <w:sz w:val="20"/>
        </w:rPr>
        <w:t xml:space="preserve">[96] </w:t>
      </w:r>
      <w:r w:rsidR="0048244E" w:rsidRPr="00702EE8">
        <w:rPr>
          <w:rFonts w:ascii="Arial" w:hAnsi="Arial" w:cs="Arial"/>
          <w:sz w:val="20"/>
        </w:rPr>
        <w:t>This Court has long recognised the practice of alleging the ‘first occasion’ in cases involving multiple instances of sexual offending as a pleading device to avoid potential problems of uncertainty and latent duplicity</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[41]; </w:t>
      </w:r>
      <w:r w:rsidR="0048244E" w:rsidRPr="0048244E">
        <w:rPr>
          <w:rFonts w:ascii="Arial" w:hAnsi="Arial" w:cs="Arial"/>
          <w:i/>
          <w:iCs/>
          <w:sz w:val="20"/>
        </w:rPr>
        <w:t>Pate (a pseudonym) v The Queen</w:t>
      </w:r>
      <w:r w:rsidR="0048244E">
        <w:rPr>
          <w:rFonts w:ascii="Arial" w:hAnsi="Arial" w:cs="Arial"/>
          <w:sz w:val="20"/>
        </w:rPr>
        <w:t xml:space="preserve"> [2019] VSCA 170 at [41]. </w:t>
      </w:r>
      <w:r w:rsidR="0048244E" w:rsidRPr="00702EE8">
        <w:rPr>
          <w:rFonts w:ascii="Arial" w:hAnsi="Arial" w:cs="Arial"/>
          <w:sz w:val="20"/>
        </w:rPr>
        <w:t>However, in order to overcome the problem of latent duplicity, the existence of the ‘first occasion’ must be actual and evidence based rather than merely notional</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[61]; </w:t>
      </w:r>
      <w:r w:rsidR="0048244E" w:rsidRPr="0048244E">
        <w:rPr>
          <w:rFonts w:ascii="Arial" w:hAnsi="Arial" w:cs="Arial"/>
          <w:i/>
          <w:iCs/>
          <w:sz w:val="20"/>
        </w:rPr>
        <w:t>Pate (a pseudonym) v The Queen</w:t>
      </w:r>
      <w:r w:rsidR="0048244E">
        <w:rPr>
          <w:rFonts w:ascii="Arial" w:hAnsi="Arial" w:cs="Arial"/>
          <w:sz w:val="20"/>
        </w:rPr>
        <w:t xml:space="preserve"> at [41].</w:t>
      </w:r>
    </w:p>
    <w:p w14:paraId="21FDB763" w14:textId="6D2E9826" w:rsidR="0048244E" w:rsidRDefault="0048244E" w:rsidP="0048244E">
      <w:pPr>
        <w:spacing w:before="60"/>
        <w:ind w:left="567" w:right="567"/>
        <w:jc w:val="both"/>
        <w:rPr>
          <w:rFonts w:ascii="Arial" w:hAnsi="Arial" w:cs="Arial"/>
          <w:sz w:val="20"/>
        </w:rPr>
      </w:pPr>
      <w:r>
        <w:rPr>
          <w:rFonts w:ascii="Arial" w:hAnsi="Arial" w:cs="Arial"/>
          <w:sz w:val="20"/>
        </w:rPr>
        <w:lastRenderedPageBreak/>
        <w:t xml:space="preserve">[97] </w:t>
      </w:r>
      <w:r w:rsidRPr="00702EE8">
        <w:rPr>
          <w:rFonts w:ascii="Arial" w:hAnsi="Arial" w:cs="Arial"/>
          <w:sz w:val="20"/>
        </w:rPr>
        <w:t xml:space="preserve">Another exception is typically referred to as the ‘single transaction’ exception and the ‘continuing offence’ exception. Kirby J described this in the following terms in </w:t>
      </w:r>
      <w:r w:rsidRPr="0048244E">
        <w:rPr>
          <w:rFonts w:ascii="Arial" w:hAnsi="Arial" w:cs="Arial"/>
          <w:i/>
          <w:iCs/>
          <w:sz w:val="20"/>
        </w:rPr>
        <w:t>Walsh v Tattersall</w:t>
      </w:r>
      <w:r>
        <w:rPr>
          <w:rFonts w:ascii="Arial" w:hAnsi="Arial" w:cs="Arial"/>
          <w:sz w:val="20"/>
        </w:rPr>
        <w:t xml:space="preserve"> at 112:</w:t>
      </w:r>
    </w:p>
    <w:p w14:paraId="1CC25637" w14:textId="0D9D650D" w:rsidR="0048244E" w:rsidRPr="0061011E" w:rsidRDefault="0048244E" w:rsidP="0048244E">
      <w:pPr>
        <w:spacing w:before="60"/>
        <w:ind w:left="1021" w:right="1021"/>
        <w:jc w:val="both"/>
        <w:rPr>
          <w:rFonts w:ascii="Arial" w:hAnsi="Arial" w:cs="Arial"/>
          <w:sz w:val="18"/>
          <w:szCs w:val="18"/>
        </w:rPr>
      </w:pPr>
      <w:r>
        <w:rPr>
          <w:rFonts w:ascii="Arial" w:hAnsi="Arial" w:cs="Arial"/>
          <w:sz w:val="18"/>
          <w:szCs w:val="18"/>
        </w:rPr>
        <w:t>This Court should adhere to its longstanding insistence that, save for statutory warrant and for the exceptional cases of continuing offences or facts so closely related that they amount to the one activity, separate offences should be the subject of separate charges.</w:t>
      </w:r>
    </w:p>
    <w:p w14:paraId="7FD82917" w14:textId="28EFFCA4" w:rsidR="00AB22F7" w:rsidRDefault="0048244E" w:rsidP="00877735">
      <w:pPr>
        <w:spacing w:before="60"/>
        <w:ind w:left="567" w:right="567"/>
        <w:jc w:val="both"/>
        <w:rPr>
          <w:rFonts w:ascii="Arial" w:hAnsi="Arial" w:cs="Arial"/>
          <w:sz w:val="20"/>
        </w:rPr>
      </w:pPr>
      <w:r>
        <w:rPr>
          <w:rFonts w:ascii="Arial" w:hAnsi="Arial" w:cs="Arial"/>
          <w:sz w:val="20"/>
        </w:rPr>
        <w:t xml:space="preserve">[98] </w:t>
      </w:r>
      <w:r w:rsidRPr="00702EE8">
        <w:rPr>
          <w:rFonts w:ascii="Arial" w:hAnsi="Arial" w:cs="Arial"/>
          <w:sz w:val="20"/>
        </w:rPr>
        <w:t>Technically, separate acts of penetration or assault may constitute a single episode and be the subject of a single charge. This is an area where common sense and practicality have a role to play. It has been said by this Court that ‘whether a charge encompasses a single criminal activity, or a series of separate offences, is regarded as one of fact and degree’</w:t>
      </w:r>
      <w:r>
        <w:rPr>
          <w:rFonts w:ascii="Arial" w:hAnsi="Arial" w:cs="Arial"/>
          <w:sz w:val="20"/>
        </w:rPr>
        <w:t xml:space="preserve">: </w:t>
      </w:r>
      <w:r w:rsidRPr="0048244E">
        <w:rPr>
          <w:rFonts w:ascii="Arial" w:hAnsi="Arial" w:cs="Arial"/>
          <w:i/>
          <w:iCs/>
          <w:sz w:val="20"/>
        </w:rPr>
        <w:t>Rixon v Thompson</w:t>
      </w:r>
      <w:r>
        <w:rPr>
          <w:rFonts w:ascii="Arial" w:hAnsi="Arial" w:cs="Arial"/>
          <w:sz w:val="20"/>
        </w:rPr>
        <w:t xml:space="preserve"> at [73]; </w:t>
      </w:r>
      <w:r w:rsidRPr="00877735">
        <w:rPr>
          <w:rFonts w:ascii="Arial" w:hAnsi="Arial" w:cs="Arial"/>
          <w:i/>
          <w:iCs/>
          <w:sz w:val="20"/>
        </w:rPr>
        <w:t>PDI v The Queen</w:t>
      </w:r>
      <w:r>
        <w:rPr>
          <w:rFonts w:ascii="Arial" w:hAnsi="Arial" w:cs="Arial"/>
          <w:sz w:val="20"/>
        </w:rPr>
        <w:t xml:space="preserve"> </w:t>
      </w:r>
      <w:r w:rsidR="00877735">
        <w:rPr>
          <w:rFonts w:ascii="Arial" w:hAnsi="Arial" w:cs="Arial"/>
          <w:sz w:val="20"/>
        </w:rPr>
        <w:t xml:space="preserve">at [29]; </w:t>
      </w:r>
      <w:r w:rsidR="00877735" w:rsidRPr="00877735">
        <w:rPr>
          <w:rFonts w:ascii="Arial" w:hAnsi="Arial" w:cs="Arial"/>
          <w:i/>
          <w:iCs/>
          <w:sz w:val="20"/>
        </w:rPr>
        <w:t>R v Heaney</w:t>
      </w:r>
      <w:r w:rsidR="00877735">
        <w:rPr>
          <w:rFonts w:ascii="Arial" w:hAnsi="Arial" w:cs="Arial"/>
          <w:sz w:val="20"/>
        </w:rPr>
        <w:t xml:space="preserve"> (2009) 22 VR 164, 179-182; [2009] VSCA 74 at [48]-[53].</w:t>
      </w:r>
    </w:p>
    <w:p w14:paraId="57967AFF" w14:textId="5824993C" w:rsidR="00877735" w:rsidRDefault="00877735" w:rsidP="00877735">
      <w:pPr>
        <w:spacing w:before="60"/>
        <w:ind w:left="567" w:right="567"/>
        <w:jc w:val="both"/>
        <w:rPr>
          <w:rFonts w:ascii="Arial" w:hAnsi="Arial" w:cs="Arial"/>
          <w:sz w:val="20"/>
        </w:rPr>
      </w:pPr>
      <w:r>
        <w:rPr>
          <w:rFonts w:ascii="Arial" w:hAnsi="Arial" w:cs="Arial"/>
          <w:sz w:val="20"/>
        </w:rPr>
        <w:t xml:space="preserve">[99] </w:t>
      </w:r>
      <w:r w:rsidRPr="00702EE8">
        <w:rPr>
          <w:rFonts w:ascii="Arial" w:hAnsi="Arial" w:cs="Arial"/>
          <w:sz w:val="20"/>
        </w:rPr>
        <w:t xml:space="preserve">As Kirby J held in </w:t>
      </w:r>
      <w:r w:rsidRPr="00877735">
        <w:rPr>
          <w:rFonts w:ascii="Arial" w:hAnsi="Arial" w:cs="Arial"/>
          <w:i/>
          <w:iCs/>
          <w:sz w:val="20"/>
        </w:rPr>
        <w:t>Walsh v Tattersall</w:t>
      </w:r>
      <w:r>
        <w:rPr>
          <w:rFonts w:ascii="Arial" w:hAnsi="Arial" w:cs="Arial"/>
          <w:sz w:val="20"/>
        </w:rPr>
        <w:t xml:space="preserve"> at [108], the factors might include:</w:t>
      </w:r>
    </w:p>
    <w:p w14:paraId="12ECCA5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(a) the connection of the events in point of time;</w:t>
      </w:r>
    </w:p>
    <w:p w14:paraId="1FC36ED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(b) the similarity of the acts;</w:t>
      </w:r>
    </w:p>
    <w:p w14:paraId="040F05E3"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(c) the physical proximity of the place where the events happened; and</w:t>
      </w:r>
    </w:p>
    <w:p w14:paraId="123E91BC" w14:textId="5C775786" w:rsidR="00877735" w:rsidRPr="00877735" w:rsidRDefault="00877735" w:rsidP="00877735">
      <w:pPr>
        <w:ind w:left="1021" w:right="1021"/>
        <w:jc w:val="both"/>
        <w:rPr>
          <w:rFonts w:ascii="Arial" w:hAnsi="Arial" w:cs="Arial"/>
          <w:sz w:val="20"/>
        </w:rPr>
      </w:pPr>
      <w:r w:rsidRPr="00877735">
        <w:rPr>
          <w:rFonts w:ascii="Arial" w:hAnsi="Arial" w:cs="Arial"/>
          <w:sz w:val="20"/>
        </w:rPr>
        <w:t>(d) the intention of the accused throughout the conduct.</w:t>
      </w:r>
    </w:p>
    <w:p w14:paraId="777643B1" w14:textId="3002746E" w:rsidR="00877735" w:rsidRPr="00877735" w:rsidRDefault="00877735" w:rsidP="00877735">
      <w:pPr>
        <w:spacing w:before="60"/>
        <w:ind w:left="567" w:right="567"/>
        <w:jc w:val="both"/>
        <w:rPr>
          <w:rFonts w:ascii="Arial" w:hAnsi="Arial" w:cs="Arial"/>
          <w:sz w:val="20"/>
          <w:szCs w:val="20"/>
        </w:rPr>
      </w:pPr>
      <w:r>
        <w:rPr>
          <w:rFonts w:ascii="Arial" w:hAnsi="Arial" w:cs="Arial"/>
          <w:sz w:val="20"/>
          <w:szCs w:val="20"/>
        </w:rPr>
        <w:t>Perhaps an indication of the considerable difficulty of the task to be found is in the fact that, in many of the leadings cases, there is (as in this case) a division of judicial opinion.”</w:t>
      </w:r>
    </w:p>
    <w:p w14:paraId="69395EAC" w14:textId="7DBB8659" w:rsidR="00877735" w:rsidRDefault="00877735" w:rsidP="00877735">
      <w:pPr>
        <w:spacing w:before="60"/>
        <w:jc w:val="both"/>
        <w:rPr>
          <w:rFonts w:ascii="Arial" w:hAnsi="Arial" w:cs="Arial"/>
          <w:sz w:val="20"/>
        </w:rPr>
      </w:pPr>
      <w:r>
        <w:rPr>
          <w:rFonts w:ascii="Arial" w:hAnsi="Arial" w:cs="Arial"/>
          <w:sz w:val="20"/>
        </w:rPr>
        <w:t>In applying these principles and holding at [127] that “latent duplicity was avoided”, Emerton P, Taylor JA &amp; Kidd AJA said at [122]-[126]:</w:t>
      </w:r>
    </w:p>
    <w:p w14:paraId="7F8CD9EE" w14:textId="6FB6EF43" w:rsidR="00877735" w:rsidRDefault="00877735" w:rsidP="00877735">
      <w:pPr>
        <w:spacing w:before="60" w:after="60"/>
        <w:ind w:left="567" w:right="567"/>
        <w:jc w:val="both"/>
        <w:rPr>
          <w:rFonts w:ascii="Arial" w:hAnsi="Arial" w:cs="Arial"/>
          <w:sz w:val="20"/>
        </w:rPr>
      </w:pPr>
      <w:r>
        <w:rPr>
          <w:rFonts w:ascii="Arial" w:hAnsi="Arial" w:cs="Arial"/>
          <w:sz w:val="20"/>
        </w:rPr>
        <w:t xml:space="preserve">[122] “It also seems to us that the complainant had a significant level of recall of this instance. She recounted a distinct penetration. It was not evidence of a composite account. This is not a case where the evidence of the first instance was notional rather than actual: see </w:t>
      </w:r>
      <w:proofErr w:type="spellStart"/>
      <w:r>
        <w:rPr>
          <w:rFonts w:ascii="Arial" w:hAnsi="Arial" w:cs="Arial"/>
          <w:sz w:val="20"/>
        </w:rPr>
        <w:t>eg.</w:t>
      </w:r>
      <w:proofErr w:type="spellEnd"/>
      <w:r>
        <w:rPr>
          <w:rFonts w:ascii="Arial" w:hAnsi="Arial" w:cs="Arial"/>
          <w:sz w:val="20"/>
        </w:rPr>
        <w:t xml:space="preserve"> </w:t>
      </w:r>
      <w:r w:rsidRPr="00FB3742">
        <w:rPr>
          <w:rFonts w:ascii="Arial" w:hAnsi="Arial" w:cs="Arial"/>
          <w:i/>
          <w:iCs/>
          <w:sz w:val="20"/>
        </w:rPr>
        <w:t>R v DWB</w:t>
      </w:r>
      <w:r>
        <w:rPr>
          <w:rFonts w:ascii="Arial" w:hAnsi="Arial" w:cs="Arial"/>
          <w:sz w:val="20"/>
        </w:rPr>
        <w:t xml:space="preserve"> (2008) 20 VR 112; [2008] VSCA 223.</w:t>
      </w:r>
    </w:p>
    <w:p w14:paraId="7261C2A4" w14:textId="01FA7329" w:rsidR="00877735" w:rsidRDefault="00877735" w:rsidP="00877735">
      <w:pPr>
        <w:spacing w:before="60" w:after="60"/>
        <w:ind w:left="567" w:right="567"/>
        <w:jc w:val="both"/>
        <w:rPr>
          <w:rFonts w:ascii="Arial" w:hAnsi="Arial" w:cs="Arial"/>
          <w:sz w:val="20"/>
        </w:rPr>
      </w:pPr>
      <w:r>
        <w:rPr>
          <w:rFonts w:ascii="Arial" w:hAnsi="Arial" w:cs="Arial"/>
          <w:sz w:val="20"/>
        </w:rPr>
        <w:t xml:space="preserve">[123] </w:t>
      </w:r>
      <w:r w:rsidR="00FB3742">
        <w:rPr>
          <w:rFonts w:ascii="Arial" w:hAnsi="Arial" w:cs="Arial"/>
          <w:sz w:val="20"/>
        </w:rPr>
        <w:t>There was therefore no requirement for any further details which objectively distinguished the first instance from the other sleep penetrations. As Redlich JA said in PPP at [46], ‘the particulars of the offence as being the ‘first occasion’ will generally be sufficient if the complainant is able to recall the first occasion and give evidence to that effect’.</w:t>
      </w:r>
    </w:p>
    <w:p w14:paraId="00B0F89E" w14:textId="504498B0" w:rsidR="00FB3742" w:rsidRDefault="00FB3742" w:rsidP="00877735">
      <w:pPr>
        <w:spacing w:before="60" w:after="60"/>
        <w:ind w:left="567" w:right="567"/>
        <w:jc w:val="both"/>
        <w:rPr>
          <w:rFonts w:ascii="Arial" w:hAnsi="Arial" w:cs="Arial"/>
          <w:sz w:val="20"/>
        </w:rPr>
      </w:pPr>
      <w:r>
        <w:rPr>
          <w:rFonts w:ascii="Arial" w:hAnsi="Arial" w:cs="Arial"/>
          <w:sz w:val="20"/>
        </w:rPr>
        <w:t xml:space="preserve">[124] The nomination of the first occasion is usually employed to address latent duplicity ‘where the same offences are committed against the same person with great frequency over a lengthy period in the same manner and circumstances: </w:t>
      </w:r>
      <w:r w:rsidRPr="00FB3742">
        <w:rPr>
          <w:rFonts w:ascii="Arial" w:hAnsi="Arial" w:cs="Arial"/>
          <w:i/>
          <w:iCs/>
          <w:sz w:val="20"/>
        </w:rPr>
        <w:t>PPP v The Queen</w:t>
      </w:r>
      <w:r>
        <w:rPr>
          <w:rFonts w:ascii="Arial" w:hAnsi="Arial" w:cs="Arial"/>
          <w:sz w:val="20"/>
        </w:rPr>
        <w:t xml:space="preserve"> at [41].  We can see no reason in principle why it cannot be deployed in more confined circumstances, such as those in this case. The real question is whether it avoids latent duplicity by sufficiently selecting the first instance to the exclusion of others.  This occurred here.</w:t>
      </w:r>
    </w:p>
    <w:p w14:paraId="46820818" w14:textId="08116A7A" w:rsidR="00FB3742" w:rsidRDefault="00FB3742" w:rsidP="00877735">
      <w:pPr>
        <w:spacing w:before="60" w:after="60"/>
        <w:ind w:left="567" w:right="567"/>
        <w:jc w:val="both"/>
        <w:rPr>
          <w:rFonts w:ascii="Arial" w:hAnsi="Arial" w:cs="Arial"/>
          <w:sz w:val="20"/>
        </w:rPr>
      </w:pPr>
      <w:r>
        <w:rPr>
          <w:rFonts w:ascii="Arial" w:hAnsi="Arial" w:cs="Arial"/>
          <w:sz w:val="20"/>
        </w:rPr>
        <w:t xml:space="preserve">[125] Charge 6 was thus founded upon a single act of penetration. It was sufficiently clear that this was the ‘particular act, matter or thing alleged as the foundation’ of this charge. On the ‘first occasion’ particularisation approach, </w:t>
      </w:r>
      <w:proofErr w:type="spellStart"/>
      <w:r>
        <w:rPr>
          <w:rFonts w:ascii="Arial" w:hAnsi="Arial" w:cs="Arial"/>
          <w:sz w:val="20"/>
        </w:rPr>
        <w:t>te</w:t>
      </w:r>
      <w:proofErr w:type="spellEnd"/>
      <w:r>
        <w:rPr>
          <w:rFonts w:ascii="Arial" w:hAnsi="Arial" w:cs="Arial"/>
          <w:sz w:val="20"/>
        </w:rPr>
        <w:t xml:space="preserve"> subsequent sleep penetrations were effectively left as uncharged acts.</w:t>
      </w:r>
    </w:p>
    <w:p w14:paraId="66A15A56" w14:textId="71ABE894" w:rsidR="00FB3742" w:rsidRDefault="00FB3742" w:rsidP="00FB3742">
      <w:pPr>
        <w:spacing w:before="60"/>
        <w:ind w:left="567" w:right="567"/>
        <w:jc w:val="both"/>
        <w:rPr>
          <w:rFonts w:ascii="Arial" w:hAnsi="Arial" w:cs="Arial"/>
          <w:sz w:val="20"/>
        </w:rPr>
      </w:pPr>
      <w:r>
        <w:rPr>
          <w:rFonts w:ascii="Arial" w:hAnsi="Arial" w:cs="Arial"/>
          <w:sz w:val="20"/>
        </w:rPr>
        <w:t>[126] The applicant has also not demonstrated any unfairness or prejudice in the conduct of his defence by reason of this particularisation...”</w:t>
      </w:r>
    </w:p>
    <w:p w14:paraId="5C107B74" w14:textId="77777777" w:rsidR="00AB22F7" w:rsidRDefault="00AB22F7">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70" w:name="_10.3.9_“Representative”_counts"/>
      <w:bookmarkEnd w:id="170"/>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 xml:space="preserve">R v </w:t>
      </w:r>
      <w:r w:rsidR="0094266D" w:rsidRPr="0094266D">
        <w:rPr>
          <w:rFonts w:ascii="Arial" w:hAnsi="Arial" w:cs="Arial"/>
          <w:i/>
          <w:sz w:val="20"/>
        </w:rPr>
        <w:lastRenderedPageBreak/>
        <w:t>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Lasry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Pr="007E76DA" w:rsidRDefault="0008494C" w:rsidP="00CF53CA">
      <w:pPr>
        <w:spacing w:before="60"/>
        <w:ind w:left="1134" w:right="1134"/>
        <w:jc w:val="both"/>
        <w:rPr>
          <w:rFonts w:ascii="Arial" w:hAnsi="Arial" w:cs="Arial"/>
          <w:sz w:val="18"/>
          <w:szCs w:val="22"/>
        </w:rPr>
      </w:pPr>
      <w:r w:rsidRPr="007E76DA">
        <w:rPr>
          <w:rFonts w:ascii="Arial" w:hAnsi="Arial" w:cs="Arial"/>
          <w:sz w:val="18"/>
          <w:szCs w:val="22"/>
        </w:rPr>
        <w:lastRenderedPageBreak/>
        <w:t>‘</w:t>
      </w:r>
      <w:r w:rsidR="00B93469" w:rsidRPr="007E76DA">
        <w:rPr>
          <w:rFonts w:ascii="Arial" w:hAnsi="Arial" w:cs="Arial"/>
          <w:sz w:val="18"/>
          <w:szCs w:val="22"/>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sidRPr="007E76DA">
        <w:rPr>
          <w:rFonts w:ascii="Arial" w:hAnsi="Arial" w:cs="Arial"/>
          <w:sz w:val="18"/>
          <w:szCs w:val="22"/>
        </w:rPr>
        <w:t>‘</w:t>
      </w:r>
      <w:r w:rsidR="00B93469" w:rsidRPr="007E76DA">
        <w:rPr>
          <w:rFonts w:ascii="Arial" w:hAnsi="Arial" w:cs="Arial"/>
          <w:sz w:val="18"/>
          <w:szCs w:val="22"/>
        </w:rPr>
        <w:t>any leniency that might have been permitted on the basis that the offence was an isolated event</w:t>
      </w:r>
      <w:r w:rsidR="00063DC1" w:rsidRPr="007E76DA">
        <w:rPr>
          <w:rFonts w:ascii="Arial" w:hAnsi="Arial" w:cs="Arial"/>
          <w:sz w:val="18"/>
          <w:szCs w:val="22"/>
        </w:rPr>
        <w:t xml:space="preserve">’:  </w:t>
      </w:r>
      <w:r w:rsidR="00063DC1" w:rsidRPr="007E76DA">
        <w:rPr>
          <w:rFonts w:ascii="Arial" w:hAnsi="Arial" w:cs="Arial"/>
          <w:i/>
          <w:sz w:val="18"/>
          <w:szCs w:val="22"/>
        </w:rPr>
        <w:t xml:space="preserve">DPP v McMaster </w:t>
      </w:r>
      <w:r w:rsidR="00063DC1" w:rsidRPr="007E76DA">
        <w:rPr>
          <w:rFonts w:ascii="Arial" w:hAnsi="Arial" w:cs="Arial"/>
          <w:sz w:val="18"/>
          <w:szCs w:val="22"/>
        </w:rPr>
        <w:t xml:space="preserve">(2008) 19 VR 191, 202 (Ashley JA); </w:t>
      </w:r>
      <w:r w:rsidR="00063DC1" w:rsidRPr="007E76DA">
        <w:rPr>
          <w:rFonts w:ascii="Arial" w:hAnsi="Arial" w:cs="Arial"/>
          <w:i/>
          <w:sz w:val="18"/>
          <w:szCs w:val="22"/>
        </w:rPr>
        <w:t>The Queen v CJK</w:t>
      </w:r>
      <w:r w:rsidR="00063DC1" w:rsidRPr="007E76DA">
        <w:rPr>
          <w:rFonts w:ascii="Arial" w:hAnsi="Arial" w:cs="Arial"/>
          <w:sz w:val="18"/>
          <w:szCs w:val="22"/>
        </w:rPr>
        <w:t xml:space="preserve"> [2009] VSCA 58, [43] (Warren CJ) citing </w:t>
      </w:r>
      <w:r w:rsidR="00063DC1" w:rsidRPr="007E76DA">
        <w:rPr>
          <w:rFonts w:ascii="Arial" w:hAnsi="Arial" w:cs="Arial"/>
          <w:i/>
          <w:sz w:val="18"/>
          <w:szCs w:val="22"/>
        </w:rPr>
        <w:t>DPP v EB</w:t>
      </w:r>
      <w:r w:rsidR="00063DC1" w:rsidRPr="007E76DA">
        <w:rPr>
          <w:rFonts w:ascii="Arial" w:hAnsi="Arial" w:cs="Arial"/>
          <w:sz w:val="18"/>
          <w:szCs w:val="22"/>
        </w:rPr>
        <w:t xml:space="preserve"> [2008] VSCA 127, [13] (Nettle JA).  </w:t>
      </w:r>
      <w:r w:rsidR="00B93469" w:rsidRPr="007E76DA">
        <w:rPr>
          <w:rFonts w:ascii="Arial" w:hAnsi="Arial" w:cs="Arial"/>
          <w:sz w:val="18"/>
          <w:szCs w:val="22"/>
        </w:rPr>
        <w:t xml:space="preserve">Secondly, the sentencing court must look at the conduct represented by the count in order to judge the offending in its full context, </w:t>
      </w:r>
      <w:r w:rsidR="00063DC1" w:rsidRPr="007E76DA">
        <w:rPr>
          <w:rFonts w:ascii="Arial" w:hAnsi="Arial" w:cs="Arial"/>
          <w:sz w:val="18"/>
          <w:szCs w:val="22"/>
        </w:rPr>
        <w:t>‘</w:t>
      </w:r>
      <w:r w:rsidR="00B93469" w:rsidRPr="007E76DA">
        <w:rPr>
          <w:rFonts w:ascii="Arial" w:hAnsi="Arial" w:cs="Arial"/>
          <w:sz w:val="18"/>
          <w:szCs w:val="22"/>
        </w:rPr>
        <w:t>which is likely to bear upon matters such [as] extent of culpability, need for specific deterrence and prospects of rehabilitation.’</w:t>
      </w:r>
      <w:r w:rsidR="00063DC1" w:rsidRPr="007E76DA">
        <w:rPr>
          <w:rFonts w:ascii="Arial" w:hAnsi="Arial" w:cs="Arial"/>
          <w:sz w:val="18"/>
          <w:szCs w:val="22"/>
        </w:rPr>
        <w:t xml:space="preserve"> </w:t>
      </w:r>
      <w:r w:rsidR="00063DC1" w:rsidRPr="007E76DA">
        <w:rPr>
          <w:rFonts w:ascii="Arial" w:hAnsi="Arial" w:cs="Arial"/>
          <w:i/>
          <w:sz w:val="18"/>
          <w:szCs w:val="22"/>
        </w:rPr>
        <w:t xml:space="preserve">DPP v McMaster </w:t>
      </w:r>
      <w:r w:rsidR="00063DC1" w:rsidRPr="007E76DA">
        <w:rPr>
          <w:rFonts w:ascii="Arial" w:hAnsi="Arial" w:cs="Arial"/>
          <w:sz w:val="18"/>
          <w:szCs w:val="22"/>
        </w:rPr>
        <w:t>(2008) 19 VR 191, 202.</w:t>
      </w:r>
      <w:r w:rsidRPr="007E76DA">
        <w:rPr>
          <w:rFonts w:ascii="Arial" w:hAnsi="Arial" w:cs="Arial"/>
          <w:sz w:val="18"/>
          <w:szCs w:val="22"/>
        </w:rPr>
        <w:t>’</w:t>
      </w:r>
      <w:r w:rsidR="00063DC1" w:rsidRPr="007E76DA">
        <w:rPr>
          <w:rFonts w:ascii="Arial" w:hAnsi="Arial" w:cs="Arial"/>
          <w:sz w:val="18"/>
          <w:szCs w:val="22"/>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lastRenderedPageBreak/>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03/09/1979 per Young 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lastRenderedPageBreak/>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71" w:name="_Toc30691451"/>
      <w:bookmarkStart w:id="172" w:name="_Toc30691830"/>
      <w:bookmarkStart w:id="173" w:name="_Toc30692210"/>
      <w:bookmarkStart w:id="174" w:name="_Toc30692968"/>
      <w:bookmarkStart w:id="175" w:name="_Toc30693347"/>
      <w:bookmarkStart w:id="176" w:name="_Toc30693725"/>
      <w:bookmarkStart w:id="177" w:name="_Toc30694103"/>
      <w:bookmarkStart w:id="178" w:name="_Toc30694483"/>
      <w:bookmarkStart w:id="179" w:name="_Toc30699073"/>
      <w:bookmarkStart w:id="180" w:name="_Toc30699458"/>
      <w:bookmarkStart w:id="181" w:name="_Toc30699843"/>
      <w:bookmarkStart w:id="182" w:name="_Toc30700998"/>
      <w:bookmarkStart w:id="183" w:name="_Toc30701385"/>
      <w:bookmarkStart w:id="184" w:name="_Toc30743992"/>
      <w:bookmarkStart w:id="185" w:name="_Toc30754815"/>
      <w:bookmarkStart w:id="186" w:name="_Toc30757271"/>
      <w:bookmarkStart w:id="187" w:name="_Toc30757819"/>
      <w:bookmarkStart w:id="188" w:name="_Toc30758219"/>
      <w:bookmarkStart w:id="189" w:name="_Toc30762980"/>
      <w:bookmarkStart w:id="190" w:name="_Toc30767634"/>
      <w:bookmarkStart w:id="191"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076D5A98"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sidR="006F2C6E">
        <w:rPr>
          <w:rFonts w:ascii="Arial" w:hAnsi="Arial" w:cs="Arial"/>
          <w:bCs/>
          <w:color w:val="000000"/>
          <w:sz w:val="20"/>
          <w:szCs w:val="20"/>
        </w:rPr>
        <w:t xml:space="preserve">; </w:t>
      </w:r>
      <w:r w:rsidR="006F2C6E" w:rsidRPr="006F2C6E">
        <w:rPr>
          <w:rFonts w:ascii="Arial" w:hAnsi="Arial" w:cs="Arial"/>
          <w:bCs/>
          <w:i/>
          <w:iCs/>
          <w:color w:val="000000"/>
          <w:sz w:val="20"/>
          <w:szCs w:val="20"/>
        </w:rPr>
        <w:t xml:space="preserve">DPP v </w:t>
      </w:r>
      <w:proofErr w:type="spellStart"/>
      <w:r w:rsidR="006F2C6E" w:rsidRPr="006F2C6E">
        <w:rPr>
          <w:rFonts w:ascii="Arial" w:hAnsi="Arial" w:cs="Arial"/>
          <w:bCs/>
          <w:i/>
          <w:iCs/>
          <w:color w:val="000000"/>
          <w:sz w:val="20"/>
          <w:szCs w:val="20"/>
        </w:rPr>
        <w:t>Lapatis</w:t>
      </w:r>
      <w:proofErr w:type="spellEnd"/>
      <w:r w:rsidR="006F2C6E" w:rsidRPr="006F2C6E">
        <w:rPr>
          <w:rFonts w:ascii="Arial" w:hAnsi="Arial" w:cs="Arial"/>
          <w:bCs/>
          <w:i/>
          <w:iCs/>
          <w:color w:val="000000"/>
          <w:sz w:val="20"/>
          <w:szCs w:val="20"/>
        </w:rPr>
        <w:t xml:space="preserve">; DPP v </w:t>
      </w:r>
      <w:proofErr w:type="spellStart"/>
      <w:r w:rsidR="006F2C6E" w:rsidRPr="006F2C6E">
        <w:rPr>
          <w:rFonts w:ascii="Arial" w:hAnsi="Arial" w:cs="Arial"/>
          <w:bCs/>
          <w:i/>
          <w:iCs/>
          <w:color w:val="000000"/>
          <w:sz w:val="20"/>
          <w:szCs w:val="20"/>
        </w:rPr>
        <w:t>Stakic</w:t>
      </w:r>
      <w:proofErr w:type="spellEnd"/>
      <w:r w:rsidR="006F2C6E">
        <w:rPr>
          <w:rFonts w:ascii="Arial" w:hAnsi="Arial" w:cs="Arial"/>
          <w:bCs/>
          <w:color w:val="000000"/>
          <w:sz w:val="20"/>
          <w:szCs w:val="20"/>
        </w:rPr>
        <w:t xml:space="preserve"> [2025] VSCA 105 at [87]-[106] per McLeish, Boyce &amp; Orr JJA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92" w:name="_10.3.10_Right_to"/>
      <w:bookmarkEnd w:id="192"/>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Mokbel v DPP (Vic) &amp; Ors</w:t>
      </w:r>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93" w:name="_Hlk150771439"/>
      <w:r w:rsidR="00154810" w:rsidRPr="00154810">
        <w:rPr>
          <w:rFonts w:ascii="Arial" w:hAnsi="Arial" w:cs="Arial"/>
          <w:i/>
          <w:iCs/>
          <w:sz w:val="20"/>
          <w:szCs w:val="20"/>
        </w:rPr>
        <w:t>GLJ v The Trustees of 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93"/>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 xml:space="preserve">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w:t>
      </w:r>
      <w:r w:rsidR="00737063">
        <w:rPr>
          <w:rFonts w:ascii="Arial" w:hAnsi="Arial" w:cs="Arial"/>
          <w:sz w:val="20"/>
        </w:rPr>
        <w:lastRenderedPageBreak/>
        <w:t>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 xml:space="preserve">Hermanus </w:t>
      </w:r>
      <w:r w:rsidR="00A71591" w:rsidRPr="00441BAF">
        <w:rPr>
          <w:rFonts w:ascii="Arial" w:hAnsi="Arial" w:cs="Arial"/>
          <w:i/>
          <w:sz w:val="20"/>
        </w:rPr>
        <w:lastRenderedPageBreak/>
        <w:t>(a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Ors</w:t>
      </w:r>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644FDA6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Lasry J </w:t>
      </w:r>
      <w:r w:rsidR="009C65E5">
        <w:rPr>
          <w:rFonts w:ascii="Arial" w:hAnsi="Arial" w:cs="Arial"/>
          <w:sz w:val="20"/>
        </w:rPr>
        <w:t xml:space="preserve">had </w:t>
      </w:r>
      <w:r>
        <w:rPr>
          <w:rFonts w:ascii="Arial" w:hAnsi="Arial" w:cs="Arial"/>
          <w:sz w:val="20"/>
        </w:rPr>
        <w:t xml:space="preserve">allowed an application by the accused and </w:t>
      </w:r>
      <w:r w:rsidR="00057C84">
        <w:rPr>
          <w:rFonts w:ascii="Arial" w:hAnsi="Arial" w:cs="Arial"/>
          <w:sz w:val="20"/>
        </w:rPr>
        <w:t xml:space="preserve">had </w:t>
      </w:r>
      <w:r>
        <w:rPr>
          <w:rFonts w:ascii="Arial" w:hAnsi="Arial" w:cs="Arial"/>
          <w:sz w:val="20"/>
        </w:rPr>
        <w:t xml:space="preserve">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w:t>
      </w:r>
      <w:r w:rsidR="00057C84">
        <w:rPr>
          <w:rFonts w:ascii="Arial" w:hAnsi="Arial" w:cs="Arial"/>
          <w:sz w:val="20"/>
        </w:rPr>
        <w:t xml:space="preserve">After </w:t>
      </w:r>
      <w:r w:rsidR="0032286B">
        <w:rPr>
          <w:rFonts w:ascii="Arial" w:hAnsi="Arial" w:cs="Arial"/>
          <w:sz w:val="20"/>
        </w:rPr>
        <w:t>outlin</w:t>
      </w:r>
      <w:r w:rsidR="00057C84">
        <w:rPr>
          <w:rFonts w:ascii="Arial" w:hAnsi="Arial" w:cs="Arial"/>
          <w:sz w:val="20"/>
        </w:rPr>
        <w:t xml:space="preserve">ing </w:t>
      </w:r>
      <w:r w:rsidR="0032286B">
        <w:rPr>
          <w:rFonts w:ascii="Arial" w:hAnsi="Arial" w:cs="Arial"/>
          <w:sz w:val="20"/>
        </w:rPr>
        <w:t xml:space="preserve">the </w:t>
      </w:r>
      <w:r w:rsidR="005816F7">
        <w:rPr>
          <w:rFonts w:ascii="Arial" w:hAnsi="Arial" w:cs="Arial"/>
          <w:sz w:val="20"/>
        </w:rPr>
        <w:t>relevant principles</w:t>
      </w:r>
      <w:r w:rsidR="008F75C6">
        <w:rPr>
          <w:rFonts w:ascii="Arial" w:hAnsi="Arial" w:cs="Arial"/>
          <w:sz w:val="20"/>
        </w:rPr>
        <w:t xml:space="preserve"> </w:t>
      </w:r>
      <w:r w:rsidR="00057C84">
        <w:rPr>
          <w:rFonts w:ascii="Arial" w:hAnsi="Arial" w:cs="Arial"/>
          <w:sz w:val="20"/>
        </w:rPr>
        <w:t>at [63]-[70], Lasry J held that the conduct of the prosecution amounted to an abuse of process based on issues of delay and oppression, saying at [78] &amp; [84]-[85]: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27BAA8CF" w14:textId="77777777" w:rsidR="00ED1F3D" w:rsidRDefault="00CE2EA1" w:rsidP="00057C84">
      <w:pPr>
        <w:spacing w:before="120"/>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Lasry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94"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94"/>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lastRenderedPageBreak/>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Pr="001C3BD4" w:rsidRDefault="00074F58" w:rsidP="001C3BD4">
      <w:pPr>
        <w:rPr>
          <w:rFonts w:ascii="Arial" w:hAnsi="Arial" w:cs="Arial"/>
          <w:sz w:val="20"/>
          <w:szCs w:val="20"/>
        </w:rPr>
      </w:pPr>
      <w:r w:rsidRPr="001C3BD4">
        <w:rPr>
          <w:rFonts w:ascii="Arial" w:hAnsi="Arial" w:cs="Arial"/>
          <w:sz w:val="20"/>
          <w:szCs w:val="20"/>
        </w:rPr>
        <w:t xml:space="preserve">Ultimately Mr </w:t>
      </w:r>
      <w:proofErr w:type="spellStart"/>
      <w:r w:rsidRPr="001C3BD4">
        <w:rPr>
          <w:rFonts w:ascii="Arial" w:hAnsi="Arial" w:cs="Arial"/>
          <w:sz w:val="20"/>
          <w:szCs w:val="20"/>
        </w:rPr>
        <w:t>Tuteru</w:t>
      </w:r>
      <w:proofErr w:type="spellEnd"/>
      <w:r w:rsidRPr="001C3BD4">
        <w:rPr>
          <w:rFonts w:ascii="Arial" w:hAnsi="Arial" w:cs="Arial"/>
          <w:sz w:val="20"/>
          <w:szCs w:val="20"/>
        </w:rPr>
        <w:t xml:space="preserve"> pleaded guilty to a charge of failing to comply with his duty in the chain of responsibility for a heavy vehicle under s.26C of the </w:t>
      </w:r>
      <w:r w:rsidRPr="001C3BD4">
        <w:rPr>
          <w:rFonts w:ascii="Arial" w:hAnsi="Arial" w:cs="Arial"/>
          <w:i/>
          <w:iCs/>
          <w:sz w:val="20"/>
          <w:szCs w:val="20"/>
        </w:rPr>
        <w:t>Heavy Vehicle National Law</w:t>
      </w:r>
      <w:r w:rsidRPr="001C3BD4">
        <w:rPr>
          <w:rFonts w:ascii="Arial" w:hAnsi="Arial" w:cs="Arial"/>
          <w:sz w:val="20"/>
          <w:szCs w:val="20"/>
        </w:rPr>
        <w:t xml:space="preserve">, contrary to s.26F of that Law and was convicted by Elliot J and placed on a community correction order containing an unpaid community work condition of 200 hours over 3 years: see </w:t>
      </w:r>
      <w:r w:rsidRPr="001C3BD4">
        <w:rPr>
          <w:rFonts w:ascii="Arial" w:hAnsi="Arial" w:cs="Arial"/>
          <w:i/>
          <w:iCs/>
          <w:sz w:val="20"/>
          <w:szCs w:val="20"/>
        </w:rPr>
        <w:t xml:space="preserve">DPP v </w:t>
      </w:r>
      <w:proofErr w:type="spellStart"/>
      <w:r w:rsidRPr="001C3BD4">
        <w:rPr>
          <w:rFonts w:ascii="Arial" w:hAnsi="Arial" w:cs="Arial"/>
          <w:i/>
          <w:iCs/>
          <w:sz w:val="20"/>
          <w:szCs w:val="20"/>
        </w:rPr>
        <w:t>Tuteru</w:t>
      </w:r>
      <w:proofErr w:type="spellEnd"/>
      <w:r w:rsidRPr="001C3BD4">
        <w:rPr>
          <w:rFonts w:ascii="Arial" w:hAnsi="Arial" w:cs="Arial"/>
          <w:i/>
          <w:iCs/>
          <w:sz w:val="20"/>
          <w:szCs w:val="20"/>
        </w:rPr>
        <w:t xml:space="preserve"> (No 4)</w:t>
      </w:r>
      <w:r w:rsidRPr="001C3BD4">
        <w:rPr>
          <w:rFonts w:ascii="Arial" w:hAnsi="Arial" w:cs="Arial"/>
          <w:sz w:val="20"/>
          <w:szCs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If, however, a stay is sought to stop a prosecution which has been instituted and maintained for an improper purpose, it by no means follows that it is necessary, before 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 xml:space="preserve">Clearly, the absence of any need to explain alternative verdicts will result in simplification of the jury’s task. Nor are we able to see that the failure to have charges of sexual assault on the indictment will mean that the applicant will be </w:t>
      </w:r>
      <w:r w:rsidRPr="008C6260">
        <w:rPr>
          <w:rFonts w:ascii="Arial" w:hAnsi="Arial" w:cs="Arial"/>
          <w:sz w:val="20"/>
          <w:szCs w:val="16"/>
        </w:rPr>
        <w:lastRenderedPageBreak/>
        <w:t>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Pr="001C3BD4" w:rsidRDefault="002C42FB" w:rsidP="009379DF">
      <w:pPr>
        <w:jc w:val="both"/>
        <w:rPr>
          <w:rFonts w:ascii="Arial" w:hAnsi="Arial" w:cs="Arial"/>
          <w:sz w:val="20"/>
          <w:szCs w:val="20"/>
        </w:rPr>
      </w:pPr>
      <w:r w:rsidRPr="001C3BD4">
        <w:rPr>
          <w:rFonts w:ascii="Arial" w:hAnsi="Arial" w:cs="Arial"/>
          <w:sz w:val="20"/>
          <w:szCs w:val="20"/>
        </w:rPr>
        <w:t xml:space="preserve">In </w:t>
      </w:r>
      <w:r w:rsidRPr="001C3BD4">
        <w:rPr>
          <w:rFonts w:ascii="Arial" w:hAnsi="Arial" w:cs="Arial"/>
          <w:i/>
          <w:iCs/>
          <w:sz w:val="20"/>
          <w:szCs w:val="20"/>
        </w:rPr>
        <w:t>Haris (a pseudonym) v The King</w:t>
      </w:r>
      <w:r w:rsidRPr="001C3BD4">
        <w:rPr>
          <w:rFonts w:ascii="Arial" w:hAnsi="Arial" w:cs="Arial"/>
          <w:sz w:val="20"/>
          <w:szCs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1C3BD4">
        <w:rPr>
          <w:rFonts w:ascii="Arial" w:hAnsi="Arial" w:cs="Arial"/>
          <w:i/>
          <w:iCs/>
          <w:sz w:val="20"/>
          <w:szCs w:val="20"/>
        </w:rPr>
        <w:t>Evidence Act 2008</w:t>
      </w:r>
      <w:r w:rsidRPr="001C3BD4">
        <w:rPr>
          <w:rFonts w:ascii="Arial" w:hAnsi="Arial" w:cs="Arial"/>
          <w:sz w:val="20"/>
          <w:szCs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The expression ‘abuse of process’ encompasses not only circumstances within the narrow conception of that term — such as bringing a proceeding for an improper purpose, or pursuing a proceeding which is 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 xml:space="preserve">In an application for a permanent stay, the focus of attention in relation to unavailable evidence is on the value </w:t>
      </w:r>
      <w:r w:rsidRPr="00523E6B">
        <w:rPr>
          <w:rFonts w:ascii="Arial" w:hAnsi="Arial" w:cs="Arial"/>
          <w:sz w:val="20"/>
          <w:szCs w:val="20"/>
        </w:rPr>
        <w:lastRenderedPageBreak/>
        <w:t>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Pr="001C3BD4" w:rsidRDefault="002C42FB" w:rsidP="001C3BD4">
      <w:pPr>
        <w:rPr>
          <w:rFonts w:ascii="Arial" w:hAnsi="Arial" w:cs="Arial"/>
          <w:sz w:val="20"/>
          <w:szCs w:val="20"/>
        </w:rPr>
      </w:pPr>
      <w:r w:rsidRPr="001C3BD4">
        <w:rPr>
          <w:rFonts w:ascii="Arial" w:hAnsi="Arial" w:cs="Arial"/>
          <w:sz w:val="20"/>
          <w:szCs w:val="20"/>
        </w:rPr>
        <w:t xml:space="preserve">See also </w:t>
      </w:r>
      <w:r w:rsidRPr="001C3BD4">
        <w:rPr>
          <w:rFonts w:ascii="Arial" w:hAnsi="Arial" w:cs="Arial"/>
          <w:i/>
          <w:iCs/>
          <w:sz w:val="20"/>
          <w:szCs w:val="20"/>
        </w:rPr>
        <w:t xml:space="preserve">Haris (a pseudonym) v The King </w:t>
      </w:r>
      <w:r w:rsidR="003D5405" w:rsidRPr="001C3BD4">
        <w:rPr>
          <w:rFonts w:ascii="Arial" w:hAnsi="Arial" w:cs="Arial"/>
          <w:i/>
          <w:iCs/>
          <w:sz w:val="20"/>
          <w:szCs w:val="20"/>
        </w:rPr>
        <w:t>[</w:t>
      </w:r>
      <w:r w:rsidRPr="001C3BD4">
        <w:rPr>
          <w:rFonts w:ascii="Arial" w:hAnsi="Arial" w:cs="Arial"/>
          <w:i/>
          <w:iCs/>
          <w:sz w:val="20"/>
          <w:szCs w:val="20"/>
        </w:rPr>
        <w:t>No 2</w:t>
      </w:r>
      <w:r w:rsidR="003D5405" w:rsidRPr="001C3BD4">
        <w:rPr>
          <w:rFonts w:ascii="Arial" w:hAnsi="Arial" w:cs="Arial"/>
          <w:i/>
          <w:iCs/>
          <w:sz w:val="20"/>
          <w:szCs w:val="20"/>
        </w:rPr>
        <w:t>]</w:t>
      </w:r>
      <w:r w:rsidRPr="001C3BD4">
        <w:rPr>
          <w:rFonts w:ascii="Arial" w:hAnsi="Arial" w:cs="Arial"/>
          <w:sz w:val="20"/>
          <w:szCs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5" w:name="_10.3.11_Abuse_of"/>
      <w:bookmarkEnd w:id="195"/>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Jell; Ex Parte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We are satisfied, on the basis of the authorities set out above and in accordance with general principle, that for the present proceeding on indictment to go ahead in the County Court would work an unacceptable unfairness to LM.  It would also have the consequence 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6" w:name="_10.3.12_Joinder_or"/>
      <w:bookmarkEnd w:id="196"/>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065F21D" w14:textId="7B72B2C0" w:rsidR="000A6D12" w:rsidRDefault="00A03E5E" w:rsidP="000A6D12">
      <w:pPr>
        <w:pStyle w:val="ListParagraph"/>
        <w:numPr>
          <w:ilvl w:val="0"/>
          <w:numId w:val="105"/>
        </w:numPr>
        <w:jc w:val="both"/>
        <w:rPr>
          <w:rFonts w:ascii="Arial" w:hAnsi="Arial" w:cs="Arial"/>
          <w:sz w:val="20"/>
          <w:szCs w:val="20"/>
        </w:rPr>
      </w:pPr>
      <w:r w:rsidRPr="000A6D12">
        <w:rPr>
          <w:rFonts w:ascii="Arial" w:hAnsi="Arial" w:cs="Arial"/>
          <w:sz w:val="20"/>
          <w:szCs w:val="20"/>
        </w:rPr>
        <w:t xml:space="preserve">Sections 193 &amp; 194 of the </w:t>
      </w:r>
      <w:r w:rsidRPr="000A6D12">
        <w:rPr>
          <w:rFonts w:ascii="Arial" w:hAnsi="Arial" w:cs="Arial"/>
          <w:i/>
          <w:iCs/>
          <w:sz w:val="20"/>
          <w:szCs w:val="20"/>
        </w:rPr>
        <w:t>Criminal Procedure Act 2009</w:t>
      </w:r>
      <w:r w:rsidRPr="000A6D12">
        <w:rPr>
          <w:rFonts w:ascii="Arial" w:hAnsi="Arial" w:cs="Arial"/>
          <w:sz w:val="20"/>
          <w:szCs w:val="20"/>
        </w:rPr>
        <w:t xml:space="preserve"> [‘CPA’] are headed “</w:t>
      </w:r>
      <w:r w:rsidRPr="000A6D12">
        <w:rPr>
          <w:rFonts w:ascii="Arial" w:hAnsi="Arial" w:cs="Arial"/>
          <w:b/>
          <w:bCs/>
          <w:sz w:val="20"/>
          <w:szCs w:val="20"/>
        </w:rPr>
        <w:t>Order for separate trial</w:t>
      </w:r>
      <w:r w:rsidRPr="000A6D12">
        <w:rPr>
          <w:rFonts w:ascii="Arial" w:hAnsi="Arial" w:cs="Arial"/>
          <w:sz w:val="20"/>
          <w:szCs w:val="20"/>
        </w:rPr>
        <w:t>” and “</w:t>
      </w:r>
      <w:r w:rsidRPr="000A6D12">
        <w:rPr>
          <w:rFonts w:ascii="Arial" w:hAnsi="Arial" w:cs="Arial"/>
          <w:b/>
          <w:bCs/>
          <w:sz w:val="20"/>
          <w:szCs w:val="20"/>
        </w:rPr>
        <w:t>Order for separate trial – sexual offences</w:t>
      </w:r>
      <w:r w:rsidRPr="000A6D12">
        <w:rPr>
          <w:rFonts w:ascii="Arial" w:hAnsi="Arial" w:cs="Arial"/>
          <w:sz w:val="20"/>
          <w:szCs w:val="20"/>
        </w:rPr>
        <w:t>” respectively.   However, those sections only apply to criminal trials in the County &amp; Supreme Courts.</w:t>
      </w:r>
    </w:p>
    <w:p w14:paraId="3BE377FB" w14:textId="77777777" w:rsidR="0080626A" w:rsidRPr="00A635F2" w:rsidRDefault="0080626A" w:rsidP="000A6D12">
      <w:pPr>
        <w:pStyle w:val="ListParagraph"/>
        <w:spacing w:before="60"/>
        <w:jc w:val="both"/>
        <w:rPr>
          <w:rFonts w:ascii="Arial" w:hAnsi="Arial" w:cs="Arial"/>
          <w:color w:val="000000"/>
          <w:sz w:val="12"/>
          <w:szCs w:val="16"/>
        </w:rPr>
      </w:pPr>
    </w:p>
    <w:p w14:paraId="4F61AEC5" w14:textId="5BA41686" w:rsidR="000A6D12" w:rsidRPr="000A6D12" w:rsidRDefault="000A6D12" w:rsidP="00A635F2">
      <w:pPr>
        <w:pStyle w:val="ListParagraph"/>
        <w:spacing w:before="60"/>
        <w:jc w:val="both"/>
        <w:rPr>
          <w:rFonts w:ascii="Arial" w:hAnsi="Arial" w:cs="Arial"/>
          <w:sz w:val="20"/>
          <w:szCs w:val="20"/>
        </w:rPr>
      </w:pPr>
      <w:r w:rsidRPr="000A6D12">
        <w:rPr>
          <w:rFonts w:ascii="Arial" w:hAnsi="Arial" w:cs="Arial"/>
          <w:color w:val="000000"/>
          <w:sz w:val="20"/>
        </w:rPr>
        <w:lastRenderedPageBreak/>
        <w:t xml:space="preserve">In </w:t>
      </w:r>
      <w:r w:rsidRPr="000A6D12">
        <w:rPr>
          <w:rFonts w:ascii="Arial" w:hAnsi="Arial" w:cs="Arial"/>
          <w:i/>
          <w:iCs/>
          <w:color w:val="000000"/>
          <w:sz w:val="20"/>
        </w:rPr>
        <w:t>DPP v Mehdi &amp; Ors (Ruling 5)</w:t>
      </w:r>
      <w:r w:rsidRPr="000A6D12">
        <w:rPr>
          <w:rFonts w:ascii="Arial" w:hAnsi="Arial" w:cs="Arial"/>
          <w:color w:val="000000"/>
          <w:sz w:val="20"/>
        </w:rPr>
        <w:t xml:space="preserve"> [2024] VSC 831 four co-accused were facing a joint trial for murder. The prosecution intended to lead </w:t>
      </w:r>
      <w:r w:rsidR="00C54C7E">
        <w:rPr>
          <w:rFonts w:ascii="Arial" w:hAnsi="Arial" w:cs="Arial"/>
          <w:color w:val="000000"/>
          <w:sz w:val="20"/>
        </w:rPr>
        <w:t xml:space="preserve">certain </w:t>
      </w:r>
      <w:r w:rsidRPr="000A6D12">
        <w:rPr>
          <w:rFonts w:ascii="Arial" w:hAnsi="Arial" w:cs="Arial"/>
          <w:color w:val="000000"/>
          <w:sz w:val="20"/>
        </w:rPr>
        <w:t>evidence admissible in the trial of Mehdi only. Counsel for the accused Qian objected to th</w:t>
      </w:r>
      <w:r w:rsidR="00C54C7E">
        <w:rPr>
          <w:rFonts w:ascii="Arial" w:hAnsi="Arial" w:cs="Arial"/>
          <w:color w:val="000000"/>
          <w:sz w:val="20"/>
        </w:rPr>
        <w:t>at</w:t>
      </w:r>
      <w:r w:rsidRPr="000A6D12">
        <w:rPr>
          <w:rFonts w:ascii="Arial" w:hAnsi="Arial" w:cs="Arial"/>
          <w:color w:val="000000"/>
          <w:sz w:val="20"/>
        </w:rPr>
        <w:t xml:space="preserve"> evidence pursuant to s.135(a) of the </w:t>
      </w:r>
      <w:r w:rsidRPr="000A6D12">
        <w:rPr>
          <w:rFonts w:ascii="Arial" w:hAnsi="Arial" w:cs="Arial"/>
          <w:i/>
          <w:iCs/>
          <w:color w:val="000000"/>
          <w:sz w:val="20"/>
        </w:rPr>
        <w:t>Evidence Act 2008</w:t>
      </w:r>
      <w:r w:rsidRPr="000A6D12">
        <w:rPr>
          <w:rFonts w:ascii="Arial" w:hAnsi="Arial" w:cs="Arial"/>
          <w:color w:val="000000"/>
          <w:sz w:val="20"/>
        </w:rPr>
        <w:t xml:space="preserve"> and if th</w:t>
      </w:r>
      <w:r w:rsidR="00C54C7E">
        <w:rPr>
          <w:rFonts w:ascii="Arial" w:hAnsi="Arial" w:cs="Arial"/>
          <w:color w:val="000000"/>
          <w:sz w:val="20"/>
        </w:rPr>
        <w:t>at</w:t>
      </w:r>
      <w:r w:rsidRPr="000A6D12">
        <w:rPr>
          <w:rFonts w:ascii="Arial" w:hAnsi="Arial" w:cs="Arial"/>
          <w:color w:val="000000"/>
          <w:sz w:val="20"/>
        </w:rPr>
        <w:t xml:space="preserve"> evidence was admitted sought a separate trial. Fox J refused both applications. </w:t>
      </w:r>
      <w:r w:rsidR="00A635F2">
        <w:rPr>
          <w:rFonts w:ascii="Arial" w:hAnsi="Arial" w:cs="Arial"/>
          <w:color w:val="000000"/>
          <w:sz w:val="20"/>
        </w:rPr>
        <w:t>In</w:t>
      </w:r>
      <w:r w:rsidR="00C54C7E">
        <w:rPr>
          <w:rFonts w:ascii="Arial" w:hAnsi="Arial" w:cs="Arial"/>
          <w:color w:val="000000"/>
          <w:sz w:val="20"/>
        </w:rPr>
        <w:t xml:space="preserve"> </w:t>
      </w:r>
      <w:r w:rsidR="00A635F2">
        <w:rPr>
          <w:rFonts w:ascii="Arial" w:hAnsi="Arial" w:cs="Arial"/>
          <w:color w:val="000000"/>
          <w:sz w:val="20"/>
        </w:rPr>
        <w:t xml:space="preserve">refusing a separate trial </w:t>
      </w:r>
      <w:r w:rsidRPr="000A6D12">
        <w:rPr>
          <w:rFonts w:ascii="Arial" w:hAnsi="Arial" w:cs="Arial"/>
          <w:color w:val="000000"/>
          <w:sz w:val="20"/>
        </w:rPr>
        <w:t>her Honour said</w:t>
      </w:r>
      <w:r w:rsidR="00A635F2">
        <w:rPr>
          <w:rFonts w:ascii="Arial" w:hAnsi="Arial" w:cs="Arial"/>
          <w:color w:val="000000"/>
          <w:sz w:val="20"/>
        </w:rPr>
        <w:t xml:space="preserve"> a</w:t>
      </w:r>
      <w:r w:rsidR="00A635F2" w:rsidRPr="000A6D12">
        <w:rPr>
          <w:rFonts w:ascii="Arial" w:hAnsi="Arial" w:cs="Arial"/>
          <w:color w:val="000000"/>
          <w:sz w:val="20"/>
        </w:rPr>
        <w:t>t</w:t>
      </w:r>
      <w:r w:rsidR="00A635F2">
        <w:rPr>
          <w:rFonts w:ascii="Arial" w:hAnsi="Arial" w:cs="Arial"/>
          <w:color w:val="000000"/>
          <w:sz w:val="20"/>
        </w:rPr>
        <w:t xml:space="preserve"> </w:t>
      </w:r>
      <w:r w:rsidR="00A635F2" w:rsidRPr="000A6D12">
        <w:rPr>
          <w:rFonts w:ascii="Arial" w:hAnsi="Arial" w:cs="Arial"/>
          <w:color w:val="000000"/>
          <w:sz w:val="20"/>
        </w:rPr>
        <w:t>[41]-[43] &amp; [52]</w:t>
      </w:r>
      <w:r w:rsidRPr="000A6D12">
        <w:rPr>
          <w:rFonts w:ascii="Arial" w:hAnsi="Arial" w:cs="Arial"/>
          <w:color w:val="000000"/>
          <w:sz w:val="20"/>
        </w:rPr>
        <w:t>:</w:t>
      </w:r>
    </w:p>
    <w:p w14:paraId="04873C23" w14:textId="77777777" w:rsidR="0080626A" w:rsidRPr="0080626A" w:rsidRDefault="0080626A" w:rsidP="0080626A">
      <w:pPr>
        <w:pStyle w:val="ListParagraph"/>
        <w:spacing w:before="60"/>
        <w:jc w:val="both"/>
        <w:rPr>
          <w:rFonts w:ascii="Arial" w:hAnsi="Arial" w:cs="Arial"/>
          <w:color w:val="000000"/>
          <w:sz w:val="6"/>
          <w:szCs w:val="10"/>
        </w:rPr>
      </w:pPr>
    </w:p>
    <w:p w14:paraId="6EC4B763" w14:textId="40D4181F" w:rsidR="0080626A" w:rsidRDefault="0080626A" w:rsidP="0080626A">
      <w:pPr>
        <w:pStyle w:val="ListParagraph"/>
        <w:spacing w:before="60" w:after="60"/>
        <w:ind w:left="1174" w:hanging="454"/>
        <w:jc w:val="both"/>
        <w:rPr>
          <w:rFonts w:ascii="Arial" w:hAnsi="Arial" w:cs="Arial"/>
          <w:sz w:val="20"/>
          <w:szCs w:val="20"/>
        </w:rPr>
      </w:pPr>
      <w:r>
        <w:rPr>
          <w:rFonts w:ascii="Arial" w:hAnsi="Arial" w:cs="Arial"/>
          <w:sz w:val="20"/>
          <w:szCs w:val="20"/>
        </w:rPr>
        <w:t>[41]</w:t>
      </w:r>
      <w:r>
        <w:rPr>
          <w:rFonts w:ascii="Arial" w:hAnsi="Arial" w:cs="Arial"/>
          <w:sz w:val="20"/>
          <w:szCs w:val="20"/>
        </w:rPr>
        <w:tab/>
        <w:t>“</w:t>
      </w:r>
      <w:r w:rsidRPr="000A6D12">
        <w:rPr>
          <w:rFonts w:ascii="Arial" w:hAnsi="Arial" w:cs="Arial"/>
          <w:sz w:val="20"/>
          <w:szCs w:val="20"/>
        </w:rPr>
        <w:t>The principles to be applied have been discussed in a number of earlier authorities. Where the trial judge is considering the application, the accused must show that there is a real risk of positive injustice to the accused were he or she to be tried jointly</w:t>
      </w:r>
      <w:r>
        <w:rPr>
          <w:rFonts w:ascii="Arial" w:hAnsi="Arial" w:cs="Arial"/>
          <w:sz w:val="20"/>
          <w:szCs w:val="20"/>
        </w:rPr>
        <w:t xml:space="preserve"> {</w:t>
      </w:r>
      <w:r w:rsidRPr="0080626A">
        <w:rPr>
          <w:rFonts w:ascii="Arial" w:hAnsi="Arial" w:cs="Arial"/>
          <w:i/>
          <w:iCs/>
          <w:sz w:val="20"/>
          <w:szCs w:val="20"/>
        </w:rPr>
        <w:t>R v Alexander</w:t>
      </w:r>
      <w:r w:rsidRPr="0080626A">
        <w:rPr>
          <w:rFonts w:ascii="Arial" w:hAnsi="Arial" w:cs="Arial"/>
          <w:sz w:val="20"/>
          <w:szCs w:val="20"/>
        </w:rPr>
        <w:t xml:space="preserve"> (2002) 6 VR 53, 67 [31]</w:t>
      </w:r>
      <w:r>
        <w:rPr>
          <w:rFonts w:ascii="Arial" w:hAnsi="Arial" w:cs="Arial"/>
          <w:sz w:val="20"/>
          <w:szCs w:val="20"/>
        </w:rPr>
        <w:t>},</w:t>
      </w:r>
      <w:r w:rsidRPr="000A6D12">
        <w:rPr>
          <w:rFonts w:ascii="Arial" w:hAnsi="Arial" w:cs="Arial"/>
          <w:sz w:val="20"/>
          <w:szCs w:val="20"/>
        </w:rPr>
        <w:t xml:space="preserve"> and that the prejudice is of a kind not really amenable to nullification by judicial direction</w:t>
      </w:r>
      <w:r>
        <w:rPr>
          <w:rFonts w:ascii="Arial" w:hAnsi="Arial" w:cs="Arial"/>
          <w:sz w:val="20"/>
          <w:szCs w:val="20"/>
        </w:rPr>
        <w:t xml:space="preserve"> {</w:t>
      </w:r>
      <w:r w:rsidRPr="0080626A">
        <w:rPr>
          <w:rFonts w:ascii="Arial" w:hAnsi="Arial" w:cs="Arial"/>
          <w:i/>
          <w:iCs/>
          <w:sz w:val="20"/>
          <w:szCs w:val="20"/>
        </w:rPr>
        <w:t>Feeney v The Queen</w:t>
      </w:r>
      <w:r w:rsidRPr="0080626A">
        <w:rPr>
          <w:rFonts w:ascii="Arial" w:hAnsi="Arial" w:cs="Arial"/>
          <w:sz w:val="20"/>
          <w:szCs w:val="20"/>
        </w:rPr>
        <w:t xml:space="preserve"> [2022] VSCA 113, [27]</w:t>
      </w:r>
      <w:r>
        <w:rPr>
          <w:rFonts w:ascii="Arial" w:hAnsi="Arial" w:cs="Arial"/>
          <w:sz w:val="20"/>
          <w:szCs w:val="20"/>
        </w:rPr>
        <w:t>}</w:t>
      </w:r>
      <w:r w:rsidRPr="000A6D12">
        <w:rPr>
          <w:rFonts w:ascii="Arial" w:hAnsi="Arial" w:cs="Arial"/>
          <w:sz w:val="20"/>
          <w:szCs w:val="20"/>
        </w:rPr>
        <w:t>.</w:t>
      </w:r>
    </w:p>
    <w:p w14:paraId="469451BA" w14:textId="77777777" w:rsidR="0080626A" w:rsidRPr="0080626A" w:rsidRDefault="0080626A" w:rsidP="0080626A">
      <w:pPr>
        <w:pStyle w:val="ListParagraph"/>
        <w:spacing w:before="60"/>
        <w:jc w:val="both"/>
        <w:rPr>
          <w:rFonts w:ascii="Arial" w:hAnsi="Arial" w:cs="Arial"/>
          <w:color w:val="000000"/>
          <w:sz w:val="6"/>
          <w:szCs w:val="10"/>
        </w:rPr>
      </w:pPr>
    </w:p>
    <w:p w14:paraId="0990C2FC" w14:textId="05944D01" w:rsidR="0080626A" w:rsidRDefault="0080626A" w:rsidP="0080626A">
      <w:pPr>
        <w:pStyle w:val="ListParagraph"/>
        <w:spacing w:before="60"/>
        <w:ind w:left="1174" w:hanging="454"/>
        <w:jc w:val="both"/>
        <w:rPr>
          <w:rFonts w:ascii="Arial" w:hAnsi="Arial" w:cs="Arial"/>
          <w:sz w:val="20"/>
          <w:szCs w:val="20"/>
        </w:rPr>
      </w:pPr>
      <w:r>
        <w:rPr>
          <w:rFonts w:ascii="Arial" w:hAnsi="Arial" w:cs="Arial"/>
          <w:sz w:val="20"/>
          <w:szCs w:val="20"/>
        </w:rPr>
        <w:t>[</w:t>
      </w:r>
      <w:r w:rsidRPr="000A6D12">
        <w:rPr>
          <w:rFonts w:ascii="Arial" w:hAnsi="Arial" w:cs="Arial"/>
          <w:sz w:val="20"/>
          <w:szCs w:val="20"/>
        </w:rPr>
        <w:t>42</w:t>
      </w:r>
      <w:r>
        <w:rPr>
          <w:rFonts w:ascii="Arial" w:hAnsi="Arial" w:cs="Arial"/>
          <w:sz w:val="20"/>
          <w:szCs w:val="20"/>
        </w:rPr>
        <w:t>]</w:t>
      </w:r>
      <w:r w:rsidR="00A635F2">
        <w:rPr>
          <w:rFonts w:ascii="Arial" w:hAnsi="Arial" w:cs="Arial"/>
          <w:sz w:val="20"/>
          <w:szCs w:val="20"/>
        </w:rPr>
        <w:tab/>
        <w:t>I</w:t>
      </w:r>
      <w:r w:rsidRPr="000A6D12">
        <w:rPr>
          <w:rFonts w:ascii="Arial" w:hAnsi="Arial" w:cs="Arial"/>
          <w:sz w:val="20"/>
          <w:szCs w:val="20"/>
        </w:rPr>
        <w:t xml:space="preserve">n </w:t>
      </w:r>
      <w:r w:rsidRPr="0080626A">
        <w:rPr>
          <w:rFonts w:ascii="Arial" w:hAnsi="Arial" w:cs="Arial"/>
          <w:i/>
          <w:iCs/>
          <w:sz w:val="20"/>
          <w:szCs w:val="20"/>
        </w:rPr>
        <w:t>R v Iaria and Panozzo</w:t>
      </w:r>
      <w:r w:rsidRPr="000A6D12">
        <w:rPr>
          <w:rFonts w:ascii="Arial" w:hAnsi="Arial" w:cs="Arial"/>
          <w:sz w:val="20"/>
          <w:szCs w:val="20"/>
        </w:rPr>
        <w:t xml:space="preserve"> </w:t>
      </w:r>
      <w:r w:rsidR="00A635F2">
        <w:rPr>
          <w:rFonts w:ascii="Arial" w:hAnsi="Arial" w:cs="Arial"/>
          <w:sz w:val="20"/>
          <w:szCs w:val="20"/>
        </w:rPr>
        <w:t>[2004] VSC 110 at [22],</w:t>
      </w:r>
      <w:r w:rsidRPr="000A6D12">
        <w:rPr>
          <w:rFonts w:ascii="Arial" w:hAnsi="Arial" w:cs="Arial"/>
          <w:sz w:val="20"/>
          <w:szCs w:val="20"/>
        </w:rPr>
        <w:t xml:space="preserve"> Nettle J listed as cumulative the following factors emerging from </w:t>
      </w:r>
      <w:r w:rsidR="00A635F2" w:rsidRPr="00A635F2">
        <w:rPr>
          <w:rFonts w:ascii="Arial" w:hAnsi="Arial" w:cs="Arial"/>
          <w:i/>
          <w:iCs/>
          <w:sz w:val="20"/>
          <w:szCs w:val="20"/>
        </w:rPr>
        <w:t>Jones and Waghorn v R</w:t>
      </w:r>
      <w:r w:rsidRPr="000A6D12">
        <w:rPr>
          <w:rFonts w:ascii="Arial" w:hAnsi="Arial" w:cs="Arial"/>
          <w:sz w:val="20"/>
          <w:szCs w:val="20"/>
        </w:rPr>
        <w:t xml:space="preserve"> </w:t>
      </w:r>
      <w:r w:rsidR="00D70035" w:rsidRPr="00D70035">
        <w:rPr>
          <w:rFonts w:ascii="Arial" w:hAnsi="Arial" w:cs="Arial"/>
          <w:sz w:val="20"/>
          <w:szCs w:val="20"/>
        </w:rPr>
        <w:t>(1991) 55 A Crim R 159</w:t>
      </w:r>
      <w:r w:rsidR="00A635F2">
        <w:rPr>
          <w:rFonts w:ascii="Arial" w:hAnsi="Arial" w:cs="Arial"/>
          <w:sz w:val="20"/>
          <w:szCs w:val="20"/>
        </w:rPr>
        <w:t xml:space="preserve"> </w:t>
      </w:r>
      <w:r w:rsidRPr="000A6D12">
        <w:rPr>
          <w:rFonts w:ascii="Arial" w:hAnsi="Arial" w:cs="Arial"/>
          <w:sz w:val="20"/>
          <w:szCs w:val="20"/>
        </w:rPr>
        <w:t>that would likely mean an accused would not receive a fair trial:</w:t>
      </w:r>
    </w:p>
    <w:p w14:paraId="29213B77" w14:textId="5ECC0FA1" w:rsidR="0080626A" w:rsidRDefault="0080626A" w:rsidP="0080626A">
      <w:pPr>
        <w:pStyle w:val="ListParagraph"/>
        <w:spacing w:before="60"/>
        <w:ind w:left="1628" w:hanging="454"/>
        <w:jc w:val="both"/>
        <w:rPr>
          <w:rFonts w:ascii="Arial" w:hAnsi="Arial" w:cs="Arial"/>
          <w:sz w:val="20"/>
          <w:szCs w:val="20"/>
        </w:rPr>
      </w:pPr>
      <w:r w:rsidRPr="000A6D12">
        <w:rPr>
          <w:rFonts w:ascii="Arial" w:hAnsi="Arial" w:cs="Arial"/>
          <w:sz w:val="20"/>
          <w:szCs w:val="20"/>
        </w:rPr>
        <w:t>(a)</w:t>
      </w:r>
      <w:r>
        <w:rPr>
          <w:rFonts w:ascii="Arial" w:hAnsi="Arial" w:cs="Arial"/>
          <w:sz w:val="20"/>
          <w:szCs w:val="20"/>
        </w:rPr>
        <w:tab/>
      </w:r>
      <w:r w:rsidRPr="000A6D12">
        <w:rPr>
          <w:rFonts w:ascii="Arial" w:hAnsi="Arial" w:cs="Arial"/>
          <w:sz w:val="20"/>
          <w:szCs w:val="20"/>
        </w:rPr>
        <w:t>There exists evidence that is admissible against one accused and inadmissible against another;</w:t>
      </w:r>
    </w:p>
    <w:p w14:paraId="629D3A17" w14:textId="26AB6660" w:rsidR="0080626A"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(b)</w:t>
      </w:r>
      <w:r>
        <w:rPr>
          <w:rFonts w:ascii="Arial" w:hAnsi="Arial" w:cs="Arial"/>
          <w:sz w:val="20"/>
          <w:szCs w:val="20"/>
        </w:rPr>
        <w:tab/>
      </w:r>
      <w:r w:rsidRPr="000A6D12">
        <w:rPr>
          <w:rFonts w:ascii="Arial" w:hAnsi="Arial" w:cs="Arial"/>
          <w:sz w:val="20"/>
          <w:szCs w:val="20"/>
        </w:rPr>
        <w:t xml:space="preserve">The jury would find it difficult to exclude that evidence from consideration against the other accused; and </w:t>
      </w:r>
    </w:p>
    <w:p w14:paraId="2C77CC1C" w14:textId="118EA9F4" w:rsidR="0080626A"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(c)</w:t>
      </w:r>
      <w:r>
        <w:rPr>
          <w:rFonts w:ascii="Arial" w:hAnsi="Arial" w:cs="Arial"/>
          <w:sz w:val="20"/>
          <w:szCs w:val="20"/>
        </w:rPr>
        <w:tab/>
      </w:r>
      <w:r w:rsidRPr="000A6D12">
        <w:rPr>
          <w:rFonts w:ascii="Arial" w:hAnsi="Arial" w:cs="Arial"/>
          <w:sz w:val="20"/>
          <w:szCs w:val="20"/>
        </w:rPr>
        <w:t>That evidence would be likely to strengthen the credibility of a critical witness against that other accused, and thereby turn what is a weak case against him into a strong one.</w:t>
      </w:r>
    </w:p>
    <w:p w14:paraId="2FEAB605" w14:textId="77777777" w:rsidR="00A635F2" w:rsidRPr="0080626A" w:rsidRDefault="00A635F2" w:rsidP="00A635F2">
      <w:pPr>
        <w:pStyle w:val="ListParagraph"/>
        <w:spacing w:before="60"/>
        <w:jc w:val="both"/>
        <w:rPr>
          <w:rFonts w:ascii="Arial" w:hAnsi="Arial" w:cs="Arial"/>
          <w:color w:val="000000"/>
          <w:sz w:val="6"/>
          <w:szCs w:val="10"/>
        </w:rPr>
      </w:pPr>
    </w:p>
    <w:p w14:paraId="61339017" w14:textId="6C2BAA22" w:rsidR="00A635F2" w:rsidRDefault="00A635F2" w:rsidP="00A635F2">
      <w:pPr>
        <w:pStyle w:val="ListParagraph"/>
        <w:spacing w:before="60"/>
        <w:ind w:left="1174" w:hanging="454"/>
        <w:jc w:val="both"/>
        <w:rPr>
          <w:rFonts w:ascii="Arial" w:hAnsi="Arial" w:cs="Arial"/>
          <w:sz w:val="20"/>
          <w:szCs w:val="20"/>
        </w:rPr>
      </w:pPr>
      <w:r>
        <w:rPr>
          <w:rFonts w:ascii="Arial" w:hAnsi="Arial" w:cs="Arial"/>
          <w:sz w:val="20"/>
          <w:szCs w:val="20"/>
        </w:rPr>
        <w:t>[</w:t>
      </w:r>
      <w:r w:rsidR="0080626A" w:rsidRPr="000A6D12">
        <w:rPr>
          <w:rFonts w:ascii="Arial" w:hAnsi="Arial" w:cs="Arial"/>
          <w:sz w:val="20"/>
          <w:szCs w:val="20"/>
        </w:rPr>
        <w:t>43</w:t>
      </w:r>
      <w:r>
        <w:rPr>
          <w:rFonts w:ascii="Arial" w:hAnsi="Arial" w:cs="Arial"/>
          <w:sz w:val="20"/>
          <w:szCs w:val="20"/>
        </w:rPr>
        <w:t>]</w:t>
      </w:r>
      <w:r w:rsidR="00D70035">
        <w:rPr>
          <w:rFonts w:ascii="Arial" w:hAnsi="Arial" w:cs="Arial"/>
          <w:sz w:val="20"/>
          <w:szCs w:val="20"/>
        </w:rPr>
        <w:tab/>
      </w:r>
      <w:r w:rsidR="0080626A" w:rsidRPr="000A6D12">
        <w:rPr>
          <w:rFonts w:ascii="Arial" w:hAnsi="Arial" w:cs="Arial"/>
          <w:sz w:val="20"/>
          <w:szCs w:val="20"/>
        </w:rPr>
        <w:t>The following principles are relevant when considering whether a separate trial should be ordered:</w:t>
      </w:r>
    </w:p>
    <w:p w14:paraId="1B13AA5E" w14:textId="72858865" w:rsidR="00A635F2"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(a)</w:t>
      </w:r>
      <w:r w:rsidR="00A635F2">
        <w:rPr>
          <w:rFonts w:ascii="Arial" w:hAnsi="Arial" w:cs="Arial"/>
          <w:sz w:val="20"/>
          <w:szCs w:val="20"/>
        </w:rPr>
        <w:tab/>
      </w:r>
      <w:r w:rsidRPr="000A6D12">
        <w:rPr>
          <w:rFonts w:ascii="Arial" w:hAnsi="Arial" w:cs="Arial"/>
          <w:sz w:val="20"/>
          <w:szCs w:val="20"/>
        </w:rPr>
        <w:t xml:space="preserve">The prima facie rule is that where more than one accused </w:t>
      </w:r>
      <w:proofErr w:type="gramStart"/>
      <w:r w:rsidRPr="000A6D12">
        <w:rPr>
          <w:rFonts w:ascii="Arial" w:hAnsi="Arial" w:cs="Arial"/>
          <w:sz w:val="20"/>
          <w:szCs w:val="20"/>
        </w:rPr>
        <w:t>are</w:t>
      </w:r>
      <w:proofErr w:type="gramEnd"/>
      <w:r w:rsidRPr="000A6D12">
        <w:rPr>
          <w:rFonts w:ascii="Arial" w:hAnsi="Arial" w:cs="Arial"/>
          <w:sz w:val="20"/>
          <w:szCs w:val="20"/>
        </w:rPr>
        <w:t xml:space="preserve"> charged jointly, the trials should be heard together, particularly where the accused are charged with identical offending and on a complicity basis.</w:t>
      </w:r>
    </w:p>
    <w:p w14:paraId="5657C506" w14:textId="2D5CAD19" w:rsidR="00A635F2" w:rsidRDefault="0080626A" w:rsidP="00A635F2">
      <w:pPr>
        <w:pStyle w:val="ListParagraph"/>
        <w:spacing w:before="60"/>
        <w:ind w:left="1628" w:hanging="454"/>
        <w:jc w:val="both"/>
        <w:rPr>
          <w:rFonts w:ascii="Arial" w:hAnsi="Arial" w:cs="Arial"/>
          <w:sz w:val="20"/>
          <w:szCs w:val="20"/>
        </w:rPr>
      </w:pPr>
      <w:r w:rsidRPr="000A6D12">
        <w:rPr>
          <w:rFonts w:ascii="Arial" w:hAnsi="Arial" w:cs="Arial"/>
          <w:sz w:val="20"/>
          <w:szCs w:val="20"/>
        </w:rPr>
        <w:t>(b)</w:t>
      </w:r>
      <w:r w:rsidR="00A635F2">
        <w:rPr>
          <w:rFonts w:ascii="Arial" w:hAnsi="Arial" w:cs="Arial"/>
          <w:sz w:val="20"/>
          <w:szCs w:val="20"/>
        </w:rPr>
        <w:tab/>
      </w:r>
      <w:r w:rsidRPr="000A6D12">
        <w:rPr>
          <w:rFonts w:ascii="Arial" w:hAnsi="Arial" w:cs="Arial"/>
          <w:sz w:val="20"/>
          <w:szCs w:val="20"/>
        </w:rPr>
        <w:t xml:space="preserve">Matters of public interest as articulated in </w:t>
      </w:r>
      <w:r w:rsidRPr="00D70035">
        <w:rPr>
          <w:rFonts w:ascii="Arial" w:hAnsi="Arial" w:cs="Arial"/>
          <w:i/>
          <w:iCs/>
          <w:sz w:val="20"/>
          <w:szCs w:val="20"/>
        </w:rPr>
        <w:t xml:space="preserve">R v </w:t>
      </w:r>
      <w:proofErr w:type="spellStart"/>
      <w:r w:rsidRPr="00D70035">
        <w:rPr>
          <w:rFonts w:ascii="Arial" w:hAnsi="Arial" w:cs="Arial"/>
          <w:i/>
          <w:iCs/>
          <w:sz w:val="20"/>
          <w:szCs w:val="20"/>
        </w:rPr>
        <w:t>Demirok</w:t>
      </w:r>
      <w:proofErr w:type="spellEnd"/>
      <w:r w:rsidR="00D70035">
        <w:rPr>
          <w:rFonts w:ascii="Arial" w:hAnsi="Arial" w:cs="Arial"/>
          <w:sz w:val="20"/>
          <w:szCs w:val="20"/>
        </w:rPr>
        <w:t xml:space="preserve"> [1976] VR 244</w:t>
      </w:r>
      <w:r w:rsidRPr="000A6D12">
        <w:rPr>
          <w:rFonts w:ascii="Arial" w:hAnsi="Arial" w:cs="Arial"/>
          <w:sz w:val="20"/>
          <w:szCs w:val="20"/>
        </w:rPr>
        <w:t xml:space="preserve"> must be considered. Those matters include the efficient use of resources and court time; the policy of the law to reach finality as expeditiously as possible; and the convenience of witnesses.</w:t>
      </w:r>
    </w:p>
    <w:p w14:paraId="35A7946D" w14:textId="4F9C24B9"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(c)</w:t>
      </w:r>
      <w:r w:rsidR="00D70035">
        <w:rPr>
          <w:rFonts w:ascii="Arial" w:hAnsi="Arial" w:cs="Arial"/>
          <w:sz w:val="20"/>
          <w:szCs w:val="20"/>
        </w:rPr>
        <w:tab/>
      </w:r>
      <w:r w:rsidRPr="000A6D12">
        <w:rPr>
          <w:rFonts w:ascii="Arial" w:hAnsi="Arial" w:cs="Arial"/>
          <w:sz w:val="20"/>
          <w:szCs w:val="20"/>
        </w:rPr>
        <w:t>If one accused seeks to blame another, separate trials should ordinarily not be granted. It is against the interests of justice that there should be inconsistent verdicts, and where accounts of accused differ or conflict, the differences should be resolved by the same jury at the same trial</w:t>
      </w:r>
      <w:r w:rsidR="00D70035">
        <w:rPr>
          <w:rFonts w:ascii="Arial" w:hAnsi="Arial" w:cs="Arial"/>
          <w:sz w:val="20"/>
          <w:szCs w:val="20"/>
        </w:rPr>
        <w:t xml:space="preserve">: </w:t>
      </w:r>
      <w:r w:rsidR="00D70035" w:rsidRPr="00D70035">
        <w:rPr>
          <w:rFonts w:ascii="Arial" w:hAnsi="Arial" w:cs="Arial"/>
          <w:i/>
          <w:iCs/>
          <w:sz w:val="20"/>
          <w:szCs w:val="20"/>
        </w:rPr>
        <w:t xml:space="preserve">R v </w:t>
      </w:r>
      <w:proofErr w:type="spellStart"/>
      <w:r w:rsidR="00D70035" w:rsidRPr="00D70035">
        <w:rPr>
          <w:rFonts w:ascii="Arial" w:hAnsi="Arial" w:cs="Arial"/>
          <w:i/>
          <w:iCs/>
          <w:sz w:val="20"/>
          <w:szCs w:val="20"/>
        </w:rPr>
        <w:t>Demirok</w:t>
      </w:r>
      <w:proofErr w:type="spellEnd"/>
      <w:r w:rsidR="00D70035">
        <w:rPr>
          <w:rFonts w:ascii="Arial" w:hAnsi="Arial" w:cs="Arial"/>
          <w:sz w:val="20"/>
          <w:szCs w:val="20"/>
        </w:rPr>
        <w:t xml:space="preserve"> at 254.</w:t>
      </w:r>
    </w:p>
    <w:p w14:paraId="52DBB324" w14:textId="6AD835F9"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(d)</w:t>
      </w:r>
      <w:r w:rsidR="00D70035">
        <w:rPr>
          <w:rFonts w:ascii="Arial" w:hAnsi="Arial" w:cs="Arial"/>
          <w:sz w:val="20"/>
          <w:szCs w:val="20"/>
        </w:rPr>
        <w:tab/>
      </w:r>
      <w:r w:rsidRPr="000A6D12">
        <w:rPr>
          <w:rFonts w:ascii="Arial" w:hAnsi="Arial" w:cs="Arial"/>
          <w:sz w:val="20"/>
          <w:szCs w:val="20"/>
        </w:rPr>
        <w:t>Every accused who is tried jointly is entitled to have his or her guilt determined solely on the basis of evidence admissible in his or her trial.</w:t>
      </w:r>
    </w:p>
    <w:p w14:paraId="3944D8EC" w14:textId="16846A02"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(e)</w:t>
      </w:r>
      <w:r w:rsidR="00D70035">
        <w:rPr>
          <w:rFonts w:ascii="Arial" w:hAnsi="Arial" w:cs="Arial"/>
          <w:sz w:val="20"/>
          <w:szCs w:val="20"/>
        </w:rPr>
        <w:tab/>
      </w:r>
      <w:r w:rsidRPr="000A6D12">
        <w:rPr>
          <w:rFonts w:ascii="Arial" w:hAnsi="Arial" w:cs="Arial"/>
          <w:sz w:val="20"/>
          <w:szCs w:val="20"/>
        </w:rPr>
        <w:t>If the inadmissible evidence impacts the credibility of a key witness in the trial of the particular accused, the jury may have to be told that some matters that bear positively on the credit of the witness can only be taken into account in the trial of one accused and not the other.15 Inadmissible evidence that impacts negatively on the credit of a key witness is unlikely to result in an unfair trial of the particular accused.</w:t>
      </w:r>
    </w:p>
    <w:p w14:paraId="649384B7" w14:textId="7F7BC931" w:rsidR="00D70035" w:rsidRDefault="0080626A" w:rsidP="00D70035">
      <w:pPr>
        <w:pStyle w:val="ListParagraph"/>
        <w:spacing w:before="60"/>
        <w:ind w:left="1628" w:hanging="454"/>
        <w:jc w:val="both"/>
        <w:rPr>
          <w:rFonts w:ascii="Arial" w:hAnsi="Arial" w:cs="Arial"/>
          <w:sz w:val="20"/>
          <w:szCs w:val="20"/>
        </w:rPr>
      </w:pPr>
      <w:r w:rsidRPr="000A6D12">
        <w:rPr>
          <w:rFonts w:ascii="Arial" w:hAnsi="Arial" w:cs="Arial"/>
          <w:sz w:val="20"/>
          <w:szCs w:val="20"/>
        </w:rPr>
        <w:t>(f)</w:t>
      </w:r>
      <w:r w:rsidR="00D70035">
        <w:rPr>
          <w:rFonts w:ascii="Arial" w:hAnsi="Arial" w:cs="Arial"/>
          <w:sz w:val="20"/>
          <w:szCs w:val="20"/>
        </w:rPr>
        <w:tab/>
      </w:r>
      <w:r w:rsidRPr="000A6D12">
        <w:rPr>
          <w:rFonts w:ascii="Arial" w:hAnsi="Arial" w:cs="Arial"/>
          <w:sz w:val="20"/>
          <w:szCs w:val="20"/>
        </w:rPr>
        <w:t>If the inadmissible evidence would turn a weak case into a strong case against that particular accused, this would weigh in favour of separate trials.</w:t>
      </w:r>
      <w:r w:rsidR="00D70035">
        <w:rPr>
          <w:rFonts w:ascii="Arial" w:hAnsi="Arial" w:cs="Arial"/>
          <w:sz w:val="20"/>
          <w:szCs w:val="20"/>
        </w:rPr>
        <w:t>”</w:t>
      </w:r>
    </w:p>
    <w:p w14:paraId="68D783F4" w14:textId="7ECC5A0C" w:rsidR="00D70035" w:rsidRDefault="00D70035" w:rsidP="00D70035">
      <w:pPr>
        <w:pStyle w:val="ListParagraph"/>
        <w:spacing w:before="60"/>
        <w:jc w:val="both"/>
        <w:rPr>
          <w:rFonts w:ascii="Arial" w:hAnsi="Arial" w:cs="Arial"/>
          <w:color w:val="000000"/>
          <w:sz w:val="6"/>
          <w:szCs w:val="10"/>
        </w:rPr>
      </w:pPr>
    </w:p>
    <w:p w14:paraId="1F14EB80" w14:textId="59A8435D" w:rsidR="009C39BD" w:rsidRPr="009C39BD" w:rsidRDefault="009C39BD" w:rsidP="00D70035">
      <w:pPr>
        <w:pStyle w:val="ListParagraph"/>
        <w:spacing w:before="60"/>
        <w:jc w:val="both"/>
        <w:rPr>
          <w:rFonts w:ascii="Arial" w:hAnsi="Arial" w:cs="Arial"/>
          <w:color w:val="000000"/>
          <w:sz w:val="20"/>
        </w:rPr>
      </w:pPr>
      <w:r>
        <w:rPr>
          <w:rFonts w:ascii="Arial" w:hAnsi="Arial" w:cs="Arial"/>
          <w:color w:val="000000"/>
          <w:sz w:val="20"/>
        </w:rPr>
        <w:t>...</w:t>
      </w:r>
    </w:p>
    <w:p w14:paraId="5FD63FF4" w14:textId="77777777" w:rsidR="009C39BD" w:rsidRPr="0080626A" w:rsidRDefault="009C39BD" w:rsidP="00D70035">
      <w:pPr>
        <w:pStyle w:val="ListParagraph"/>
        <w:spacing w:before="60"/>
        <w:jc w:val="both"/>
        <w:rPr>
          <w:rFonts w:ascii="Arial" w:hAnsi="Arial" w:cs="Arial"/>
          <w:color w:val="000000"/>
          <w:sz w:val="6"/>
          <w:szCs w:val="10"/>
        </w:rPr>
      </w:pPr>
    </w:p>
    <w:p w14:paraId="66FDE09D" w14:textId="77D7EE1E" w:rsidR="00D70035" w:rsidRDefault="00D70035" w:rsidP="00D70035">
      <w:pPr>
        <w:pStyle w:val="ListParagraph"/>
        <w:spacing w:before="60" w:after="60"/>
        <w:ind w:left="1174" w:hanging="454"/>
        <w:jc w:val="both"/>
        <w:rPr>
          <w:rFonts w:ascii="Arial" w:hAnsi="Arial" w:cs="Arial"/>
          <w:sz w:val="20"/>
          <w:szCs w:val="20"/>
        </w:rPr>
      </w:pPr>
      <w:r>
        <w:rPr>
          <w:rFonts w:ascii="Arial" w:hAnsi="Arial" w:cs="Arial"/>
          <w:sz w:val="20"/>
          <w:szCs w:val="20"/>
        </w:rPr>
        <w:t>[</w:t>
      </w:r>
      <w:r w:rsidR="0080626A" w:rsidRPr="000A6D12">
        <w:rPr>
          <w:rFonts w:ascii="Arial" w:hAnsi="Arial" w:cs="Arial"/>
          <w:sz w:val="20"/>
          <w:szCs w:val="20"/>
        </w:rPr>
        <w:t>52</w:t>
      </w:r>
      <w:r>
        <w:rPr>
          <w:rFonts w:ascii="Arial" w:hAnsi="Arial" w:cs="Arial"/>
          <w:sz w:val="20"/>
          <w:szCs w:val="20"/>
        </w:rPr>
        <w:t>]</w:t>
      </w:r>
      <w:r>
        <w:rPr>
          <w:rFonts w:ascii="Arial" w:hAnsi="Arial" w:cs="Arial"/>
          <w:sz w:val="20"/>
          <w:szCs w:val="20"/>
        </w:rPr>
        <w:tab/>
        <w:t>“[In this case] t</w:t>
      </w:r>
      <w:r w:rsidR="0080626A" w:rsidRPr="000A6D12">
        <w:rPr>
          <w:rFonts w:ascii="Arial" w:hAnsi="Arial" w:cs="Arial"/>
          <w:sz w:val="20"/>
          <w:szCs w:val="20"/>
        </w:rPr>
        <w:t>he matters that favour of a joint trial are considerable. In particular, the accused are all charged with the same offence, they were all present at the scene, and the case against all accused rests on complicity. It is against the interests of justice that there should be inconsistent verdicts, and those interests require that the matter proceed as a joint trial. There are a number of lay witnesses in this trial, including the two children of the deceased, and it is undesirable that the witnesses should be required to give evidence in more than one trial. While considerations of convenience and court administration cannot override justice, they are nonetheless matters which weigh in favour of a single joint trial.</w:t>
      </w:r>
      <w:r>
        <w:rPr>
          <w:rFonts w:ascii="Arial" w:hAnsi="Arial" w:cs="Arial"/>
          <w:sz w:val="20"/>
          <w:szCs w:val="20"/>
        </w:rPr>
        <w:t>”</w:t>
      </w:r>
    </w:p>
    <w:p w14:paraId="39EAAEBE" w14:textId="77777777" w:rsidR="00A635F2" w:rsidRPr="00A635F2" w:rsidRDefault="00A635F2" w:rsidP="00A635F2">
      <w:pPr>
        <w:pStyle w:val="ListParagraph"/>
        <w:spacing w:before="60"/>
        <w:jc w:val="both"/>
        <w:rPr>
          <w:rFonts w:ascii="Arial" w:hAnsi="Arial" w:cs="Arial"/>
          <w:color w:val="000000"/>
          <w:sz w:val="12"/>
          <w:szCs w:val="16"/>
        </w:rPr>
      </w:pPr>
    </w:p>
    <w:p w14:paraId="6503A4E9" w14:textId="11B621D7" w:rsidR="00A03E5E" w:rsidRPr="000A6D12" w:rsidRDefault="00F97B3E" w:rsidP="00D70035">
      <w:pPr>
        <w:ind w:left="720"/>
        <w:jc w:val="both"/>
        <w:rPr>
          <w:rFonts w:ascii="Arial" w:hAnsi="Arial" w:cs="Arial"/>
          <w:sz w:val="20"/>
          <w:szCs w:val="20"/>
        </w:rPr>
      </w:pPr>
      <w:r w:rsidRPr="000A6D12">
        <w:rPr>
          <w:rFonts w:ascii="Arial" w:hAnsi="Arial" w:cs="Arial"/>
          <w:sz w:val="20"/>
          <w:szCs w:val="20"/>
        </w:rPr>
        <w:t xml:space="preserve">In </w:t>
      </w:r>
      <w:r w:rsidRPr="000A6D12">
        <w:rPr>
          <w:rFonts w:ascii="Arial" w:hAnsi="Arial" w:cs="Arial"/>
          <w:i/>
          <w:iCs/>
          <w:sz w:val="20"/>
          <w:szCs w:val="20"/>
        </w:rPr>
        <w:t>R v Kannan &amp; Anor (Ruling No 12)</w:t>
      </w:r>
      <w:r w:rsidRPr="000A6D12">
        <w:rPr>
          <w:rFonts w:ascii="Arial" w:hAnsi="Arial" w:cs="Arial"/>
          <w:sz w:val="20"/>
          <w:szCs w:val="20"/>
        </w:rPr>
        <w:t xml:space="preserve"> [2021] VSC 39 Champion J refused an application for separate trials for a husband and wife in relation to slavery based charges they each face</w:t>
      </w:r>
      <w:r w:rsidR="00E87C3B" w:rsidRPr="000A6D12">
        <w:rPr>
          <w:rFonts w:ascii="Arial" w:hAnsi="Arial" w:cs="Arial"/>
          <w:sz w:val="20"/>
          <w:szCs w:val="20"/>
        </w:rPr>
        <w:t>d</w:t>
      </w:r>
      <w:r w:rsidRPr="000A6D12">
        <w:rPr>
          <w:rFonts w:ascii="Arial" w:hAnsi="Arial" w:cs="Arial"/>
          <w:sz w:val="20"/>
          <w:szCs w:val="20"/>
        </w:rPr>
        <w:t xml:space="preserve">.  Making reference to a number of cases, including </w:t>
      </w:r>
      <w:r w:rsidRPr="000A6D12">
        <w:rPr>
          <w:rFonts w:ascii="Arial" w:hAnsi="Arial" w:cs="Arial"/>
          <w:i/>
          <w:iCs/>
          <w:sz w:val="20"/>
          <w:szCs w:val="20"/>
        </w:rPr>
        <w:t>Mwamba v R</w:t>
      </w:r>
      <w:r w:rsidRPr="000A6D12">
        <w:rPr>
          <w:rFonts w:ascii="Arial" w:hAnsi="Arial" w:cs="Arial"/>
          <w:sz w:val="20"/>
          <w:szCs w:val="20"/>
        </w:rPr>
        <w:t xml:space="preserve"> [2015] VSCA 338, [24] and </w:t>
      </w:r>
      <w:r w:rsidRPr="000A6D12">
        <w:rPr>
          <w:rFonts w:ascii="Arial" w:hAnsi="Arial" w:cs="Arial"/>
          <w:i/>
          <w:iCs/>
          <w:sz w:val="20"/>
          <w:szCs w:val="20"/>
        </w:rPr>
        <w:t xml:space="preserve">R v </w:t>
      </w:r>
      <w:proofErr w:type="spellStart"/>
      <w:r w:rsidRPr="000A6D12">
        <w:rPr>
          <w:rFonts w:ascii="Arial" w:hAnsi="Arial" w:cs="Arial"/>
          <w:i/>
          <w:iCs/>
          <w:sz w:val="20"/>
          <w:szCs w:val="20"/>
        </w:rPr>
        <w:t>Demirok</w:t>
      </w:r>
      <w:proofErr w:type="spellEnd"/>
      <w:r w:rsidRPr="000A6D12">
        <w:rPr>
          <w:rFonts w:ascii="Arial" w:hAnsi="Arial" w:cs="Arial"/>
          <w:sz w:val="20"/>
          <w:szCs w:val="20"/>
        </w:rPr>
        <w:t xml:space="preserve"> [1976] VR 244, 254, his Honour was satisfied that a jointly held trial would not give rise to substantial prejudice to Mr</w:t>
      </w:r>
      <w:r w:rsidR="00E87C3B" w:rsidRPr="000A6D12">
        <w:rPr>
          <w:rFonts w:ascii="Arial" w:hAnsi="Arial" w:cs="Arial"/>
          <w:sz w:val="20"/>
          <w:szCs w:val="20"/>
        </w:rPr>
        <w:t> </w:t>
      </w:r>
      <w:r w:rsidRPr="000A6D12">
        <w:rPr>
          <w:rFonts w:ascii="Arial" w:hAnsi="Arial" w:cs="Arial"/>
          <w:sz w:val="20"/>
          <w:szCs w:val="20"/>
        </w:rPr>
        <w:t>Kannan which could not be nullified by appropriate judicial directions: see [65]-[71].</w:t>
      </w:r>
      <w:r w:rsidR="00A635F2">
        <w:rPr>
          <w:rFonts w:ascii="Arial" w:hAnsi="Arial" w:cs="Arial"/>
          <w:sz w:val="20"/>
          <w:szCs w:val="20"/>
        </w:rPr>
        <w:t xml:space="preserve"> </w:t>
      </w:r>
      <w:r w:rsidR="00372C90" w:rsidRPr="000A6D12">
        <w:rPr>
          <w:rFonts w:ascii="Arial" w:hAnsi="Arial" w:cs="Arial"/>
          <w:sz w:val="20"/>
          <w:szCs w:val="20"/>
        </w:rPr>
        <w:t xml:space="preserve">See also </w:t>
      </w:r>
      <w:bookmarkStart w:id="197" w:name="_Hlk190240155"/>
      <w:r w:rsidR="00372C90" w:rsidRPr="000A6D12">
        <w:rPr>
          <w:rFonts w:ascii="Arial" w:hAnsi="Arial" w:cs="Arial"/>
          <w:i/>
          <w:iCs/>
          <w:sz w:val="20"/>
          <w:szCs w:val="20"/>
        </w:rPr>
        <w:t>Kannan v The King</w:t>
      </w:r>
      <w:r w:rsidR="00372C90" w:rsidRPr="000A6D12">
        <w:rPr>
          <w:rFonts w:ascii="Arial" w:hAnsi="Arial" w:cs="Arial"/>
          <w:sz w:val="20"/>
          <w:szCs w:val="20"/>
        </w:rPr>
        <w:t xml:space="preserve"> [2023] VSCA 58 at [21]-[51]</w:t>
      </w:r>
      <w:bookmarkEnd w:id="197"/>
      <w:r w:rsidR="00372C90" w:rsidRPr="000A6D12">
        <w:rPr>
          <w:rFonts w:ascii="Arial" w:hAnsi="Arial" w:cs="Arial"/>
          <w:sz w:val="20"/>
          <w:szCs w:val="20"/>
        </w:rPr>
        <w:t xml:space="preserve"> where the Court of Appeal held that no miscarriage of justice arose from a joint trial.</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lastRenderedPageBreak/>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8"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8"/>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9" w:name="_Toc4663795"/>
      <w:r w:rsidRPr="000B6A21">
        <w:rPr>
          <w:rFonts w:ascii="Arial" w:hAnsi="Arial" w:cs="Arial"/>
          <w:sz w:val="20"/>
        </w:rPr>
        <w:t>57</w:t>
      </w:r>
      <w:r w:rsidRPr="000B6A21">
        <w:rPr>
          <w:rFonts w:ascii="Arial" w:hAnsi="Arial" w:cs="Arial"/>
          <w:sz w:val="20"/>
        </w:rPr>
        <w:tab/>
        <w:t>Joint hearing of charges on separate charge-sheets</w:t>
      </w:r>
      <w:bookmarkEnd w:id="199"/>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200" w:name="_Toc4663796"/>
      <w:r w:rsidRPr="000B6A21">
        <w:rPr>
          <w:rFonts w:ascii="Arial" w:hAnsi="Arial" w:cs="Arial"/>
          <w:sz w:val="20"/>
        </w:rPr>
        <w:t>58</w:t>
      </w:r>
      <w:r w:rsidRPr="000B6A21">
        <w:rPr>
          <w:rFonts w:ascii="Arial" w:hAnsi="Arial" w:cs="Arial"/>
          <w:sz w:val="20"/>
        </w:rPr>
        <w:tab/>
        <w:t>Order for separate hearing</w:t>
      </w:r>
      <w:bookmarkEnd w:id="200"/>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201" w:name="_Toc4664328"/>
      <w:r w:rsidRPr="000B6A21">
        <w:rPr>
          <w:rFonts w:ascii="Arial" w:hAnsi="Arial" w:cs="Arial"/>
          <w:sz w:val="20"/>
        </w:rPr>
        <w:t>5</w:t>
      </w:r>
      <w:r w:rsidRPr="000B6A21">
        <w:rPr>
          <w:rFonts w:ascii="Arial" w:hAnsi="Arial" w:cs="Arial"/>
          <w:sz w:val="20"/>
        </w:rPr>
        <w:tab/>
        <w:t>Joinder of charges</w:t>
      </w:r>
      <w:bookmarkEnd w:id="201"/>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lastRenderedPageBreak/>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R v Collins; Ex parte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Marcus White (a 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w:t>
      </w:r>
      <w:r w:rsidRPr="000B6A21">
        <w:rPr>
          <w:rFonts w:ascii="Arial" w:hAnsi="Arial" w:cs="Arial"/>
          <w:sz w:val="20"/>
          <w:szCs w:val="20"/>
        </w:rPr>
        <w:lastRenderedPageBreak/>
        <w:t xml:space="preserve">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65D2E65C"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v The </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R v Cox &amp; Ors</w:t>
      </w:r>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202" w:name="_10.3.13_Transfer_of"/>
      <w:bookmarkStart w:id="203" w:name="_10.4_Doli_incapax"/>
      <w:bookmarkEnd w:id="202"/>
      <w:bookmarkEnd w:id="203"/>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City">
        <w:smartTag w:uri="urn:schemas-microsoft-com:office:smarttags" w:element="place">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204" w:name="_10.4.1_The_principle"/>
      <w:bookmarkStart w:id="205" w:name="_Toc54454700"/>
      <w:bookmarkStart w:id="206" w:name="_Toc54544606"/>
      <w:bookmarkStart w:id="207" w:name="_Toc54634645"/>
      <w:bookmarkStart w:id="208" w:name="_Hlk111623801"/>
      <w:bookmarkEnd w:id="204"/>
      <w:r>
        <w:rPr>
          <w:rFonts w:ascii="Arial" w:hAnsi="Arial" w:cs="Arial"/>
          <w:b/>
          <w:bCs/>
          <w:sz w:val="20"/>
        </w:rPr>
        <w:t>10.4.1</w:t>
      </w:r>
      <w:r>
        <w:rPr>
          <w:rFonts w:ascii="Arial" w:hAnsi="Arial" w:cs="Arial"/>
          <w:b/>
          <w:bCs/>
          <w:sz w:val="20"/>
        </w:rPr>
        <w:tab/>
      </w:r>
      <w:bookmarkEnd w:id="205"/>
      <w:bookmarkEnd w:id="206"/>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7"/>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8"/>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9" w:name="_10.4.2_Earlier_Australian"/>
      <w:bookmarkStart w:id="210" w:name="_Toc54454701"/>
      <w:bookmarkStart w:id="211" w:name="_Toc54544607"/>
      <w:bookmarkStart w:id="212" w:name="_Toc54634646"/>
      <w:bookmarkEnd w:id="209"/>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10"/>
      <w:bookmarkEnd w:id="211"/>
      <w:r>
        <w:rPr>
          <w:rFonts w:ascii="Arial" w:hAnsi="Arial" w:cs="Arial"/>
          <w:b/>
          <w:bCs/>
          <w:sz w:val="20"/>
        </w:rPr>
        <w:t>ies</w:t>
      </w:r>
      <w:bookmarkEnd w:id="212"/>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13" w:name="_10.4.3_Demise_of"/>
      <w:bookmarkStart w:id="214" w:name="_Toc54544608"/>
      <w:bookmarkStart w:id="215" w:name="_Toc54634647"/>
      <w:bookmarkEnd w:id="213"/>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14"/>
      <w:bookmarkEnd w:id="215"/>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Street">
        <w:smartTag w:uri="urn:schemas-microsoft-com:office:smarttags" w:element="address">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6" w:name="_10.4.4_History_of"/>
      <w:bookmarkStart w:id="217" w:name="_Toc54544609"/>
      <w:bookmarkStart w:id="218" w:name="_Toc54634648"/>
      <w:bookmarkEnd w:id="216"/>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7"/>
      <w:bookmarkEnd w:id="218"/>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r>
        <w:rPr>
          <w:rFonts w:ascii="Arial" w:hAnsi="Arial" w:cs="Arial"/>
          <w:i/>
          <w:iCs/>
          <w:sz w:val="20"/>
        </w:rPr>
        <w:t xml:space="preserve">quia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It was not until as late as 1588 that a clear age below which liability did not apply was fixed.  Lambard's Eirenarcha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9" w:name="_10.4.5_The_principle"/>
      <w:bookmarkEnd w:id="219"/>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Jagot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20"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20"/>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Pr="009379DF" w:rsidRDefault="00E3298E" w:rsidP="009379DF">
      <w:pPr>
        <w:jc w:val="both"/>
        <w:rPr>
          <w:rFonts w:ascii="Arial" w:hAnsi="Arial" w:cs="Arial"/>
          <w:sz w:val="20"/>
          <w:szCs w:val="20"/>
        </w:rPr>
      </w:pPr>
      <w:r w:rsidRPr="009379DF">
        <w:rPr>
          <w:rFonts w:ascii="Arial" w:hAnsi="Arial" w:cs="Arial"/>
          <w:sz w:val="20"/>
          <w:szCs w:val="20"/>
        </w:rPr>
        <w:t xml:space="preserve">On 20/09/2023 Incerti J handed down a 143-page judgment in </w:t>
      </w:r>
      <w:r w:rsidR="003615F6" w:rsidRPr="009379DF">
        <w:rPr>
          <w:rFonts w:ascii="Arial" w:hAnsi="Arial" w:cs="Arial"/>
          <w:i/>
          <w:iCs/>
          <w:sz w:val="20"/>
          <w:szCs w:val="20"/>
        </w:rPr>
        <w:t>DPP</w:t>
      </w:r>
      <w:r w:rsidR="004B5457" w:rsidRPr="009379DF">
        <w:rPr>
          <w:rFonts w:ascii="Arial" w:hAnsi="Arial" w:cs="Arial"/>
          <w:i/>
          <w:iCs/>
          <w:sz w:val="20"/>
          <w:szCs w:val="20"/>
        </w:rPr>
        <w:t xml:space="preserve"> v PM</w:t>
      </w:r>
      <w:r w:rsidR="004B5457" w:rsidRPr="009379DF">
        <w:rPr>
          <w:rFonts w:ascii="Arial" w:hAnsi="Arial" w:cs="Arial"/>
          <w:sz w:val="20"/>
          <w:szCs w:val="20"/>
        </w:rPr>
        <w:t xml:space="preserve"> [2023] VSC 560 </w:t>
      </w:r>
      <w:r w:rsidRPr="009379DF">
        <w:rPr>
          <w:rFonts w:ascii="Arial" w:hAnsi="Arial" w:cs="Arial"/>
          <w:sz w:val="20"/>
          <w:szCs w:val="20"/>
        </w:rPr>
        <w:t>after a 14</w:t>
      </w:r>
      <w:r w:rsidRPr="009379DF">
        <w:rPr>
          <w:rFonts w:ascii="Arial" w:hAnsi="Arial" w:cs="Arial"/>
          <w:sz w:val="20"/>
          <w:szCs w:val="20"/>
        </w:rPr>
        <w:noBreakHyphen/>
        <w:t xml:space="preserve">day judge-alone trial in which the contested issue was whether or not the prosecution had rebutted the presumption of </w:t>
      </w:r>
      <w:r w:rsidRPr="009379DF">
        <w:rPr>
          <w:rFonts w:ascii="Arial" w:hAnsi="Arial" w:cs="Arial"/>
          <w:i/>
          <w:iCs/>
          <w:sz w:val="20"/>
          <w:szCs w:val="20"/>
        </w:rPr>
        <w:t>doli incapax</w:t>
      </w:r>
      <w:r w:rsidRPr="009379DF">
        <w:rPr>
          <w:rFonts w:ascii="Arial" w:hAnsi="Arial" w:cs="Arial"/>
          <w:sz w:val="20"/>
          <w:szCs w:val="20"/>
        </w:rPr>
        <w:t>.</w:t>
      </w:r>
      <w:r w:rsidR="004112B7" w:rsidRPr="009379DF">
        <w:rPr>
          <w:rFonts w:ascii="Arial" w:hAnsi="Arial" w:cs="Arial"/>
          <w:sz w:val="20"/>
          <w:szCs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Pr="009379DF" w:rsidRDefault="00E3298E" w:rsidP="009379DF">
      <w:pPr>
        <w:jc w:val="both"/>
        <w:rPr>
          <w:rFonts w:ascii="Arial" w:hAnsi="Arial" w:cs="Arial"/>
          <w:sz w:val="20"/>
          <w:szCs w:val="12"/>
        </w:rPr>
      </w:pPr>
      <w:r w:rsidRPr="009379DF">
        <w:rPr>
          <w:rFonts w:ascii="Arial" w:hAnsi="Arial" w:cs="Arial"/>
          <w:sz w:val="20"/>
          <w:szCs w:val="20"/>
        </w:rPr>
        <w:t xml:space="preserve">The </w:t>
      </w:r>
      <w:r w:rsidR="004B5457" w:rsidRPr="009379DF">
        <w:rPr>
          <w:rFonts w:ascii="Arial" w:hAnsi="Arial" w:cs="Arial"/>
          <w:sz w:val="20"/>
          <w:szCs w:val="20"/>
        </w:rPr>
        <w:t xml:space="preserve">accused </w:t>
      </w:r>
      <w:r w:rsidRPr="009379DF">
        <w:rPr>
          <w:rFonts w:ascii="Arial" w:hAnsi="Arial" w:cs="Arial"/>
          <w:sz w:val="20"/>
          <w:szCs w:val="20"/>
        </w:rPr>
        <w:t xml:space="preserve">PM </w:t>
      </w:r>
      <w:r w:rsidR="004B5457" w:rsidRPr="009379DF">
        <w:rPr>
          <w:rFonts w:ascii="Arial" w:hAnsi="Arial" w:cs="Arial"/>
          <w:sz w:val="20"/>
          <w:szCs w:val="20"/>
        </w:rPr>
        <w:t>was</w:t>
      </w:r>
      <w:r w:rsidR="003615F6" w:rsidRPr="009379DF">
        <w:rPr>
          <w:rFonts w:ascii="Arial" w:hAnsi="Arial" w:cs="Arial"/>
          <w:sz w:val="20"/>
          <w:szCs w:val="20"/>
        </w:rPr>
        <w:t xml:space="preserve"> the youngest of a group of 8 boys aged between 13 &amp; 17 who </w:t>
      </w:r>
      <w:r w:rsidR="00461F37" w:rsidRPr="009379DF">
        <w:rPr>
          <w:rFonts w:ascii="Arial" w:hAnsi="Arial" w:cs="Arial"/>
          <w:sz w:val="20"/>
          <w:szCs w:val="20"/>
        </w:rPr>
        <w:t xml:space="preserve">allegedly </w:t>
      </w:r>
      <w:r w:rsidR="003615F6" w:rsidRPr="009379DF">
        <w:rPr>
          <w:rFonts w:ascii="Arial" w:hAnsi="Arial" w:cs="Arial"/>
          <w:sz w:val="20"/>
          <w:szCs w:val="20"/>
        </w:rPr>
        <w:t xml:space="preserve">attacked and killed a 16 year old boy, </w:t>
      </w:r>
      <w:r w:rsidR="00E849AA" w:rsidRPr="009379DF">
        <w:rPr>
          <w:rFonts w:ascii="Arial" w:hAnsi="Arial" w:cs="Arial"/>
          <w:sz w:val="20"/>
          <w:szCs w:val="20"/>
        </w:rPr>
        <w:t>V</w:t>
      </w:r>
      <w:r w:rsidR="003615F6" w:rsidRPr="009379DF">
        <w:rPr>
          <w:rFonts w:ascii="Arial" w:hAnsi="Arial" w:cs="Arial"/>
          <w:sz w:val="20"/>
          <w:szCs w:val="20"/>
        </w:rPr>
        <w:t xml:space="preserve">, whom they did </w:t>
      </w:r>
      <w:r w:rsidR="00AC3868" w:rsidRPr="009379DF">
        <w:rPr>
          <w:rFonts w:ascii="Arial" w:hAnsi="Arial" w:cs="Arial"/>
          <w:sz w:val="20"/>
          <w:szCs w:val="20"/>
        </w:rPr>
        <w:t xml:space="preserve">not </w:t>
      </w:r>
      <w:r w:rsidR="003615F6" w:rsidRPr="009379DF">
        <w:rPr>
          <w:rFonts w:ascii="Arial" w:hAnsi="Arial" w:cs="Arial"/>
          <w:sz w:val="20"/>
          <w:szCs w:val="20"/>
        </w:rPr>
        <w:t xml:space="preserve">know.  </w:t>
      </w:r>
      <w:r w:rsidR="00AC3868" w:rsidRPr="009379DF">
        <w:rPr>
          <w:rFonts w:ascii="Arial" w:hAnsi="Arial" w:cs="Arial"/>
          <w:sz w:val="20"/>
          <w:szCs w:val="20"/>
        </w:rPr>
        <w:t>PM was 13</w:t>
      </w:r>
      <w:r w:rsidR="00461F37" w:rsidRPr="009379DF">
        <w:rPr>
          <w:rFonts w:ascii="Arial" w:hAnsi="Arial" w:cs="Arial"/>
          <w:sz w:val="20"/>
          <w:szCs w:val="20"/>
        </w:rPr>
        <w:t> </w:t>
      </w:r>
      <w:r w:rsidR="00AC3868" w:rsidRPr="009379DF">
        <w:rPr>
          <w:rFonts w:ascii="Arial" w:hAnsi="Arial" w:cs="Arial"/>
          <w:sz w:val="20"/>
          <w:szCs w:val="20"/>
        </w:rPr>
        <w:t>years &amp; 3 weeks old at the time.</w:t>
      </w:r>
      <w:r w:rsidR="007105FE" w:rsidRPr="009379DF">
        <w:rPr>
          <w:rFonts w:ascii="Arial" w:hAnsi="Arial" w:cs="Arial"/>
          <w:sz w:val="20"/>
          <w:szCs w:val="20"/>
        </w:rPr>
        <w:t xml:space="preserve">  </w:t>
      </w:r>
      <w:r w:rsidR="00E849AA" w:rsidRPr="009379DF">
        <w:rPr>
          <w:rFonts w:ascii="Arial" w:hAnsi="Arial" w:cs="Arial"/>
          <w:sz w:val="20"/>
          <w:szCs w:val="20"/>
        </w:rPr>
        <w:t>T</w:t>
      </w:r>
      <w:r w:rsidR="003615F6" w:rsidRPr="009379DF">
        <w:rPr>
          <w:rFonts w:ascii="Arial" w:hAnsi="Arial" w:cs="Arial"/>
          <w:sz w:val="20"/>
          <w:szCs w:val="20"/>
        </w:rPr>
        <w:t xml:space="preserve">he entire attack </w:t>
      </w:r>
      <w:r w:rsidR="002A7455" w:rsidRPr="009379DF">
        <w:rPr>
          <w:rFonts w:ascii="Arial" w:hAnsi="Arial" w:cs="Arial"/>
          <w:sz w:val="20"/>
          <w:szCs w:val="20"/>
        </w:rPr>
        <w:t xml:space="preserve">in a suburban street </w:t>
      </w:r>
      <w:r w:rsidR="00E849AA" w:rsidRPr="009379DF">
        <w:rPr>
          <w:rFonts w:ascii="Arial" w:hAnsi="Arial" w:cs="Arial"/>
          <w:sz w:val="20"/>
          <w:szCs w:val="20"/>
        </w:rPr>
        <w:t>had been</w:t>
      </w:r>
      <w:r w:rsidR="003615F6" w:rsidRPr="009379DF">
        <w:rPr>
          <w:rFonts w:ascii="Arial" w:hAnsi="Arial" w:cs="Arial"/>
          <w:sz w:val="20"/>
          <w:szCs w:val="20"/>
        </w:rPr>
        <w:t xml:space="preserve"> captured on CCTV footage and lasted two minutes</w:t>
      </w:r>
      <w:r w:rsidR="002A7455" w:rsidRPr="009379DF">
        <w:rPr>
          <w:rFonts w:ascii="Arial" w:hAnsi="Arial" w:cs="Arial"/>
          <w:sz w:val="20"/>
          <w:szCs w:val="20"/>
        </w:rPr>
        <w:t xml:space="preserve"> from 2.28am</w:t>
      </w:r>
      <w:r w:rsidRPr="009379DF">
        <w:rPr>
          <w:rFonts w:ascii="Arial" w:hAnsi="Arial" w:cs="Arial"/>
          <w:sz w:val="20"/>
          <w:szCs w:val="20"/>
        </w:rPr>
        <w:t xml:space="preserve"> on 13/03/2022</w:t>
      </w:r>
      <w:r w:rsidR="003615F6" w:rsidRPr="009379DF">
        <w:rPr>
          <w:rFonts w:ascii="Arial" w:hAnsi="Arial" w:cs="Arial"/>
          <w:sz w:val="20"/>
          <w:szCs w:val="20"/>
        </w:rPr>
        <w:t>.</w:t>
      </w:r>
      <w:r w:rsidR="00042075" w:rsidRPr="009379DF">
        <w:rPr>
          <w:rFonts w:ascii="Arial" w:hAnsi="Arial" w:cs="Arial"/>
          <w:sz w:val="20"/>
          <w:szCs w:val="20"/>
        </w:rPr>
        <w:t xml:space="preserve">  During the attack </w:t>
      </w:r>
      <w:r w:rsidR="00E849AA" w:rsidRPr="009379DF">
        <w:rPr>
          <w:rFonts w:ascii="Arial" w:hAnsi="Arial" w:cs="Arial"/>
          <w:sz w:val="20"/>
          <w:szCs w:val="20"/>
        </w:rPr>
        <w:t>V</w:t>
      </w:r>
      <w:r w:rsidR="00042075" w:rsidRPr="009379DF">
        <w:rPr>
          <w:rFonts w:ascii="Arial" w:hAnsi="Arial" w:cs="Arial"/>
          <w:sz w:val="20"/>
          <w:szCs w:val="20"/>
        </w:rPr>
        <w:t xml:space="preserve"> was </w:t>
      </w:r>
      <w:r w:rsidR="00042075" w:rsidRPr="009379DF">
        <w:rPr>
          <w:rFonts w:ascii="Arial" w:hAnsi="Arial" w:cs="Arial"/>
          <w:sz w:val="20"/>
          <w:szCs w:val="12"/>
        </w:rPr>
        <w:t>repeatedly stabbed</w:t>
      </w:r>
      <w:r w:rsidR="00AC3868" w:rsidRPr="009379DF">
        <w:rPr>
          <w:rFonts w:ascii="Arial" w:hAnsi="Arial" w:cs="Arial"/>
          <w:sz w:val="20"/>
          <w:szCs w:val="12"/>
        </w:rPr>
        <w:t xml:space="preserve">, </w:t>
      </w:r>
      <w:r w:rsidR="00042075" w:rsidRPr="009379DF">
        <w:rPr>
          <w:rFonts w:ascii="Arial" w:hAnsi="Arial" w:cs="Arial"/>
          <w:sz w:val="20"/>
          <w:szCs w:val="12"/>
        </w:rPr>
        <w:t>kicked and stomped on.</w:t>
      </w:r>
      <w:r w:rsidR="00DC0C91" w:rsidRPr="009379DF">
        <w:rPr>
          <w:rFonts w:ascii="Arial" w:hAnsi="Arial" w:cs="Arial"/>
          <w:sz w:val="20"/>
          <w:szCs w:val="12"/>
        </w:rPr>
        <w:t xml:space="preserve"> </w:t>
      </w:r>
      <w:r w:rsidR="00042075" w:rsidRPr="009379DF">
        <w:rPr>
          <w:rFonts w:ascii="Arial" w:hAnsi="Arial" w:cs="Arial"/>
          <w:sz w:val="20"/>
          <w:szCs w:val="12"/>
        </w:rPr>
        <w:t xml:space="preserve"> Autopsy results found he suffered 66</w:t>
      </w:r>
      <w:r w:rsidR="00AC3868" w:rsidRPr="009379DF">
        <w:rPr>
          <w:rFonts w:ascii="Arial" w:hAnsi="Arial" w:cs="Arial"/>
          <w:sz w:val="20"/>
          <w:szCs w:val="12"/>
        </w:rPr>
        <w:t> </w:t>
      </w:r>
      <w:r w:rsidR="00042075" w:rsidRPr="009379DF">
        <w:rPr>
          <w:rFonts w:ascii="Arial" w:hAnsi="Arial" w:cs="Arial"/>
          <w:sz w:val="20"/>
          <w:szCs w:val="12"/>
        </w:rPr>
        <w:t>blunt force injuries to his face and limbs, 56 sharp force injuries (comprising 29 stab wounds and 27 incised wounds</w:t>
      </w:r>
      <w:r w:rsidR="001E297F" w:rsidRPr="009379DF">
        <w:rPr>
          <w:rFonts w:ascii="Arial" w:hAnsi="Arial" w:cs="Arial"/>
          <w:sz w:val="20"/>
          <w:szCs w:val="12"/>
        </w:rPr>
        <w:t>)</w:t>
      </w:r>
      <w:r w:rsidR="00042075" w:rsidRPr="009379DF">
        <w:rPr>
          <w:rFonts w:ascii="Arial" w:hAnsi="Arial" w:cs="Arial"/>
          <w:sz w:val="20"/>
          <w:szCs w:val="12"/>
        </w:rPr>
        <w:t xml:space="preserve"> and 30 puncture wounds. The cause of death was from four of the stab wounds to his chest. </w:t>
      </w:r>
      <w:r w:rsidR="00A05680" w:rsidRPr="009379DF">
        <w:rPr>
          <w:rFonts w:ascii="Arial" w:hAnsi="Arial" w:cs="Arial"/>
          <w:sz w:val="20"/>
          <w:szCs w:val="12"/>
        </w:rPr>
        <w:t xml:space="preserve"> </w:t>
      </w:r>
      <w:r w:rsidR="00042075" w:rsidRPr="009379DF">
        <w:rPr>
          <w:rFonts w:ascii="Arial" w:hAnsi="Arial" w:cs="Arial"/>
          <w:sz w:val="20"/>
          <w:szCs w:val="12"/>
        </w:rPr>
        <w:t xml:space="preserve">PM did not stab </w:t>
      </w:r>
      <w:r w:rsidR="00E849AA" w:rsidRPr="009379DF">
        <w:rPr>
          <w:rFonts w:ascii="Arial" w:hAnsi="Arial" w:cs="Arial"/>
          <w:sz w:val="20"/>
          <w:szCs w:val="12"/>
        </w:rPr>
        <w:t>V</w:t>
      </w:r>
      <w:r w:rsidR="00042075" w:rsidRPr="009379DF">
        <w:rPr>
          <w:rFonts w:ascii="Arial" w:hAnsi="Arial" w:cs="Arial"/>
          <w:sz w:val="20"/>
          <w:szCs w:val="12"/>
        </w:rPr>
        <w:t xml:space="preserve"> but did repeatedly kick and stomp on him while </w:t>
      </w:r>
      <w:r w:rsidR="00E849AA" w:rsidRPr="009379DF">
        <w:rPr>
          <w:rFonts w:ascii="Arial" w:hAnsi="Arial" w:cs="Arial"/>
          <w:sz w:val="20"/>
          <w:szCs w:val="12"/>
        </w:rPr>
        <w:t>V</w:t>
      </w:r>
      <w:r w:rsidR="00042075" w:rsidRPr="009379DF">
        <w:rPr>
          <w:rFonts w:ascii="Arial" w:hAnsi="Arial" w:cs="Arial"/>
          <w:sz w:val="20"/>
          <w:szCs w:val="12"/>
        </w:rPr>
        <w:t xml:space="preserve"> was being stabbed by some of the other boys.</w:t>
      </w:r>
    </w:p>
    <w:p w14:paraId="52EF73BB" w14:textId="77777777" w:rsidR="00E3298E" w:rsidRPr="009379DF" w:rsidRDefault="00E3298E" w:rsidP="009379DF">
      <w:pPr>
        <w:jc w:val="both"/>
        <w:rPr>
          <w:rFonts w:ascii="Arial" w:hAnsi="Arial" w:cs="Arial"/>
          <w:sz w:val="8"/>
          <w:szCs w:val="4"/>
        </w:rPr>
      </w:pPr>
    </w:p>
    <w:p w14:paraId="3C3F7487" w14:textId="108DC6E7" w:rsidR="00E3298E" w:rsidRPr="009379DF" w:rsidRDefault="00E3298E" w:rsidP="009379DF">
      <w:pPr>
        <w:jc w:val="both"/>
        <w:rPr>
          <w:rFonts w:ascii="Arial" w:hAnsi="Arial" w:cs="Arial"/>
          <w:sz w:val="20"/>
          <w:szCs w:val="12"/>
        </w:rPr>
      </w:pPr>
      <w:r w:rsidRPr="009379DF">
        <w:rPr>
          <w:rFonts w:ascii="Arial" w:hAnsi="Arial" w:cs="Arial"/>
          <w:sz w:val="20"/>
          <w:szCs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9379DF" w:rsidRDefault="00E3298E" w:rsidP="009379DF">
      <w:pPr>
        <w:jc w:val="both"/>
        <w:rPr>
          <w:rFonts w:ascii="Arial" w:hAnsi="Arial" w:cs="Arial"/>
          <w:sz w:val="8"/>
          <w:szCs w:val="4"/>
        </w:rPr>
      </w:pPr>
    </w:p>
    <w:p w14:paraId="0B631831" w14:textId="75DFCEDD" w:rsidR="005C051C" w:rsidRPr="009379DF" w:rsidRDefault="00042075" w:rsidP="009379DF">
      <w:pPr>
        <w:jc w:val="both"/>
        <w:rPr>
          <w:rFonts w:ascii="Arial" w:hAnsi="Arial" w:cs="Arial"/>
          <w:sz w:val="20"/>
          <w:szCs w:val="12"/>
        </w:rPr>
      </w:pPr>
      <w:r w:rsidRPr="009379DF">
        <w:rPr>
          <w:rFonts w:ascii="Arial" w:hAnsi="Arial" w:cs="Arial"/>
          <w:sz w:val="20"/>
          <w:szCs w:val="12"/>
        </w:rPr>
        <w:t xml:space="preserve">PM </w:t>
      </w:r>
      <w:r w:rsidR="00AC3868" w:rsidRPr="009379DF">
        <w:rPr>
          <w:rFonts w:ascii="Arial" w:hAnsi="Arial" w:cs="Arial"/>
          <w:sz w:val="20"/>
          <w:szCs w:val="12"/>
        </w:rPr>
        <w:t>wa</w:t>
      </w:r>
      <w:r w:rsidRPr="009379DF">
        <w:rPr>
          <w:rFonts w:ascii="Arial" w:hAnsi="Arial" w:cs="Arial"/>
          <w:sz w:val="20"/>
          <w:szCs w:val="12"/>
        </w:rPr>
        <w:t>s charged with murder by complicit</w:t>
      </w:r>
      <w:r w:rsidR="005C051C" w:rsidRPr="009379DF">
        <w:rPr>
          <w:rFonts w:ascii="Arial" w:hAnsi="Arial" w:cs="Arial"/>
          <w:sz w:val="20"/>
          <w:szCs w:val="12"/>
        </w:rPr>
        <w:t xml:space="preserve">y, the prosecution alleging that </w:t>
      </w:r>
      <w:r w:rsidR="005C051C" w:rsidRPr="009379DF">
        <w:rPr>
          <w:rFonts w:ascii="Arial" w:hAnsi="Arial" w:cs="Arial"/>
          <w:color w:val="000000"/>
          <w:sz w:val="20"/>
          <w:szCs w:val="20"/>
          <w:shd w:val="clear" w:color="auto" w:fill="FFFFFF"/>
        </w:rPr>
        <w:t>PM “engaged in the following conduct that is relevant for the purpose of an assessment regarding doli incapax:</w:t>
      </w:r>
    </w:p>
    <w:p w14:paraId="34A1C423" w14:textId="77777777" w:rsidR="009379DF" w:rsidRDefault="005C051C" w:rsidP="009379DF">
      <w:pPr>
        <w:numPr>
          <w:ilvl w:val="0"/>
          <w:numId w:val="4"/>
        </w:numPr>
        <w:spacing w:before="60"/>
        <w:ind w:left="284" w:hanging="284"/>
        <w:jc w:val="both"/>
        <w:rPr>
          <w:rFonts w:ascii="Arial" w:hAnsi="Arial" w:cs="Arial"/>
          <w:sz w:val="20"/>
        </w:rPr>
      </w:pPr>
      <w:r w:rsidRPr="009379DF">
        <w:rPr>
          <w:rFonts w:ascii="Arial" w:hAnsi="Arial" w:cs="Arial"/>
          <w:sz w:val="20"/>
          <w:szCs w:val="20"/>
        </w:rPr>
        <w:t>that PM entered into an agreement, arrangement or understanding to kill or cause really serious injury; and</w:t>
      </w:r>
    </w:p>
    <w:p w14:paraId="1C88BA6F" w14:textId="77777777" w:rsidR="009379DF" w:rsidRDefault="005C051C" w:rsidP="009379DF">
      <w:pPr>
        <w:numPr>
          <w:ilvl w:val="0"/>
          <w:numId w:val="4"/>
        </w:numPr>
        <w:spacing w:before="60"/>
        <w:ind w:left="284" w:hanging="284"/>
        <w:jc w:val="both"/>
        <w:rPr>
          <w:rFonts w:ascii="Arial" w:hAnsi="Arial" w:cs="Arial"/>
          <w:sz w:val="20"/>
        </w:rPr>
      </w:pPr>
      <w:r w:rsidRPr="009379DF">
        <w:rPr>
          <w:rFonts w:ascii="Arial" w:hAnsi="Arial" w:cs="Arial"/>
          <w:sz w:val="20"/>
          <w:szCs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Pr="009379DF" w:rsidRDefault="005C051C" w:rsidP="009379DF">
      <w:pPr>
        <w:jc w:val="both"/>
        <w:rPr>
          <w:rFonts w:ascii="Arial" w:hAnsi="Arial" w:cs="Arial"/>
          <w:sz w:val="20"/>
          <w:szCs w:val="20"/>
        </w:rPr>
      </w:pPr>
      <w:r w:rsidRPr="009379DF">
        <w:rPr>
          <w:rFonts w:ascii="Arial" w:hAnsi="Arial" w:cs="Arial"/>
          <w:sz w:val="20"/>
          <w:szCs w:val="20"/>
        </w:rPr>
        <w:t xml:space="preserve">PM’s </w:t>
      </w:r>
      <w:r w:rsidR="00042075" w:rsidRPr="009379DF">
        <w:rPr>
          <w:rFonts w:ascii="Arial" w:hAnsi="Arial" w:cs="Arial"/>
          <w:sz w:val="20"/>
          <w:szCs w:val="20"/>
        </w:rPr>
        <w:t xml:space="preserve">trial </w:t>
      </w:r>
      <w:r w:rsidR="00AC3868" w:rsidRPr="009379DF">
        <w:rPr>
          <w:rFonts w:ascii="Arial" w:hAnsi="Arial" w:cs="Arial"/>
          <w:sz w:val="20"/>
          <w:szCs w:val="20"/>
        </w:rPr>
        <w:t>w</w:t>
      </w:r>
      <w:r w:rsidR="00042075" w:rsidRPr="009379DF">
        <w:rPr>
          <w:rFonts w:ascii="Arial" w:hAnsi="Arial" w:cs="Arial"/>
          <w:sz w:val="20"/>
          <w:szCs w:val="20"/>
        </w:rPr>
        <w:t xml:space="preserve">as heard separately from the other </w:t>
      </w:r>
      <w:r w:rsidR="00FE4E5D" w:rsidRPr="009379DF">
        <w:rPr>
          <w:rFonts w:ascii="Arial" w:hAnsi="Arial" w:cs="Arial"/>
          <w:sz w:val="20"/>
          <w:szCs w:val="20"/>
        </w:rPr>
        <w:t>7</w:t>
      </w:r>
      <w:r w:rsidR="00042075" w:rsidRPr="009379DF">
        <w:rPr>
          <w:rFonts w:ascii="Arial" w:hAnsi="Arial" w:cs="Arial"/>
          <w:sz w:val="20"/>
          <w:szCs w:val="20"/>
        </w:rPr>
        <w:t xml:space="preserve"> boys </w:t>
      </w:r>
      <w:r w:rsidR="00AC3868" w:rsidRPr="009379DF">
        <w:rPr>
          <w:rFonts w:ascii="Arial" w:hAnsi="Arial" w:cs="Arial"/>
          <w:sz w:val="20"/>
          <w:szCs w:val="20"/>
        </w:rPr>
        <w:t xml:space="preserve">(including PM’s older brother) </w:t>
      </w:r>
      <w:r w:rsidR="00042075" w:rsidRPr="009379DF">
        <w:rPr>
          <w:rFonts w:ascii="Arial" w:hAnsi="Arial" w:cs="Arial"/>
          <w:sz w:val="20"/>
          <w:szCs w:val="20"/>
        </w:rPr>
        <w:t xml:space="preserve">alleged to have been involved in </w:t>
      </w:r>
      <w:r w:rsidR="00E849AA" w:rsidRPr="009379DF">
        <w:rPr>
          <w:rFonts w:ascii="Arial" w:hAnsi="Arial" w:cs="Arial"/>
          <w:sz w:val="20"/>
          <w:szCs w:val="20"/>
        </w:rPr>
        <w:t>V</w:t>
      </w:r>
      <w:r w:rsidR="00042075" w:rsidRPr="009379DF">
        <w:rPr>
          <w:rFonts w:ascii="Arial" w:hAnsi="Arial" w:cs="Arial"/>
          <w:sz w:val="20"/>
          <w:szCs w:val="20"/>
        </w:rPr>
        <w:t>’s death.</w:t>
      </w:r>
      <w:r w:rsidR="00716B8A" w:rsidRPr="009379DF">
        <w:rPr>
          <w:rFonts w:ascii="Arial" w:hAnsi="Arial" w:cs="Arial"/>
          <w:sz w:val="20"/>
          <w:szCs w:val="20"/>
        </w:rPr>
        <w:t xml:space="preserve">  </w:t>
      </w:r>
      <w:r w:rsidRPr="009379DF">
        <w:rPr>
          <w:rFonts w:ascii="Arial" w:hAnsi="Arial" w:cs="Arial"/>
          <w:sz w:val="20"/>
          <w:szCs w:val="20"/>
        </w:rPr>
        <w:t>Summarising her methodology and findings, Incerti J said at [11]</w:t>
      </w:r>
      <w:r w:rsidR="00403E2A" w:rsidRPr="009379DF">
        <w:rPr>
          <w:rFonts w:ascii="Arial" w:hAnsi="Arial" w:cs="Arial"/>
          <w:sz w:val="20"/>
          <w:szCs w:val="20"/>
        </w:rPr>
        <w:t>-</w:t>
      </w:r>
      <w:r w:rsidRPr="009379DF">
        <w:rPr>
          <w:rFonts w:ascii="Arial" w:hAnsi="Arial" w:cs="Arial"/>
          <w:sz w:val="20"/>
          <w:szCs w:val="20"/>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Pr="009379DF" w:rsidRDefault="005C051C" w:rsidP="009379DF">
      <w:pPr>
        <w:jc w:val="both"/>
        <w:rPr>
          <w:rFonts w:ascii="Arial" w:hAnsi="Arial" w:cs="Arial"/>
          <w:sz w:val="20"/>
          <w:szCs w:val="20"/>
        </w:rPr>
      </w:pPr>
      <w:r w:rsidRPr="009379DF">
        <w:rPr>
          <w:rFonts w:ascii="Arial" w:hAnsi="Arial" w:cs="Arial"/>
          <w:sz w:val="20"/>
          <w:szCs w:val="20"/>
        </w:rPr>
        <w:t>During the trial Incerti J had heard expert psychiatric and psychological evidence from four witnesses–</w:t>
      </w:r>
    </w:p>
    <w:p w14:paraId="137BEA01" w14:textId="77777777" w:rsidR="009379DF" w:rsidRDefault="005C051C" w:rsidP="009379DF">
      <w:pPr>
        <w:numPr>
          <w:ilvl w:val="0"/>
          <w:numId w:val="4"/>
        </w:numPr>
        <w:ind w:left="284" w:hanging="284"/>
        <w:jc w:val="both"/>
        <w:rPr>
          <w:rFonts w:ascii="Arial" w:hAnsi="Arial" w:cs="Arial"/>
          <w:sz w:val="20"/>
        </w:rPr>
      </w:pPr>
      <w:r w:rsidRPr="009379DF">
        <w:rPr>
          <w:rFonts w:ascii="Arial" w:hAnsi="Arial" w:cs="Arial"/>
          <w:sz w:val="20"/>
          <w:szCs w:val="20"/>
        </w:rPr>
        <w:t>Dr O, a registered consultant clinical and forensic psychologist;</w:t>
      </w:r>
    </w:p>
    <w:p w14:paraId="10FA2BBE" w14:textId="263001A6" w:rsidR="009379DF" w:rsidRDefault="005C051C" w:rsidP="009379DF">
      <w:pPr>
        <w:numPr>
          <w:ilvl w:val="0"/>
          <w:numId w:val="4"/>
        </w:numPr>
        <w:ind w:left="284" w:hanging="284"/>
        <w:jc w:val="both"/>
        <w:rPr>
          <w:rFonts w:ascii="Arial" w:hAnsi="Arial" w:cs="Arial"/>
          <w:sz w:val="20"/>
        </w:rPr>
      </w:pPr>
      <w:r w:rsidRPr="009379DF">
        <w:rPr>
          <w:rFonts w:ascii="Arial" w:hAnsi="Arial" w:cs="Arial"/>
          <w:sz w:val="20"/>
          <w:szCs w:val="20"/>
        </w:rPr>
        <w:t>Ms C, an AHPRA registere</w:t>
      </w:r>
      <w:r w:rsidR="004837E9">
        <w:rPr>
          <w:rFonts w:ascii="Arial" w:hAnsi="Arial" w:cs="Arial"/>
          <w:sz w:val="20"/>
          <w:szCs w:val="20"/>
        </w:rPr>
        <w:t xml:space="preserve">d </w:t>
      </w:r>
      <w:r w:rsidRPr="009379DF">
        <w:rPr>
          <w:rFonts w:ascii="Arial" w:hAnsi="Arial" w:cs="Arial"/>
          <w:sz w:val="20"/>
          <w:szCs w:val="20"/>
        </w:rPr>
        <w:t>consultant clinical psychologist;</w:t>
      </w:r>
    </w:p>
    <w:p w14:paraId="71305C5B" w14:textId="77777777" w:rsidR="004837E9" w:rsidRDefault="005C051C" w:rsidP="004837E9">
      <w:pPr>
        <w:numPr>
          <w:ilvl w:val="0"/>
          <w:numId w:val="4"/>
        </w:numPr>
        <w:ind w:left="284" w:hanging="284"/>
        <w:jc w:val="both"/>
        <w:rPr>
          <w:rFonts w:ascii="Arial" w:hAnsi="Arial" w:cs="Arial"/>
          <w:sz w:val="20"/>
        </w:rPr>
      </w:pPr>
      <w:r w:rsidRPr="004837E9">
        <w:rPr>
          <w:rFonts w:ascii="Arial" w:hAnsi="Arial" w:cs="Arial"/>
          <w:sz w:val="20"/>
          <w:szCs w:val="20"/>
        </w:rPr>
        <w:t>Dr S, a senior consultant forensic psychiatrist; and</w:t>
      </w:r>
    </w:p>
    <w:p w14:paraId="1F084D05" w14:textId="77777777" w:rsidR="004837E9" w:rsidRDefault="005C051C" w:rsidP="004837E9">
      <w:pPr>
        <w:numPr>
          <w:ilvl w:val="0"/>
          <w:numId w:val="4"/>
        </w:numPr>
        <w:ind w:left="284" w:hanging="284"/>
        <w:jc w:val="both"/>
        <w:rPr>
          <w:rFonts w:ascii="Arial" w:hAnsi="Arial" w:cs="Arial"/>
          <w:sz w:val="20"/>
        </w:rPr>
      </w:pPr>
      <w:r w:rsidRPr="004837E9">
        <w:rPr>
          <w:rFonts w:ascii="Arial" w:hAnsi="Arial" w:cs="Arial"/>
          <w:sz w:val="20"/>
          <w:szCs w:val="20"/>
        </w:rPr>
        <w:t>Ms S, a clinical neuropsychologist.</w:t>
      </w:r>
    </w:p>
    <w:p w14:paraId="3DEE88BD" w14:textId="77777777" w:rsidR="005C051C" w:rsidRPr="004837E9" w:rsidRDefault="005C051C" w:rsidP="004837E9">
      <w:pPr>
        <w:jc w:val="both"/>
        <w:rPr>
          <w:rFonts w:ascii="Arial" w:hAnsi="Arial" w:cs="Arial"/>
          <w:sz w:val="20"/>
          <w:szCs w:val="20"/>
        </w:rPr>
      </w:pPr>
      <w:r w:rsidRPr="004837E9">
        <w:rPr>
          <w:rFonts w:ascii="Arial" w:hAnsi="Arial" w:cs="Arial"/>
          <w:sz w:val="20"/>
          <w:szCs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9379DF" w:rsidRDefault="005C051C" w:rsidP="009379DF">
      <w:pPr>
        <w:jc w:val="both"/>
        <w:rPr>
          <w:rFonts w:ascii="Arial" w:hAnsi="Arial" w:cs="Arial"/>
          <w:sz w:val="20"/>
          <w:szCs w:val="20"/>
        </w:rPr>
      </w:pPr>
      <w:r w:rsidRPr="009379DF">
        <w:rPr>
          <w:rFonts w:ascii="Arial" w:hAnsi="Arial" w:cs="Arial"/>
          <w:sz w:val="20"/>
          <w:szCs w:val="20"/>
        </w:rPr>
        <w:lastRenderedPageBreak/>
        <w:t>Given that</w:t>
      </w:r>
      <w:r w:rsidR="00E62793" w:rsidRPr="009379DF">
        <w:rPr>
          <w:rFonts w:ascii="Arial" w:hAnsi="Arial" w:cs="Arial"/>
          <w:sz w:val="20"/>
          <w:szCs w:val="20"/>
        </w:rPr>
        <w:t xml:space="preserve"> he had a right of silence in respect of criminal proceedings against him, PM was not made available to be assessed by Dr O.</w:t>
      </w:r>
      <w:r w:rsidRPr="009379DF">
        <w:rPr>
          <w:rFonts w:ascii="Arial" w:hAnsi="Arial" w:cs="Arial"/>
          <w:sz w:val="20"/>
          <w:szCs w:val="20"/>
        </w:rPr>
        <w:t xml:space="preserve"> </w:t>
      </w:r>
      <w:r w:rsidR="00E62793" w:rsidRPr="009379DF">
        <w:rPr>
          <w:rFonts w:ascii="Arial" w:hAnsi="Arial" w:cs="Arial"/>
          <w:sz w:val="20"/>
          <w:szCs w:val="20"/>
        </w:rPr>
        <w:t xml:space="preserve"> </w:t>
      </w:r>
      <w:r w:rsidR="00C63205" w:rsidRPr="009379DF">
        <w:rPr>
          <w:rFonts w:ascii="Arial" w:hAnsi="Arial" w:cs="Arial"/>
          <w:sz w:val="20"/>
          <w:szCs w:val="20"/>
        </w:rPr>
        <w:t>At [188]-[189], [257] &amp; [460] Incerti J noted</w:t>
      </w:r>
      <w:r w:rsidR="00DC0C91" w:rsidRPr="009379DF">
        <w:rPr>
          <w:rFonts w:ascii="Arial" w:hAnsi="Arial" w:cs="Arial"/>
          <w:sz w:val="20"/>
          <w:szCs w:val="20"/>
        </w:rPr>
        <w:t xml:space="preserve"> </w:t>
      </w:r>
      <w:r w:rsidR="00E62793" w:rsidRPr="009379DF">
        <w:rPr>
          <w:rFonts w:ascii="Arial" w:hAnsi="Arial" w:cs="Arial"/>
          <w:sz w:val="20"/>
          <w:szCs w:val="20"/>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Pr="00B469B8" w:rsidRDefault="00E849AA" w:rsidP="00B469B8">
      <w:pPr>
        <w:jc w:val="both"/>
        <w:rPr>
          <w:rFonts w:ascii="Arial" w:hAnsi="Arial" w:cs="Arial"/>
          <w:sz w:val="20"/>
          <w:szCs w:val="20"/>
        </w:rPr>
      </w:pPr>
      <w:r w:rsidRPr="00B469B8">
        <w:rPr>
          <w:rFonts w:ascii="Arial" w:hAnsi="Arial" w:cs="Arial"/>
          <w:sz w:val="20"/>
          <w:szCs w:val="20"/>
        </w:rPr>
        <w:t>Her Honour gave extensive and detailed reasons for her decision.  Of particular note are paragraphs [</w:t>
      </w:r>
      <w:proofErr w:type="gramStart"/>
      <w:r w:rsidRPr="00B469B8">
        <w:rPr>
          <w:rFonts w:ascii="Arial" w:hAnsi="Arial" w:cs="Arial"/>
          <w:sz w:val="20"/>
          <w:szCs w:val="20"/>
        </w:rPr>
        <w:t>68]</w:t>
      </w:r>
      <w:r w:rsidRPr="00B469B8">
        <w:rPr>
          <w:rFonts w:ascii="Arial" w:hAnsi="Arial" w:cs="Arial"/>
          <w:sz w:val="20"/>
          <w:szCs w:val="20"/>
        </w:rPr>
        <w:noBreakHyphen/>
      </w:r>
      <w:proofErr w:type="gramEnd"/>
      <w:r w:rsidRPr="00B469B8">
        <w:rPr>
          <w:rFonts w:ascii="Arial" w:hAnsi="Arial" w:cs="Arial"/>
          <w:sz w:val="20"/>
          <w:szCs w:val="20"/>
        </w:rPr>
        <w:t>[69], [80]-[8</w:t>
      </w:r>
      <w:r w:rsidR="00517E9A" w:rsidRPr="00B469B8">
        <w:rPr>
          <w:rFonts w:ascii="Arial" w:hAnsi="Arial" w:cs="Arial"/>
          <w:sz w:val="20"/>
          <w:szCs w:val="20"/>
        </w:rPr>
        <w:t>4</w:t>
      </w:r>
      <w:r w:rsidRPr="00B469B8">
        <w:rPr>
          <w:rFonts w:ascii="Arial" w:hAnsi="Arial" w:cs="Arial"/>
          <w:sz w:val="20"/>
          <w:szCs w:val="20"/>
        </w:rPr>
        <w:t xml:space="preserve">], [92]-[100], </w:t>
      </w:r>
      <w:r w:rsidR="005C051C" w:rsidRPr="00B469B8">
        <w:rPr>
          <w:rFonts w:ascii="Arial" w:hAnsi="Arial" w:cs="Arial"/>
          <w:sz w:val="20"/>
          <w:szCs w:val="20"/>
        </w:rPr>
        <w:t>[527</w:t>
      </w:r>
      <w:r w:rsidRPr="00B469B8">
        <w:rPr>
          <w:rFonts w:ascii="Arial" w:hAnsi="Arial" w:cs="Arial"/>
          <w:sz w:val="20"/>
          <w:szCs w:val="20"/>
        </w:rPr>
        <w:t>]</w:t>
      </w:r>
      <w:r w:rsidR="005C051C" w:rsidRPr="00B469B8">
        <w:rPr>
          <w:rFonts w:ascii="Arial" w:hAnsi="Arial" w:cs="Arial"/>
          <w:sz w:val="20"/>
          <w:szCs w:val="20"/>
        </w:rPr>
        <w:t>, [544]-</w:t>
      </w:r>
      <w:r w:rsidR="00E62793" w:rsidRPr="00B469B8">
        <w:rPr>
          <w:rFonts w:ascii="Arial" w:hAnsi="Arial" w:cs="Arial"/>
          <w:sz w:val="20"/>
          <w:szCs w:val="20"/>
        </w:rPr>
        <w:t>[549]</w:t>
      </w:r>
      <w:r w:rsidRPr="00B469B8">
        <w:rPr>
          <w:rFonts w:ascii="Arial" w:hAnsi="Arial" w:cs="Arial"/>
          <w:sz w:val="20"/>
          <w:szCs w:val="20"/>
        </w:rPr>
        <w:t xml:space="preserve"> &amp; [5</w:t>
      </w:r>
      <w:r w:rsidR="00E62793" w:rsidRPr="00B469B8">
        <w:rPr>
          <w:rFonts w:ascii="Arial" w:hAnsi="Arial" w:cs="Arial"/>
          <w:sz w:val="20"/>
          <w:szCs w:val="20"/>
        </w:rPr>
        <w:t>72</w:t>
      </w:r>
      <w:r w:rsidRPr="00B469B8">
        <w:rPr>
          <w:rFonts w:ascii="Arial" w:hAnsi="Arial" w:cs="Arial"/>
          <w:sz w:val="20"/>
          <w:szCs w:val="20"/>
        </w:rPr>
        <w:t>]-[5</w:t>
      </w:r>
      <w:r w:rsidR="00C2743C" w:rsidRPr="00B469B8">
        <w:rPr>
          <w:rFonts w:ascii="Arial" w:hAnsi="Arial" w:cs="Arial"/>
          <w:sz w:val="20"/>
          <w:szCs w:val="20"/>
        </w:rPr>
        <w:t>80</w:t>
      </w:r>
      <w:r w:rsidRPr="00B469B8">
        <w:rPr>
          <w:rFonts w:ascii="Arial" w:hAnsi="Arial" w:cs="Arial"/>
          <w:sz w:val="20"/>
          <w:szCs w:val="20"/>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Pr="00B469B8" w:rsidRDefault="00307B04" w:rsidP="00B469B8">
      <w:pPr>
        <w:jc w:val="both"/>
        <w:rPr>
          <w:rFonts w:ascii="Arial" w:hAnsi="Arial" w:cs="Arial"/>
          <w:sz w:val="20"/>
          <w:szCs w:val="20"/>
        </w:rPr>
      </w:pPr>
      <w:r w:rsidRPr="00B469B8">
        <w:rPr>
          <w:rFonts w:ascii="Arial" w:hAnsi="Arial" w:cs="Arial"/>
          <w:sz w:val="20"/>
          <w:szCs w:val="20"/>
        </w:rPr>
        <w:t>Under the heading “</w:t>
      </w:r>
      <w:r w:rsidRPr="00B469B8">
        <w:rPr>
          <w:rFonts w:ascii="Arial" w:hAnsi="Arial" w:cs="Arial"/>
          <w:b/>
          <w:bCs/>
          <w:sz w:val="20"/>
          <w:szCs w:val="20"/>
        </w:rPr>
        <w:t>What needs to be proved?</w:t>
      </w:r>
      <w:r w:rsidRPr="00B469B8">
        <w:rPr>
          <w:rFonts w:ascii="Arial" w:hAnsi="Arial" w:cs="Arial"/>
          <w:sz w:val="20"/>
          <w:szCs w:val="20"/>
        </w:rPr>
        <w:t>” her Honour said at [68]-[69]: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B469B8" w:rsidRDefault="00517E9A" w:rsidP="00B469B8">
      <w:pPr>
        <w:spacing w:before="60"/>
        <w:ind w:left="1021" w:right="1021"/>
        <w:jc w:val="both"/>
        <w:rPr>
          <w:rFonts w:ascii="Arial" w:hAnsi="Arial" w:cs="Arial"/>
          <w:sz w:val="18"/>
          <w:szCs w:val="18"/>
        </w:rPr>
      </w:pPr>
      <w:r w:rsidRPr="00B469B8">
        <w:rPr>
          <w:rFonts w:ascii="Arial" w:hAnsi="Arial" w:cs="Arial"/>
          <w:sz w:val="18"/>
          <w:szCs w:val="18"/>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lastRenderedPageBreak/>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B469B8" w:rsidRDefault="00517E9A" w:rsidP="00B469B8">
      <w:pPr>
        <w:spacing w:before="60"/>
        <w:ind w:left="1021" w:right="1021"/>
        <w:jc w:val="both"/>
        <w:rPr>
          <w:rFonts w:ascii="Arial" w:hAnsi="Arial" w:cs="Arial"/>
          <w:sz w:val="18"/>
          <w:szCs w:val="8"/>
        </w:rPr>
      </w:pPr>
      <w:r w:rsidRPr="00B469B8">
        <w:rPr>
          <w:rFonts w:ascii="Arial" w:hAnsi="Arial" w:cs="Arial"/>
          <w:sz w:val="18"/>
          <w:szCs w:val="18"/>
        </w:rPr>
        <w:t xml:space="preserve">In accordance with </w:t>
      </w:r>
      <w:r w:rsidRPr="00B469B8">
        <w:rPr>
          <w:rFonts w:ascii="Arial" w:hAnsi="Arial" w:cs="Arial"/>
          <w:i/>
          <w:iCs/>
          <w:sz w:val="18"/>
          <w:szCs w:val="18"/>
        </w:rPr>
        <w:t>RP v The Queen</w:t>
      </w:r>
      <w:r w:rsidRPr="00B469B8">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B469B8" w:rsidRDefault="00517E9A" w:rsidP="00B469B8">
      <w:pPr>
        <w:spacing w:before="60"/>
        <w:ind w:left="1021" w:right="1021"/>
        <w:jc w:val="both"/>
        <w:rPr>
          <w:rFonts w:ascii="Arial" w:hAnsi="Arial" w:cs="Arial"/>
          <w:sz w:val="18"/>
          <w:szCs w:val="18"/>
        </w:rPr>
      </w:pPr>
      <w:r w:rsidRPr="00B469B8">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B469B8">
        <w:rPr>
          <w:rFonts w:ascii="Arial" w:hAnsi="Arial" w:cs="Arial"/>
          <w:i/>
          <w:iCs/>
          <w:sz w:val="18"/>
          <w:szCs w:val="18"/>
        </w:rPr>
        <w:t>RP v The Queen</w:t>
      </w:r>
      <w:r w:rsidRPr="00B469B8">
        <w:rPr>
          <w:rFonts w:ascii="Arial" w:hAnsi="Arial" w:cs="Arial"/>
          <w:sz w:val="18"/>
          <w:szCs w:val="18"/>
        </w:rPr>
        <w:t xml:space="preserve"> has been met. Here, the evidence of Dr Llosa of the mismatch between the appellant’s biological age and his emotional maturity, which I accept is a relevant factor, and to the extent that the Crown submitted otherwise, I reject that submission. </w:t>
      </w:r>
      <w:r w:rsidRPr="00B469B8">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B469B8">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Pr="00B469B8" w:rsidRDefault="00307B04" w:rsidP="00B469B8">
      <w:pPr>
        <w:jc w:val="both"/>
        <w:rPr>
          <w:rFonts w:ascii="Arial" w:hAnsi="Arial" w:cs="Arial"/>
          <w:sz w:val="20"/>
          <w:szCs w:val="20"/>
        </w:rPr>
      </w:pPr>
      <w:r w:rsidRPr="00B469B8">
        <w:rPr>
          <w:rFonts w:ascii="Arial" w:hAnsi="Arial" w:cs="Arial"/>
          <w:sz w:val="20"/>
          <w:szCs w:val="20"/>
        </w:rPr>
        <w:t>Under the heading “</w:t>
      </w:r>
      <w:r w:rsidRPr="00B469B8">
        <w:rPr>
          <w:rFonts w:ascii="Arial" w:hAnsi="Arial" w:cs="Arial"/>
          <w:b/>
          <w:bCs/>
          <w:sz w:val="20"/>
          <w:szCs w:val="20"/>
        </w:rPr>
        <w:t>Factors relevant to rebutting the presumption</w:t>
      </w:r>
      <w:r w:rsidRPr="00B469B8">
        <w:rPr>
          <w:rFonts w:ascii="Arial" w:hAnsi="Arial" w:cs="Arial"/>
          <w:sz w:val="20"/>
          <w:szCs w:val="20"/>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Pr="00B469B8" w:rsidRDefault="00307B04" w:rsidP="00B469B8">
      <w:pPr>
        <w:spacing w:before="60"/>
        <w:ind w:left="1021" w:right="1021"/>
        <w:jc w:val="both"/>
        <w:rPr>
          <w:rFonts w:ascii="Arial" w:hAnsi="Arial" w:cs="Arial"/>
          <w:sz w:val="18"/>
          <w:szCs w:val="18"/>
        </w:rPr>
      </w:pPr>
      <w:r w:rsidRPr="00B469B8">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B469B8">
        <w:rPr>
          <w:rFonts w:ascii="Arial" w:hAnsi="Arial" w:cs="Arial"/>
          <w:sz w:val="18"/>
          <w:szCs w:val="18"/>
        </w:rPr>
        <w:t>eg</w:t>
      </w:r>
      <w:proofErr w:type="spellEnd"/>
      <w:r w:rsidRPr="00B469B8">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lastRenderedPageBreak/>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Pr="00B469B8" w:rsidRDefault="00C2743C" w:rsidP="00B469B8">
      <w:pPr>
        <w:jc w:val="both"/>
        <w:rPr>
          <w:rFonts w:ascii="Arial" w:hAnsi="Arial" w:cs="Arial"/>
          <w:sz w:val="20"/>
          <w:szCs w:val="20"/>
        </w:rPr>
      </w:pPr>
      <w:r w:rsidRPr="00B469B8">
        <w:rPr>
          <w:rFonts w:ascii="Arial" w:hAnsi="Arial" w:cs="Arial"/>
          <w:sz w:val="20"/>
          <w:szCs w:val="20"/>
        </w:rPr>
        <w:t xml:space="preserve">Her Honour’s </w:t>
      </w:r>
      <w:r w:rsidR="00A84DF8" w:rsidRPr="00B469B8">
        <w:rPr>
          <w:rFonts w:ascii="Arial" w:hAnsi="Arial" w:cs="Arial"/>
          <w:sz w:val="20"/>
          <w:szCs w:val="20"/>
        </w:rPr>
        <w:t>conclusion</w:t>
      </w:r>
      <w:r w:rsidR="004112B7" w:rsidRPr="00B469B8">
        <w:rPr>
          <w:rFonts w:ascii="Arial" w:hAnsi="Arial" w:cs="Arial"/>
          <w:sz w:val="20"/>
          <w:szCs w:val="20"/>
        </w:rPr>
        <w:t xml:space="preserve"> about PM’s social and cognitive development and thus </w:t>
      </w:r>
      <w:r w:rsidR="004112B7" w:rsidRPr="00B469B8">
        <w:rPr>
          <w:rFonts w:ascii="Arial" w:hAnsi="Arial" w:cs="Arial"/>
          <w:b/>
          <w:bCs/>
          <w:sz w:val="20"/>
          <w:szCs w:val="20"/>
          <w:u w:val="single"/>
        </w:rPr>
        <w:t>his</w:t>
      </w:r>
      <w:r w:rsidR="004112B7" w:rsidRPr="00B469B8">
        <w:rPr>
          <w:rFonts w:ascii="Arial" w:hAnsi="Arial" w:cs="Arial"/>
          <w:sz w:val="20"/>
          <w:szCs w:val="20"/>
        </w:rPr>
        <w:t xml:space="preserve"> capacity to develop a sound understanding of moral principles is taken from [527] &amp; [544]-[549]:</w:t>
      </w:r>
    </w:p>
    <w:p w14:paraId="464CBFB8" w14:textId="606F270C" w:rsidR="003615F6" w:rsidRPr="009379DF" w:rsidRDefault="00FB155E" w:rsidP="009379DF">
      <w:pPr>
        <w:spacing w:before="60"/>
        <w:ind w:left="567" w:right="567"/>
        <w:jc w:val="both"/>
        <w:rPr>
          <w:rFonts w:ascii="Arial" w:hAnsi="Arial" w:cs="Arial"/>
          <w:sz w:val="20"/>
          <w:szCs w:val="20"/>
        </w:rPr>
      </w:pPr>
      <w:r w:rsidRPr="009379DF">
        <w:rPr>
          <w:rFonts w:ascii="Arial" w:hAnsi="Arial" w:cs="Arial"/>
          <w:sz w:val="20"/>
          <w:szCs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9379DF" w:rsidRDefault="00C57AF5" w:rsidP="009379DF">
      <w:pPr>
        <w:spacing w:before="60"/>
        <w:ind w:left="567" w:right="567"/>
        <w:jc w:val="both"/>
        <w:rPr>
          <w:rFonts w:ascii="Arial" w:hAnsi="Arial" w:cs="Arial"/>
          <w:sz w:val="20"/>
          <w:szCs w:val="20"/>
        </w:rPr>
      </w:pPr>
      <w:r w:rsidRPr="009379DF">
        <w:rPr>
          <w:rFonts w:ascii="Arial" w:hAnsi="Arial" w:cs="Arial"/>
          <w:sz w:val="20"/>
          <w:szCs w:val="20"/>
        </w:rPr>
        <w:t>…</w:t>
      </w:r>
    </w:p>
    <w:p w14:paraId="242BC60D" w14:textId="20DBDF04" w:rsidR="00FB155E" w:rsidRPr="009379DF" w:rsidRDefault="00FB155E" w:rsidP="009379DF">
      <w:pPr>
        <w:spacing w:before="60"/>
        <w:ind w:left="567" w:right="567"/>
        <w:jc w:val="both"/>
        <w:rPr>
          <w:rFonts w:ascii="Arial" w:hAnsi="Arial" w:cs="Arial"/>
          <w:sz w:val="20"/>
          <w:szCs w:val="20"/>
        </w:rPr>
      </w:pPr>
      <w:r w:rsidRPr="009379DF">
        <w:rPr>
          <w:rFonts w:ascii="Arial" w:hAnsi="Arial" w:cs="Arial"/>
          <w:sz w:val="20"/>
          <w:szCs w:val="20"/>
        </w:rPr>
        <w:t xml:space="preserve">[544] “I consider that </w:t>
      </w:r>
      <w:r w:rsidR="00A84DF8" w:rsidRPr="009379DF">
        <w:rPr>
          <w:rFonts w:ascii="Arial" w:hAnsi="Arial" w:cs="Arial"/>
          <w:sz w:val="20"/>
          <w:szCs w:val="20"/>
        </w:rPr>
        <w:t xml:space="preserve">all the evidence adduced by the prosecution, when considered together, could </w:t>
      </w:r>
      <w:r w:rsidR="00A84DF8" w:rsidRPr="009379DF">
        <w:rPr>
          <w:rFonts w:ascii="Arial" w:hAnsi="Arial" w:cs="Arial"/>
          <w:i/>
          <w:iCs/>
          <w:sz w:val="20"/>
          <w:szCs w:val="20"/>
        </w:rPr>
        <w:t>potentially</w:t>
      </w:r>
      <w:r w:rsidR="00A84DF8" w:rsidRPr="009379DF">
        <w:rPr>
          <w:rFonts w:ascii="Arial" w:hAnsi="Arial" w:cs="Arial"/>
          <w:sz w:val="20"/>
          <w:szCs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[545] As Dr [O]’s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[O]’s explanation for PM’s conduct, notwithstanding knowledge of its wrongness, was because he had actively chosen to ascribe to an ‘alternative moral code’. However, I consider the framework presented by Dr [O] is somewhat simplistic in this case and does not fully drill down into the complex matrix of PM’s life experiences, neurological deficits and the overlay of his disorders. It is enticing to accept Dr [O]’s hypothesis given the horrendous nature of the offending, which places the criminal responsibility at PM’s feet.</w:t>
      </w:r>
    </w:p>
    <w:p w14:paraId="4BBE9331" w14:textId="32A87BDB" w:rsidR="00A84DF8"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 xml:space="preserve">[546] </w:t>
      </w:r>
      <w:r w:rsidRPr="009379DF">
        <w:rPr>
          <w:rFonts w:ascii="Arial" w:hAnsi="Arial" w:cs="Arial"/>
          <w:b/>
          <w:bCs/>
          <w:sz w:val="20"/>
          <w:szCs w:val="20"/>
        </w:rPr>
        <w:t>However, the High Court has emphasised that what is important is the consideration of the knowledge of the unique child in question.</w:t>
      </w:r>
      <w:r w:rsidRPr="009379DF">
        <w:rPr>
          <w:rFonts w:ascii="Arial" w:hAnsi="Arial" w:cs="Arial"/>
          <w:sz w:val="20"/>
          <w:szCs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[C]’s testing performed on 7 March 2022, six days before the alleged offending, which raises doubt as to PM’s moral development as at that point in time. Dr [S] considered Ms [C]’s test results from 7 March 2022, revealed PM’s moral reasoning levels were low and immature and demonstrated superficial understanding, compromised empathy and a failure to understand or see other’s perspectives.</w:t>
      </w:r>
    </w:p>
    <w:p w14:paraId="6928A8FF" w14:textId="77777777" w:rsidR="006B4DE0" w:rsidRPr="009379DF" w:rsidRDefault="00A84DF8" w:rsidP="009379DF">
      <w:pPr>
        <w:spacing w:before="60"/>
        <w:ind w:left="567" w:right="567"/>
        <w:jc w:val="both"/>
        <w:rPr>
          <w:rFonts w:ascii="Arial" w:hAnsi="Arial" w:cs="Arial"/>
          <w:sz w:val="20"/>
          <w:szCs w:val="20"/>
        </w:rPr>
      </w:pPr>
      <w:r w:rsidRPr="009379DF">
        <w:rPr>
          <w:rFonts w:ascii="Arial" w:hAnsi="Arial" w:cs="Arial"/>
          <w:sz w:val="20"/>
          <w:szCs w:val="20"/>
        </w:rPr>
        <w:t xml:space="preserve">[547] At the time she prepared her report, Dr </w:t>
      </w:r>
      <w:r w:rsidR="0052275B" w:rsidRPr="009379DF">
        <w:rPr>
          <w:rFonts w:ascii="Arial" w:hAnsi="Arial" w:cs="Arial"/>
          <w:sz w:val="20"/>
          <w:szCs w:val="20"/>
        </w:rPr>
        <w:t>[</w:t>
      </w:r>
      <w:r w:rsidRPr="009379DF">
        <w:rPr>
          <w:rFonts w:ascii="Arial" w:hAnsi="Arial" w:cs="Arial"/>
          <w:sz w:val="20"/>
          <w:szCs w:val="20"/>
        </w:rPr>
        <w:t>O</w:t>
      </w:r>
      <w:r w:rsidR="0052275B" w:rsidRPr="009379DF">
        <w:rPr>
          <w:rFonts w:ascii="Arial" w:hAnsi="Arial" w:cs="Arial"/>
          <w:sz w:val="20"/>
          <w:szCs w:val="20"/>
        </w:rPr>
        <w:t>]</w:t>
      </w:r>
      <w:r w:rsidRPr="009379DF">
        <w:rPr>
          <w:rFonts w:ascii="Arial" w:hAnsi="Arial" w:cs="Arial"/>
          <w:sz w:val="20"/>
          <w:szCs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w:t>
      </w:r>
      <w:r w:rsidRPr="009379DF">
        <w:rPr>
          <w:rFonts w:ascii="Arial" w:hAnsi="Arial" w:cs="Arial"/>
          <w:sz w:val="20"/>
          <w:szCs w:val="20"/>
        </w:rPr>
        <w:lastRenderedPageBreak/>
        <w:t>this in favour of ascribing to an ‘alternative moral code’. Dr Owen accepted that PM’s ADHD 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Pr="009379DF" w:rsidRDefault="006B4DE0" w:rsidP="009379DF">
      <w:pPr>
        <w:spacing w:before="60"/>
        <w:ind w:left="567" w:right="567"/>
        <w:jc w:val="both"/>
        <w:rPr>
          <w:rFonts w:ascii="Arial" w:hAnsi="Arial" w:cs="Arial"/>
          <w:sz w:val="20"/>
          <w:szCs w:val="20"/>
        </w:rPr>
      </w:pPr>
      <w:r w:rsidRPr="009379DF">
        <w:rPr>
          <w:rFonts w:ascii="Arial" w:hAnsi="Arial" w:cs="Arial"/>
          <w:sz w:val="20"/>
          <w:szCs w:val="20"/>
        </w:rPr>
        <w:t>[</w:t>
      </w:r>
      <w:r w:rsidR="00A84DF8" w:rsidRPr="009379DF">
        <w:rPr>
          <w:rFonts w:ascii="Arial" w:hAnsi="Arial" w:cs="Arial"/>
          <w:sz w:val="20"/>
          <w:szCs w:val="20"/>
        </w:rPr>
        <w:t>548</w:t>
      </w:r>
      <w:r w:rsidRPr="009379DF">
        <w:rPr>
          <w:rFonts w:ascii="Arial" w:hAnsi="Arial" w:cs="Arial"/>
          <w:sz w:val="20"/>
          <w:szCs w:val="20"/>
        </w:rPr>
        <w:t>]</w:t>
      </w:r>
      <w:r w:rsidR="00A84DF8" w:rsidRPr="009379DF">
        <w:rPr>
          <w:rFonts w:ascii="Arial" w:hAnsi="Arial" w:cs="Arial"/>
          <w:sz w:val="20"/>
          <w:szCs w:val="20"/>
        </w:rPr>
        <w:t xml:space="preserve"> Despite the burden being on the prosecution to rebut the presumption of doli incapax beyond reasonable doubt, the defence called evidence from three expert witnesses, Dr </w:t>
      </w:r>
      <w:r w:rsidRPr="009379DF">
        <w:rPr>
          <w:rFonts w:ascii="Arial" w:hAnsi="Arial" w:cs="Arial"/>
          <w:sz w:val="20"/>
          <w:szCs w:val="20"/>
        </w:rPr>
        <w:t>[</w:t>
      </w:r>
      <w:r w:rsidR="00A84DF8" w:rsidRPr="009379DF">
        <w:rPr>
          <w:rFonts w:ascii="Arial" w:hAnsi="Arial" w:cs="Arial"/>
          <w:sz w:val="20"/>
          <w:szCs w:val="20"/>
        </w:rPr>
        <w:t>S</w:t>
      </w:r>
      <w:r w:rsidRPr="009379DF">
        <w:rPr>
          <w:rFonts w:ascii="Arial" w:hAnsi="Arial" w:cs="Arial"/>
          <w:sz w:val="20"/>
          <w:szCs w:val="20"/>
        </w:rPr>
        <w:t>]</w:t>
      </w:r>
      <w:r w:rsidR="00A84DF8" w:rsidRPr="009379DF">
        <w:rPr>
          <w:rFonts w:ascii="Arial" w:hAnsi="Arial" w:cs="Arial"/>
          <w:sz w:val="20"/>
          <w:szCs w:val="20"/>
        </w:rPr>
        <w:t xml:space="preserve">, Ms </w:t>
      </w:r>
      <w:r w:rsidRPr="009379DF">
        <w:rPr>
          <w:rFonts w:ascii="Arial" w:hAnsi="Arial" w:cs="Arial"/>
          <w:sz w:val="20"/>
          <w:szCs w:val="20"/>
        </w:rPr>
        <w:t>[</w:t>
      </w:r>
      <w:r w:rsidR="00A84DF8" w:rsidRPr="009379DF">
        <w:rPr>
          <w:rFonts w:ascii="Arial" w:hAnsi="Arial" w:cs="Arial"/>
          <w:sz w:val="20"/>
          <w:szCs w:val="20"/>
        </w:rPr>
        <w:t>C</w:t>
      </w:r>
      <w:r w:rsidRPr="009379DF">
        <w:rPr>
          <w:rFonts w:ascii="Arial" w:hAnsi="Arial" w:cs="Arial"/>
          <w:sz w:val="20"/>
          <w:szCs w:val="20"/>
        </w:rPr>
        <w:t>]</w:t>
      </w:r>
      <w:r w:rsidR="00A84DF8" w:rsidRPr="009379DF">
        <w:rPr>
          <w:rFonts w:ascii="Arial" w:hAnsi="Arial" w:cs="Arial"/>
          <w:sz w:val="20"/>
          <w:szCs w:val="20"/>
        </w:rPr>
        <w:t xml:space="preserve"> and Ms </w:t>
      </w:r>
      <w:r w:rsidRPr="009379DF">
        <w:rPr>
          <w:rFonts w:ascii="Arial" w:hAnsi="Arial" w:cs="Arial"/>
          <w:sz w:val="20"/>
          <w:szCs w:val="20"/>
        </w:rPr>
        <w:t>[</w:t>
      </w:r>
      <w:r w:rsidR="00A84DF8" w:rsidRPr="009379DF">
        <w:rPr>
          <w:rFonts w:ascii="Arial" w:hAnsi="Arial" w:cs="Arial"/>
          <w:sz w:val="20"/>
          <w:szCs w:val="20"/>
        </w:rPr>
        <w:t>S</w:t>
      </w:r>
      <w:r w:rsidRPr="009379DF">
        <w:rPr>
          <w:rFonts w:ascii="Arial" w:hAnsi="Arial" w:cs="Arial"/>
          <w:sz w:val="20"/>
          <w:szCs w:val="20"/>
        </w:rPr>
        <w:t>]</w:t>
      </w:r>
      <w:r w:rsidR="00A84DF8" w:rsidRPr="009379DF">
        <w:rPr>
          <w:rFonts w:ascii="Arial" w:hAnsi="Arial" w:cs="Arial"/>
          <w:sz w:val="20"/>
          <w:szCs w:val="20"/>
        </w:rPr>
        <w:t>, as well as from PM’s solicitor</w:t>
      </w:r>
      <w:r w:rsidR="007567D6" w:rsidRPr="009379DF">
        <w:rPr>
          <w:rFonts w:ascii="Arial" w:hAnsi="Arial" w:cs="Arial"/>
          <w:sz w:val="20"/>
          <w:szCs w:val="20"/>
        </w:rPr>
        <w:t>, Ms [X].</w:t>
      </w:r>
    </w:p>
    <w:p w14:paraId="12C46A16" w14:textId="4FE11C61" w:rsidR="00FB155E" w:rsidRPr="009379DF" w:rsidRDefault="006B4DE0" w:rsidP="009379DF">
      <w:pPr>
        <w:spacing w:before="60"/>
        <w:ind w:left="567" w:right="567"/>
        <w:jc w:val="both"/>
        <w:rPr>
          <w:rFonts w:ascii="Arial" w:hAnsi="Arial" w:cs="Arial"/>
          <w:sz w:val="20"/>
          <w:szCs w:val="20"/>
        </w:rPr>
      </w:pPr>
      <w:r w:rsidRPr="009379DF">
        <w:rPr>
          <w:rFonts w:ascii="Arial" w:hAnsi="Arial" w:cs="Arial"/>
          <w:sz w:val="20"/>
          <w:szCs w:val="20"/>
        </w:rPr>
        <w:t>[</w:t>
      </w:r>
      <w:r w:rsidR="00A84DF8" w:rsidRPr="009379DF">
        <w:rPr>
          <w:rFonts w:ascii="Arial" w:hAnsi="Arial" w:cs="Arial"/>
          <w:sz w:val="20"/>
          <w:szCs w:val="20"/>
        </w:rPr>
        <w:t>549</w:t>
      </w:r>
      <w:r w:rsidRPr="009379DF">
        <w:rPr>
          <w:rFonts w:ascii="Arial" w:hAnsi="Arial" w:cs="Arial"/>
          <w:sz w:val="20"/>
          <w:szCs w:val="20"/>
        </w:rPr>
        <w:t>]</w:t>
      </w:r>
      <w:r w:rsidR="00A84DF8" w:rsidRPr="009379DF">
        <w:rPr>
          <w:rFonts w:ascii="Arial" w:hAnsi="Arial" w:cs="Arial"/>
          <w:sz w:val="20"/>
          <w:szCs w:val="20"/>
        </w:rPr>
        <w:t xml:space="preserve"> </w:t>
      </w:r>
      <w:r w:rsidR="00A84DF8" w:rsidRPr="009379DF">
        <w:rPr>
          <w:rFonts w:ascii="Arial" w:hAnsi="Arial" w:cs="Arial"/>
          <w:b/>
          <w:bCs/>
          <w:sz w:val="20"/>
          <w:szCs w:val="20"/>
        </w:rPr>
        <w:t xml:space="preserve">Dr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 Ms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 and Ms </w:t>
      </w:r>
      <w:r w:rsidRPr="009379DF">
        <w:rPr>
          <w:rFonts w:ascii="Arial" w:hAnsi="Arial" w:cs="Arial"/>
          <w:b/>
          <w:bCs/>
          <w:sz w:val="20"/>
          <w:szCs w:val="20"/>
        </w:rPr>
        <w:t>[</w:t>
      </w:r>
      <w:r w:rsidR="00A84DF8" w:rsidRPr="009379DF">
        <w:rPr>
          <w:rFonts w:ascii="Arial" w:hAnsi="Arial" w:cs="Arial"/>
          <w:b/>
          <w:bCs/>
          <w:sz w:val="20"/>
          <w:szCs w:val="20"/>
        </w:rPr>
        <w:t>C</w:t>
      </w:r>
      <w:r w:rsidRPr="009379DF">
        <w:rPr>
          <w:rFonts w:ascii="Arial" w:hAnsi="Arial" w:cs="Arial"/>
          <w:b/>
          <w:bCs/>
          <w:sz w:val="20"/>
          <w:szCs w:val="20"/>
        </w:rPr>
        <w:t>]</w:t>
      </w:r>
      <w:r w:rsidR="00A84DF8" w:rsidRPr="009379DF">
        <w:rPr>
          <w:rFonts w:ascii="Arial" w:hAnsi="Arial" w:cs="Arial"/>
          <w:b/>
          <w:bCs/>
          <w:sz w:val="20"/>
          <w:szCs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xml:space="preserve">’s evidence, supported by Ms </w:t>
      </w:r>
      <w:r w:rsidRPr="009379DF">
        <w:rPr>
          <w:rFonts w:ascii="Arial" w:hAnsi="Arial" w:cs="Arial"/>
          <w:b/>
          <w:bCs/>
          <w:sz w:val="20"/>
          <w:szCs w:val="20"/>
        </w:rPr>
        <w:t>[</w:t>
      </w:r>
      <w:r w:rsidR="00A84DF8" w:rsidRPr="009379DF">
        <w:rPr>
          <w:rFonts w:ascii="Arial" w:hAnsi="Arial" w:cs="Arial"/>
          <w:b/>
          <w:bCs/>
          <w:sz w:val="20"/>
          <w:szCs w:val="20"/>
        </w:rPr>
        <w:t>S</w:t>
      </w:r>
      <w:r w:rsidRPr="009379DF">
        <w:rPr>
          <w:rFonts w:ascii="Arial" w:hAnsi="Arial" w:cs="Arial"/>
          <w:b/>
          <w:bCs/>
          <w:sz w:val="20"/>
          <w:szCs w:val="20"/>
        </w:rPr>
        <w:t>]</w:t>
      </w:r>
      <w:r w:rsidR="00A84DF8" w:rsidRPr="009379DF">
        <w:rPr>
          <w:rFonts w:ascii="Arial" w:hAnsi="Arial" w:cs="Arial"/>
          <w:b/>
          <w:bCs/>
          <w:sz w:val="20"/>
          <w:szCs w:val="20"/>
        </w:rPr>
        <w:t>, is that these psychiatric conditions impact directly on PM’s capacity to develop moral sophistication and a capacity for mature reasoning.</w:t>
      </w:r>
      <w:r w:rsidRPr="009379DF">
        <w:rPr>
          <w:rFonts w:ascii="Arial" w:hAnsi="Arial" w:cs="Arial"/>
          <w:b/>
          <w:bCs/>
          <w:sz w:val="20"/>
          <w:szCs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Pr="009379DF" w:rsidRDefault="00C57AF5" w:rsidP="009379DF">
      <w:pPr>
        <w:jc w:val="both"/>
        <w:rPr>
          <w:rFonts w:ascii="Arial" w:hAnsi="Arial" w:cs="Arial"/>
          <w:sz w:val="20"/>
          <w:szCs w:val="20"/>
        </w:rPr>
      </w:pPr>
      <w:r w:rsidRPr="009379DF">
        <w:rPr>
          <w:rFonts w:ascii="Arial" w:hAnsi="Arial" w:cs="Arial"/>
          <w:sz w:val="20"/>
          <w:szCs w:val="20"/>
        </w:rPr>
        <w:t>At [572]-[580] h</w:t>
      </w:r>
      <w:r w:rsidR="004112B7" w:rsidRPr="009379DF">
        <w:rPr>
          <w:rFonts w:ascii="Arial" w:hAnsi="Arial" w:cs="Arial"/>
          <w:sz w:val="20"/>
          <w:szCs w:val="20"/>
        </w:rPr>
        <w:t>er Honour’s judgment concluded</w:t>
      </w:r>
      <w:r w:rsidRPr="009379DF">
        <w:rPr>
          <w:rFonts w:ascii="Arial" w:hAnsi="Arial" w:cs="Arial"/>
          <w:sz w:val="20"/>
          <w:szCs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21" w:name="Heading1756"/>
      <w:bookmarkEnd w:id="221"/>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lastRenderedPageBreak/>
        <w:t xml:space="preserve">[578] </w:t>
      </w:r>
      <w:r w:rsidRPr="004B5457">
        <w:rPr>
          <w:rFonts w:ascii="Arial" w:hAnsi="Arial" w:cs="Arial"/>
          <w:color w:val="000000"/>
          <w:sz w:val="20"/>
          <w:szCs w:val="20"/>
        </w:rPr>
        <w:t>Accordingly, it is unnecessary for me to conclude whether the evidence establishes beyond reasonable doubt that PM entered into an agreement, arrangement or 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22" w:name="_Toc146090596"/>
      <w:bookmarkStart w:id="223" w:name="Heading1765"/>
      <w:bookmarkEnd w:id="222"/>
      <w:bookmarkEnd w:id="223"/>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24" w:name="_10.5_Effect_of"/>
      <w:bookmarkEnd w:id="224"/>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25" w:name="_10.5.1_Mandatory_adjournment"/>
      <w:bookmarkEnd w:id="225"/>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s.249(2)(</w:t>
      </w:r>
      <w:proofErr w:type="spellStart"/>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lastRenderedPageBreak/>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6" w:name="_10.5.2_Hearing_of"/>
      <w:bookmarkEnd w:id="226"/>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7" w:name="_10.5.3_Privilege_against"/>
      <w:bookmarkEnd w:id="227"/>
      <w:r w:rsidRPr="00AB0A8E">
        <w:rPr>
          <w:rFonts w:ascii="Arial" w:hAnsi="Arial" w:cs="Arial"/>
          <w:b/>
          <w:sz w:val="20"/>
        </w:rPr>
        <w:lastRenderedPageBreak/>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8" w:name="_10.6_Unfitness_to"/>
      <w:bookmarkEnd w:id="228"/>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9" w:name="_A_BACKGROUND_"/>
      <w:bookmarkEnd w:id="229"/>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Ors </w:t>
      </w:r>
      <w:r w:rsidR="00CF53CA" w:rsidRPr="00CF53CA">
        <w:rPr>
          <w:rFonts w:ascii="Arial" w:hAnsi="Arial" w:cs="Arial"/>
          <w:color w:val="000000"/>
          <w:sz w:val="20"/>
          <w:szCs w:val="20"/>
        </w:rPr>
        <w:t>[2010] VSC 517 at [77] Lasry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Lasry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Ors </w:t>
      </w:r>
      <w:r w:rsidR="009166EB" w:rsidRPr="000A3EA1">
        <w:rPr>
          <w:rFonts w:ascii="Arial" w:hAnsi="Arial" w:cs="Arial"/>
          <w:color w:val="000000"/>
          <w:sz w:val="20"/>
        </w:rPr>
        <w:t>[2011] VSCA 227, the Court of Appeal refused leave to appeal from the decision of Lasry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By contrast, at [25] Lasry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30" w:name="_B_AMENDMENTS_TO"/>
      <w:bookmarkEnd w:id="230"/>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These provisions – largely intended to fill jurisdictional gaps partly identified by Lasry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31" w:name="_C_APPLICATION_OF"/>
      <w:bookmarkEnd w:id="231"/>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32" w:name="_D_CONSTITUTION_OF"/>
      <w:bookmarkEnd w:id="232"/>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33" w:name="_E_WHEN_IS"/>
      <w:bookmarkEnd w:id="233"/>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34"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34"/>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35" w:name="_F_PRESUMPTIONS,_STANDARD"/>
      <w:bookmarkEnd w:id="235"/>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6" w:name="_G_QUESTION_OF"/>
      <w:bookmarkEnd w:id="236"/>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7" w:name="_H_INVESTIGATION_OF"/>
      <w:bookmarkEnd w:id="237"/>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8" w:name="_I_ORDERS_PENDING"/>
      <w:bookmarkEnd w:id="238"/>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9" w:name="_J_PROCEDURE_ON"/>
      <w:bookmarkEnd w:id="239"/>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81 per Lasry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729162D4"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r w:rsidR="006341FC">
        <w:rPr>
          <w:rFonts w:ascii="Arial" w:hAnsi="Arial" w:cs="Arial"/>
          <w:color w:val="000000"/>
          <w:sz w:val="20"/>
        </w:rPr>
        <w:t>;</w:t>
      </w:r>
      <w:r w:rsidR="006261E0">
        <w:rPr>
          <w:rFonts w:ascii="Arial" w:hAnsi="Arial" w:cs="Arial"/>
          <w:color w:val="000000"/>
          <w:sz w:val="20"/>
        </w:rPr>
        <w:t xml:space="preserve"> in a subsequent special hearing in </w:t>
      </w:r>
      <w:r w:rsidR="006261E0" w:rsidRPr="006261E0">
        <w:rPr>
          <w:rFonts w:ascii="Arial" w:hAnsi="Arial" w:cs="Arial"/>
          <w:i/>
          <w:iCs/>
          <w:color w:val="000000"/>
          <w:sz w:val="20"/>
        </w:rPr>
        <w:t xml:space="preserve">DPP v </w:t>
      </w:r>
      <w:proofErr w:type="spellStart"/>
      <w:r w:rsidR="006261E0" w:rsidRPr="006261E0">
        <w:rPr>
          <w:rFonts w:ascii="Arial" w:hAnsi="Arial" w:cs="Arial"/>
          <w:i/>
          <w:iCs/>
          <w:color w:val="000000"/>
          <w:sz w:val="20"/>
        </w:rPr>
        <w:t>Yuot</w:t>
      </w:r>
      <w:proofErr w:type="spellEnd"/>
      <w:r w:rsidR="006261E0">
        <w:rPr>
          <w:rFonts w:ascii="Arial" w:hAnsi="Arial" w:cs="Arial"/>
          <w:color w:val="000000"/>
          <w:sz w:val="20"/>
        </w:rPr>
        <w:t xml:space="preserve"> [2025] VSC 97, Tinney J made a custodial supervision order under s.26 of the </w:t>
      </w:r>
      <w:r w:rsidR="006261E0" w:rsidRPr="006261E0">
        <w:rPr>
          <w:rFonts w:ascii="Arial" w:hAnsi="Arial" w:cs="Arial"/>
          <w:i/>
          <w:iCs/>
          <w:color w:val="000000"/>
          <w:sz w:val="20"/>
        </w:rPr>
        <w:t>Crimes (Mental Impairment and Unfitness to be Tried) Act 1997</w:t>
      </w:r>
      <w:r w:rsidR="006261E0">
        <w:rPr>
          <w:rFonts w:ascii="Arial" w:hAnsi="Arial" w:cs="Arial"/>
          <w:color w:val="000000"/>
          <w:sz w:val="20"/>
        </w:rPr>
        <w:t xml:space="preserve"> for a nominal term of 25 years.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40" w:name="_K_WHAT_HAPPENS"/>
      <w:bookmarkEnd w:id="240"/>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 xml:space="preserve">WHAT HAPPENS AFTER AN INVESTIGATION INTO </w:t>
      </w:r>
      <w:proofErr w:type="gramStart"/>
      <w:r w:rsidRPr="00226FE3">
        <w:rPr>
          <w:rFonts w:ascii="Arial" w:hAnsi="Arial" w:cs="Arial"/>
          <w:b/>
          <w:color w:val="FFFFFF"/>
          <w:sz w:val="22"/>
          <w:bdr w:val="single" w:sz="4" w:space="0" w:color="auto"/>
          <w:shd w:val="clear" w:color="auto" w:fill="000000"/>
        </w:rPr>
        <w:t>FITNESS?|</w:t>
      </w:r>
      <w:proofErr w:type="gramEnd"/>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41" w:name="_L_SPECIAL_HEARING"/>
      <w:bookmarkEnd w:id="241"/>
      <w:r>
        <w:rPr>
          <w:rFonts w:ascii="Arial" w:hAnsi="Arial" w:cs="Arial"/>
          <w:b/>
          <w:color w:val="FFFFFF"/>
          <w:sz w:val="22"/>
          <w:shd w:val="clear" w:color="auto" w:fill="000000"/>
        </w:rPr>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 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69316939" w14:textId="77777777" w:rsidR="00CF53CA" w:rsidRPr="008E111B" w:rsidRDefault="00CF53CA">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court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42" w:name="_M_DEFENCE_OF"/>
      <w:bookmarkEnd w:id="242"/>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lastRenderedPageBreak/>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00A543D0" w14:textId="77777777" w:rsidR="00AB1B85" w:rsidRPr="00723047" w:rsidRDefault="00AB1B85"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Pr="00723047" w:rsidRDefault="0060349E" w:rsidP="00AB1B85">
      <w:pPr>
        <w:ind w:left="284"/>
        <w:jc w:val="both"/>
        <w:rPr>
          <w:rFonts w:ascii="Arial" w:hAnsi="Arial" w:cs="Arial"/>
          <w:color w:val="000000"/>
          <w:sz w:val="18"/>
          <w:szCs w:val="22"/>
        </w:rPr>
      </w:pPr>
    </w:p>
    <w:p w14:paraId="086B59C9" w14:textId="2E8A82D4"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w:t>
      </w:r>
      <w:r w:rsidR="00AD2015">
        <w:rPr>
          <w:rFonts w:ascii="Arial" w:hAnsi="Arial" w:cs="Arial"/>
          <w:color w:val="000000"/>
          <w:sz w:val="20"/>
        </w:rPr>
        <w:lastRenderedPageBreak/>
        <w:t>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DD2412">
        <w:rPr>
          <w:rFonts w:ascii="Arial" w:hAnsi="Arial" w:cs="Arial"/>
          <w:color w:val="000000"/>
          <w:sz w:val="20"/>
        </w:rPr>
        <w:t xml:space="preserve">; </w:t>
      </w:r>
      <w:r w:rsidR="00DD2412" w:rsidRPr="00DD2412">
        <w:rPr>
          <w:rFonts w:ascii="Arial" w:hAnsi="Arial" w:cs="Arial"/>
          <w:i/>
          <w:iCs/>
          <w:color w:val="000000"/>
          <w:sz w:val="20"/>
        </w:rPr>
        <w:t>Director of Public Prosecutions v HR</w:t>
      </w:r>
      <w:r w:rsidR="00DD2412" w:rsidRPr="00DD2412">
        <w:rPr>
          <w:rFonts w:ascii="Arial" w:hAnsi="Arial" w:cs="Arial"/>
          <w:color w:val="000000"/>
          <w:sz w:val="20"/>
        </w:rPr>
        <w:t xml:space="preserve"> [2025] VSC 129 </w:t>
      </w:r>
      <w:r w:rsidR="00DD2412">
        <w:rPr>
          <w:rFonts w:ascii="Arial" w:hAnsi="Arial" w:cs="Arial"/>
          <w:color w:val="000000"/>
          <w:sz w:val="20"/>
        </w:rPr>
        <w:t>(consent mental impairment: attempted murder of 6 year old daughter)</w:t>
      </w:r>
      <w:r w:rsidR="000D18FA">
        <w:rPr>
          <w:rFonts w:ascii="Arial" w:hAnsi="Arial" w:cs="Arial"/>
          <w:color w:val="000000"/>
          <w:sz w:val="20"/>
        </w:rPr>
        <w:t xml:space="preserve">; </w:t>
      </w:r>
      <w:r w:rsidR="000D18FA" w:rsidRPr="00712363">
        <w:rPr>
          <w:rFonts w:ascii="Arial" w:hAnsi="Arial" w:cs="Arial"/>
          <w:i/>
          <w:iCs/>
          <w:color w:val="000000"/>
          <w:sz w:val="20"/>
        </w:rPr>
        <w:t>DPP v FP</w:t>
      </w:r>
      <w:r w:rsidR="000D18FA">
        <w:rPr>
          <w:rFonts w:ascii="Arial" w:hAnsi="Arial" w:cs="Arial"/>
          <w:color w:val="000000"/>
          <w:sz w:val="20"/>
        </w:rPr>
        <w:t xml:space="preserve"> [2025] VSC 378 (consent mental impairment</w:t>
      </w:r>
      <w:r w:rsidR="00712363">
        <w:rPr>
          <w:rFonts w:ascii="Arial" w:hAnsi="Arial" w:cs="Arial"/>
          <w:color w:val="000000"/>
          <w:sz w:val="20"/>
        </w:rPr>
        <w:t>: murder, attempted murder &amp; conduct endangering life)</w:t>
      </w:r>
      <w:r w:rsidR="00446068">
        <w:rPr>
          <w:rFonts w:ascii="Arial" w:hAnsi="Arial" w:cs="Arial"/>
          <w:color w:val="000000"/>
          <w:sz w:val="20"/>
        </w:rPr>
        <w:t xml:space="preserve">; </w:t>
      </w:r>
      <w:r w:rsidR="00446068" w:rsidRPr="00446068">
        <w:rPr>
          <w:rFonts w:ascii="Arial" w:hAnsi="Arial" w:cs="Arial"/>
          <w:i/>
          <w:iCs/>
          <w:color w:val="000000"/>
          <w:sz w:val="20"/>
        </w:rPr>
        <w:t>DPP v Siner</w:t>
      </w:r>
      <w:r w:rsidR="00446068">
        <w:rPr>
          <w:rFonts w:ascii="Arial" w:hAnsi="Arial" w:cs="Arial"/>
          <w:color w:val="000000"/>
          <w:sz w:val="20"/>
        </w:rPr>
        <w:t xml:space="preserve"> [2025] VSC 446 (consent mental impairment, murder)</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w:t>
      </w:r>
      <w:proofErr w:type="gramStart"/>
      <w:r w:rsidRPr="00422474">
        <w:rPr>
          <w:rFonts w:ascii="Arial" w:hAnsi="Arial" w:cs="Arial"/>
          <w:b/>
          <w:color w:val="FFFFFF"/>
          <w:sz w:val="18"/>
          <w:bdr w:val="single" w:sz="4" w:space="0" w:color="auto"/>
          <w:shd w:val="clear" w:color="auto" w:fill="000000"/>
        </w:rPr>
        <w:t>ZC(</w:t>
      </w:r>
      <w:proofErr w:type="gramEnd"/>
      <w:r w:rsidRPr="00422474">
        <w:rPr>
          <w:rFonts w:ascii="Arial" w:hAnsi="Arial" w:cs="Arial"/>
          <w:b/>
          <w:color w:val="FFFFFF"/>
          <w:sz w:val="18"/>
          <w:bdr w:val="single" w:sz="4" w:space="0" w:color="auto"/>
          <w:shd w:val="clear" w:color="auto" w:fill="000000"/>
        </w:rPr>
        <w:t>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lastRenderedPageBreak/>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The prosecution case was one of premeditated murder. The defence case was that the appellant entered the pine plantation intending to commit suicide in his father's presence and that at the last moment, in a 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w:t>
      </w:r>
      <w:proofErr w:type="spellStart"/>
      <w:r w:rsidRPr="00660A2C">
        <w:rPr>
          <w:rFonts w:ascii="Arial" w:hAnsi="Arial" w:cs="Arial"/>
          <w:i/>
          <w:sz w:val="20"/>
          <w:szCs w:val="22"/>
        </w:rPr>
        <w:t>Minani</w:t>
      </w:r>
      <w:proofErr w:type="spellEnd"/>
      <w:r w:rsidRPr="00660A2C">
        <w:rPr>
          <w:rFonts w:ascii="Arial" w:hAnsi="Arial" w:cs="Arial"/>
          <w:i/>
          <w:sz w:val="20"/>
          <w:szCs w:val="22"/>
        </w:rPr>
        <w:t xml:space="preserve">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Lasry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lastRenderedPageBreak/>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D(2).  The issue she had then to 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[Same wording as CMIA-s.38Y(6)] The court must not order a child to be released unconditionally unless satisfied that, if necessary, the child is receiving appropriate treatment or support for his/her mental health or disability.</w:t>
      </w:r>
    </w:p>
    <w:p w14:paraId="246E6147" w14:textId="77777777"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43" w:name="_N_DISPOSITION_OF"/>
      <w:bookmarkEnd w:id="243"/>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3E2184">
      <w:pPr>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lastRenderedPageBreak/>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44" w:name="_O_REPORTS_AS"/>
      <w:bookmarkEnd w:id="244"/>
      <w:r>
        <w:rPr>
          <w:rFonts w:ascii="Arial" w:hAnsi="Arial" w:cs="Arial"/>
          <w:b/>
          <w:color w:val="FFFFFF"/>
          <w:sz w:val="22"/>
          <w:shd w:val="clear" w:color="auto" w:fill="000000"/>
        </w:rPr>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45" w:name="_P_CERTIFICATE_OF"/>
      <w:bookmarkEnd w:id="245"/>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lastRenderedPageBreak/>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6" w:name="_Q_VARIATION,_REVOCATION,"/>
      <w:bookmarkEnd w:id="246"/>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w:t>
      </w:r>
      <w:r>
        <w:rPr>
          <w:rFonts w:ascii="Arial" w:hAnsi="Arial" w:cs="Arial"/>
          <w:sz w:val="20"/>
        </w:rPr>
        <w:lastRenderedPageBreak/>
        <w:t>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give proper effect to the principles in ss.39 &amp;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7"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7"/>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60 year old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Lasry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CCC788" w14:textId="084AF645" w:rsidR="00302A58"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8"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bookmarkEnd w:id="248"/>
    </w:p>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lastRenderedPageBreak/>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3D25A7D6"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In the matter of an application for a non-custodial supervision order by Roger Kozarov</w:t>
      </w:r>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1E14FF">
        <w:rPr>
          <w:rFonts w:ascii="Arial" w:hAnsi="Arial" w:cs="Arial"/>
          <w:color w:val="000000"/>
          <w:sz w:val="20"/>
          <w:szCs w:val="20"/>
        </w:rPr>
        <w:t xml:space="preserve">; </w:t>
      </w:r>
      <w:r w:rsidR="001E14FF" w:rsidRPr="001E14FF">
        <w:rPr>
          <w:rFonts w:ascii="Arial" w:hAnsi="Arial" w:cs="Arial"/>
          <w:i/>
          <w:iCs/>
          <w:color w:val="000000"/>
          <w:sz w:val="20"/>
          <w:szCs w:val="20"/>
        </w:rPr>
        <w:t>Re EV [No 2]</w:t>
      </w:r>
      <w:r w:rsidR="001E14FF">
        <w:rPr>
          <w:rFonts w:ascii="Arial" w:hAnsi="Arial" w:cs="Arial"/>
          <w:color w:val="000000"/>
          <w:sz w:val="20"/>
          <w:szCs w:val="20"/>
        </w:rPr>
        <w:t xml:space="preserve"> [2025] VSC </w:t>
      </w:r>
      <w:r w:rsidR="00E12C53">
        <w:rPr>
          <w:rFonts w:ascii="Arial" w:hAnsi="Arial" w:cs="Arial"/>
          <w:color w:val="000000"/>
          <w:sz w:val="20"/>
          <w:szCs w:val="20"/>
        </w:rPr>
        <w:t>112</w:t>
      </w:r>
      <w:r w:rsidR="00F9126E">
        <w:rPr>
          <w:rFonts w:ascii="Arial" w:hAnsi="Arial" w:cs="Arial"/>
          <w:color w:val="000000"/>
          <w:sz w:val="20"/>
          <w:szCs w:val="20"/>
        </w:rPr>
        <w:t xml:space="preserve">; </w:t>
      </w:r>
      <w:r w:rsidR="00F9126E" w:rsidRPr="00F9126E">
        <w:rPr>
          <w:rFonts w:ascii="Arial" w:hAnsi="Arial" w:cs="Arial"/>
          <w:i/>
          <w:iCs/>
          <w:color w:val="000000"/>
          <w:sz w:val="20"/>
          <w:szCs w:val="20"/>
        </w:rPr>
        <w:t>Re Kozarov</w:t>
      </w:r>
      <w:r w:rsidR="00F9126E">
        <w:rPr>
          <w:rFonts w:ascii="Arial" w:hAnsi="Arial" w:cs="Arial"/>
          <w:color w:val="000000"/>
          <w:sz w:val="20"/>
          <w:szCs w:val="20"/>
        </w:rPr>
        <w:t xml:space="preserve"> [2025] VSC 439</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49" w:name="_R_NON-COMPLIANCE_WITH"/>
      <w:bookmarkEnd w:id="249"/>
      <w:r>
        <w:rPr>
          <w:rFonts w:ascii="Arial" w:hAnsi="Arial" w:cs="Arial"/>
          <w:b/>
          <w:color w:val="FFFFFF"/>
          <w:sz w:val="22"/>
          <w:shd w:val="clear" w:color="auto" w:fill="000000"/>
        </w:rPr>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place">
        <w:smartTag w:uri="urn:schemas-microsoft-com:office:smarttags" w:element="Stat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50" w:name="_S_AGE_JURISDICTION|CMIA-s.38ZG"/>
      <w:bookmarkEnd w:id="250"/>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 xml:space="preserve">Except when a review is transferred to the County Court under s.38ZQ, provisions relating to the making, variation, revocation, breach, review or extension of supervision orders are heard in the </w:t>
      </w:r>
      <w:r w:rsidRPr="008E111B">
        <w:rPr>
          <w:rFonts w:ascii="Arial" w:hAnsi="Arial" w:cs="Arial"/>
          <w:sz w:val="20"/>
        </w:rPr>
        <w:lastRenderedPageBreak/>
        <w:t>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51" w:name="_T_PRINCIPLES_ON"/>
      <w:bookmarkEnd w:id="251"/>
      <w:r>
        <w:rPr>
          <w:rFonts w:ascii="Arial" w:hAnsi="Arial" w:cs="Arial"/>
          <w:b/>
          <w:color w:val="FFFFFF"/>
          <w:sz w:val="22"/>
          <w:shd w:val="clear" w:color="auto" w:fill="000000"/>
        </w:rPr>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52" w:name="_U_MATTERS_TO"/>
      <w:bookmarkEnd w:id="252"/>
      <w:r>
        <w:rPr>
          <w:rFonts w:ascii="Arial" w:hAnsi="Arial" w:cs="Arial"/>
          <w:b/>
          <w:color w:val="FFFFFF"/>
          <w:sz w:val="22"/>
          <w:shd w:val="clear" w:color="auto" w:fill="000000"/>
        </w:rPr>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R v Hunt; Ex parte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20A07B75"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EB1903">
        <w:rPr>
          <w:rFonts w:ascii="Arial" w:hAnsi="Arial" w:cs="Arial"/>
          <w:sz w:val="20"/>
          <w:szCs w:val="20"/>
        </w:rPr>
        <w:t xml:space="preserve">; </w:t>
      </w:r>
      <w:r w:rsidR="00EB1903" w:rsidRPr="00EB1903">
        <w:rPr>
          <w:rFonts w:ascii="Arial" w:hAnsi="Arial" w:cs="Arial"/>
          <w:i/>
          <w:iCs/>
          <w:sz w:val="20"/>
          <w:szCs w:val="20"/>
        </w:rPr>
        <w:t>Re HM</w:t>
      </w:r>
      <w:r w:rsidR="00EB1903">
        <w:rPr>
          <w:rFonts w:ascii="Arial" w:hAnsi="Arial" w:cs="Arial"/>
          <w:sz w:val="20"/>
          <w:szCs w:val="20"/>
        </w:rPr>
        <w:t xml:space="preserve"> [2025] VSC 56 at [5]-[10]</w:t>
      </w:r>
      <w:r w:rsidR="00F90B1F">
        <w:rPr>
          <w:rFonts w:ascii="Arial" w:hAnsi="Arial" w:cs="Arial"/>
          <w:sz w:val="20"/>
          <w:szCs w:val="20"/>
        </w:rPr>
        <w:t xml:space="preserve">; </w:t>
      </w:r>
      <w:r w:rsidR="00F90B1F" w:rsidRPr="00F90B1F">
        <w:rPr>
          <w:rFonts w:ascii="Arial" w:hAnsi="Arial" w:cs="Arial"/>
          <w:i/>
          <w:iCs/>
          <w:sz w:val="20"/>
          <w:szCs w:val="20"/>
        </w:rPr>
        <w:t>Re OR (No 3)</w:t>
      </w:r>
      <w:r w:rsidR="00F90B1F">
        <w:rPr>
          <w:rFonts w:ascii="Arial" w:hAnsi="Arial" w:cs="Arial"/>
          <w:sz w:val="20"/>
          <w:szCs w:val="20"/>
        </w:rPr>
        <w:t xml:space="preserve"> [2025] VSC 78 at [26]-[31]</w:t>
      </w:r>
      <w:r w:rsidR="00EB1903">
        <w:rPr>
          <w:rFonts w:ascii="Arial" w:hAnsi="Arial" w:cs="Arial"/>
          <w:sz w:val="20"/>
          <w:szCs w:val="20"/>
        </w:rPr>
        <w:t>.</w:t>
      </w:r>
    </w:p>
    <w:p w14:paraId="3B769D05" w14:textId="57E9BC9B"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53" w:name="_V_APPEALS|CMIA-Part_5A"/>
      <w:bookmarkEnd w:id="253"/>
      <w:r>
        <w:rPr>
          <w:rFonts w:ascii="Arial" w:hAnsi="Arial" w:cs="Arial"/>
          <w:b/>
          <w:color w:val="FFFFFF"/>
          <w:sz w:val="22"/>
          <w:shd w:val="clear" w:color="auto" w:fill="000000"/>
        </w:rPr>
        <w:lastRenderedPageBreak/>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54" w:name="_V_SUPPRESSION_ORDER|CMIA-s.75"/>
      <w:bookmarkEnd w:id="254"/>
      <w:r>
        <w:rPr>
          <w:rFonts w:ascii="Arial" w:hAnsi="Arial" w:cs="Arial"/>
          <w:b/>
          <w:color w:val="FFFFFF"/>
          <w:sz w:val="22"/>
          <w:shd w:val="clear" w:color="auto" w:fill="000000"/>
        </w:rPr>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755916D4"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r w:rsidR="00712363">
        <w:rPr>
          <w:rFonts w:ascii="Arial" w:hAnsi="Arial" w:cs="Arial"/>
          <w:color w:val="000000"/>
          <w:sz w:val="20"/>
          <w:szCs w:val="20"/>
        </w:rPr>
        <w:t xml:space="preserve">; </w:t>
      </w:r>
      <w:r w:rsidR="00712363" w:rsidRPr="00712363">
        <w:rPr>
          <w:rFonts w:ascii="Arial" w:hAnsi="Arial" w:cs="Arial"/>
          <w:i/>
          <w:iCs/>
          <w:color w:val="000000"/>
          <w:sz w:val="20"/>
        </w:rPr>
        <w:t>DPP v FP</w:t>
      </w:r>
      <w:r w:rsidR="00712363">
        <w:rPr>
          <w:rFonts w:ascii="Arial" w:hAnsi="Arial" w:cs="Arial"/>
          <w:color w:val="000000"/>
          <w:sz w:val="20"/>
        </w:rPr>
        <w:t xml:space="preserve"> [2025] VSC 378 at [61]-[63]</w:t>
      </w:r>
      <w:r w:rsidR="00540FFB">
        <w:rPr>
          <w:rFonts w:ascii="Arial" w:hAnsi="Arial" w:cs="Arial"/>
          <w:color w:val="000000"/>
          <w:sz w:val="20"/>
          <w:szCs w:val="20"/>
        </w:rPr>
        <w:t>.</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55" w:name="_10.7_Court_diversion"/>
      <w:bookmarkEnd w:id="255"/>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6" w:name="_A_OFFENCES_FOR"/>
      <w:bookmarkEnd w:id="256"/>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2090D3E9"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r w:rsidR="008D7990">
        <w:rPr>
          <w:rFonts w:ascii="Arial" w:hAnsi="Arial" w:cs="Arial"/>
          <w:sz w:val="20"/>
        </w:rPr>
        <w:t>–</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7" w:name="_B_PURPOSES_OF"/>
      <w:bookmarkEnd w:id="257"/>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8" w:name="_C_PRE-CONDITIONS_FOR"/>
      <w:bookmarkEnd w:id="258"/>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59" w:name="_D_ADJOURNMENT_TO"/>
      <w:bookmarkEnd w:id="259"/>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60" w:name="_E_MATTERS_TO"/>
      <w:bookmarkEnd w:id="260"/>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61" w:name="_F_THE_CHILDREN’S"/>
      <w:bookmarkEnd w:id="261"/>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62" w:name="_G_EXTENSION_OF"/>
      <w:bookmarkEnd w:id="262"/>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63" w:name="_H_CONCLUSION_OF"/>
      <w:bookmarkEnd w:id="263"/>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44D2EDA9"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w:t>
      </w:r>
      <w:proofErr w:type="gramStart"/>
      <w:r>
        <w:rPr>
          <w:rFonts w:ascii="Arial" w:hAnsi="Arial" w:cs="Arial"/>
          <w:sz w:val="20"/>
        </w:rPr>
        <w:t>I(</w:t>
      </w:r>
      <w:proofErr w:type="gramEnd"/>
      <w:r>
        <w:rPr>
          <w:rFonts w:ascii="Arial" w:hAnsi="Arial" w:cs="Arial"/>
          <w:sz w:val="20"/>
        </w:rPr>
        <w:t xml:space="preserve">2) provides that if a child does not complete a diversion program to the satisfaction of the Court and the child is subsequently found guilty of the charge, the Court must take into account the extent to which the child complied with the diversion program when sentencing the </w:t>
      </w:r>
      <w:r w:rsidR="00C66365">
        <w:rPr>
          <w:rFonts w:ascii="Arial" w:hAnsi="Arial" w:cs="Arial"/>
          <w:sz w:val="20"/>
        </w:rPr>
        <w:t>c</w:t>
      </w:r>
      <w:r>
        <w:rPr>
          <w:rFonts w:ascii="Arial" w:hAnsi="Arial" w:cs="Arial"/>
          <w:sz w:val="20"/>
        </w:rPr>
        <w:t>hild.</w:t>
      </w:r>
    </w:p>
    <w:p w14:paraId="1B0B8607" w14:textId="77777777" w:rsidR="00CC4BE9" w:rsidRDefault="00CC4BE9" w:rsidP="00CC4BE9">
      <w:pPr>
        <w:jc w:val="both"/>
        <w:rPr>
          <w:rFonts w:ascii="Arial" w:hAnsi="Arial" w:cs="Arial"/>
          <w:sz w:val="20"/>
        </w:rPr>
      </w:pPr>
    </w:p>
    <w:p w14:paraId="24216FBE" w14:textId="77777777" w:rsidR="00CC4BE9" w:rsidRDefault="00CC4BE9" w:rsidP="00CC4BE9">
      <w:pPr>
        <w:pStyle w:val="Heading3"/>
        <w:keepNext/>
        <w:spacing w:after="80" w:line="240" w:lineRule="auto"/>
        <w:ind w:left="284" w:hanging="284"/>
        <w:rPr>
          <w:rFonts w:ascii="Arial" w:hAnsi="Arial" w:cs="Arial"/>
          <w:b/>
          <w:bCs/>
          <w:sz w:val="20"/>
        </w:rPr>
      </w:pPr>
      <w:bookmarkStart w:id="264" w:name="_K_STATISTICS"/>
      <w:bookmarkStart w:id="265" w:name="_I_DIVERSION_STATISTICS"/>
      <w:bookmarkEnd w:id="264"/>
      <w:bookmarkEnd w:id="265"/>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DIVERSION STATISTICS</w:t>
      </w:r>
    </w:p>
    <w:p w14:paraId="31C8A484" w14:textId="77777777" w:rsidR="00CC4BE9" w:rsidRDefault="00CC4BE9" w:rsidP="00CC4BE9">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CC4BE9" w:rsidRPr="002F0C63" w14:paraId="5EC27E5C" w14:textId="77777777" w:rsidTr="00E11735">
        <w:tc>
          <w:tcPr>
            <w:tcW w:w="9179" w:type="dxa"/>
            <w:gridSpan w:val="2"/>
            <w:shd w:val="clear" w:color="auto" w:fill="000000"/>
          </w:tcPr>
          <w:p w14:paraId="795C2348" w14:textId="77777777" w:rsidR="00CC4BE9" w:rsidRPr="00EC24DC" w:rsidRDefault="00CC4BE9" w:rsidP="00E11735">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ChCV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CC4BE9" w:rsidRPr="002F0C63" w14:paraId="7E37842C" w14:textId="77777777" w:rsidTr="00E11735">
        <w:tc>
          <w:tcPr>
            <w:tcW w:w="1242" w:type="dxa"/>
            <w:shd w:val="clear" w:color="auto" w:fill="000000"/>
          </w:tcPr>
          <w:p w14:paraId="66767D57"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t>2017</w:t>
            </w:r>
            <w:r>
              <w:rPr>
                <w:rFonts w:ascii="Arial" w:hAnsi="Arial" w:cs="Arial"/>
                <w:b/>
                <w:bCs/>
                <w:sz w:val="22"/>
                <w:szCs w:val="22"/>
              </w:rPr>
              <w:t>/18</w:t>
            </w:r>
          </w:p>
        </w:tc>
        <w:tc>
          <w:tcPr>
            <w:tcW w:w="7937" w:type="dxa"/>
            <w:shd w:val="clear" w:color="auto" w:fill="auto"/>
          </w:tcPr>
          <w:p w14:paraId="6AB35E5A" w14:textId="77777777" w:rsidR="00CC4BE9" w:rsidRPr="002F0C63" w:rsidRDefault="00CC4BE9" w:rsidP="00E11735">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(involving 1356 young people) were ordered.  Of these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CC4BE9" w:rsidRPr="002F0C63" w14:paraId="07E0A6F6" w14:textId="77777777" w:rsidTr="00E11735">
        <w:tc>
          <w:tcPr>
            <w:tcW w:w="1242" w:type="dxa"/>
            <w:shd w:val="clear" w:color="auto" w:fill="000000"/>
          </w:tcPr>
          <w:p w14:paraId="32D69840" w14:textId="77777777" w:rsidR="00CC4BE9" w:rsidRPr="002F0C63" w:rsidRDefault="00CC4BE9" w:rsidP="00E11735">
            <w:pPr>
              <w:spacing w:before="40"/>
              <w:jc w:val="center"/>
              <w:rPr>
                <w:rFonts w:ascii="Arial" w:hAnsi="Arial" w:cs="Arial"/>
                <w:b/>
                <w:bCs/>
                <w:sz w:val="22"/>
                <w:szCs w:val="22"/>
              </w:rPr>
            </w:pPr>
            <w:r w:rsidRPr="002F0C63">
              <w:rPr>
                <w:rFonts w:ascii="Arial" w:hAnsi="Arial" w:cs="Arial"/>
                <w:b/>
                <w:bCs/>
                <w:sz w:val="22"/>
                <w:szCs w:val="22"/>
              </w:rPr>
              <w:lastRenderedPageBreak/>
              <w:t>2018</w:t>
            </w:r>
            <w:r>
              <w:rPr>
                <w:rFonts w:ascii="Arial" w:hAnsi="Arial" w:cs="Arial"/>
                <w:b/>
                <w:bCs/>
                <w:sz w:val="22"/>
                <w:szCs w:val="22"/>
              </w:rPr>
              <w:t>/19</w:t>
            </w:r>
          </w:p>
        </w:tc>
        <w:tc>
          <w:tcPr>
            <w:tcW w:w="7937" w:type="dxa"/>
            <w:shd w:val="clear" w:color="auto" w:fill="DDDDDD"/>
          </w:tcPr>
          <w:p w14:paraId="6D9BAA4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CC4BE9" w:rsidRPr="002F0C63" w14:paraId="5A6BE529" w14:textId="77777777" w:rsidTr="00E11735">
        <w:tc>
          <w:tcPr>
            <w:tcW w:w="1242" w:type="dxa"/>
            <w:shd w:val="clear" w:color="auto" w:fill="000000"/>
          </w:tcPr>
          <w:p w14:paraId="5071E955" w14:textId="77777777" w:rsidR="00CC4BE9" w:rsidRPr="002F0C63" w:rsidRDefault="00CC4BE9" w:rsidP="00E11735">
            <w:pPr>
              <w:spacing w:before="40" w:after="40"/>
              <w:jc w:val="center"/>
              <w:rPr>
                <w:rFonts w:ascii="Arial" w:hAnsi="Arial" w:cs="Arial"/>
                <w:b/>
                <w:bCs/>
                <w:sz w:val="22"/>
                <w:szCs w:val="22"/>
              </w:rPr>
            </w:pPr>
            <w:r w:rsidRPr="002F0C63">
              <w:rPr>
                <w:rFonts w:ascii="Arial" w:hAnsi="Arial" w:cs="Arial"/>
                <w:b/>
                <w:bCs/>
                <w:sz w:val="22"/>
                <w:szCs w:val="22"/>
              </w:rPr>
              <w:t>2019</w:t>
            </w:r>
            <w:r>
              <w:rPr>
                <w:rFonts w:ascii="Arial" w:hAnsi="Arial" w:cs="Arial"/>
                <w:b/>
                <w:bCs/>
                <w:sz w:val="22"/>
                <w:szCs w:val="22"/>
              </w:rPr>
              <w:t>/20</w:t>
            </w:r>
          </w:p>
        </w:tc>
        <w:tc>
          <w:tcPr>
            <w:tcW w:w="7937" w:type="dxa"/>
            <w:shd w:val="clear" w:color="auto" w:fill="auto"/>
          </w:tcPr>
          <w:p w14:paraId="3D114409" w14:textId="77777777" w:rsidR="00CC4BE9" w:rsidRPr="002F0C63" w:rsidRDefault="00CC4BE9" w:rsidP="00E11735">
            <w:pPr>
              <w:spacing w:before="40" w:after="40"/>
              <w:jc w:val="both"/>
              <w:rPr>
                <w:rFonts w:ascii="Arial" w:hAnsi="Arial" w:cs="Arial"/>
                <w:sz w:val="20"/>
                <w:szCs w:val="20"/>
              </w:rPr>
            </w:pPr>
            <w:r w:rsidRPr="00C57C9F">
              <w:rPr>
                <w:rFonts w:ascii="Arial" w:hAnsi="Arial" w:cs="Arial"/>
                <w:b/>
                <w:bCs/>
                <w:sz w:val="20"/>
                <w:szCs w:val="20"/>
              </w:rPr>
              <w:t>1170</w:t>
            </w:r>
            <w:r>
              <w:rPr>
                <w:rFonts w:ascii="Arial" w:hAnsi="Arial" w:cs="Arial"/>
                <w:sz w:val="20"/>
                <w:szCs w:val="20"/>
              </w:rPr>
              <w:t xml:space="preserve"> diversions were ordered, of which 95% were successfully completed.  By comparison sentencing orders were made in 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Pr>
                <w:rFonts w:ascii="Arial" w:hAnsi="Arial" w:cs="Arial"/>
                <w:sz w:val="20"/>
                <w:szCs w:val="20"/>
              </w:rPr>
              <w:t>11</w:t>
            </w:r>
            <w:r w:rsidRPr="002F0C63">
              <w:rPr>
                <w:rFonts w:ascii="Arial" w:hAnsi="Arial" w:cs="Arial"/>
                <w:sz w:val="20"/>
                <w:szCs w:val="20"/>
              </w:rPr>
              <w:t>% identified as Aboriginal or Torres Strait Islander or both.</w:t>
            </w:r>
            <w:r>
              <w:rPr>
                <w:rFonts w:ascii="Arial" w:hAnsi="Arial" w:cs="Arial"/>
                <w:sz w:val="20"/>
                <w:szCs w:val="20"/>
              </w:rPr>
              <w:t xml:space="preserve">  40% of the diversion orders involved dishonesty or property offences and 33% offences against the person (other than family violence and sex offences).</w:t>
            </w:r>
          </w:p>
        </w:tc>
      </w:tr>
      <w:tr w:rsidR="00CC4BE9" w:rsidRPr="002908DC" w14:paraId="5D2A79F3"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78433234"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4E9ECB3" w14:textId="77777777" w:rsidR="00CC4BE9" w:rsidRPr="00D247BF" w:rsidRDefault="00CC4BE9" w:rsidP="00E11735">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CC4BE9" w:rsidRPr="002908DC" w14:paraId="10E0262C"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419540D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15E51841" w14:textId="77777777" w:rsidR="00CC4BE9" w:rsidRPr="00E7147E" w:rsidRDefault="00CC4BE9" w:rsidP="00E11735">
            <w:pPr>
              <w:spacing w:before="40" w:after="40"/>
              <w:jc w:val="center"/>
              <w:rPr>
                <w:rFonts w:ascii="Arial" w:hAnsi="Arial" w:cs="Arial"/>
                <w:b/>
                <w:bCs/>
                <w:sz w:val="20"/>
                <w:szCs w:val="20"/>
              </w:rPr>
            </w:pPr>
            <w:r>
              <w:rPr>
                <w:rFonts w:ascii="Arial" w:hAnsi="Arial" w:cs="Arial"/>
                <w:b/>
                <w:bCs/>
                <w:sz w:val="20"/>
                <w:szCs w:val="20"/>
              </w:rPr>
              <w:t>N/A</w:t>
            </w:r>
          </w:p>
        </w:tc>
      </w:tr>
      <w:tr w:rsidR="00CC4BE9" w:rsidRPr="002908DC" w14:paraId="3BFCC925"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02250E13"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6299A932" w14:textId="77777777" w:rsidR="00CC4BE9" w:rsidRPr="00F46B9E" w:rsidRDefault="00CC4BE9" w:rsidP="00E11735">
            <w:pPr>
              <w:spacing w:before="40" w:after="40"/>
              <w:jc w:val="both"/>
              <w:rPr>
                <w:rFonts w:ascii="Arial" w:hAnsi="Arial" w:cs="Arial"/>
                <w:sz w:val="20"/>
                <w:szCs w:val="20"/>
              </w:rPr>
            </w:pPr>
            <w:r w:rsidRPr="00F46B9E">
              <w:rPr>
                <w:rFonts w:ascii="Arial" w:hAnsi="Arial" w:cs="Arial"/>
                <w:b/>
                <w:bCs/>
                <w:sz w:val="20"/>
                <w:szCs w:val="20"/>
              </w:rPr>
              <w:t>1454</w:t>
            </w:r>
            <w:r w:rsidRPr="00F46B9E">
              <w:rPr>
                <w:rFonts w:ascii="Arial" w:hAnsi="Arial" w:cs="Arial"/>
                <w:sz w:val="20"/>
                <w:szCs w:val="20"/>
              </w:rPr>
              <w:t xml:space="preserve"> diversions were ordered.  </w:t>
            </w:r>
            <w:bookmarkStart w:id="266" w:name="_Hlk148944254"/>
            <w:r w:rsidRPr="00F46B9E">
              <w:rPr>
                <w:rFonts w:ascii="Arial" w:hAnsi="Arial" w:cs="Arial"/>
                <w:sz w:val="20"/>
                <w:szCs w:val="20"/>
              </w:rPr>
              <w:t xml:space="preserve">Excluding uncompleted diversions, 98% of diversion plans were successfully completed.  </w:t>
            </w:r>
            <w:bookmarkEnd w:id="266"/>
            <w:r w:rsidRPr="00F46B9E">
              <w:rPr>
                <w:rFonts w:ascii="Arial" w:hAnsi="Arial" w:cs="Arial"/>
                <w:sz w:val="20"/>
                <w:szCs w:val="20"/>
              </w:rPr>
              <w:t>By comparison there were 886 cases in which sentencing orders were made.</w:t>
            </w:r>
          </w:p>
        </w:tc>
      </w:tr>
      <w:tr w:rsidR="00CC4BE9" w:rsidRPr="002908DC" w14:paraId="1E54720E" w14:textId="77777777" w:rsidTr="00E11735">
        <w:tc>
          <w:tcPr>
            <w:tcW w:w="1242" w:type="dxa"/>
            <w:tcBorders>
              <w:top w:val="single" w:sz="4" w:space="0" w:color="auto"/>
              <w:left w:val="single" w:sz="4" w:space="0" w:color="auto"/>
              <w:bottom w:val="single" w:sz="4" w:space="0" w:color="auto"/>
              <w:right w:val="single" w:sz="4" w:space="0" w:color="auto"/>
            </w:tcBorders>
            <w:shd w:val="clear" w:color="auto" w:fill="000000"/>
          </w:tcPr>
          <w:p w14:paraId="6BBD6316" w14:textId="77777777" w:rsidR="00CC4BE9" w:rsidRPr="00D247BF" w:rsidRDefault="00CC4BE9" w:rsidP="00E11735">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3</w:t>
            </w:r>
            <w:r w:rsidRPr="00D247BF">
              <w:rPr>
                <w:rFonts w:ascii="Arial" w:hAnsi="Arial" w:cs="Arial"/>
                <w:b/>
                <w:bCs/>
                <w:sz w:val="22"/>
                <w:szCs w:val="22"/>
              </w:rPr>
              <w:t>/2</w:t>
            </w:r>
            <w:r>
              <w:rPr>
                <w:rFonts w:ascii="Arial" w:hAnsi="Arial" w:cs="Arial"/>
                <w:b/>
                <w:bCs/>
                <w:sz w:val="22"/>
                <w:szCs w:val="22"/>
              </w:rPr>
              <w:t>4</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5B8F2A3E" w14:textId="77777777" w:rsidR="00CC4BE9" w:rsidRPr="00E7147E" w:rsidRDefault="00CC4BE9" w:rsidP="00E11735">
            <w:pPr>
              <w:spacing w:before="40" w:after="40"/>
              <w:jc w:val="both"/>
              <w:rPr>
                <w:rFonts w:ascii="Arial" w:hAnsi="Arial" w:cs="Arial"/>
                <w:b/>
                <w:bCs/>
                <w:sz w:val="20"/>
                <w:szCs w:val="20"/>
              </w:rPr>
            </w:pPr>
            <w:r w:rsidRPr="00F46B9E">
              <w:rPr>
                <w:rFonts w:ascii="Arial" w:hAnsi="Arial" w:cs="Arial"/>
                <w:b/>
                <w:bCs/>
                <w:sz w:val="20"/>
                <w:szCs w:val="20"/>
              </w:rPr>
              <w:t>1215 diversions</w:t>
            </w:r>
            <w:r>
              <w:rPr>
                <w:rFonts w:ascii="Arial" w:hAnsi="Arial" w:cs="Arial"/>
                <w:b/>
                <w:bCs/>
                <w:sz w:val="20"/>
                <w:szCs w:val="20"/>
              </w:rPr>
              <w:t xml:space="preserve"> were ordered. Excluding uncompleted diversions</w:t>
            </w:r>
            <w:r w:rsidRPr="00F46B9E">
              <w:rPr>
                <w:rFonts w:ascii="Arial" w:hAnsi="Arial" w:cs="Arial"/>
                <w:b/>
                <w:bCs/>
                <w:sz w:val="20"/>
                <w:szCs w:val="20"/>
              </w:rPr>
              <w:t xml:space="preserve">, 98% </w:t>
            </w:r>
            <w:r>
              <w:rPr>
                <w:rFonts w:ascii="Arial" w:hAnsi="Arial" w:cs="Arial"/>
                <w:b/>
                <w:bCs/>
                <w:sz w:val="20"/>
                <w:szCs w:val="20"/>
              </w:rPr>
              <w:t>of the diversion plans were successfully completed. By comparison there were 803 cases in which sentencing orders were made.</w:t>
            </w:r>
          </w:p>
        </w:tc>
      </w:tr>
    </w:tbl>
    <w:p w14:paraId="28A83B49" w14:textId="77777777" w:rsidR="00CC4BE9" w:rsidRDefault="00CC4BE9" w:rsidP="00CC4BE9">
      <w:pPr>
        <w:rPr>
          <w:rFonts w:ascii="Arial" w:hAnsi="Arial" w:cs="Arial"/>
          <w:sz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0164C773" w:rsidR="003725A5" w:rsidRPr="00EC24DC" w:rsidRDefault="003725A5" w:rsidP="00CE2EA1">
            <w:pPr>
              <w:spacing w:before="40" w:after="40"/>
              <w:jc w:val="center"/>
              <w:rPr>
                <w:rFonts w:ascii="Arial" w:hAnsi="Arial" w:cs="Arial"/>
                <w:b/>
                <w:bCs/>
                <w:sz w:val="18"/>
                <w:szCs w:val="18"/>
              </w:rPr>
            </w:pPr>
            <w:bookmarkStart w:id="267" w:name="_J_SECRETARY_HAS"/>
            <w:bookmarkEnd w:id="267"/>
            <w:r>
              <w:rPr>
                <w:rFonts w:ascii="Arial" w:hAnsi="Arial" w:cs="Arial"/>
                <w:b/>
                <w:bCs/>
                <w:sz w:val="20"/>
                <w:szCs w:val="20"/>
              </w:rPr>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w:t>
            </w:r>
            <w:r w:rsidR="00F83DE8">
              <w:rPr>
                <w:rFonts w:ascii="Arial" w:hAnsi="Arial" w:cs="Arial"/>
                <w:b/>
                <w:bCs/>
                <w:sz w:val="20"/>
                <w:szCs w:val="20"/>
              </w:rPr>
              <w:t>h</w:t>
            </w:r>
            <w:r>
              <w:rPr>
                <w:rFonts w:ascii="Arial" w:hAnsi="Arial" w:cs="Arial"/>
                <w:b/>
                <w:bCs/>
                <w:sz w:val="20"/>
                <w:szCs w:val="20"/>
              </w:rPr>
              <w:t>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580475C6" w14:textId="77777777" w:rsidR="004F3C36" w:rsidRDefault="004F3C36" w:rsidP="004F3C36">
      <w:pPr>
        <w:pStyle w:val="Heading3"/>
        <w:keepNext/>
        <w:keepLines/>
        <w:widowControl/>
        <w:spacing w:after="80" w:line="240" w:lineRule="auto"/>
        <w:ind w:left="284" w:hanging="284"/>
        <w:rPr>
          <w:rFonts w:ascii="Arial" w:hAnsi="Arial" w:cs="Arial"/>
          <w:b/>
          <w:bCs/>
          <w:sz w:val="20"/>
        </w:rPr>
      </w:pPr>
      <w:bookmarkStart w:id="268" w:name="_L_STATUTORY_REVIEW"/>
      <w:bookmarkEnd w:id="268"/>
      <w:r>
        <w:rPr>
          <w:rFonts w:ascii="Arial" w:hAnsi="Arial" w:cs="Arial"/>
          <w:b/>
          <w:color w:val="FFFFFF"/>
          <w:sz w:val="22"/>
          <w:shd w:val="clear" w:color="auto" w:fill="000000"/>
        </w:rPr>
        <w:lastRenderedPageBreak/>
        <w:t>J</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SECRETARY HAS NO POWER TO ISSUE A NEGATIVE ASSESSMENT UNDER </w:t>
      </w:r>
      <w:r w:rsidRPr="0001018D">
        <w:rPr>
          <w:rFonts w:ascii="Arial" w:hAnsi="Arial" w:cs="Arial"/>
          <w:b/>
          <w:i/>
          <w:iCs/>
          <w:color w:val="FFFFFF"/>
          <w:sz w:val="22"/>
          <w:bdr w:val="single" w:sz="4" w:space="0" w:color="auto"/>
          <w:shd w:val="clear" w:color="auto" w:fill="000000"/>
        </w:rPr>
        <w:t>WORKING WITH CHILDREN ACT 2005</w:t>
      </w:r>
      <w:r>
        <w:rPr>
          <w:rFonts w:ascii="Arial" w:hAnsi="Arial" w:cs="Arial"/>
          <w:b/>
          <w:color w:val="FFFFFF"/>
          <w:sz w:val="22"/>
          <w:bdr w:val="single" w:sz="4" w:space="0" w:color="auto"/>
          <w:shd w:val="clear" w:color="auto" w:fill="000000"/>
        </w:rPr>
        <w:t xml:space="preserve"> WHERE CHARGES DEALT WITH BY DIVERSION</w:t>
      </w:r>
    </w:p>
    <w:p w14:paraId="3E2709C4" w14:textId="77777777" w:rsidR="004F3C36" w:rsidRDefault="004F3C36" w:rsidP="004F3C36">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plaintiff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 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The Secretary subsequently issued a negative notice.  Ginnane J held that the plaintiff was </w:t>
      </w:r>
      <w:r w:rsidRPr="006454C0">
        <w:rPr>
          <w:rFonts w:ascii="Arial" w:hAnsi="Arial" w:cs="Arial"/>
          <w:sz w:val="20"/>
          <w:szCs w:val="20"/>
        </w:rPr>
        <w:t xml:space="preserve">entitled to a declaration that the Secretary had no power to refuse to give him an assessment notice under the </w:t>
      </w:r>
      <w:r w:rsidRPr="0001018D">
        <w:rPr>
          <w:rFonts w:ascii="Arial" w:hAnsi="Arial" w:cs="Arial"/>
          <w:i/>
          <w:iCs/>
          <w:sz w:val="20"/>
          <w:szCs w:val="20"/>
        </w:rPr>
        <w:t>Working with Children Act 2005</w:t>
      </w:r>
      <w:r>
        <w:rPr>
          <w:rFonts w:ascii="Arial" w:hAnsi="Arial" w:cs="Arial"/>
          <w:sz w:val="20"/>
          <w:szCs w:val="20"/>
        </w:rPr>
        <w:t>.  Underpinning his Honour’s decision was his view at [35] that ss.</w:t>
      </w:r>
      <w:r w:rsidRPr="006454C0">
        <w:rPr>
          <w:rFonts w:ascii="Arial" w:hAnsi="Arial" w:cs="Arial"/>
          <w:sz w:val="20"/>
          <w:szCs w:val="20"/>
        </w:rPr>
        <w:t xml:space="preserve">1A </w:t>
      </w:r>
      <w:r>
        <w:rPr>
          <w:rFonts w:ascii="Arial" w:hAnsi="Arial" w:cs="Arial"/>
          <w:sz w:val="20"/>
          <w:szCs w:val="20"/>
        </w:rPr>
        <w:t>&amp;</w:t>
      </w:r>
      <w:r w:rsidRPr="006454C0">
        <w:rPr>
          <w:rFonts w:ascii="Arial" w:hAnsi="Arial" w:cs="Arial"/>
          <w:sz w:val="20"/>
          <w:szCs w:val="20"/>
        </w:rPr>
        <w:t xml:space="preserve"> 17(3) of the Act, whether taken separately or jointly, do not </w:t>
      </w:r>
      <w:r>
        <w:rPr>
          <w:rFonts w:ascii="Arial" w:hAnsi="Arial" w:cs="Arial"/>
          <w:sz w:val="20"/>
          <w:szCs w:val="20"/>
        </w:rPr>
        <w:t xml:space="preserve">empower the Secretary to </w:t>
      </w:r>
      <w:r w:rsidRPr="006454C0">
        <w:rPr>
          <w:rFonts w:ascii="Arial" w:hAnsi="Arial" w:cs="Arial"/>
          <w:sz w:val="20"/>
          <w:szCs w:val="20"/>
        </w:rPr>
        <w:t>issue a negative notice to a person whose application does not fall within categories A, B or C</w:t>
      </w:r>
      <w:r>
        <w:rPr>
          <w:rFonts w:ascii="Arial" w:hAnsi="Arial" w:cs="Arial"/>
          <w:sz w:val="20"/>
          <w:szCs w:val="20"/>
        </w:rPr>
        <w:t xml:space="preserve"> in ss.12-14 respectively.</w:t>
      </w:r>
    </w:p>
    <w:p w14:paraId="7AAE8010" w14:textId="77777777" w:rsidR="004F3C36" w:rsidRDefault="004F3C36" w:rsidP="004F3C36">
      <w:pPr>
        <w:jc w:val="both"/>
        <w:rPr>
          <w:rFonts w:ascii="Arial" w:hAnsi="Arial" w:cs="Arial"/>
          <w:b/>
          <w:bCs/>
          <w:sz w:val="22"/>
          <w:szCs w:val="28"/>
        </w:rPr>
      </w:pPr>
    </w:p>
    <w:p w14:paraId="65D971E0" w14:textId="4AEBC4A6" w:rsidR="007B75A8" w:rsidRDefault="004F3C36" w:rsidP="004F3C36">
      <w:pPr>
        <w:pStyle w:val="Heading3"/>
        <w:keepNext/>
        <w:spacing w:after="80" w:line="240" w:lineRule="auto"/>
        <w:ind w:left="284" w:right="-170" w:hanging="284"/>
        <w:rPr>
          <w:rFonts w:ascii="Arial" w:hAnsi="Arial" w:cs="Arial"/>
          <w:b/>
          <w:bCs/>
          <w:sz w:val="20"/>
        </w:rPr>
      </w:pPr>
      <w:r>
        <w:rPr>
          <w:rFonts w:ascii="Arial" w:hAnsi="Arial" w:cs="Arial"/>
          <w:b/>
          <w:color w:val="FFFFFF"/>
          <w:sz w:val="22"/>
          <w:shd w:val="clear" w:color="auto" w:fill="000000"/>
        </w:rPr>
        <w:t>K</w:t>
      </w:r>
      <w:r w:rsidR="007B75A8">
        <w:rPr>
          <w:rFonts w:ascii="Arial" w:hAnsi="Arial" w:cs="Arial"/>
          <w:b/>
          <w:color w:val="000000"/>
          <w:sz w:val="22"/>
        </w:rPr>
        <w:tab/>
      </w:r>
      <w:r w:rsidR="007B75A8">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sidR="007B75A8">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 xml:space="preserve">oung people in contact with the justice system often have multiple and complex needs that require time to address effectively. Evidence of reoffending among CCYD participants does not necessarily indicate CCYD was not successful. CCYD can put in place a </w:t>
      </w:r>
      <w:r w:rsidRPr="009B7036">
        <w:rPr>
          <w:rFonts w:ascii="Arial" w:hAnsi="Arial" w:cs="Arial"/>
          <w:sz w:val="20"/>
          <w:szCs w:val="20"/>
        </w:rPr>
        <w:lastRenderedPageBreak/>
        <w:t>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631DA6">
      <w:pPr>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w:t>
      </w:r>
      <w:r w:rsidRPr="001E50EC">
        <w:rPr>
          <w:rFonts w:ascii="Arial" w:hAnsi="Arial" w:cs="Arial"/>
          <w:sz w:val="20"/>
          <w:szCs w:val="20"/>
        </w:rPr>
        <w:lastRenderedPageBreak/>
        <w:t xml:space="preserve">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69" w:name="_10.8_The_“ROPES”"/>
      <w:bookmarkEnd w:id="269"/>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70" w:name="_10.8.1_The_program"/>
      <w:bookmarkEnd w:id="270"/>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71" w:name="_10.8.2_The_target"/>
      <w:bookmarkEnd w:id="271"/>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place">
        <w:smartTag w:uri="urn:schemas-microsoft-com:office:smarttags" w:element="City">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72" w:name="_10.8.3_The_aims"/>
      <w:bookmarkEnd w:id="272"/>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 xml:space="preserve">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w:t>
      </w:r>
      <w:r w:rsidRPr="00102D2A">
        <w:rPr>
          <w:rFonts w:ascii="Arial" w:hAnsi="Arial" w:cs="Arial"/>
          <w:color w:val="000000"/>
          <w:sz w:val="20"/>
        </w:rPr>
        <w:lastRenderedPageBreak/>
        <w:t>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73" w:name="_10.8.4_The_content"/>
      <w:bookmarkEnd w:id="273"/>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74" w:name="_10.8.5_The_consequence"/>
      <w:bookmarkEnd w:id="274"/>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A8FB4" w14:textId="77777777" w:rsidR="00C91FA2" w:rsidRDefault="00C91FA2">
      <w:r>
        <w:separator/>
      </w:r>
    </w:p>
  </w:endnote>
  <w:endnote w:type="continuationSeparator" w:id="0">
    <w:p w14:paraId="2AB18373" w14:textId="77777777" w:rsidR="00C91FA2" w:rsidRDefault="00C9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2E73EF08" w:rsidR="00CB5B87" w:rsidRDefault="00CB5B87">
    <w:pPr>
      <w:pStyle w:val="Footer"/>
    </w:pPr>
    <w:r>
      <w:rPr>
        <w:rStyle w:val="PageNumber"/>
        <w:rFonts w:ascii="Arial" w:hAnsi="Arial" w:cs="Arial"/>
        <w:b/>
        <w:bCs/>
        <w:sz w:val="16"/>
      </w:rPr>
      <w:t xml:space="preserve">Last updated </w:t>
    </w:r>
    <w:r w:rsidR="00446068">
      <w:rPr>
        <w:rStyle w:val="PageNumber"/>
        <w:rFonts w:ascii="Arial" w:hAnsi="Arial" w:cs="Arial"/>
        <w:b/>
        <w:bCs/>
        <w:sz w:val="16"/>
      </w:rPr>
      <w:t>01 August</w:t>
    </w:r>
    <w:r w:rsidR="002408A1">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EF79" w14:textId="77777777" w:rsidR="00C91FA2" w:rsidRDefault="00C91FA2">
      <w:r>
        <w:separator/>
      </w:r>
    </w:p>
  </w:footnote>
  <w:footnote w:type="continuationSeparator" w:id="0">
    <w:p w14:paraId="68E9DD88" w14:textId="77777777" w:rsidR="00C91FA2" w:rsidRDefault="00C9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0D2368F"/>
    <w:multiLevelType w:val="hybridMultilevel"/>
    <w:tmpl w:val="B876F7F8"/>
    <w:lvl w:ilvl="0" w:tplc="1130B4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3"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7"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9"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1"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1"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2"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988770F"/>
    <w:multiLevelType w:val="hybridMultilevel"/>
    <w:tmpl w:val="B7105004"/>
    <w:lvl w:ilvl="0" w:tplc="B4942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7"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2"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5"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8"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50" w15:restartNumberingAfterBreak="0">
    <w:nsid w:val="3B8B770D"/>
    <w:multiLevelType w:val="hybridMultilevel"/>
    <w:tmpl w:val="20967E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1"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2"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3"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5"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4"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6"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7"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68"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0"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7"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0"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3"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6" w15:restartNumberingAfterBreak="0">
    <w:nsid w:val="64347417"/>
    <w:multiLevelType w:val="hybridMultilevel"/>
    <w:tmpl w:val="88583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8"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9"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92"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4"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5"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6"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7"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0"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01"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3"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4"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2"/>
  </w:num>
  <w:num w:numId="2" w16cid:durableId="1518930696">
    <w:abstractNumId w:val="41"/>
  </w:num>
  <w:num w:numId="3" w16cid:durableId="533857439">
    <w:abstractNumId w:val="40"/>
  </w:num>
  <w:num w:numId="4" w16cid:durableId="108941524">
    <w:abstractNumId w:val="76"/>
  </w:num>
  <w:num w:numId="5" w16cid:durableId="1290622740">
    <w:abstractNumId w:val="31"/>
  </w:num>
  <w:num w:numId="6" w16cid:durableId="293950207">
    <w:abstractNumId w:val="91"/>
  </w:num>
  <w:num w:numId="7" w16cid:durableId="932053166">
    <w:abstractNumId w:val="68"/>
  </w:num>
  <w:num w:numId="8" w16cid:durableId="1768575532">
    <w:abstractNumId w:val="48"/>
  </w:num>
  <w:num w:numId="9" w16cid:durableId="45297735">
    <w:abstractNumId w:val="21"/>
  </w:num>
  <w:num w:numId="10" w16cid:durableId="123163608">
    <w:abstractNumId w:val="46"/>
  </w:num>
  <w:num w:numId="11" w16cid:durableId="319044883">
    <w:abstractNumId w:val="69"/>
  </w:num>
  <w:num w:numId="12" w16cid:durableId="681787156">
    <w:abstractNumId w:val="95"/>
  </w:num>
  <w:num w:numId="13" w16cid:durableId="752706318">
    <w:abstractNumId w:val="94"/>
  </w:num>
  <w:num w:numId="14" w16cid:durableId="1053964263">
    <w:abstractNumId w:val="10"/>
  </w:num>
  <w:num w:numId="15" w16cid:durableId="211578649">
    <w:abstractNumId w:val="24"/>
  </w:num>
  <w:num w:numId="16" w16cid:durableId="27460194">
    <w:abstractNumId w:val="71"/>
  </w:num>
  <w:num w:numId="17" w16cid:durableId="29038114">
    <w:abstractNumId w:val="85"/>
  </w:num>
  <w:num w:numId="18" w16cid:durableId="603462408">
    <w:abstractNumId w:val="55"/>
  </w:num>
  <w:num w:numId="19" w16cid:durableId="854537546">
    <w:abstractNumId w:val="45"/>
  </w:num>
  <w:num w:numId="20" w16cid:durableId="1610428143">
    <w:abstractNumId w:val="8"/>
  </w:num>
  <w:num w:numId="21" w16cid:durableId="1028405940">
    <w:abstractNumId w:val="99"/>
  </w:num>
  <w:num w:numId="22" w16cid:durableId="570192650">
    <w:abstractNumId w:val="19"/>
  </w:num>
  <w:num w:numId="23" w16cid:durableId="699088725">
    <w:abstractNumId w:val="7"/>
  </w:num>
  <w:num w:numId="24" w16cid:durableId="967660956">
    <w:abstractNumId w:val="17"/>
  </w:num>
  <w:num w:numId="25" w16cid:durableId="672226692">
    <w:abstractNumId w:val="26"/>
  </w:num>
  <w:num w:numId="26" w16cid:durableId="1985113314">
    <w:abstractNumId w:val="56"/>
  </w:num>
  <w:num w:numId="27" w16cid:durableId="1387141631">
    <w:abstractNumId w:val="29"/>
  </w:num>
  <w:num w:numId="28" w16cid:durableId="1721057490">
    <w:abstractNumId w:val="12"/>
  </w:num>
  <w:num w:numId="29" w16cid:durableId="1760518028">
    <w:abstractNumId w:val="59"/>
  </w:num>
  <w:num w:numId="30" w16cid:durableId="964774121">
    <w:abstractNumId w:val="103"/>
  </w:num>
  <w:num w:numId="31" w16cid:durableId="344326424">
    <w:abstractNumId w:val="61"/>
  </w:num>
  <w:num w:numId="32" w16cid:durableId="1825929220">
    <w:abstractNumId w:val="20"/>
  </w:num>
  <w:num w:numId="33" w16cid:durableId="580993568">
    <w:abstractNumId w:val="37"/>
  </w:num>
  <w:num w:numId="34" w16cid:durableId="1285648812">
    <w:abstractNumId w:val="100"/>
  </w:num>
  <w:num w:numId="35" w16cid:durableId="1541282616">
    <w:abstractNumId w:val="102"/>
  </w:num>
  <w:num w:numId="36" w16cid:durableId="1020815478">
    <w:abstractNumId w:val="13"/>
  </w:num>
  <w:num w:numId="37" w16cid:durableId="1754549002">
    <w:abstractNumId w:val="4"/>
  </w:num>
  <w:num w:numId="38" w16cid:durableId="1396006305">
    <w:abstractNumId w:val="90"/>
  </w:num>
  <w:num w:numId="39" w16cid:durableId="1928877651">
    <w:abstractNumId w:val="87"/>
  </w:num>
  <w:num w:numId="40" w16cid:durableId="1241452986">
    <w:abstractNumId w:val="47"/>
  </w:num>
  <w:num w:numId="41" w16cid:durableId="1650743759">
    <w:abstractNumId w:val="70"/>
  </w:num>
  <w:num w:numId="42" w16cid:durableId="953974627">
    <w:abstractNumId w:val="98"/>
  </w:num>
  <w:num w:numId="43" w16cid:durableId="107045950">
    <w:abstractNumId w:val="34"/>
  </w:num>
  <w:num w:numId="44" w16cid:durableId="1183397123">
    <w:abstractNumId w:val="67"/>
  </w:num>
  <w:num w:numId="45" w16cid:durableId="1438016748">
    <w:abstractNumId w:val="49"/>
  </w:num>
  <w:num w:numId="46" w16cid:durableId="166482326">
    <w:abstractNumId w:val="6"/>
  </w:num>
  <w:num w:numId="47" w16cid:durableId="1982224275">
    <w:abstractNumId w:val="93"/>
  </w:num>
  <w:num w:numId="48" w16cid:durableId="2018994504">
    <w:abstractNumId w:val="3"/>
  </w:num>
  <w:num w:numId="49" w16cid:durableId="1937134170">
    <w:abstractNumId w:val="52"/>
  </w:num>
  <w:num w:numId="50" w16cid:durableId="1969820662">
    <w:abstractNumId w:val="51"/>
  </w:num>
  <w:num w:numId="51" w16cid:durableId="961762973">
    <w:abstractNumId w:val="73"/>
  </w:num>
  <w:num w:numId="52" w16cid:durableId="1174491273">
    <w:abstractNumId w:val="60"/>
  </w:num>
  <w:num w:numId="53" w16cid:durableId="150341575">
    <w:abstractNumId w:val="38"/>
  </w:num>
  <w:num w:numId="54" w16cid:durableId="2081051675">
    <w:abstractNumId w:val="62"/>
  </w:num>
  <w:num w:numId="55" w16cid:durableId="776102614">
    <w:abstractNumId w:val="27"/>
  </w:num>
  <w:num w:numId="56" w16cid:durableId="1008020792">
    <w:abstractNumId w:val="77"/>
  </w:num>
  <w:num w:numId="57" w16cid:durableId="1005354406">
    <w:abstractNumId w:val="89"/>
  </w:num>
  <w:num w:numId="58" w16cid:durableId="1134059955">
    <w:abstractNumId w:val="5"/>
  </w:num>
  <w:num w:numId="59" w16cid:durableId="423263357">
    <w:abstractNumId w:val="53"/>
  </w:num>
  <w:num w:numId="60" w16cid:durableId="1519781288">
    <w:abstractNumId w:val="9"/>
  </w:num>
  <w:num w:numId="61" w16cid:durableId="2140605916">
    <w:abstractNumId w:val="80"/>
  </w:num>
  <w:num w:numId="62" w16cid:durableId="317271790">
    <w:abstractNumId w:val="81"/>
  </w:num>
  <w:num w:numId="63" w16cid:durableId="1273515851">
    <w:abstractNumId w:val="57"/>
  </w:num>
  <w:num w:numId="64" w16cid:durableId="651179938">
    <w:abstractNumId w:val="35"/>
  </w:num>
  <w:num w:numId="65" w16cid:durableId="1669167818">
    <w:abstractNumId w:val="74"/>
  </w:num>
  <w:num w:numId="66" w16cid:durableId="609779310">
    <w:abstractNumId w:val="97"/>
  </w:num>
  <w:num w:numId="67" w16cid:durableId="2083946328">
    <w:abstractNumId w:val="36"/>
  </w:num>
  <w:num w:numId="68" w16cid:durableId="1665012405">
    <w:abstractNumId w:val="32"/>
  </w:num>
  <w:num w:numId="69" w16cid:durableId="1679691392">
    <w:abstractNumId w:val="39"/>
  </w:num>
  <w:num w:numId="70" w16cid:durableId="989481962">
    <w:abstractNumId w:val="2"/>
  </w:num>
  <w:num w:numId="71" w16cid:durableId="874856198">
    <w:abstractNumId w:val="63"/>
  </w:num>
  <w:num w:numId="72" w16cid:durableId="892499393">
    <w:abstractNumId w:val="65"/>
  </w:num>
  <w:num w:numId="73" w16cid:durableId="102193255">
    <w:abstractNumId w:val="15"/>
  </w:num>
  <w:num w:numId="74" w16cid:durableId="1669096050">
    <w:abstractNumId w:val="66"/>
  </w:num>
  <w:num w:numId="75" w16cid:durableId="693850865">
    <w:abstractNumId w:val="42"/>
  </w:num>
  <w:num w:numId="76" w16cid:durableId="338579296">
    <w:abstractNumId w:val="54"/>
  </w:num>
  <w:num w:numId="77" w16cid:durableId="154998671">
    <w:abstractNumId w:val="58"/>
  </w:num>
  <w:num w:numId="78" w16cid:durableId="1868179036">
    <w:abstractNumId w:val="18"/>
  </w:num>
  <w:num w:numId="79" w16cid:durableId="58485440">
    <w:abstractNumId w:val="96"/>
  </w:num>
  <w:num w:numId="80" w16cid:durableId="1061320167">
    <w:abstractNumId w:val="83"/>
  </w:num>
  <w:num w:numId="81" w16cid:durableId="1370957676">
    <w:abstractNumId w:val="72"/>
  </w:num>
  <w:num w:numId="82" w16cid:durableId="1959024595">
    <w:abstractNumId w:val="14"/>
  </w:num>
  <w:num w:numId="83" w16cid:durableId="1162818172">
    <w:abstractNumId w:val="75"/>
  </w:num>
  <w:num w:numId="84" w16cid:durableId="1829902836">
    <w:abstractNumId w:val="79"/>
  </w:num>
  <w:num w:numId="85" w16cid:durableId="1555846823">
    <w:abstractNumId w:val="30"/>
  </w:num>
  <w:num w:numId="86" w16cid:durableId="2111463123">
    <w:abstractNumId w:val="0"/>
  </w:num>
  <w:num w:numId="87" w16cid:durableId="853300517">
    <w:abstractNumId w:val="82"/>
  </w:num>
  <w:num w:numId="88" w16cid:durableId="1349454166">
    <w:abstractNumId w:val="78"/>
  </w:num>
  <w:num w:numId="89" w16cid:durableId="1713924764">
    <w:abstractNumId w:val="84"/>
  </w:num>
  <w:num w:numId="90" w16cid:durableId="934098101">
    <w:abstractNumId w:val="43"/>
  </w:num>
  <w:num w:numId="91" w16cid:durableId="137571430">
    <w:abstractNumId w:val="104"/>
  </w:num>
  <w:num w:numId="92" w16cid:durableId="414522899">
    <w:abstractNumId w:val="92"/>
  </w:num>
  <w:num w:numId="93" w16cid:durableId="1956406748">
    <w:abstractNumId w:val="101"/>
  </w:num>
  <w:num w:numId="94" w16cid:durableId="801000039">
    <w:abstractNumId w:val="25"/>
  </w:num>
  <w:num w:numId="95" w16cid:durableId="1016272444">
    <w:abstractNumId w:val="44"/>
  </w:num>
  <w:num w:numId="96" w16cid:durableId="1817606599">
    <w:abstractNumId w:val="11"/>
  </w:num>
  <w:num w:numId="97" w16cid:durableId="1959753109">
    <w:abstractNumId w:val="33"/>
  </w:num>
  <w:num w:numId="98" w16cid:durableId="1560171631">
    <w:abstractNumId w:val="23"/>
  </w:num>
  <w:num w:numId="99" w16cid:durableId="324893244">
    <w:abstractNumId w:val="88"/>
  </w:num>
  <w:num w:numId="100" w16cid:durableId="116341225">
    <w:abstractNumId w:val="64"/>
  </w:num>
  <w:num w:numId="101" w16cid:durableId="1577352012">
    <w:abstractNumId w:val="16"/>
  </w:num>
  <w:num w:numId="102" w16cid:durableId="434056869">
    <w:abstractNumId w:val="50"/>
  </w:num>
  <w:num w:numId="103" w16cid:durableId="1157183632">
    <w:abstractNumId w:val="28"/>
  </w:num>
  <w:num w:numId="104" w16cid:durableId="1775439221">
    <w:abstractNumId w:val="1"/>
  </w:num>
  <w:num w:numId="105" w16cid:durableId="244146343">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2B94"/>
    <w:rsid w:val="00003718"/>
    <w:rsid w:val="000052C9"/>
    <w:rsid w:val="0000665E"/>
    <w:rsid w:val="000077FD"/>
    <w:rsid w:val="0001018D"/>
    <w:rsid w:val="00010342"/>
    <w:rsid w:val="000116BB"/>
    <w:rsid w:val="000117A0"/>
    <w:rsid w:val="00011B55"/>
    <w:rsid w:val="00011F74"/>
    <w:rsid w:val="000122D9"/>
    <w:rsid w:val="0001278D"/>
    <w:rsid w:val="00012A23"/>
    <w:rsid w:val="00012C15"/>
    <w:rsid w:val="00013081"/>
    <w:rsid w:val="000134BA"/>
    <w:rsid w:val="00014095"/>
    <w:rsid w:val="00014CBE"/>
    <w:rsid w:val="00014D78"/>
    <w:rsid w:val="000176CC"/>
    <w:rsid w:val="000179F0"/>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60BA"/>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57C84"/>
    <w:rsid w:val="00060C7D"/>
    <w:rsid w:val="0006229B"/>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5F39"/>
    <w:rsid w:val="00096D5E"/>
    <w:rsid w:val="00097FD3"/>
    <w:rsid w:val="000A1653"/>
    <w:rsid w:val="000A2449"/>
    <w:rsid w:val="000A2C86"/>
    <w:rsid w:val="000A2D10"/>
    <w:rsid w:val="000A3EA1"/>
    <w:rsid w:val="000A44F4"/>
    <w:rsid w:val="000A6085"/>
    <w:rsid w:val="000A6D12"/>
    <w:rsid w:val="000A6E89"/>
    <w:rsid w:val="000A7670"/>
    <w:rsid w:val="000B0563"/>
    <w:rsid w:val="000B16A7"/>
    <w:rsid w:val="000B1D27"/>
    <w:rsid w:val="000B1E42"/>
    <w:rsid w:val="000B23AE"/>
    <w:rsid w:val="000B3533"/>
    <w:rsid w:val="000B405A"/>
    <w:rsid w:val="000B4698"/>
    <w:rsid w:val="000B48C7"/>
    <w:rsid w:val="000B4BA7"/>
    <w:rsid w:val="000B72C6"/>
    <w:rsid w:val="000B76FC"/>
    <w:rsid w:val="000B7FBB"/>
    <w:rsid w:val="000C1FE0"/>
    <w:rsid w:val="000C29B8"/>
    <w:rsid w:val="000C2A35"/>
    <w:rsid w:val="000C304E"/>
    <w:rsid w:val="000C307C"/>
    <w:rsid w:val="000C4353"/>
    <w:rsid w:val="000C5874"/>
    <w:rsid w:val="000C6958"/>
    <w:rsid w:val="000C696A"/>
    <w:rsid w:val="000C6CBF"/>
    <w:rsid w:val="000C7599"/>
    <w:rsid w:val="000D0E45"/>
    <w:rsid w:val="000D1441"/>
    <w:rsid w:val="000D18FA"/>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37DF"/>
    <w:rsid w:val="001338AE"/>
    <w:rsid w:val="0013522F"/>
    <w:rsid w:val="001362CB"/>
    <w:rsid w:val="0013636E"/>
    <w:rsid w:val="00136FB6"/>
    <w:rsid w:val="00137901"/>
    <w:rsid w:val="00140D52"/>
    <w:rsid w:val="0014154B"/>
    <w:rsid w:val="00142540"/>
    <w:rsid w:val="00143050"/>
    <w:rsid w:val="00143128"/>
    <w:rsid w:val="00143C7B"/>
    <w:rsid w:val="00144475"/>
    <w:rsid w:val="0014509B"/>
    <w:rsid w:val="00146562"/>
    <w:rsid w:val="0014732A"/>
    <w:rsid w:val="0014774E"/>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092"/>
    <w:rsid w:val="00165735"/>
    <w:rsid w:val="0016670A"/>
    <w:rsid w:val="0016706F"/>
    <w:rsid w:val="001717E6"/>
    <w:rsid w:val="00171808"/>
    <w:rsid w:val="001720E7"/>
    <w:rsid w:val="00172C3C"/>
    <w:rsid w:val="00172CD6"/>
    <w:rsid w:val="001745A8"/>
    <w:rsid w:val="00174761"/>
    <w:rsid w:val="00174B32"/>
    <w:rsid w:val="001760B6"/>
    <w:rsid w:val="001766CF"/>
    <w:rsid w:val="001774E9"/>
    <w:rsid w:val="00177A10"/>
    <w:rsid w:val="0018044A"/>
    <w:rsid w:val="001825D6"/>
    <w:rsid w:val="0018366F"/>
    <w:rsid w:val="001837AA"/>
    <w:rsid w:val="0018396F"/>
    <w:rsid w:val="00184B22"/>
    <w:rsid w:val="00184D3A"/>
    <w:rsid w:val="00186356"/>
    <w:rsid w:val="00187052"/>
    <w:rsid w:val="00187A08"/>
    <w:rsid w:val="0019047F"/>
    <w:rsid w:val="00190670"/>
    <w:rsid w:val="0019111F"/>
    <w:rsid w:val="00192E15"/>
    <w:rsid w:val="001931B6"/>
    <w:rsid w:val="00194683"/>
    <w:rsid w:val="0019499F"/>
    <w:rsid w:val="00194AB0"/>
    <w:rsid w:val="00195630"/>
    <w:rsid w:val="001A192B"/>
    <w:rsid w:val="001A1BEA"/>
    <w:rsid w:val="001A2232"/>
    <w:rsid w:val="001A2DDE"/>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61DE"/>
    <w:rsid w:val="001B7BAD"/>
    <w:rsid w:val="001B7E0E"/>
    <w:rsid w:val="001C014E"/>
    <w:rsid w:val="001C04FB"/>
    <w:rsid w:val="001C076D"/>
    <w:rsid w:val="001C2CAC"/>
    <w:rsid w:val="001C37E9"/>
    <w:rsid w:val="001C3BD4"/>
    <w:rsid w:val="001C3C9A"/>
    <w:rsid w:val="001C6ACE"/>
    <w:rsid w:val="001C784F"/>
    <w:rsid w:val="001C7E55"/>
    <w:rsid w:val="001D08B7"/>
    <w:rsid w:val="001D16AC"/>
    <w:rsid w:val="001D209B"/>
    <w:rsid w:val="001D3111"/>
    <w:rsid w:val="001D3A6E"/>
    <w:rsid w:val="001D3BF2"/>
    <w:rsid w:val="001D3D77"/>
    <w:rsid w:val="001D4716"/>
    <w:rsid w:val="001D47D4"/>
    <w:rsid w:val="001D4FF3"/>
    <w:rsid w:val="001D517E"/>
    <w:rsid w:val="001D53C5"/>
    <w:rsid w:val="001D6109"/>
    <w:rsid w:val="001D68AE"/>
    <w:rsid w:val="001D6DA9"/>
    <w:rsid w:val="001D7376"/>
    <w:rsid w:val="001E133B"/>
    <w:rsid w:val="001E14FF"/>
    <w:rsid w:val="001E2211"/>
    <w:rsid w:val="001E257D"/>
    <w:rsid w:val="001E297F"/>
    <w:rsid w:val="001E3540"/>
    <w:rsid w:val="001E4902"/>
    <w:rsid w:val="001E50EC"/>
    <w:rsid w:val="001E7F39"/>
    <w:rsid w:val="001F0AE8"/>
    <w:rsid w:val="001F12DC"/>
    <w:rsid w:val="001F2C26"/>
    <w:rsid w:val="001F30DD"/>
    <w:rsid w:val="001F38A0"/>
    <w:rsid w:val="001F4A4B"/>
    <w:rsid w:val="001F50EB"/>
    <w:rsid w:val="001F5715"/>
    <w:rsid w:val="001F7216"/>
    <w:rsid w:val="00200D98"/>
    <w:rsid w:val="0020174E"/>
    <w:rsid w:val="00201765"/>
    <w:rsid w:val="00202383"/>
    <w:rsid w:val="002023A5"/>
    <w:rsid w:val="002024C8"/>
    <w:rsid w:val="00202A14"/>
    <w:rsid w:val="00205FE7"/>
    <w:rsid w:val="00206C89"/>
    <w:rsid w:val="00206FA1"/>
    <w:rsid w:val="00206FC0"/>
    <w:rsid w:val="00210B58"/>
    <w:rsid w:val="00211C79"/>
    <w:rsid w:val="00212895"/>
    <w:rsid w:val="00212A18"/>
    <w:rsid w:val="002136E8"/>
    <w:rsid w:val="00213DB3"/>
    <w:rsid w:val="00214007"/>
    <w:rsid w:val="00216105"/>
    <w:rsid w:val="00217273"/>
    <w:rsid w:val="00224AB8"/>
    <w:rsid w:val="00224EDB"/>
    <w:rsid w:val="002251EE"/>
    <w:rsid w:val="00226D28"/>
    <w:rsid w:val="00226E34"/>
    <w:rsid w:val="002277A2"/>
    <w:rsid w:val="00227D26"/>
    <w:rsid w:val="00227EDC"/>
    <w:rsid w:val="00232E3D"/>
    <w:rsid w:val="00233EAA"/>
    <w:rsid w:val="0023444B"/>
    <w:rsid w:val="00236A69"/>
    <w:rsid w:val="002404CA"/>
    <w:rsid w:val="002405F9"/>
    <w:rsid w:val="002408A1"/>
    <w:rsid w:val="00241831"/>
    <w:rsid w:val="00242041"/>
    <w:rsid w:val="00242699"/>
    <w:rsid w:val="00243318"/>
    <w:rsid w:val="00243561"/>
    <w:rsid w:val="00244409"/>
    <w:rsid w:val="00244F69"/>
    <w:rsid w:val="00245BD3"/>
    <w:rsid w:val="0024658C"/>
    <w:rsid w:val="00250173"/>
    <w:rsid w:val="00251729"/>
    <w:rsid w:val="0025181F"/>
    <w:rsid w:val="002521F8"/>
    <w:rsid w:val="00254659"/>
    <w:rsid w:val="0025537E"/>
    <w:rsid w:val="002569D8"/>
    <w:rsid w:val="00256B38"/>
    <w:rsid w:val="00256DD5"/>
    <w:rsid w:val="00257BD3"/>
    <w:rsid w:val="00257C47"/>
    <w:rsid w:val="00257C8B"/>
    <w:rsid w:val="00257F07"/>
    <w:rsid w:val="002604A6"/>
    <w:rsid w:val="00261DDC"/>
    <w:rsid w:val="00262458"/>
    <w:rsid w:val="0026415B"/>
    <w:rsid w:val="0026582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2C55"/>
    <w:rsid w:val="002934C8"/>
    <w:rsid w:val="002936E9"/>
    <w:rsid w:val="00293DB2"/>
    <w:rsid w:val="00294C61"/>
    <w:rsid w:val="002968FD"/>
    <w:rsid w:val="00296A55"/>
    <w:rsid w:val="00297812"/>
    <w:rsid w:val="00297824"/>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CC0"/>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787"/>
    <w:rsid w:val="002E4CDC"/>
    <w:rsid w:val="002E5CA6"/>
    <w:rsid w:val="002F0C63"/>
    <w:rsid w:val="002F1CF8"/>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250B"/>
    <w:rsid w:val="00314528"/>
    <w:rsid w:val="00314C80"/>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33BA"/>
    <w:rsid w:val="003352B4"/>
    <w:rsid w:val="0033565D"/>
    <w:rsid w:val="00335DB5"/>
    <w:rsid w:val="0033632F"/>
    <w:rsid w:val="0033791F"/>
    <w:rsid w:val="00337FB6"/>
    <w:rsid w:val="003400C5"/>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39C5"/>
    <w:rsid w:val="00365B9A"/>
    <w:rsid w:val="0036697F"/>
    <w:rsid w:val="00366DDF"/>
    <w:rsid w:val="003700D4"/>
    <w:rsid w:val="0037030E"/>
    <w:rsid w:val="003724BB"/>
    <w:rsid w:val="003724BF"/>
    <w:rsid w:val="003725A5"/>
    <w:rsid w:val="00372C90"/>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77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33B"/>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0E5"/>
    <w:rsid w:val="003F1AD9"/>
    <w:rsid w:val="003F46CC"/>
    <w:rsid w:val="003F68FE"/>
    <w:rsid w:val="003F6963"/>
    <w:rsid w:val="00400165"/>
    <w:rsid w:val="004011DC"/>
    <w:rsid w:val="004019C7"/>
    <w:rsid w:val="00402274"/>
    <w:rsid w:val="00402BDC"/>
    <w:rsid w:val="00402FAE"/>
    <w:rsid w:val="00403C59"/>
    <w:rsid w:val="00403E2A"/>
    <w:rsid w:val="004040A4"/>
    <w:rsid w:val="00404B68"/>
    <w:rsid w:val="00404F8D"/>
    <w:rsid w:val="004051F2"/>
    <w:rsid w:val="004057A7"/>
    <w:rsid w:val="00405A05"/>
    <w:rsid w:val="0040654B"/>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64E"/>
    <w:rsid w:val="004268A0"/>
    <w:rsid w:val="004268E4"/>
    <w:rsid w:val="00426F8A"/>
    <w:rsid w:val="00426FDC"/>
    <w:rsid w:val="00427084"/>
    <w:rsid w:val="00427C30"/>
    <w:rsid w:val="00431271"/>
    <w:rsid w:val="00431667"/>
    <w:rsid w:val="00432898"/>
    <w:rsid w:val="00433B63"/>
    <w:rsid w:val="004350B5"/>
    <w:rsid w:val="004350B8"/>
    <w:rsid w:val="0043555D"/>
    <w:rsid w:val="00436DF5"/>
    <w:rsid w:val="004378EC"/>
    <w:rsid w:val="00440183"/>
    <w:rsid w:val="004403F0"/>
    <w:rsid w:val="00441BAF"/>
    <w:rsid w:val="004424C5"/>
    <w:rsid w:val="00442CF3"/>
    <w:rsid w:val="0044435C"/>
    <w:rsid w:val="00444362"/>
    <w:rsid w:val="00445A0A"/>
    <w:rsid w:val="00446068"/>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169"/>
    <w:rsid w:val="00456C4C"/>
    <w:rsid w:val="00456C55"/>
    <w:rsid w:val="00460FA7"/>
    <w:rsid w:val="00461897"/>
    <w:rsid w:val="00461F37"/>
    <w:rsid w:val="00462BDF"/>
    <w:rsid w:val="00464C4F"/>
    <w:rsid w:val="004658EC"/>
    <w:rsid w:val="00470389"/>
    <w:rsid w:val="00470780"/>
    <w:rsid w:val="00470787"/>
    <w:rsid w:val="00472AA5"/>
    <w:rsid w:val="00473439"/>
    <w:rsid w:val="00473923"/>
    <w:rsid w:val="0047452D"/>
    <w:rsid w:val="00476B4E"/>
    <w:rsid w:val="00476E11"/>
    <w:rsid w:val="00477E8A"/>
    <w:rsid w:val="00477ED5"/>
    <w:rsid w:val="00480679"/>
    <w:rsid w:val="0048244E"/>
    <w:rsid w:val="00483246"/>
    <w:rsid w:val="004837E9"/>
    <w:rsid w:val="00483992"/>
    <w:rsid w:val="004849D4"/>
    <w:rsid w:val="0048553C"/>
    <w:rsid w:val="0048594F"/>
    <w:rsid w:val="00491118"/>
    <w:rsid w:val="0049271B"/>
    <w:rsid w:val="004931B8"/>
    <w:rsid w:val="00493B0B"/>
    <w:rsid w:val="00493DF1"/>
    <w:rsid w:val="004942D6"/>
    <w:rsid w:val="00494F3E"/>
    <w:rsid w:val="00495577"/>
    <w:rsid w:val="0049689F"/>
    <w:rsid w:val="00497749"/>
    <w:rsid w:val="004A03B2"/>
    <w:rsid w:val="004A068B"/>
    <w:rsid w:val="004A0CA9"/>
    <w:rsid w:val="004A119A"/>
    <w:rsid w:val="004A26EC"/>
    <w:rsid w:val="004A3166"/>
    <w:rsid w:val="004A4495"/>
    <w:rsid w:val="004A5BD8"/>
    <w:rsid w:val="004A6074"/>
    <w:rsid w:val="004A61D9"/>
    <w:rsid w:val="004A6AFE"/>
    <w:rsid w:val="004A79EA"/>
    <w:rsid w:val="004B09A9"/>
    <w:rsid w:val="004B284D"/>
    <w:rsid w:val="004B2DBD"/>
    <w:rsid w:val="004B3059"/>
    <w:rsid w:val="004B379D"/>
    <w:rsid w:val="004B4034"/>
    <w:rsid w:val="004B4825"/>
    <w:rsid w:val="004B4CE4"/>
    <w:rsid w:val="004B5457"/>
    <w:rsid w:val="004B624F"/>
    <w:rsid w:val="004B6302"/>
    <w:rsid w:val="004B63BA"/>
    <w:rsid w:val="004B643E"/>
    <w:rsid w:val="004B6E39"/>
    <w:rsid w:val="004B71A4"/>
    <w:rsid w:val="004B739E"/>
    <w:rsid w:val="004B7966"/>
    <w:rsid w:val="004C0264"/>
    <w:rsid w:val="004C067C"/>
    <w:rsid w:val="004C1D37"/>
    <w:rsid w:val="004C31C6"/>
    <w:rsid w:val="004C7773"/>
    <w:rsid w:val="004C7B30"/>
    <w:rsid w:val="004D0222"/>
    <w:rsid w:val="004D23C6"/>
    <w:rsid w:val="004D2A10"/>
    <w:rsid w:val="004D3CA2"/>
    <w:rsid w:val="004D453D"/>
    <w:rsid w:val="004D49C1"/>
    <w:rsid w:val="004D679E"/>
    <w:rsid w:val="004D68B2"/>
    <w:rsid w:val="004E0FEE"/>
    <w:rsid w:val="004E242B"/>
    <w:rsid w:val="004E2BD5"/>
    <w:rsid w:val="004E2F56"/>
    <w:rsid w:val="004E3B81"/>
    <w:rsid w:val="004E7470"/>
    <w:rsid w:val="004F183E"/>
    <w:rsid w:val="004F2FEE"/>
    <w:rsid w:val="004F389D"/>
    <w:rsid w:val="004F3C2B"/>
    <w:rsid w:val="004F3C36"/>
    <w:rsid w:val="004F58BC"/>
    <w:rsid w:val="004F5A8C"/>
    <w:rsid w:val="004F5E76"/>
    <w:rsid w:val="004F62F3"/>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693"/>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2B33"/>
    <w:rsid w:val="005337A0"/>
    <w:rsid w:val="00533C5B"/>
    <w:rsid w:val="00535178"/>
    <w:rsid w:val="00535B4D"/>
    <w:rsid w:val="00535FCB"/>
    <w:rsid w:val="00540FFB"/>
    <w:rsid w:val="00542D39"/>
    <w:rsid w:val="00543740"/>
    <w:rsid w:val="00543D8C"/>
    <w:rsid w:val="00544408"/>
    <w:rsid w:val="005448AB"/>
    <w:rsid w:val="00546095"/>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21B5"/>
    <w:rsid w:val="00563675"/>
    <w:rsid w:val="0056529F"/>
    <w:rsid w:val="00565B63"/>
    <w:rsid w:val="0056633F"/>
    <w:rsid w:val="00566391"/>
    <w:rsid w:val="00566C78"/>
    <w:rsid w:val="005672ED"/>
    <w:rsid w:val="005703FE"/>
    <w:rsid w:val="005714E2"/>
    <w:rsid w:val="005717AF"/>
    <w:rsid w:val="00571912"/>
    <w:rsid w:val="005727FB"/>
    <w:rsid w:val="005730C7"/>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87C"/>
    <w:rsid w:val="00597838"/>
    <w:rsid w:val="00597A12"/>
    <w:rsid w:val="005A0677"/>
    <w:rsid w:val="005A1540"/>
    <w:rsid w:val="005A2AD7"/>
    <w:rsid w:val="005A2D97"/>
    <w:rsid w:val="005A3041"/>
    <w:rsid w:val="005A4304"/>
    <w:rsid w:val="005A4691"/>
    <w:rsid w:val="005A4E61"/>
    <w:rsid w:val="005A5AB4"/>
    <w:rsid w:val="005A5DA7"/>
    <w:rsid w:val="005A694C"/>
    <w:rsid w:val="005A6DC8"/>
    <w:rsid w:val="005A6FCB"/>
    <w:rsid w:val="005A77E7"/>
    <w:rsid w:val="005A7CDC"/>
    <w:rsid w:val="005B1658"/>
    <w:rsid w:val="005B1AB2"/>
    <w:rsid w:val="005B24FA"/>
    <w:rsid w:val="005B2595"/>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A38"/>
    <w:rsid w:val="005C5E3E"/>
    <w:rsid w:val="005C74A6"/>
    <w:rsid w:val="005C7835"/>
    <w:rsid w:val="005D1450"/>
    <w:rsid w:val="005D197B"/>
    <w:rsid w:val="005D2690"/>
    <w:rsid w:val="005D2AB8"/>
    <w:rsid w:val="005D2BA1"/>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678C"/>
    <w:rsid w:val="006073AC"/>
    <w:rsid w:val="00607514"/>
    <w:rsid w:val="0061011E"/>
    <w:rsid w:val="00610381"/>
    <w:rsid w:val="006111EB"/>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47C3"/>
    <w:rsid w:val="006254AC"/>
    <w:rsid w:val="00625723"/>
    <w:rsid w:val="00625940"/>
    <w:rsid w:val="006261E0"/>
    <w:rsid w:val="00627516"/>
    <w:rsid w:val="00631D99"/>
    <w:rsid w:val="00631DA6"/>
    <w:rsid w:val="00631F0C"/>
    <w:rsid w:val="006323E2"/>
    <w:rsid w:val="00632555"/>
    <w:rsid w:val="006338D8"/>
    <w:rsid w:val="00633A77"/>
    <w:rsid w:val="006341FC"/>
    <w:rsid w:val="00634DDC"/>
    <w:rsid w:val="00635AA6"/>
    <w:rsid w:val="00635B55"/>
    <w:rsid w:val="00636A9D"/>
    <w:rsid w:val="00636DC2"/>
    <w:rsid w:val="0064048E"/>
    <w:rsid w:val="006416E5"/>
    <w:rsid w:val="00641CFF"/>
    <w:rsid w:val="00643553"/>
    <w:rsid w:val="006448A4"/>
    <w:rsid w:val="006448DD"/>
    <w:rsid w:val="00644ADD"/>
    <w:rsid w:val="006450A5"/>
    <w:rsid w:val="006454C0"/>
    <w:rsid w:val="00645C41"/>
    <w:rsid w:val="0064607A"/>
    <w:rsid w:val="0064653E"/>
    <w:rsid w:val="00646D5A"/>
    <w:rsid w:val="0064799F"/>
    <w:rsid w:val="00650532"/>
    <w:rsid w:val="00650CF9"/>
    <w:rsid w:val="00651066"/>
    <w:rsid w:val="00651327"/>
    <w:rsid w:val="00651955"/>
    <w:rsid w:val="00651B31"/>
    <w:rsid w:val="00651F47"/>
    <w:rsid w:val="006522C9"/>
    <w:rsid w:val="006527CF"/>
    <w:rsid w:val="00652F12"/>
    <w:rsid w:val="0065351C"/>
    <w:rsid w:val="00654521"/>
    <w:rsid w:val="006551EB"/>
    <w:rsid w:val="00655547"/>
    <w:rsid w:val="006555B3"/>
    <w:rsid w:val="0065617E"/>
    <w:rsid w:val="006561FF"/>
    <w:rsid w:val="0065792B"/>
    <w:rsid w:val="00657948"/>
    <w:rsid w:val="00660A2C"/>
    <w:rsid w:val="00660ACA"/>
    <w:rsid w:val="0066162D"/>
    <w:rsid w:val="00661965"/>
    <w:rsid w:val="006619EE"/>
    <w:rsid w:val="00661B16"/>
    <w:rsid w:val="00662A4C"/>
    <w:rsid w:val="00663394"/>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2A61"/>
    <w:rsid w:val="00692FE8"/>
    <w:rsid w:val="006953B1"/>
    <w:rsid w:val="0069633D"/>
    <w:rsid w:val="0069698D"/>
    <w:rsid w:val="006A0E53"/>
    <w:rsid w:val="006A12C6"/>
    <w:rsid w:val="006A1D1D"/>
    <w:rsid w:val="006A1E07"/>
    <w:rsid w:val="006A2353"/>
    <w:rsid w:val="006A23AD"/>
    <w:rsid w:val="006A5710"/>
    <w:rsid w:val="006A71B0"/>
    <w:rsid w:val="006B0324"/>
    <w:rsid w:val="006B040F"/>
    <w:rsid w:val="006B08FC"/>
    <w:rsid w:val="006B1291"/>
    <w:rsid w:val="006B3C4D"/>
    <w:rsid w:val="006B43A4"/>
    <w:rsid w:val="006B4DE0"/>
    <w:rsid w:val="006B677C"/>
    <w:rsid w:val="006B718F"/>
    <w:rsid w:val="006B72CD"/>
    <w:rsid w:val="006C15D8"/>
    <w:rsid w:val="006C16E2"/>
    <w:rsid w:val="006C24A8"/>
    <w:rsid w:val="006C3099"/>
    <w:rsid w:val="006C3325"/>
    <w:rsid w:val="006C35C5"/>
    <w:rsid w:val="006C3AC5"/>
    <w:rsid w:val="006C3FE7"/>
    <w:rsid w:val="006C4A4A"/>
    <w:rsid w:val="006C6504"/>
    <w:rsid w:val="006C7B2F"/>
    <w:rsid w:val="006C7B93"/>
    <w:rsid w:val="006D0571"/>
    <w:rsid w:val="006D0B24"/>
    <w:rsid w:val="006D0C11"/>
    <w:rsid w:val="006D16B9"/>
    <w:rsid w:val="006D284B"/>
    <w:rsid w:val="006D4E76"/>
    <w:rsid w:val="006D6CAC"/>
    <w:rsid w:val="006E04E6"/>
    <w:rsid w:val="006E1662"/>
    <w:rsid w:val="006E231C"/>
    <w:rsid w:val="006E2482"/>
    <w:rsid w:val="006E33F5"/>
    <w:rsid w:val="006E356E"/>
    <w:rsid w:val="006E4816"/>
    <w:rsid w:val="006E4C1D"/>
    <w:rsid w:val="006E5724"/>
    <w:rsid w:val="006E5FF3"/>
    <w:rsid w:val="006E7C62"/>
    <w:rsid w:val="006F04E5"/>
    <w:rsid w:val="006F151E"/>
    <w:rsid w:val="006F1B9D"/>
    <w:rsid w:val="006F21C3"/>
    <w:rsid w:val="006F2C6E"/>
    <w:rsid w:val="006F4474"/>
    <w:rsid w:val="006F456B"/>
    <w:rsid w:val="006F7046"/>
    <w:rsid w:val="006F7B3F"/>
    <w:rsid w:val="006F7EC8"/>
    <w:rsid w:val="007004C8"/>
    <w:rsid w:val="007009D6"/>
    <w:rsid w:val="00702EE8"/>
    <w:rsid w:val="00703514"/>
    <w:rsid w:val="00703C27"/>
    <w:rsid w:val="007042C4"/>
    <w:rsid w:val="00705267"/>
    <w:rsid w:val="00705725"/>
    <w:rsid w:val="00706E69"/>
    <w:rsid w:val="00706F03"/>
    <w:rsid w:val="007073D0"/>
    <w:rsid w:val="007105FE"/>
    <w:rsid w:val="00710718"/>
    <w:rsid w:val="007118ED"/>
    <w:rsid w:val="007122FC"/>
    <w:rsid w:val="00712363"/>
    <w:rsid w:val="0071363D"/>
    <w:rsid w:val="00714B12"/>
    <w:rsid w:val="00714F5F"/>
    <w:rsid w:val="007155B0"/>
    <w:rsid w:val="007162E2"/>
    <w:rsid w:val="00716B8A"/>
    <w:rsid w:val="007174DC"/>
    <w:rsid w:val="007212C4"/>
    <w:rsid w:val="007213F8"/>
    <w:rsid w:val="00723047"/>
    <w:rsid w:val="00723697"/>
    <w:rsid w:val="007236A2"/>
    <w:rsid w:val="00724416"/>
    <w:rsid w:val="00724776"/>
    <w:rsid w:val="0072537A"/>
    <w:rsid w:val="00727F7D"/>
    <w:rsid w:val="0073044E"/>
    <w:rsid w:val="007304C7"/>
    <w:rsid w:val="007348BC"/>
    <w:rsid w:val="00734CB8"/>
    <w:rsid w:val="007357B6"/>
    <w:rsid w:val="00735B04"/>
    <w:rsid w:val="00735F17"/>
    <w:rsid w:val="0073703F"/>
    <w:rsid w:val="00737063"/>
    <w:rsid w:val="00737633"/>
    <w:rsid w:val="00737782"/>
    <w:rsid w:val="00742163"/>
    <w:rsid w:val="0074253B"/>
    <w:rsid w:val="00744BD1"/>
    <w:rsid w:val="00746B1A"/>
    <w:rsid w:val="00750F5B"/>
    <w:rsid w:val="00751E15"/>
    <w:rsid w:val="0075267B"/>
    <w:rsid w:val="00752A21"/>
    <w:rsid w:val="00754EE7"/>
    <w:rsid w:val="00754EEE"/>
    <w:rsid w:val="00755C4C"/>
    <w:rsid w:val="00756035"/>
    <w:rsid w:val="007562DB"/>
    <w:rsid w:val="007567D6"/>
    <w:rsid w:val="00756C78"/>
    <w:rsid w:val="00756EEC"/>
    <w:rsid w:val="007579A7"/>
    <w:rsid w:val="007604EA"/>
    <w:rsid w:val="007624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2A62"/>
    <w:rsid w:val="007741A6"/>
    <w:rsid w:val="00776CDB"/>
    <w:rsid w:val="00777CA4"/>
    <w:rsid w:val="00777F8A"/>
    <w:rsid w:val="00780B6A"/>
    <w:rsid w:val="0078170E"/>
    <w:rsid w:val="00781E87"/>
    <w:rsid w:val="00782759"/>
    <w:rsid w:val="0078282F"/>
    <w:rsid w:val="0078342B"/>
    <w:rsid w:val="007844B7"/>
    <w:rsid w:val="0078493D"/>
    <w:rsid w:val="00784D7F"/>
    <w:rsid w:val="00785EBF"/>
    <w:rsid w:val="00786886"/>
    <w:rsid w:val="00786AC5"/>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62E8"/>
    <w:rsid w:val="007A768C"/>
    <w:rsid w:val="007A7A3D"/>
    <w:rsid w:val="007A7AE8"/>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1A96"/>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4339"/>
    <w:rsid w:val="007D55B8"/>
    <w:rsid w:val="007D63EB"/>
    <w:rsid w:val="007D6CBE"/>
    <w:rsid w:val="007D7268"/>
    <w:rsid w:val="007E136D"/>
    <w:rsid w:val="007E2C85"/>
    <w:rsid w:val="007E45D1"/>
    <w:rsid w:val="007E504F"/>
    <w:rsid w:val="007E5294"/>
    <w:rsid w:val="007E6A83"/>
    <w:rsid w:val="007E6AD4"/>
    <w:rsid w:val="007E76DA"/>
    <w:rsid w:val="007E7B18"/>
    <w:rsid w:val="007F09C7"/>
    <w:rsid w:val="007F0D9B"/>
    <w:rsid w:val="007F2821"/>
    <w:rsid w:val="007F2C02"/>
    <w:rsid w:val="007F3F4E"/>
    <w:rsid w:val="007F4DED"/>
    <w:rsid w:val="007F6000"/>
    <w:rsid w:val="007F6EC1"/>
    <w:rsid w:val="007F7443"/>
    <w:rsid w:val="00800D84"/>
    <w:rsid w:val="008020B1"/>
    <w:rsid w:val="008039F0"/>
    <w:rsid w:val="00803A93"/>
    <w:rsid w:val="00803B47"/>
    <w:rsid w:val="00804AE0"/>
    <w:rsid w:val="00804DA4"/>
    <w:rsid w:val="00804F02"/>
    <w:rsid w:val="00805350"/>
    <w:rsid w:val="0080626A"/>
    <w:rsid w:val="0080676F"/>
    <w:rsid w:val="00806CCE"/>
    <w:rsid w:val="00807DE7"/>
    <w:rsid w:val="008102F3"/>
    <w:rsid w:val="00810883"/>
    <w:rsid w:val="008110A0"/>
    <w:rsid w:val="0081156E"/>
    <w:rsid w:val="00811C18"/>
    <w:rsid w:val="0081213E"/>
    <w:rsid w:val="00812B40"/>
    <w:rsid w:val="0081333C"/>
    <w:rsid w:val="00813935"/>
    <w:rsid w:val="00814932"/>
    <w:rsid w:val="00814B39"/>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36A74"/>
    <w:rsid w:val="008372B3"/>
    <w:rsid w:val="0083744A"/>
    <w:rsid w:val="0083772D"/>
    <w:rsid w:val="00841832"/>
    <w:rsid w:val="0084441E"/>
    <w:rsid w:val="00845144"/>
    <w:rsid w:val="00846611"/>
    <w:rsid w:val="0085010D"/>
    <w:rsid w:val="00851553"/>
    <w:rsid w:val="0085159B"/>
    <w:rsid w:val="00851616"/>
    <w:rsid w:val="00852046"/>
    <w:rsid w:val="00853079"/>
    <w:rsid w:val="008558DD"/>
    <w:rsid w:val="008560E3"/>
    <w:rsid w:val="00860003"/>
    <w:rsid w:val="00860911"/>
    <w:rsid w:val="00860EB3"/>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77735"/>
    <w:rsid w:val="008808B1"/>
    <w:rsid w:val="00882E0F"/>
    <w:rsid w:val="0088456E"/>
    <w:rsid w:val="00885A6D"/>
    <w:rsid w:val="0088623C"/>
    <w:rsid w:val="008862C2"/>
    <w:rsid w:val="0088633A"/>
    <w:rsid w:val="00886936"/>
    <w:rsid w:val="00890310"/>
    <w:rsid w:val="0089055A"/>
    <w:rsid w:val="0089067A"/>
    <w:rsid w:val="008907E3"/>
    <w:rsid w:val="00890898"/>
    <w:rsid w:val="00890B4D"/>
    <w:rsid w:val="00891114"/>
    <w:rsid w:val="008923D9"/>
    <w:rsid w:val="0089267B"/>
    <w:rsid w:val="008926C1"/>
    <w:rsid w:val="008929CF"/>
    <w:rsid w:val="00892E35"/>
    <w:rsid w:val="0089381C"/>
    <w:rsid w:val="008941B4"/>
    <w:rsid w:val="00895D24"/>
    <w:rsid w:val="00895F00"/>
    <w:rsid w:val="008A085D"/>
    <w:rsid w:val="008A258A"/>
    <w:rsid w:val="008A267A"/>
    <w:rsid w:val="008A26C6"/>
    <w:rsid w:val="008A3777"/>
    <w:rsid w:val="008A378E"/>
    <w:rsid w:val="008A3EA8"/>
    <w:rsid w:val="008A6AED"/>
    <w:rsid w:val="008A6CB6"/>
    <w:rsid w:val="008A725A"/>
    <w:rsid w:val="008A74DB"/>
    <w:rsid w:val="008B0A96"/>
    <w:rsid w:val="008B0E08"/>
    <w:rsid w:val="008B18C1"/>
    <w:rsid w:val="008B199E"/>
    <w:rsid w:val="008B1EED"/>
    <w:rsid w:val="008B2B06"/>
    <w:rsid w:val="008B3387"/>
    <w:rsid w:val="008B3618"/>
    <w:rsid w:val="008B58A9"/>
    <w:rsid w:val="008B59CD"/>
    <w:rsid w:val="008B5B19"/>
    <w:rsid w:val="008B6A02"/>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990"/>
    <w:rsid w:val="008D7D05"/>
    <w:rsid w:val="008E0CF6"/>
    <w:rsid w:val="008E111B"/>
    <w:rsid w:val="008E1CB6"/>
    <w:rsid w:val="008E2FD8"/>
    <w:rsid w:val="008E3651"/>
    <w:rsid w:val="008E3DB0"/>
    <w:rsid w:val="008E4BB2"/>
    <w:rsid w:val="008E519F"/>
    <w:rsid w:val="008E6B90"/>
    <w:rsid w:val="008E6FDC"/>
    <w:rsid w:val="008F18A3"/>
    <w:rsid w:val="008F22CE"/>
    <w:rsid w:val="008F23CD"/>
    <w:rsid w:val="008F6591"/>
    <w:rsid w:val="008F679C"/>
    <w:rsid w:val="008F75C6"/>
    <w:rsid w:val="0090020F"/>
    <w:rsid w:val="009003F8"/>
    <w:rsid w:val="00900A81"/>
    <w:rsid w:val="0090184F"/>
    <w:rsid w:val="00901D90"/>
    <w:rsid w:val="00903921"/>
    <w:rsid w:val="00904A21"/>
    <w:rsid w:val="00904F64"/>
    <w:rsid w:val="0090564F"/>
    <w:rsid w:val="00910EAB"/>
    <w:rsid w:val="00911293"/>
    <w:rsid w:val="00911473"/>
    <w:rsid w:val="00911D12"/>
    <w:rsid w:val="009129AA"/>
    <w:rsid w:val="0091348D"/>
    <w:rsid w:val="009139A3"/>
    <w:rsid w:val="00913CE1"/>
    <w:rsid w:val="0091439B"/>
    <w:rsid w:val="00914EC1"/>
    <w:rsid w:val="00916078"/>
    <w:rsid w:val="009166EB"/>
    <w:rsid w:val="00917DB1"/>
    <w:rsid w:val="00917E66"/>
    <w:rsid w:val="0092019D"/>
    <w:rsid w:val="00920BCD"/>
    <w:rsid w:val="00921002"/>
    <w:rsid w:val="00921415"/>
    <w:rsid w:val="0092339B"/>
    <w:rsid w:val="00923D96"/>
    <w:rsid w:val="0092421C"/>
    <w:rsid w:val="00925032"/>
    <w:rsid w:val="00925BA8"/>
    <w:rsid w:val="00926058"/>
    <w:rsid w:val="00926C37"/>
    <w:rsid w:val="00927272"/>
    <w:rsid w:val="00927FBD"/>
    <w:rsid w:val="00931994"/>
    <w:rsid w:val="00931C00"/>
    <w:rsid w:val="009330A5"/>
    <w:rsid w:val="009332D4"/>
    <w:rsid w:val="0093352C"/>
    <w:rsid w:val="00934008"/>
    <w:rsid w:val="00935F7C"/>
    <w:rsid w:val="00936593"/>
    <w:rsid w:val="00936A5B"/>
    <w:rsid w:val="00936D50"/>
    <w:rsid w:val="00937698"/>
    <w:rsid w:val="0093792D"/>
    <w:rsid w:val="009379DF"/>
    <w:rsid w:val="00937D1B"/>
    <w:rsid w:val="00940674"/>
    <w:rsid w:val="00940847"/>
    <w:rsid w:val="00940C67"/>
    <w:rsid w:val="00940EA2"/>
    <w:rsid w:val="00940F22"/>
    <w:rsid w:val="00942280"/>
    <w:rsid w:val="0094266D"/>
    <w:rsid w:val="00944588"/>
    <w:rsid w:val="00944756"/>
    <w:rsid w:val="009452E9"/>
    <w:rsid w:val="0094543A"/>
    <w:rsid w:val="00945AF9"/>
    <w:rsid w:val="00945F76"/>
    <w:rsid w:val="009473C0"/>
    <w:rsid w:val="0095217E"/>
    <w:rsid w:val="00952251"/>
    <w:rsid w:val="00952705"/>
    <w:rsid w:val="00952943"/>
    <w:rsid w:val="0095305A"/>
    <w:rsid w:val="00953BC3"/>
    <w:rsid w:val="00954CEE"/>
    <w:rsid w:val="009554B3"/>
    <w:rsid w:val="00955853"/>
    <w:rsid w:val="0095614D"/>
    <w:rsid w:val="00956410"/>
    <w:rsid w:val="0095662A"/>
    <w:rsid w:val="00957469"/>
    <w:rsid w:val="009576DE"/>
    <w:rsid w:val="00957CCF"/>
    <w:rsid w:val="00960A4F"/>
    <w:rsid w:val="00960B50"/>
    <w:rsid w:val="009619EC"/>
    <w:rsid w:val="00961F5C"/>
    <w:rsid w:val="009622F9"/>
    <w:rsid w:val="00962F82"/>
    <w:rsid w:val="00963B32"/>
    <w:rsid w:val="0096405A"/>
    <w:rsid w:val="009642E6"/>
    <w:rsid w:val="00964648"/>
    <w:rsid w:val="00964A16"/>
    <w:rsid w:val="00964D3B"/>
    <w:rsid w:val="0096504A"/>
    <w:rsid w:val="0096630C"/>
    <w:rsid w:val="00966609"/>
    <w:rsid w:val="009713C2"/>
    <w:rsid w:val="00971BF7"/>
    <w:rsid w:val="009734CD"/>
    <w:rsid w:val="00973BBE"/>
    <w:rsid w:val="00973DAB"/>
    <w:rsid w:val="009741BD"/>
    <w:rsid w:val="0097498B"/>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36B"/>
    <w:rsid w:val="00986B83"/>
    <w:rsid w:val="0099034E"/>
    <w:rsid w:val="009904FC"/>
    <w:rsid w:val="0099109C"/>
    <w:rsid w:val="009911E2"/>
    <w:rsid w:val="00991CDF"/>
    <w:rsid w:val="00995462"/>
    <w:rsid w:val="00995E70"/>
    <w:rsid w:val="00995F64"/>
    <w:rsid w:val="00996067"/>
    <w:rsid w:val="00997C46"/>
    <w:rsid w:val="009A17FC"/>
    <w:rsid w:val="009A1979"/>
    <w:rsid w:val="009A35AD"/>
    <w:rsid w:val="009A40A6"/>
    <w:rsid w:val="009A4580"/>
    <w:rsid w:val="009A4B05"/>
    <w:rsid w:val="009A56D7"/>
    <w:rsid w:val="009A6564"/>
    <w:rsid w:val="009A6889"/>
    <w:rsid w:val="009A6CA8"/>
    <w:rsid w:val="009B0EE1"/>
    <w:rsid w:val="009B1149"/>
    <w:rsid w:val="009B3987"/>
    <w:rsid w:val="009B4C44"/>
    <w:rsid w:val="009B52AB"/>
    <w:rsid w:val="009B5B47"/>
    <w:rsid w:val="009B5E2A"/>
    <w:rsid w:val="009B6960"/>
    <w:rsid w:val="009B7036"/>
    <w:rsid w:val="009C1B40"/>
    <w:rsid w:val="009C39BD"/>
    <w:rsid w:val="009C3C09"/>
    <w:rsid w:val="009C5D4F"/>
    <w:rsid w:val="009C65E5"/>
    <w:rsid w:val="009C76CD"/>
    <w:rsid w:val="009C7A12"/>
    <w:rsid w:val="009C7EDE"/>
    <w:rsid w:val="009D0916"/>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6FF"/>
    <w:rsid w:val="009E68BB"/>
    <w:rsid w:val="009E6D92"/>
    <w:rsid w:val="009E7D7C"/>
    <w:rsid w:val="009F07DC"/>
    <w:rsid w:val="009F0A26"/>
    <w:rsid w:val="009F1124"/>
    <w:rsid w:val="009F432B"/>
    <w:rsid w:val="009F60B3"/>
    <w:rsid w:val="009F6A04"/>
    <w:rsid w:val="009F6A51"/>
    <w:rsid w:val="009F7396"/>
    <w:rsid w:val="009F76E6"/>
    <w:rsid w:val="00A002C6"/>
    <w:rsid w:val="00A003A7"/>
    <w:rsid w:val="00A0120F"/>
    <w:rsid w:val="00A0133E"/>
    <w:rsid w:val="00A01ADE"/>
    <w:rsid w:val="00A0261C"/>
    <w:rsid w:val="00A03B89"/>
    <w:rsid w:val="00A03E5E"/>
    <w:rsid w:val="00A042DD"/>
    <w:rsid w:val="00A0437A"/>
    <w:rsid w:val="00A05680"/>
    <w:rsid w:val="00A05805"/>
    <w:rsid w:val="00A06145"/>
    <w:rsid w:val="00A11B87"/>
    <w:rsid w:val="00A13A00"/>
    <w:rsid w:val="00A15A7B"/>
    <w:rsid w:val="00A17C5C"/>
    <w:rsid w:val="00A17D42"/>
    <w:rsid w:val="00A17F67"/>
    <w:rsid w:val="00A2086E"/>
    <w:rsid w:val="00A20B30"/>
    <w:rsid w:val="00A21503"/>
    <w:rsid w:val="00A2186E"/>
    <w:rsid w:val="00A21C02"/>
    <w:rsid w:val="00A21D6B"/>
    <w:rsid w:val="00A221CB"/>
    <w:rsid w:val="00A22EBA"/>
    <w:rsid w:val="00A23730"/>
    <w:rsid w:val="00A2388A"/>
    <w:rsid w:val="00A23C21"/>
    <w:rsid w:val="00A2523A"/>
    <w:rsid w:val="00A25694"/>
    <w:rsid w:val="00A25EB6"/>
    <w:rsid w:val="00A269C5"/>
    <w:rsid w:val="00A274BF"/>
    <w:rsid w:val="00A27C15"/>
    <w:rsid w:val="00A300D0"/>
    <w:rsid w:val="00A309C7"/>
    <w:rsid w:val="00A31F16"/>
    <w:rsid w:val="00A322D2"/>
    <w:rsid w:val="00A33523"/>
    <w:rsid w:val="00A341C9"/>
    <w:rsid w:val="00A35615"/>
    <w:rsid w:val="00A369B8"/>
    <w:rsid w:val="00A37256"/>
    <w:rsid w:val="00A427C6"/>
    <w:rsid w:val="00A42D04"/>
    <w:rsid w:val="00A436D3"/>
    <w:rsid w:val="00A44CB7"/>
    <w:rsid w:val="00A454DC"/>
    <w:rsid w:val="00A47920"/>
    <w:rsid w:val="00A50832"/>
    <w:rsid w:val="00A50FFA"/>
    <w:rsid w:val="00A524CB"/>
    <w:rsid w:val="00A52AA0"/>
    <w:rsid w:val="00A52F8A"/>
    <w:rsid w:val="00A5357A"/>
    <w:rsid w:val="00A5377A"/>
    <w:rsid w:val="00A537A2"/>
    <w:rsid w:val="00A543E5"/>
    <w:rsid w:val="00A550DF"/>
    <w:rsid w:val="00A55B58"/>
    <w:rsid w:val="00A55CEC"/>
    <w:rsid w:val="00A600CA"/>
    <w:rsid w:val="00A61B9D"/>
    <w:rsid w:val="00A61C65"/>
    <w:rsid w:val="00A62F37"/>
    <w:rsid w:val="00A62FB2"/>
    <w:rsid w:val="00A635F2"/>
    <w:rsid w:val="00A67A45"/>
    <w:rsid w:val="00A71591"/>
    <w:rsid w:val="00A71DE9"/>
    <w:rsid w:val="00A7237B"/>
    <w:rsid w:val="00A726D1"/>
    <w:rsid w:val="00A742B8"/>
    <w:rsid w:val="00A749F6"/>
    <w:rsid w:val="00A75871"/>
    <w:rsid w:val="00A7682A"/>
    <w:rsid w:val="00A80541"/>
    <w:rsid w:val="00A805BD"/>
    <w:rsid w:val="00A8453B"/>
    <w:rsid w:val="00A84DF8"/>
    <w:rsid w:val="00A87562"/>
    <w:rsid w:val="00A87F79"/>
    <w:rsid w:val="00A91C41"/>
    <w:rsid w:val="00A91E1F"/>
    <w:rsid w:val="00A9346E"/>
    <w:rsid w:val="00A94525"/>
    <w:rsid w:val="00A94811"/>
    <w:rsid w:val="00A94865"/>
    <w:rsid w:val="00A94CF9"/>
    <w:rsid w:val="00A94DE8"/>
    <w:rsid w:val="00A9585F"/>
    <w:rsid w:val="00A961BF"/>
    <w:rsid w:val="00A96318"/>
    <w:rsid w:val="00A96C26"/>
    <w:rsid w:val="00AA0FB3"/>
    <w:rsid w:val="00AA1403"/>
    <w:rsid w:val="00AA1451"/>
    <w:rsid w:val="00AA21F2"/>
    <w:rsid w:val="00AA302A"/>
    <w:rsid w:val="00AA3102"/>
    <w:rsid w:val="00AA33C0"/>
    <w:rsid w:val="00AA34C5"/>
    <w:rsid w:val="00AA616F"/>
    <w:rsid w:val="00AA648E"/>
    <w:rsid w:val="00AA64FE"/>
    <w:rsid w:val="00AA7C53"/>
    <w:rsid w:val="00AB0777"/>
    <w:rsid w:val="00AB0A8E"/>
    <w:rsid w:val="00AB1432"/>
    <w:rsid w:val="00AB1714"/>
    <w:rsid w:val="00AB1B85"/>
    <w:rsid w:val="00AB1E11"/>
    <w:rsid w:val="00AB22F7"/>
    <w:rsid w:val="00AB40F2"/>
    <w:rsid w:val="00AB4308"/>
    <w:rsid w:val="00AB5247"/>
    <w:rsid w:val="00AB5B4C"/>
    <w:rsid w:val="00AB671F"/>
    <w:rsid w:val="00AB7B27"/>
    <w:rsid w:val="00AC0246"/>
    <w:rsid w:val="00AC1748"/>
    <w:rsid w:val="00AC199D"/>
    <w:rsid w:val="00AC1FA6"/>
    <w:rsid w:val="00AC2BF0"/>
    <w:rsid w:val="00AC3868"/>
    <w:rsid w:val="00AC3F39"/>
    <w:rsid w:val="00AC4AE8"/>
    <w:rsid w:val="00AC577E"/>
    <w:rsid w:val="00AC620F"/>
    <w:rsid w:val="00AC64CE"/>
    <w:rsid w:val="00AC6B6A"/>
    <w:rsid w:val="00AC6C0B"/>
    <w:rsid w:val="00AC7C31"/>
    <w:rsid w:val="00AC7E37"/>
    <w:rsid w:val="00AC7FE8"/>
    <w:rsid w:val="00AD036F"/>
    <w:rsid w:val="00AD0BC0"/>
    <w:rsid w:val="00AD1221"/>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09E"/>
    <w:rsid w:val="00AE5202"/>
    <w:rsid w:val="00AE565D"/>
    <w:rsid w:val="00AE5966"/>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66C1"/>
    <w:rsid w:val="00B06F4F"/>
    <w:rsid w:val="00B100C3"/>
    <w:rsid w:val="00B11BF3"/>
    <w:rsid w:val="00B11F11"/>
    <w:rsid w:val="00B11FC3"/>
    <w:rsid w:val="00B140FF"/>
    <w:rsid w:val="00B149B0"/>
    <w:rsid w:val="00B14E2B"/>
    <w:rsid w:val="00B1509E"/>
    <w:rsid w:val="00B15AA6"/>
    <w:rsid w:val="00B17465"/>
    <w:rsid w:val="00B205DC"/>
    <w:rsid w:val="00B20F8D"/>
    <w:rsid w:val="00B21000"/>
    <w:rsid w:val="00B225CE"/>
    <w:rsid w:val="00B236AE"/>
    <w:rsid w:val="00B23F85"/>
    <w:rsid w:val="00B241A9"/>
    <w:rsid w:val="00B24C20"/>
    <w:rsid w:val="00B264F7"/>
    <w:rsid w:val="00B26D5C"/>
    <w:rsid w:val="00B27524"/>
    <w:rsid w:val="00B27574"/>
    <w:rsid w:val="00B31653"/>
    <w:rsid w:val="00B31CE4"/>
    <w:rsid w:val="00B31E9E"/>
    <w:rsid w:val="00B32FB2"/>
    <w:rsid w:val="00B33F2E"/>
    <w:rsid w:val="00B340B5"/>
    <w:rsid w:val="00B345B6"/>
    <w:rsid w:val="00B346A3"/>
    <w:rsid w:val="00B34C16"/>
    <w:rsid w:val="00B3664A"/>
    <w:rsid w:val="00B368B7"/>
    <w:rsid w:val="00B37060"/>
    <w:rsid w:val="00B4128C"/>
    <w:rsid w:val="00B41297"/>
    <w:rsid w:val="00B423AC"/>
    <w:rsid w:val="00B42BEA"/>
    <w:rsid w:val="00B42C76"/>
    <w:rsid w:val="00B431D9"/>
    <w:rsid w:val="00B432F1"/>
    <w:rsid w:val="00B4442A"/>
    <w:rsid w:val="00B4457E"/>
    <w:rsid w:val="00B46674"/>
    <w:rsid w:val="00B469B8"/>
    <w:rsid w:val="00B46C24"/>
    <w:rsid w:val="00B47396"/>
    <w:rsid w:val="00B47536"/>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349"/>
    <w:rsid w:val="00B66E99"/>
    <w:rsid w:val="00B707CD"/>
    <w:rsid w:val="00B70D1F"/>
    <w:rsid w:val="00B70F16"/>
    <w:rsid w:val="00B71092"/>
    <w:rsid w:val="00B71288"/>
    <w:rsid w:val="00B71B1D"/>
    <w:rsid w:val="00B71D43"/>
    <w:rsid w:val="00B72851"/>
    <w:rsid w:val="00B72A26"/>
    <w:rsid w:val="00B7357C"/>
    <w:rsid w:val="00B74AA9"/>
    <w:rsid w:val="00B74DB5"/>
    <w:rsid w:val="00B76518"/>
    <w:rsid w:val="00B770F5"/>
    <w:rsid w:val="00B802A5"/>
    <w:rsid w:val="00B80F2F"/>
    <w:rsid w:val="00B81254"/>
    <w:rsid w:val="00B8326A"/>
    <w:rsid w:val="00B8485A"/>
    <w:rsid w:val="00B865FF"/>
    <w:rsid w:val="00B86C0D"/>
    <w:rsid w:val="00B90314"/>
    <w:rsid w:val="00B903E6"/>
    <w:rsid w:val="00B90CC6"/>
    <w:rsid w:val="00B93469"/>
    <w:rsid w:val="00B94DA1"/>
    <w:rsid w:val="00B956E2"/>
    <w:rsid w:val="00B95FEA"/>
    <w:rsid w:val="00B966A3"/>
    <w:rsid w:val="00B967E4"/>
    <w:rsid w:val="00B96E07"/>
    <w:rsid w:val="00B9768B"/>
    <w:rsid w:val="00BA0209"/>
    <w:rsid w:val="00BA0908"/>
    <w:rsid w:val="00BA090D"/>
    <w:rsid w:val="00BA10FA"/>
    <w:rsid w:val="00BA15F1"/>
    <w:rsid w:val="00BA18A9"/>
    <w:rsid w:val="00BA38E4"/>
    <w:rsid w:val="00BA38E7"/>
    <w:rsid w:val="00BA44E3"/>
    <w:rsid w:val="00BA5D5B"/>
    <w:rsid w:val="00BA7862"/>
    <w:rsid w:val="00BA7C2B"/>
    <w:rsid w:val="00BB2C4F"/>
    <w:rsid w:val="00BB2E03"/>
    <w:rsid w:val="00BB454D"/>
    <w:rsid w:val="00BB512F"/>
    <w:rsid w:val="00BB5B2B"/>
    <w:rsid w:val="00BB63D7"/>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33A5"/>
    <w:rsid w:val="00BE4818"/>
    <w:rsid w:val="00BE744D"/>
    <w:rsid w:val="00BE7DF9"/>
    <w:rsid w:val="00BF122D"/>
    <w:rsid w:val="00BF2527"/>
    <w:rsid w:val="00BF28A0"/>
    <w:rsid w:val="00BF2A36"/>
    <w:rsid w:val="00BF2FBC"/>
    <w:rsid w:val="00BF3503"/>
    <w:rsid w:val="00BF3748"/>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56A5"/>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0EDA"/>
    <w:rsid w:val="00C31E60"/>
    <w:rsid w:val="00C3233A"/>
    <w:rsid w:val="00C3329A"/>
    <w:rsid w:val="00C3342D"/>
    <w:rsid w:val="00C33F52"/>
    <w:rsid w:val="00C34B39"/>
    <w:rsid w:val="00C3502A"/>
    <w:rsid w:val="00C352BB"/>
    <w:rsid w:val="00C355AD"/>
    <w:rsid w:val="00C364C0"/>
    <w:rsid w:val="00C366ED"/>
    <w:rsid w:val="00C37F2B"/>
    <w:rsid w:val="00C40BC9"/>
    <w:rsid w:val="00C4156C"/>
    <w:rsid w:val="00C41BC1"/>
    <w:rsid w:val="00C42022"/>
    <w:rsid w:val="00C42A78"/>
    <w:rsid w:val="00C42CBE"/>
    <w:rsid w:val="00C42DCD"/>
    <w:rsid w:val="00C42E89"/>
    <w:rsid w:val="00C432D5"/>
    <w:rsid w:val="00C44D3C"/>
    <w:rsid w:val="00C452D9"/>
    <w:rsid w:val="00C45D0C"/>
    <w:rsid w:val="00C544E9"/>
    <w:rsid w:val="00C54C7E"/>
    <w:rsid w:val="00C54DE3"/>
    <w:rsid w:val="00C55615"/>
    <w:rsid w:val="00C5574F"/>
    <w:rsid w:val="00C55A81"/>
    <w:rsid w:val="00C56B26"/>
    <w:rsid w:val="00C56FA6"/>
    <w:rsid w:val="00C57372"/>
    <w:rsid w:val="00C57AF5"/>
    <w:rsid w:val="00C57BCD"/>
    <w:rsid w:val="00C57C9F"/>
    <w:rsid w:val="00C60482"/>
    <w:rsid w:val="00C60AFB"/>
    <w:rsid w:val="00C60EA3"/>
    <w:rsid w:val="00C61C35"/>
    <w:rsid w:val="00C61F8B"/>
    <w:rsid w:val="00C625BA"/>
    <w:rsid w:val="00C626C2"/>
    <w:rsid w:val="00C62A42"/>
    <w:rsid w:val="00C63205"/>
    <w:rsid w:val="00C63B7E"/>
    <w:rsid w:val="00C647D4"/>
    <w:rsid w:val="00C654B9"/>
    <w:rsid w:val="00C659D6"/>
    <w:rsid w:val="00C65D91"/>
    <w:rsid w:val="00C660F1"/>
    <w:rsid w:val="00C66365"/>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57BA"/>
    <w:rsid w:val="00C86203"/>
    <w:rsid w:val="00C87B9E"/>
    <w:rsid w:val="00C87C72"/>
    <w:rsid w:val="00C91FA2"/>
    <w:rsid w:val="00C94948"/>
    <w:rsid w:val="00C9753D"/>
    <w:rsid w:val="00CA3278"/>
    <w:rsid w:val="00CA45D4"/>
    <w:rsid w:val="00CA4DF8"/>
    <w:rsid w:val="00CA6EF5"/>
    <w:rsid w:val="00CA7045"/>
    <w:rsid w:val="00CA74D4"/>
    <w:rsid w:val="00CA7817"/>
    <w:rsid w:val="00CA7AE5"/>
    <w:rsid w:val="00CB19AD"/>
    <w:rsid w:val="00CB2561"/>
    <w:rsid w:val="00CB27EB"/>
    <w:rsid w:val="00CB379C"/>
    <w:rsid w:val="00CB3934"/>
    <w:rsid w:val="00CB4B92"/>
    <w:rsid w:val="00CB5B87"/>
    <w:rsid w:val="00CB5D5E"/>
    <w:rsid w:val="00CB5ED0"/>
    <w:rsid w:val="00CB62DE"/>
    <w:rsid w:val="00CB6410"/>
    <w:rsid w:val="00CB6CDE"/>
    <w:rsid w:val="00CC02B3"/>
    <w:rsid w:val="00CC0BB3"/>
    <w:rsid w:val="00CC142D"/>
    <w:rsid w:val="00CC255C"/>
    <w:rsid w:val="00CC3746"/>
    <w:rsid w:val="00CC3B9C"/>
    <w:rsid w:val="00CC4858"/>
    <w:rsid w:val="00CC4BE9"/>
    <w:rsid w:val="00CC5C98"/>
    <w:rsid w:val="00CC7A4B"/>
    <w:rsid w:val="00CD2188"/>
    <w:rsid w:val="00CD389C"/>
    <w:rsid w:val="00CD476F"/>
    <w:rsid w:val="00CD4880"/>
    <w:rsid w:val="00CD4B76"/>
    <w:rsid w:val="00CD59D5"/>
    <w:rsid w:val="00CD6178"/>
    <w:rsid w:val="00CD69F0"/>
    <w:rsid w:val="00CD7F4C"/>
    <w:rsid w:val="00CE17AB"/>
    <w:rsid w:val="00CE26B4"/>
    <w:rsid w:val="00CE2EA1"/>
    <w:rsid w:val="00CE334D"/>
    <w:rsid w:val="00CE3CBF"/>
    <w:rsid w:val="00CE3E54"/>
    <w:rsid w:val="00CE4A7D"/>
    <w:rsid w:val="00CE5579"/>
    <w:rsid w:val="00CE6C24"/>
    <w:rsid w:val="00CF01CA"/>
    <w:rsid w:val="00CF16BF"/>
    <w:rsid w:val="00CF2221"/>
    <w:rsid w:val="00CF282B"/>
    <w:rsid w:val="00CF290B"/>
    <w:rsid w:val="00CF418F"/>
    <w:rsid w:val="00CF4808"/>
    <w:rsid w:val="00CF4BD2"/>
    <w:rsid w:val="00CF53CA"/>
    <w:rsid w:val="00CF55D6"/>
    <w:rsid w:val="00CF5BCE"/>
    <w:rsid w:val="00CF78E8"/>
    <w:rsid w:val="00CF7E5C"/>
    <w:rsid w:val="00D017DA"/>
    <w:rsid w:val="00D02332"/>
    <w:rsid w:val="00D02936"/>
    <w:rsid w:val="00D029D3"/>
    <w:rsid w:val="00D03139"/>
    <w:rsid w:val="00D0514C"/>
    <w:rsid w:val="00D05839"/>
    <w:rsid w:val="00D07A38"/>
    <w:rsid w:val="00D14C84"/>
    <w:rsid w:val="00D1525F"/>
    <w:rsid w:val="00D15B50"/>
    <w:rsid w:val="00D20C86"/>
    <w:rsid w:val="00D21213"/>
    <w:rsid w:val="00D215B5"/>
    <w:rsid w:val="00D21F1E"/>
    <w:rsid w:val="00D22BD4"/>
    <w:rsid w:val="00D2354D"/>
    <w:rsid w:val="00D2358A"/>
    <w:rsid w:val="00D247BF"/>
    <w:rsid w:val="00D24EDF"/>
    <w:rsid w:val="00D2564A"/>
    <w:rsid w:val="00D269A0"/>
    <w:rsid w:val="00D32533"/>
    <w:rsid w:val="00D32FAB"/>
    <w:rsid w:val="00D35EDB"/>
    <w:rsid w:val="00D4096E"/>
    <w:rsid w:val="00D4139E"/>
    <w:rsid w:val="00D416AA"/>
    <w:rsid w:val="00D43E00"/>
    <w:rsid w:val="00D44176"/>
    <w:rsid w:val="00D4672E"/>
    <w:rsid w:val="00D475AC"/>
    <w:rsid w:val="00D50635"/>
    <w:rsid w:val="00D51C5F"/>
    <w:rsid w:val="00D5377D"/>
    <w:rsid w:val="00D54844"/>
    <w:rsid w:val="00D54AAA"/>
    <w:rsid w:val="00D55530"/>
    <w:rsid w:val="00D55A4E"/>
    <w:rsid w:val="00D56268"/>
    <w:rsid w:val="00D60042"/>
    <w:rsid w:val="00D6111F"/>
    <w:rsid w:val="00D61A8C"/>
    <w:rsid w:val="00D61E82"/>
    <w:rsid w:val="00D6231F"/>
    <w:rsid w:val="00D6313A"/>
    <w:rsid w:val="00D63605"/>
    <w:rsid w:val="00D63FFC"/>
    <w:rsid w:val="00D643DB"/>
    <w:rsid w:val="00D6515C"/>
    <w:rsid w:val="00D653D3"/>
    <w:rsid w:val="00D6714D"/>
    <w:rsid w:val="00D70035"/>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42B9"/>
    <w:rsid w:val="00D85489"/>
    <w:rsid w:val="00D927C2"/>
    <w:rsid w:val="00D93E62"/>
    <w:rsid w:val="00D941B5"/>
    <w:rsid w:val="00D94636"/>
    <w:rsid w:val="00D94E75"/>
    <w:rsid w:val="00D95689"/>
    <w:rsid w:val="00D956BB"/>
    <w:rsid w:val="00D96592"/>
    <w:rsid w:val="00D97078"/>
    <w:rsid w:val="00D974EC"/>
    <w:rsid w:val="00D977C5"/>
    <w:rsid w:val="00DA0951"/>
    <w:rsid w:val="00DA132F"/>
    <w:rsid w:val="00DA2805"/>
    <w:rsid w:val="00DA2F68"/>
    <w:rsid w:val="00DA41EC"/>
    <w:rsid w:val="00DA58F8"/>
    <w:rsid w:val="00DA5C9A"/>
    <w:rsid w:val="00DA6D5E"/>
    <w:rsid w:val="00DA7521"/>
    <w:rsid w:val="00DA7558"/>
    <w:rsid w:val="00DB083D"/>
    <w:rsid w:val="00DB2425"/>
    <w:rsid w:val="00DB2696"/>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2F0"/>
    <w:rsid w:val="00DC6352"/>
    <w:rsid w:val="00DD0079"/>
    <w:rsid w:val="00DD02B6"/>
    <w:rsid w:val="00DD099D"/>
    <w:rsid w:val="00DD16AF"/>
    <w:rsid w:val="00DD2412"/>
    <w:rsid w:val="00DD49FA"/>
    <w:rsid w:val="00DD4B17"/>
    <w:rsid w:val="00DD5AAB"/>
    <w:rsid w:val="00DD67B6"/>
    <w:rsid w:val="00DD6AB2"/>
    <w:rsid w:val="00DD7974"/>
    <w:rsid w:val="00DE0143"/>
    <w:rsid w:val="00DE0226"/>
    <w:rsid w:val="00DE03E3"/>
    <w:rsid w:val="00DE040A"/>
    <w:rsid w:val="00DE096E"/>
    <w:rsid w:val="00DE0D34"/>
    <w:rsid w:val="00DE1049"/>
    <w:rsid w:val="00DE120A"/>
    <w:rsid w:val="00DE1383"/>
    <w:rsid w:val="00DE2C65"/>
    <w:rsid w:val="00DE3600"/>
    <w:rsid w:val="00DE3882"/>
    <w:rsid w:val="00DE3EB9"/>
    <w:rsid w:val="00DE4FDF"/>
    <w:rsid w:val="00DE5D76"/>
    <w:rsid w:val="00DE7343"/>
    <w:rsid w:val="00DF00AA"/>
    <w:rsid w:val="00DF0909"/>
    <w:rsid w:val="00DF0B85"/>
    <w:rsid w:val="00DF1287"/>
    <w:rsid w:val="00DF16D2"/>
    <w:rsid w:val="00DF1B63"/>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C53"/>
    <w:rsid w:val="00E12E00"/>
    <w:rsid w:val="00E12FA6"/>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3914"/>
    <w:rsid w:val="00E244A9"/>
    <w:rsid w:val="00E25B40"/>
    <w:rsid w:val="00E26A3C"/>
    <w:rsid w:val="00E26D3C"/>
    <w:rsid w:val="00E30BE0"/>
    <w:rsid w:val="00E319CC"/>
    <w:rsid w:val="00E31A01"/>
    <w:rsid w:val="00E3298E"/>
    <w:rsid w:val="00E334BE"/>
    <w:rsid w:val="00E3369A"/>
    <w:rsid w:val="00E34432"/>
    <w:rsid w:val="00E3499F"/>
    <w:rsid w:val="00E37791"/>
    <w:rsid w:val="00E406BA"/>
    <w:rsid w:val="00E408B7"/>
    <w:rsid w:val="00E417DE"/>
    <w:rsid w:val="00E41ACC"/>
    <w:rsid w:val="00E41BA1"/>
    <w:rsid w:val="00E41F75"/>
    <w:rsid w:val="00E4246A"/>
    <w:rsid w:val="00E42AC8"/>
    <w:rsid w:val="00E43366"/>
    <w:rsid w:val="00E43772"/>
    <w:rsid w:val="00E465C8"/>
    <w:rsid w:val="00E476AD"/>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784"/>
    <w:rsid w:val="00E64A0B"/>
    <w:rsid w:val="00E7004C"/>
    <w:rsid w:val="00E712CE"/>
    <w:rsid w:val="00E7139F"/>
    <w:rsid w:val="00E7147E"/>
    <w:rsid w:val="00E73009"/>
    <w:rsid w:val="00E74A29"/>
    <w:rsid w:val="00E7529F"/>
    <w:rsid w:val="00E75458"/>
    <w:rsid w:val="00E75F2D"/>
    <w:rsid w:val="00E76FFE"/>
    <w:rsid w:val="00E77728"/>
    <w:rsid w:val="00E77CAC"/>
    <w:rsid w:val="00E80034"/>
    <w:rsid w:val="00E81184"/>
    <w:rsid w:val="00E8234B"/>
    <w:rsid w:val="00E83111"/>
    <w:rsid w:val="00E83264"/>
    <w:rsid w:val="00E8437A"/>
    <w:rsid w:val="00E849AA"/>
    <w:rsid w:val="00E854CE"/>
    <w:rsid w:val="00E85944"/>
    <w:rsid w:val="00E875EC"/>
    <w:rsid w:val="00E879BC"/>
    <w:rsid w:val="00E87C3B"/>
    <w:rsid w:val="00E9110F"/>
    <w:rsid w:val="00E91812"/>
    <w:rsid w:val="00E91867"/>
    <w:rsid w:val="00E91CFF"/>
    <w:rsid w:val="00E927EC"/>
    <w:rsid w:val="00E92BFA"/>
    <w:rsid w:val="00E93B13"/>
    <w:rsid w:val="00E93CCA"/>
    <w:rsid w:val="00E93CCB"/>
    <w:rsid w:val="00E9424D"/>
    <w:rsid w:val="00E942D2"/>
    <w:rsid w:val="00E94E55"/>
    <w:rsid w:val="00E969D6"/>
    <w:rsid w:val="00E969E8"/>
    <w:rsid w:val="00E96DCE"/>
    <w:rsid w:val="00E96E86"/>
    <w:rsid w:val="00E977E5"/>
    <w:rsid w:val="00EA0827"/>
    <w:rsid w:val="00EA1C02"/>
    <w:rsid w:val="00EA1DA3"/>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1903"/>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3F0"/>
    <w:rsid w:val="00ED1B5D"/>
    <w:rsid w:val="00ED1F3D"/>
    <w:rsid w:val="00ED2111"/>
    <w:rsid w:val="00ED3B92"/>
    <w:rsid w:val="00ED3C53"/>
    <w:rsid w:val="00ED45E7"/>
    <w:rsid w:val="00ED4766"/>
    <w:rsid w:val="00ED507F"/>
    <w:rsid w:val="00ED7097"/>
    <w:rsid w:val="00ED7A0B"/>
    <w:rsid w:val="00EE0294"/>
    <w:rsid w:val="00EE1221"/>
    <w:rsid w:val="00EE2DB7"/>
    <w:rsid w:val="00EE2F78"/>
    <w:rsid w:val="00EE3382"/>
    <w:rsid w:val="00EE36C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124D"/>
    <w:rsid w:val="00F03A9B"/>
    <w:rsid w:val="00F045E8"/>
    <w:rsid w:val="00F04669"/>
    <w:rsid w:val="00F04FB0"/>
    <w:rsid w:val="00F0521E"/>
    <w:rsid w:val="00F052E4"/>
    <w:rsid w:val="00F05ECF"/>
    <w:rsid w:val="00F06152"/>
    <w:rsid w:val="00F06507"/>
    <w:rsid w:val="00F07AA9"/>
    <w:rsid w:val="00F112CF"/>
    <w:rsid w:val="00F1390F"/>
    <w:rsid w:val="00F146DA"/>
    <w:rsid w:val="00F1487C"/>
    <w:rsid w:val="00F15E30"/>
    <w:rsid w:val="00F17B77"/>
    <w:rsid w:val="00F20800"/>
    <w:rsid w:val="00F22A6B"/>
    <w:rsid w:val="00F22E46"/>
    <w:rsid w:val="00F25FC3"/>
    <w:rsid w:val="00F25FD9"/>
    <w:rsid w:val="00F26DB5"/>
    <w:rsid w:val="00F27307"/>
    <w:rsid w:val="00F27497"/>
    <w:rsid w:val="00F30618"/>
    <w:rsid w:val="00F30B9D"/>
    <w:rsid w:val="00F318CA"/>
    <w:rsid w:val="00F32553"/>
    <w:rsid w:val="00F333AB"/>
    <w:rsid w:val="00F3502C"/>
    <w:rsid w:val="00F3600F"/>
    <w:rsid w:val="00F378BE"/>
    <w:rsid w:val="00F40600"/>
    <w:rsid w:val="00F40A36"/>
    <w:rsid w:val="00F4108F"/>
    <w:rsid w:val="00F42F74"/>
    <w:rsid w:val="00F4306E"/>
    <w:rsid w:val="00F43D0F"/>
    <w:rsid w:val="00F44C44"/>
    <w:rsid w:val="00F44C9D"/>
    <w:rsid w:val="00F45E5A"/>
    <w:rsid w:val="00F46614"/>
    <w:rsid w:val="00F46B9E"/>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257E"/>
    <w:rsid w:val="00F73210"/>
    <w:rsid w:val="00F75602"/>
    <w:rsid w:val="00F77F34"/>
    <w:rsid w:val="00F816A0"/>
    <w:rsid w:val="00F81AAD"/>
    <w:rsid w:val="00F82103"/>
    <w:rsid w:val="00F82384"/>
    <w:rsid w:val="00F83B65"/>
    <w:rsid w:val="00F83D2F"/>
    <w:rsid w:val="00F83DE8"/>
    <w:rsid w:val="00F863F6"/>
    <w:rsid w:val="00F86EF4"/>
    <w:rsid w:val="00F8723D"/>
    <w:rsid w:val="00F87BE8"/>
    <w:rsid w:val="00F906A7"/>
    <w:rsid w:val="00F90B1F"/>
    <w:rsid w:val="00F9126E"/>
    <w:rsid w:val="00F93A6E"/>
    <w:rsid w:val="00F93EE8"/>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04FF"/>
    <w:rsid w:val="00FB1225"/>
    <w:rsid w:val="00FB155E"/>
    <w:rsid w:val="00FB1589"/>
    <w:rsid w:val="00FB159B"/>
    <w:rsid w:val="00FB17A4"/>
    <w:rsid w:val="00FB19AC"/>
    <w:rsid w:val="00FB19C8"/>
    <w:rsid w:val="00FB1EC9"/>
    <w:rsid w:val="00FB3013"/>
    <w:rsid w:val="00FB336D"/>
    <w:rsid w:val="00FB3500"/>
    <w:rsid w:val="00FB3742"/>
    <w:rsid w:val="00FB45B3"/>
    <w:rsid w:val="00FB471B"/>
    <w:rsid w:val="00FB595F"/>
    <w:rsid w:val="00FC2FE1"/>
    <w:rsid w:val="00FC3BDC"/>
    <w:rsid w:val="00FC3D42"/>
    <w:rsid w:val="00FC4183"/>
    <w:rsid w:val="00FC50FC"/>
    <w:rsid w:val="00FC59E8"/>
    <w:rsid w:val="00FD0ADE"/>
    <w:rsid w:val="00FD1A7B"/>
    <w:rsid w:val="00FD2919"/>
    <w:rsid w:val="00FD404E"/>
    <w:rsid w:val="00FD467F"/>
    <w:rsid w:val="00FD4860"/>
    <w:rsid w:val="00FD50CC"/>
    <w:rsid w:val="00FD6727"/>
    <w:rsid w:val="00FD78C7"/>
    <w:rsid w:val="00FE278A"/>
    <w:rsid w:val="00FE2E76"/>
    <w:rsid w:val="00FE4E5D"/>
    <w:rsid w:val="00FE4F82"/>
    <w:rsid w:val="00FE529F"/>
    <w:rsid w:val="00FE5888"/>
    <w:rsid w:val="00FE673C"/>
    <w:rsid w:val="00FE6B6A"/>
    <w:rsid w:val="00FF0A1C"/>
    <w:rsid w:val="00FF0BB4"/>
    <w:rsid w:val="00FF2F3E"/>
    <w:rsid w:val="00FF366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CF4B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590892800">
      <w:bodyDiv w:val="1"/>
      <w:marLeft w:val="0"/>
      <w:marRight w:val="0"/>
      <w:marTop w:val="0"/>
      <w:marBottom w:val="0"/>
      <w:divBdr>
        <w:top w:val="none" w:sz="0" w:space="0" w:color="auto"/>
        <w:left w:val="none" w:sz="0" w:space="0" w:color="auto"/>
        <w:bottom w:val="none" w:sz="0" w:space="0" w:color="auto"/>
        <w:right w:val="none" w:sz="0" w:space="0" w:color="auto"/>
      </w:divBdr>
    </w:div>
    <w:div w:id="597639649">
      <w:bodyDiv w:val="1"/>
      <w:marLeft w:val="0"/>
      <w:marRight w:val="0"/>
      <w:marTop w:val="0"/>
      <w:marBottom w:val="0"/>
      <w:divBdr>
        <w:top w:val="none" w:sz="0" w:space="0" w:color="auto"/>
        <w:left w:val="none" w:sz="0" w:space="0" w:color="auto"/>
        <w:bottom w:val="none" w:sz="0" w:space="0" w:color="auto"/>
        <w:right w:val="none" w:sz="0" w:space="0" w:color="auto"/>
      </w:divBdr>
    </w:div>
    <w:div w:id="708841777">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3325579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939485136">
      <w:bodyDiv w:val="1"/>
      <w:marLeft w:val="0"/>
      <w:marRight w:val="0"/>
      <w:marTop w:val="0"/>
      <w:marBottom w:val="0"/>
      <w:divBdr>
        <w:top w:val="none" w:sz="0" w:space="0" w:color="auto"/>
        <w:left w:val="none" w:sz="0" w:space="0" w:color="auto"/>
        <w:bottom w:val="none" w:sz="0" w:space="0" w:color="auto"/>
        <w:right w:val="none" w:sz="0" w:space="0" w:color="auto"/>
      </w:divBdr>
    </w:div>
    <w:div w:id="987905540">
      <w:bodyDiv w:val="1"/>
      <w:marLeft w:val="0"/>
      <w:marRight w:val="0"/>
      <w:marTop w:val="0"/>
      <w:marBottom w:val="0"/>
      <w:divBdr>
        <w:top w:val="none" w:sz="0" w:space="0" w:color="auto"/>
        <w:left w:val="none" w:sz="0" w:space="0" w:color="auto"/>
        <w:bottom w:val="none" w:sz="0" w:space="0" w:color="auto"/>
        <w:right w:val="none" w:sz="0" w:space="0" w:color="auto"/>
      </w:divBdr>
      <w:divsChild>
        <w:div w:id="1536386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136918731">
      <w:bodyDiv w:val="1"/>
      <w:marLeft w:val="0"/>
      <w:marRight w:val="0"/>
      <w:marTop w:val="0"/>
      <w:marBottom w:val="0"/>
      <w:divBdr>
        <w:top w:val="none" w:sz="0" w:space="0" w:color="auto"/>
        <w:left w:val="none" w:sz="0" w:space="0" w:color="auto"/>
        <w:bottom w:val="none" w:sz="0" w:space="0" w:color="auto"/>
        <w:right w:val="none" w:sz="0" w:space="0" w:color="auto"/>
      </w:divBdr>
      <w:divsChild>
        <w:div w:id="48182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5690758">
      <w:bodyDiv w:val="1"/>
      <w:marLeft w:val="0"/>
      <w:marRight w:val="0"/>
      <w:marTop w:val="0"/>
      <w:marBottom w:val="0"/>
      <w:divBdr>
        <w:top w:val="none" w:sz="0" w:space="0" w:color="auto"/>
        <w:left w:val="none" w:sz="0" w:space="0" w:color="auto"/>
        <w:bottom w:val="none" w:sz="0" w:space="0" w:color="auto"/>
        <w:right w:val="none" w:sz="0" w:space="0" w:color="auto"/>
      </w:divBdr>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123</Pages>
  <Words>80200</Words>
  <Characters>457141</Characters>
  <Application>Microsoft Office Word</Application>
  <DocSecurity>0</DocSecurity>
  <Lines>3809</Lines>
  <Paragraphs>1072</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536269</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2024-03-15T01:14:00Z</cp:lastPrinted>
  <dcterms:created xsi:type="dcterms:W3CDTF">2025-07-31T22:07:00Z</dcterms:created>
  <dcterms:modified xsi:type="dcterms:W3CDTF">2025-07-31T22:07:00Z</dcterms:modified>
</cp:coreProperties>
</file>