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B36338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8"/>
          <w:szCs w:val="14"/>
        </w:rPr>
      </w:pPr>
    </w:p>
    <w:tbl>
      <w:tblPr>
        <w:tblW w:w="9298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F93E72" w:rsidRPr="000835D7" w14:paraId="179DB286" w14:textId="77777777" w:rsidTr="00F93E72">
        <w:tc>
          <w:tcPr>
            <w:tcW w:w="9298" w:type="dxa"/>
            <w:shd w:val="clear" w:color="auto" w:fill="DEEAF6"/>
          </w:tcPr>
          <w:p w14:paraId="1C494A5C" w14:textId="77777777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A7861E" w14:textId="2F589A96" w:rsidR="00F93E72" w:rsidRPr="00B36338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1E4C048B" w14:textId="2D9A1C91" w:rsidR="006A3C95" w:rsidRPr="00AC323A" w:rsidRDefault="002A10A2" w:rsidP="006A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6A3C95" w:rsidRPr="00AC323A">
        <w:rPr>
          <w:rFonts w:ascii="Arial" w:hAnsi="Arial" w:cs="Arial"/>
          <w:b/>
          <w:bCs/>
        </w:rPr>
        <w:fldChar w:fldCharType="begin"/>
      </w:r>
      <w:r w:rsidR="006A3C95"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="006A3C95" w:rsidRPr="00AC323A">
        <w:rPr>
          <w:rFonts w:ascii="Arial" w:hAnsi="Arial" w:cs="Arial"/>
          <w:b/>
          <w:bCs/>
        </w:rPr>
      </w:r>
      <w:r w:rsidR="006A3C95" w:rsidRPr="00AC323A">
        <w:rPr>
          <w:rFonts w:ascii="Arial" w:hAnsi="Arial" w:cs="Arial"/>
          <w:b/>
          <w:bCs/>
        </w:rPr>
        <w:fldChar w:fldCharType="separate"/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6A3C95">
        <w:rPr>
          <w:rStyle w:val="Hyperlink"/>
          <w:rFonts w:ascii="Arial" w:hAnsi="Arial" w:cs="Arial"/>
          <w:b/>
          <w:bCs/>
          <w:u w:val="none"/>
        </w:rPr>
        <w:t>7</w:t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6A3C95" w:rsidRPr="006A3C95">
        <w:rPr>
          <w:rStyle w:val="Hyperlink"/>
          <w:rFonts w:ascii="Arial" w:hAnsi="Arial" w:cs="Arial"/>
          <w:b/>
          <w:bCs/>
          <w:u w:val="none"/>
        </w:rPr>
        <w:t>Yoorrook Justice Commission’s Second Interim Report</w:t>
      </w:r>
      <w:r w:rsidR="00400891">
        <w:rPr>
          <w:rStyle w:val="Hyperlink"/>
          <w:rFonts w:ascii="Arial" w:hAnsi="Arial" w:cs="Arial"/>
          <w:b/>
          <w:bCs/>
          <w:u w:val="none"/>
        </w:rPr>
        <w:t xml:space="preserve"> and Govt response</w:t>
      </w:r>
    </w:p>
    <w:p w14:paraId="3AB118A0" w14:textId="370A7C3B" w:rsidR="000759A2" w:rsidRPr="000759A2" w:rsidRDefault="006A3C95" w:rsidP="00075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402729">
      <w:pPr>
        <w:pStyle w:val="Heading1"/>
        <w:keepNext/>
        <w:keepLines/>
        <w:widowControl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4F40B6F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-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30 Open Courts Act 201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3 and s.93.2 Criminal Code Act 1995 (</w:t>
        </w:r>
        <w:proofErr w:type="spellStart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Court 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33908042" w14:textId="07B20A12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6B4DE90C" w14:textId="77777777" w:rsidR="00AB27E1" w:rsidRPr="00AB27E1" w:rsidRDefault="0067194B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5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60023E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lastRenderedPageBreak/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5703BB76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a 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judgment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 / Reopening a ca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s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>e</w:t>
        </w:r>
      </w:hyperlink>
    </w:p>
    <w:p w14:paraId="3A802D46" w14:textId="4364FC0D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‘slip rule’</w:t>
        </w:r>
      </w:hyperlink>
    </w:p>
    <w:p w14:paraId="6255BAFB" w14:textId="205E3599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Reopening a case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98C5BB0" w14:textId="1E6A4836" w:rsidR="00A17384" w:rsidRPr="00317F38" w:rsidRDefault="00A17384" w:rsidP="00A1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in applications for suppression order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ex 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parte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proofErr w:type="gram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Non-reunification</w:t>
        </w:r>
        <w:proofErr w:type="gram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DA9C7F2" w14:textId="7834571B" w:rsidR="00074973" w:rsidRPr="0026033D" w:rsidRDefault="00074973" w:rsidP="0007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Consequence of incompetence of defence counsel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6BE50D43" w14:textId="29543A3E" w:rsidR="00402729" w:rsidRPr="00107348" w:rsidRDefault="00402729" w:rsidP="0040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Relevance of cultural practice to sentencing for a Commonwealth offence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42D6ECEF" w14:textId="77777777" w:rsidR="00604133" w:rsidRPr="007B518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5849997D" w14:textId="4F41EF25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r w:rsidR="00C111FB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Sentencing for h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omicide by firearm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burglary</w:t>
        </w:r>
      </w:hyperlink>
    </w:p>
    <w:p w14:paraId="38F9143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HOME_INVASION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468A19F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D_AGGRAVATED_HOME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3CE3999" w14:textId="2BF19556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,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theft of motor vehicl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>e and deception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762A8B70" w14:textId="72EAD834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402729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443B" w14:textId="77777777" w:rsidR="00637357" w:rsidRDefault="00637357" w:rsidP="00262900">
      <w:r>
        <w:separator/>
      </w:r>
    </w:p>
  </w:endnote>
  <w:endnote w:type="continuationSeparator" w:id="0">
    <w:p w14:paraId="7183E956" w14:textId="77777777" w:rsidR="00637357" w:rsidRDefault="00637357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68161102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597044">
      <w:rPr>
        <w:rStyle w:val="PageNumber"/>
        <w:rFonts w:ascii="Arial" w:hAnsi="Arial" w:cs="Arial"/>
        <w:b/>
        <w:color w:val="000000"/>
        <w:sz w:val="16"/>
      </w:rPr>
      <w:t xml:space="preserve">12 </w:t>
    </w:r>
    <w:r w:rsidR="00A17384">
      <w:rPr>
        <w:rStyle w:val="PageNumber"/>
        <w:rFonts w:ascii="Arial" w:hAnsi="Arial" w:cs="Arial"/>
        <w:b/>
        <w:color w:val="000000"/>
        <w:sz w:val="16"/>
      </w:rPr>
      <w:t>May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DDC7" w14:textId="77777777" w:rsidR="00637357" w:rsidRDefault="00637357" w:rsidP="00262900">
      <w:r>
        <w:separator/>
      </w:r>
    </w:p>
  </w:footnote>
  <w:footnote w:type="continuationSeparator" w:id="0">
    <w:p w14:paraId="43E975E3" w14:textId="77777777" w:rsidR="00637357" w:rsidRDefault="00637357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12C0B"/>
    <w:rsid w:val="00015B88"/>
    <w:rsid w:val="00030CBC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4973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1847"/>
    <w:rsid w:val="000F38E7"/>
    <w:rsid w:val="001005BF"/>
    <w:rsid w:val="00101907"/>
    <w:rsid w:val="00102D01"/>
    <w:rsid w:val="00104B55"/>
    <w:rsid w:val="00107348"/>
    <w:rsid w:val="00115C0D"/>
    <w:rsid w:val="001234D7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37CD1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B5B26"/>
    <w:rsid w:val="002D6E7E"/>
    <w:rsid w:val="002E155C"/>
    <w:rsid w:val="002F125C"/>
    <w:rsid w:val="002F5955"/>
    <w:rsid w:val="00301B68"/>
    <w:rsid w:val="003150DE"/>
    <w:rsid w:val="00317712"/>
    <w:rsid w:val="00317F38"/>
    <w:rsid w:val="00322102"/>
    <w:rsid w:val="00326619"/>
    <w:rsid w:val="003424C6"/>
    <w:rsid w:val="00343782"/>
    <w:rsid w:val="003555DD"/>
    <w:rsid w:val="00367E78"/>
    <w:rsid w:val="00377D61"/>
    <w:rsid w:val="00380642"/>
    <w:rsid w:val="00381257"/>
    <w:rsid w:val="003A0788"/>
    <w:rsid w:val="003A2F0E"/>
    <w:rsid w:val="003A34B4"/>
    <w:rsid w:val="003A5E51"/>
    <w:rsid w:val="003B062D"/>
    <w:rsid w:val="003B339C"/>
    <w:rsid w:val="003B75D8"/>
    <w:rsid w:val="003C2A37"/>
    <w:rsid w:val="003D1D86"/>
    <w:rsid w:val="003E1226"/>
    <w:rsid w:val="003F7C35"/>
    <w:rsid w:val="004001B1"/>
    <w:rsid w:val="00400891"/>
    <w:rsid w:val="004009B0"/>
    <w:rsid w:val="00402729"/>
    <w:rsid w:val="004062FA"/>
    <w:rsid w:val="004070D4"/>
    <w:rsid w:val="00407DA3"/>
    <w:rsid w:val="00412045"/>
    <w:rsid w:val="00414724"/>
    <w:rsid w:val="00414DD6"/>
    <w:rsid w:val="00420F77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C4E"/>
    <w:rsid w:val="004B71AF"/>
    <w:rsid w:val="004B732A"/>
    <w:rsid w:val="004C727C"/>
    <w:rsid w:val="004D292B"/>
    <w:rsid w:val="004F1663"/>
    <w:rsid w:val="004F619D"/>
    <w:rsid w:val="005140F4"/>
    <w:rsid w:val="00515DAF"/>
    <w:rsid w:val="00524741"/>
    <w:rsid w:val="005317D9"/>
    <w:rsid w:val="00532CF7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044"/>
    <w:rsid w:val="00597F15"/>
    <w:rsid w:val="005A0B3E"/>
    <w:rsid w:val="005A4365"/>
    <w:rsid w:val="005A43B0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04133"/>
    <w:rsid w:val="00613621"/>
    <w:rsid w:val="00613E05"/>
    <w:rsid w:val="00624295"/>
    <w:rsid w:val="00637357"/>
    <w:rsid w:val="0064032C"/>
    <w:rsid w:val="0064305D"/>
    <w:rsid w:val="006479D7"/>
    <w:rsid w:val="00647B93"/>
    <w:rsid w:val="0065129A"/>
    <w:rsid w:val="00654058"/>
    <w:rsid w:val="00662037"/>
    <w:rsid w:val="00664A9D"/>
    <w:rsid w:val="00667808"/>
    <w:rsid w:val="0067176D"/>
    <w:rsid w:val="0067194B"/>
    <w:rsid w:val="00676C36"/>
    <w:rsid w:val="00693783"/>
    <w:rsid w:val="0069537F"/>
    <w:rsid w:val="006A3390"/>
    <w:rsid w:val="006A3C95"/>
    <w:rsid w:val="006A7C5A"/>
    <w:rsid w:val="006B04CA"/>
    <w:rsid w:val="006C4FD8"/>
    <w:rsid w:val="006C5D99"/>
    <w:rsid w:val="006D05D5"/>
    <w:rsid w:val="006E18D8"/>
    <w:rsid w:val="006E1E68"/>
    <w:rsid w:val="006E4F13"/>
    <w:rsid w:val="006E605A"/>
    <w:rsid w:val="00706BF4"/>
    <w:rsid w:val="00710491"/>
    <w:rsid w:val="00713C39"/>
    <w:rsid w:val="00716A44"/>
    <w:rsid w:val="0072488B"/>
    <w:rsid w:val="0074224A"/>
    <w:rsid w:val="00745BAA"/>
    <w:rsid w:val="00746378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73A63"/>
    <w:rsid w:val="00874F5B"/>
    <w:rsid w:val="00877F73"/>
    <w:rsid w:val="008800C0"/>
    <w:rsid w:val="008831ED"/>
    <w:rsid w:val="00883B7F"/>
    <w:rsid w:val="008A21E1"/>
    <w:rsid w:val="008B3114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44FF"/>
    <w:rsid w:val="009E6C60"/>
    <w:rsid w:val="009F081A"/>
    <w:rsid w:val="009F2118"/>
    <w:rsid w:val="009F2AFC"/>
    <w:rsid w:val="00A015E4"/>
    <w:rsid w:val="00A06A14"/>
    <w:rsid w:val="00A077C1"/>
    <w:rsid w:val="00A07AB4"/>
    <w:rsid w:val="00A1510A"/>
    <w:rsid w:val="00A15907"/>
    <w:rsid w:val="00A17384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3BA"/>
    <w:rsid w:val="00A52540"/>
    <w:rsid w:val="00A60EDD"/>
    <w:rsid w:val="00A66762"/>
    <w:rsid w:val="00A715C0"/>
    <w:rsid w:val="00A76312"/>
    <w:rsid w:val="00A920D9"/>
    <w:rsid w:val="00A963EB"/>
    <w:rsid w:val="00A966B5"/>
    <w:rsid w:val="00A97D52"/>
    <w:rsid w:val="00AB27E1"/>
    <w:rsid w:val="00AB7902"/>
    <w:rsid w:val="00AC0175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6338"/>
    <w:rsid w:val="00B370D6"/>
    <w:rsid w:val="00B41952"/>
    <w:rsid w:val="00B53E35"/>
    <w:rsid w:val="00B6034D"/>
    <w:rsid w:val="00B72851"/>
    <w:rsid w:val="00B90D84"/>
    <w:rsid w:val="00BA1891"/>
    <w:rsid w:val="00BA6090"/>
    <w:rsid w:val="00BC7380"/>
    <w:rsid w:val="00BC79CC"/>
    <w:rsid w:val="00BD58D2"/>
    <w:rsid w:val="00BE0885"/>
    <w:rsid w:val="00BE2F6F"/>
    <w:rsid w:val="00BF5388"/>
    <w:rsid w:val="00C111FB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56F1"/>
    <w:rsid w:val="00C6684E"/>
    <w:rsid w:val="00C73838"/>
    <w:rsid w:val="00C767FC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6B07"/>
    <w:rsid w:val="00D47E15"/>
    <w:rsid w:val="00D5179E"/>
    <w:rsid w:val="00D544E2"/>
    <w:rsid w:val="00D70069"/>
    <w:rsid w:val="00D7276E"/>
    <w:rsid w:val="00D749F8"/>
    <w:rsid w:val="00D8096B"/>
    <w:rsid w:val="00D860D5"/>
    <w:rsid w:val="00D911B4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333F"/>
    <w:rsid w:val="00E03BDC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1D3B"/>
    <w:rsid w:val="00F24A12"/>
    <w:rsid w:val="00F34D28"/>
    <w:rsid w:val="00F43517"/>
    <w:rsid w:val="00F45BB4"/>
    <w:rsid w:val="00F6064A"/>
    <w:rsid w:val="00F74381"/>
    <w:rsid w:val="00F75602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50A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15566</Words>
  <Characters>88728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2025-05-08T20:48:00Z</dcterms:created>
  <dcterms:modified xsi:type="dcterms:W3CDTF">2025-05-08T20:48:00Z</dcterms:modified>
</cp:coreProperties>
</file>