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4E007" w14:textId="66D1F6C0" w:rsidR="00693223" w:rsidRPr="00497343" w:rsidRDefault="00693223">
      <w:pPr>
        <w:pStyle w:val="Heading1"/>
        <w:numPr>
          <w:ilvl w:val="0"/>
          <w:numId w:val="0"/>
        </w:numPr>
        <w:spacing w:before="0" w:line="240" w:lineRule="auto"/>
        <w:jc w:val="center"/>
        <w:rPr>
          <w:rFonts w:ascii="Arial" w:hAnsi="Arial" w:cs="Arial"/>
          <w:b/>
          <w:bCs/>
          <w:color w:val="FF0000"/>
          <w:sz w:val="40"/>
        </w:rPr>
      </w:pPr>
      <w:bookmarkStart w:id="0" w:name="_Toc30644233"/>
      <w:bookmarkStart w:id="1" w:name="_Toc30644636"/>
      <w:bookmarkStart w:id="2" w:name="_Toc30645186"/>
      <w:bookmarkStart w:id="3" w:name="_Toc30646397"/>
      <w:bookmarkStart w:id="4" w:name="_Toc30646692"/>
      <w:bookmarkStart w:id="5" w:name="_Toc30646803"/>
      <w:bookmarkStart w:id="6" w:name="_Toc30648160"/>
      <w:bookmarkStart w:id="7" w:name="_Toc30649058"/>
      <w:bookmarkStart w:id="8" w:name="_Toc30649134"/>
      <w:bookmarkStart w:id="9" w:name="_Toc30649395"/>
      <w:bookmarkStart w:id="10" w:name="_Toc30649720"/>
      <w:bookmarkStart w:id="11" w:name="_Toc30651660"/>
      <w:bookmarkStart w:id="12" w:name="_Toc30652650"/>
      <w:bookmarkStart w:id="13" w:name="_Toc30691554"/>
      <w:bookmarkStart w:id="14" w:name="_Toc30691934"/>
      <w:bookmarkStart w:id="15" w:name="_Toc30692693"/>
      <w:bookmarkStart w:id="16" w:name="_Toc30693072"/>
      <w:bookmarkStart w:id="17" w:name="_Toc30693450"/>
      <w:bookmarkStart w:id="18" w:name="_Toc30693828"/>
      <w:bookmarkStart w:id="19" w:name="_Toc30694209"/>
      <w:bookmarkStart w:id="20" w:name="_Toc30698798"/>
      <w:bookmarkStart w:id="21" w:name="_Toc30699176"/>
      <w:bookmarkStart w:id="22" w:name="_Toc30699561"/>
      <w:bookmarkStart w:id="23" w:name="_Toc30700716"/>
      <w:bookmarkStart w:id="24" w:name="_Toc30701103"/>
      <w:bookmarkStart w:id="25" w:name="_Toc30743712"/>
      <w:bookmarkStart w:id="26" w:name="_Toc30754535"/>
      <w:bookmarkStart w:id="27" w:name="_Toc30756975"/>
      <w:bookmarkStart w:id="28" w:name="_Toc30757524"/>
      <w:bookmarkStart w:id="29" w:name="_Toc30757924"/>
      <w:bookmarkStart w:id="30" w:name="_Toc30762685"/>
      <w:bookmarkStart w:id="31" w:name="_Toc30767339"/>
      <w:bookmarkStart w:id="32" w:name="_Toc34823355"/>
      <w:r w:rsidRPr="00497343">
        <w:rPr>
          <w:rFonts w:ascii="Arial" w:hAnsi="Arial" w:cs="Arial"/>
          <w:b/>
          <w:bCs/>
          <w:color w:val="FF0000"/>
          <w:sz w:val="40"/>
        </w:rPr>
        <w:t xml:space="preserve">4.  FAMILY DIVISION </w:t>
      </w:r>
      <w:r w:rsidR="00403F1D" w:rsidRPr="00497343">
        <w:rPr>
          <w:rFonts w:ascii="Arial" w:hAnsi="Arial" w:cs="Arial"/>
          <w:b/>
          <w:bCs/>
          <w:color w:val="FF0000"/>
          <w:sz w:val="40"/>
        </w:rPr>
        <w:t>–</w:t>
      </w:r>
      <w:r w:rsidRPr="00497343">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497343">
        <w:rPr>
          <w:rFonts w:ascii="Arial" w:hAnsi="Arial" w:cs="Arial"/>
          <w:b/>
          <w:bCs/>
          <w:color w:val="FF0000"/>
          <w:sz w:val="40"/>
        </w:rPr>
        <w:t>GENERAL</w:t>
      </w:r>
      <w:bookmarkEnd w:id="32"/>
    </w:p>
    <w:p w14:paraId="62D3682C" w14:textId="77777777" w:rsidR="00693223" w:rsidRPr="0030237B" w:rsidRDefault="00693223">
      <w:pPr>
        <w:jc w:val="both"/>
        <w:rPr>
          <w:rFonts w:ascii="Arial" w:hAnsi="Arial" w:cs="Arial"/>
          <w:sz w:val="8"/>
          <w:szCs w:val="20"/>
        </w:rPr>
      </w:pPr>
    </w:p>
    <w:p w14:paraId="63505518" w14:textId="7777777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8"/>
          <w:szCs w:val="20"/>
        </w:rPr>
      </w:pPr>
    </w:p>
    <w:p w14:paraId="31563E88" w14:textId="77777777" w:rsidR="00693223" w:rsidRPr="00F54387" w:rsidRDefault="00785D2D">
      <w:pPr>
        <w:pBdr>
          <w:top w:val="single" w:sz="4" w:space="1" w:color="auto"/>
          <w:left w:val="single" w:sz="4" w:space="4" w:color="auto"/>
          <w:bottom w:val="single" w:sz="4" w:space="1" w:color="auto"/>
          <w:right w:val="single" w:sz="4" w:space="4" w:color="auto"/>
        </w:pBdr>
        <w:rPr>
          <w:rStyle w:val="Hyperlink"/>
          <w:rFonts w:ascii="Arial" w:hAnsi="Arial" w:cs="Arial"/>
          <w:b/>
          <w:bCs/>
          <w:color w:val="3333FF"/>
          <w:u w:val="none"/>
        </w:rPr>
      </w:pPr>
      <w:r w:rsidRPr="00F54387">
        <w:rPr>
          <w:rFonts w:ascii="Arial" w:hAnsi="Arial" w:cs="Arial"/>
          <w:b/>
          <w:bCs/>
          <w:color w:val="3333FF"/>
        </w:rPr>
        <w:fldChar w:fldCharType="begin"/>
      </w:r>
      <w:r w:rsidRPr="00F54387">
        <w:rPr>
          <w:rFonts w:ascii="Arial" w:hAnsi="Arial" w:cs="Arial"/>
          <w:b/>
          <w:bCs/>
          <w:color w:val="3333FF"/>
        </w:rPr>
        <w:instrText xml:space="preserve"> HYPERLINK  \l "_4.1_The_Child" </w:instrText>
      </w:r>
      <w:r w:rsidRPr="00F54387">
        <w:rPr>
          <w:rFonts w:ascii="Arial" w:hAnsi="Arial" w:cs="Arial"/>
          <w:b/>
          <w:bCs/>
          <w:color w:val="3333FF"/>
        </w:rPr>
      </w:r>
      <w:r w:rsidRPr="00F54387">
        <w:rPr>
          <w:rFonts w:ascii="Arial" w:hAnsi="Arial" w:cs="Arial"/>
          <w:b/>
          <w:bCs/>
          <w:color w:val="3333FF"/>
        </w:rPr>
        <w:fldChar w:fldCharType="separate"/>
      </w:r>
      <w:r w:rsidR="00693223" w:rsidRPr="00F54387">
        <w:rPr>
          <w:rStyle w:val="Hyperlink"/>
          <w:rFonts w:ascii="Arial" w:hAnsi="Arial" w:cs="Arial"/>
          <w:b/>
          <w:bCs/>
          <w:color w:val="3333FF"/>
          <w:u w:val="none"/>
        </w:rPr>
        <w:t>4.1</w:t>
      </w:r>
      <w:r w:rsidR="00693223" w:rsidRPr="00F54387">
        <w:rPr>
          <w:rStyle w:val="Hyperlink"/>
          <w:rFonts w:ascii="Arial" w:hAnsi="Arial" w:cs="Arial"/>
          <w:b/>
          <w:bCs/>
          <w:color w:val="3333FF"/>
          <w:u w:val="none"/>
        </w:rPr>
        <w:tab/>
      </w:r>
      <w:r w:rsidR="00D13996" w:rsidRPr="00F54387">
        <w:rPr>
          <w:rStyle w:val="Hyperlink"/>
          <w:rFonts w:ascii="Arial" w:hAnsi="Arial" w:cs="Arial"/>
          <w:b/>
          <w:bCs/>
          <w:color w:val="3333FF"/>
          <w:u w:val="none"/>
        </w:rPr>
        <w:tab/>
      </w:r>
      <w:r w:rsidR="00940D74" w:rsidRPr="00F54387">
        <w:rPr>
          <w:rStyle w:val="Hyperlink"/>
          <w:rFonts w:ascii="Arial" w:hAnsi="Arial" w:cs="Arial"/>
          <w:b/>
          <w:bCs/>
          <w:color w:val="3333FF"/>
          <w:u w:val="none"/>
        </w:rPr>
        <w:t xml:space="preserve">The </w:t>
      </w:r>
      <w:r w:rsidR="00693223" w:rsidRPr="00F54387">
        <w:rPr>
          <w:rStyle w:val="Hyperlink"/>
          <w:rFonts w:ascii="Arial" w:hAnsi="Arial" w:cs="Arial"/>
          <w:b/>
          <w:bCs/>
          <w:color w:val="3333FF"/>
          <w:u w:val="none"/>
        </w:rPr>
        <w:t xml:space="preserve">Child Protection </w:t>
      </w:r>
      <w:r w:rsidR="00940D74" w:rsidRPr="00F54387">
        <w:rPr>
          <w:rStyle w:val="Hyperlink"/>
          <w:rFonts w:ascii="Arial" w:hAnsi="Arial" w:cs="Arial"/>
          <w:b/>
          <w:bCs/>
          <w:color w:val="3333FF"/>
          <w:u w:val="none"/>
        </w:rPr>
        <w:t>Service</w:t>
      </w:r>
      <w:r w:rsidRPr="00F54387">
        <w:rPr>
          <w:rStyle w:val="Hyperlink"/>
          <w:rFonts w:ascii="Arial" w:hAnsi="Arial" w:cs="Arial"/>
          <w:b/>
          <w:bCs/>
          <w:color w:val="3333FF"/>
          <w:u w:val="none"/>
        </w:rPr>
        <w:t xml:space="preserve"> [‘DFFH’]</w:t>
      </w:r>
    </w:p>
    <w:p w14:paraId="54A9A346" w14:textId="77777777" w:rsidR="00693223" w:rsidRPr="00BE5170" w:rsidRDefault="00785D2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F54387">
        <w:rPr>
          <w:rFonts w:ascii="Arial" w:hAnsi="Arial" w:cs="Arial"/>
          <w:b/>
          <w:bCs/>
          <w:color w:val="3333FF"/>
        </w:rPr>
        <w:fldChar w:fldCharType="end"/>
      </w:r>
      <w:hyperlink w:anchor="_4.1.1_Functions_of" w:history="1">
        <w:r w:rsidR="00D451AD"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00693223" w:rsidRPr="00BE5170">
          <w:rPr>
            <w:rStyle w:val="Hyperlink"/>
            <w:rFonts w:ascii="Arial" w:hAnsi="Arial" w:cs="Arial"/>
            <w:b/>
            <w:bCs/>
            <w:sz w:val="20"/>
            <w:u w:val="none"/>
          </w:rPr>
          <w:t>4.1.1</w:t>
        </w:r>
        <w:r w:rsidR="00693223" w:rsidRPr="00BE5170">
          <w:rPr>
            <w:rStyle w:val="Hyperlink"/>
            <w:rFonts w:ascii="Arial" w:hAnsi="Arial" w:cs="Arial"/>
            <w:b/>
            <w:bCs/>
            <w:sz w:val="20"/>
            <w:u w:val="none"/>
          </w:rPr>
          <w:tab/>
          <w:t>Functions of the Child Protection Service</w:t>
        </w:r>
      </w:hyperlink>
    </w:p>
    <w:p w14:paraId="0AE9934B" w14:textId="77777777" w:rsidR="00A82435"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2_Duty_of"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A82435" w:rsidRPr="00BE5170">
          <w:rPr>
            <w:rStyle w:val="Hyperlink"/>
            <w:rFonts w:ascii="Arial" w:hAnsi="Arial" w:cs="Arial"/>
            <w:b/>
            <w:bCs/>
            <w:sz w:val="20"/>
            <w:u w:val="none"/>
          </w:rPr>
          <w:t>4.1.2</w:t>
        </w:r>
        <w:r w:rsidR="00A82435" w:rsidRPr="00BE5170">
          <w:rPr>
            <w:rStyle w:val="Hyperlink"/>
            <w:rFonts w:ascii="Arial" w:hAnsi="Arial" w:cs="Arial"/>
            <w:b/>
            <w:bCs/>
            <w:sz w:val="20"/>
            <w:u w:val="none"/>
          </w:rPr>
          <w:tab/>
          <w:t>Duty of care of the Child Protection Service</w:t>
        </w:r>
      </w:hyperlink>
    </w:p>
    <w:p w14:paraId="3DC45613"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3_Principles_governing" w:history="1">
        <w:r w:rsidRPr="00BE5170">
          <w:rPr>
            <w:rStyle w:val="Hyperlink"/>
            <w:rFonts w:ascii="Arial" w:hAnsi="Arial" w:cs="Arial"/>
            <w:b/>
            <w:bCs/>
            <w:sz w:val="20"/>
            <w:u w:val="none"/>
          </w:rPr>
          <w:tab/>
        </w:r>
        <w:r w:rsidRPr="00BE5170">
          <w:rPr>
            <w:rStyle w:val="Hyperlink"/>
            <w:rFonts w:ascii="Arial" w:hAnsi="Arial" w:cs="Arial"/>
            <w:b/>
            <w:bCs/>
            <w:sz w:val="20"/>
            <w:u w:val="none"/>
          </w:rPr>
          <w:tab/>
          <w:t>4.1.3</w:t>
        </w:r>
        <w:r w:rsidRPr="00BE5170">
          <w:rPr>
            <w:rStyle w:val="Hyperlink"/>
            <w:rFonts w:ascii="Arial" w:hAnsi="Arial" w:cs="Arial"/>
            <w:b/>
            <w:bCs/>
            <w:sz w:val="20"/>
            <w:u w:val="none"/>
          </w:rPr>
          <w:tab/>
          <w:t>Principles governing decision-making by the Child Protection Service</w:t>
        </w:r>
      </w:hyperlink>
    </w:p>
    <w:p w14:paraId="3026E8BA"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4_Volunta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693223" w:rsidRPr="00BE5170">
          <w:rPr>
            <w:rStyle w:val="Hyperlink"/>
            <w:rFonts w:ascii="Arial" w:hAnsi="Arial" w:cs="Arial"/>
            <w:b/>
            <w:bCs/>
            <w:sz w:val="20"/>
            <w:u w:val="none"/>
          </w:rPr>
          <w:t>4.1.</w:t>
        </w:r>
        <w:r w:rsidR="00066867" w:rsidRPr="00BE5170">
          <w:rPr>
            <w:rStyle w:val="Hyperlink"/>
            <w:rFonts w:ascii="Arial" w:hAnsi="Arial" w:cs="Arial"/>
            <w:b/>
            <w:bCs/>
            <w:sz w:val="20"/>
            <w:u w:val="none"/>
          </w:rPr>
          <w:t>4</w:t>
        </w:r>
        <w:r w:rsidR="00693223" w:rsidRPr="00BE5170">
          <w:rPr>
            <w:rStyle w:val="Hyperlink"/>
            <w:rFonts w:ascii="Arial" w:hAnsi="Arial" w:cs="Arial"/>
            <w:b/>
            <w:bCs/>
            <w:sz w:val="20"/>
            <w:u w:val="none"/>
          </w:rPr>
          <w:tab/>
          <w:t>Voluntary intervention</w:t>
        </w:r>
      </w:hyperlink>
    </w:p>
    <w:p w14:paraId="5FBAE888" w14:textId="77777777" w:rsidR="00D451AD"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5_Statutory_intervention" w:history="1">
        <w:r w:rsidRPr="00BE5170">
          <w:rPr>
            <w:rStyle w:val="Hyperlink"/>
            <w:rFonts w:ascii="Arial" w:hAnsi="Arial" w:cs="Arial"/>
            <w:b/>
            <w:bCs/>
            <w:sz w:val="20"/>
            <w:u w:val="none"/>
          </w:rPr>
          <w:tab/>
        </w:r>
        <w:r w:rsidRPr="00BE5170">
          <w:rPr>
            <w:rStyle w:val="Hyperlink"/>
            <w:rFonts w:ascii="Arial" w:hAnsi="Arial" w:cs="Arial"/>
            <w:b/>
            <w:bCs/>
            <w:sz w:val="20"/>
            <w:u w:val="none"/>
          </w:rPr>
          <w:tab/>
          <w:t>4.1.5</w:t>
        </w:r>
        <w:r w:rsidRPr="00BE5170">
          <w:rPr>
            <w:rStyle w:val="Hyperlink"/>
            <w:rFonts w:ascii="Arial" w:hAnsi="Arial" w:cs="Arial"/>
            <w:b/>
            <w:bCs/>
            <w:sz w:val="20"/>
            <w:u w:val="none"/>
          </w:rPr>
          <w:tab/>
          <w:t>Statutory intervention</w:t>
        </w:r>
      </w:hyperlink>
    </w:p>
    <w:p w14:paraId="207795C1" w14:textId="0311C2CC" w:rsidR="00CF2DFD" w:rsidRDefault="00CF2DFD" w:rsidP="00CF2DF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1.6_The_Child" w:history="1">
        <w:r w:rsidRPr="00BE5170">
          <w:rPr>
            <w:rStyle w:val="Hyperlink"/>
            <w:rFonts w:ascii="Arial" w:hAnsi="Arial" w:cs="Arial"/>
            <w:b/>
            <w:bCs/>
            <w:sz w:val="20"/>
            <w:u w:val="none"/>
          </w:rPr>
          <w:tab/>
        </w:r>
        <w:r w:rsidRPr="00BE5170">
          <w:rPr>
            <w:rStyle w:val="Hyperlink"/>
            <w:rFonts w:ascii="Arial" w:hAnsi="Arial" w:cs="Arial"/>
            <w:b/>
            <w:bCs/>
            <w:sz w:val="20"/>
            <w:u w:val="none"/>
          </w:rPr>
          <w:tab/>
          <w:t>4.1.6</w:t>
        </w:r>
        <w:r w:rsidRPr="00BE5170">
          <w:rPr>
            <w:rStyle w:val="Hyperlink"/>
            <w:rFonts w:ascii="Arial" w:hAnsi="Arial" w:cs="Arial"/>
            <w:b/>
            <w:bCs/>
            <w:sz w:val="20"/>
            <w:u w:val="none"/>
          </w:rPr>
          <w:tab/>
          <w:t>The Child Protection Service as a model litigant</w:t>
        </w:r>
      </w:hyperlink>
    </w:p>
    <w:p w14:paraId="5B6ACA13" w14:textId="29D3D2B7" w:rsidR="00540381" w:rsidRPr="0004455B" w:rsidRDefault="00540381" w:rsidP="00CF2DFD">
      <w:pPr>
        <w:pBdr>
          <w:top w:val="single" w:sz="4" w:space="1" w:color="auto"/>
          <w:left w:val="single" w:sz="4" w:space="4" w:color="auto"/>
          <w:bottom w:val="single" w:sz="4" w:space="1" w:color="auto"/>
          <w:right w:val="single" w:sz="4" w:space="4" w:color="auto"/>
        </w:pBdr>
        <w:rPr>
          <w:rFonts w:ascii="Arial" w:hAnsi="Arial" w:cs="Arial"/>
          <w:b/>
          <w:bCs/>
          <w:sz w:val="20"/>
        </w:rPr>
      </w:pPr>
      <w:r w:rsidRPr="0004455B">
        <w:rPr>
          <w:rStyle w:val="Hyperlink"/>
          <w:rFonts w:ascii="Arial" w:hAnsi="Arial" w:cs="Arial"/>
          <w:b/>
          <w:bCs/>
          <w:sz w:val="20"/>
          <w:u w:val="none"/>
        </w:rPr>
        <w:tab/>
      </w:r>
      <w:r w:rsidRPr="0004455B">
        <w:rPr>
          <w:rStyle w:val="Hyperlink"/>
          <w:rFonts w:ascii="Arial" w:hAnsi="Arial" w:cs="Arial"/>
          <w:b/>
          <w:bCs/>
          <w:sz w:val="20"/>
          <w:u w:val="none"/>
        </w:rPr>
        <w:tab/>
      </w:r>
      <w:hyperlink w:anchor="_4.1.7_Secretary_DFFH" w:history="1">
        <w:r w:rsidRPr="0004455B">
          <w:rPr>
            <w:rStyle w:val="Hyperlink"/>
            <w:rFonts w:ascii="Arial" w:hAnsi="Arial" w:cs="Arial"/>
            <w:b/>
            <w:bCs/>
            <w:sz w:val="20"/>
            <w:u w:val="none"/>
          </w:rPr>
          <w:t>4.1.7</w:t>
        </w:r>
        <w:r w:rsidRPr="0004455B">
          <w:rPr>
            <w:rStyle w:val="Hyperlink"/>
            <w:rFonts w:ascii="Arial" w:hAnsi="Arial" w:cs="Arial"/>
            <w:b/>
            <w:bCs/>
            <w:sz w:val="20"/>
            <w:u w:val="none"/>
          </w:rPr>
          <w:tab/>
        </w:r>
        <w:r w:rsidR="0004455B" w:rsidRPr="0004455B">
          <w:rPr>
            <w:rStyle w:val="Hyperlink"/>
            <w:rFonts w:ascii="Arial" w:hAnsi="Arial" w:cs="Arial"/>
            <w:b/>
            <w:bCs/>
            <w:sz w:val="20"/>
            <w:u w:val="none"/>
          </w:rPr>
          <w:t>DFFH may authorise Aboriginal agency to carry out DFFH functions</w:t>
        </w:r>
      </w:hyperlink>
    </w:p>
    <w:p w14:paraId="26B8D99E" w14:textId="0DA66D11" w:rsidR="00940D74" w:rsidRPr="00BE5170" w:rsidRDefault="00940D74"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2_Role_of_1" w:history="1">
        <w:r w:rsidRPr="00BE5170">
          <w:rPr>
            <w:rStyle w:val="Hyperlink"/>
            <w:rFonts w:ascii="Arial" w:hAnsi="Arial" w:cs="Arial"/>
            <w:b/>
            <w:bCs/>
            <w:u w:val="none"/>
          </w:rPr>
          <w:t>4.2</w:t>
        </w:r>
        <w:r w:rsidRPr="00BE5170">
          <w:rPr>
            <w:rStyle w:val="Hyperlink"/>
            <w:rFonts w:ascii="Arial" w:hAnsi="Arial" w:cs="Arial"/>
            <w:b/>
            <w:bCs/>
            <w:u w:val="none"/>
          </w:rPr>
          <w:tab/>
        </w:r>
        <w:r w:rsidRPr="00BE5170">
          <w:rPr>
            <w:rStyle w:val="Hyperlink"/>
            <w:rFonts w:ascii="Arial" w:hAnsi="Arial" w:cs="Arial"/>
            <w:b/>
            <w:bCs/>
            <w:u w:val="none"/>
          </w:rPr>
          <w:tab/>
          <w:t>Role of the Children’s Court in Child Protection in Victoria</w:t>
        </w:r>
      </w:hyperlink>
    </w:p>
    <w:p w14:paraId="1C814756"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3_Jurisdiction_of" w:history="1">
        <w:r w:rsidRPr="00BE5170">
          <w:rPr>
            <w:rStyle w:val="Hyperlink"/>
            <w:rFonts w:ascii="Arial" w:hAnsi="Arial" w:cs="Arial"/>
            <w:b/>
            <w:bCs/>
            <w:u w:val="none"/>
          </w:rPr>
          <w:t>4.</w:t>
        </w:r>
        <w:r w:rsidR="00940D74" w:rsidRPr="00BE5170">
          <w:rPr>
            <w:rStyle w:val="Hyperlink"/>
            <w:rFonts w:ascii="Arial" w:hAnsi="Arial" w:cs="Arial"/>
            <w:b/>
            <w:bCs/>
            <w:u w:val="none"/>
          </w:rPr>
          <w:t>3</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Jurisdiction of Family Division</w:t>
        </w:r>
      </w:hyperlink>
    </w:p>
    <w:p w14:paraId="269A65EA"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3.1_Jurisdiction_under"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w:t>
        </w:r>
        <w:r w:rsidR="00940D74" w:rsidRPr="00BE5170">
          <w:rPr>
            <w:rStyle w:val="Hyperlink"/>
            <w:rFonts w:ascii="Arial" w:hAnsi="Arial" w:cs="Arial"/>
            <w:b/>
            <w:bCs/>
            <w:sz w:val="20"/>
            <w:u w:val="none"/>
          </w:rPr>
          <w:t>3</w:t>
        </w:r>
        <w:r w:rsidR="00693223" w:rsidRPr="00BE5170">
          <w:rPr>
            <w:rStyle w:val="Hyperlink"/>
            <w:rFonts w:ascii="Arial" w:hAnsi="Arial" w:cs="Arial"/>
            <w:b/>
            <w:bCs/>
            <w:sz w:val="20"/>
            <w:u w:val="none"/>
          </w:rPr>
          <w:t>.1</w:t>
        </w:r>
        <w:r w:rsidR="00693223" w:rsidRPr="00BE5170">
          <w:rPr>
            <w:rStyle w:val="Hyperlink"/>
            <w:rFonts w:ascii="Arial" w:hAnsi="Arial" w:cs="Arial"/>
            <w:b/>
            <w:bCs/>
            <w:sz w:val="20"/>
            <w:u w:val="none"/>
          </w:rPr>
          <w:tab/>
          <w:t>Jurisdiction under the CY</w:t>
        </w:r>
        <w:r w:rsidR="00497924" w:rsidRPr="00BE5170">
          <w:rPr>
            <w:rStyle w:val="Hyperlink"/>
            <w:rFonts w:ascii="Arial" w:hAnsi="Arial" w:cs="Arial"/>
            <w:b/>
            <w:bCs/>
            <w:sz w:val="20"/>
            <w:u w:val="none"/>
          </w:rPr>
          <w:t>F</w:t>
        </w:r>
        <w:r w:rsidR="00693223" w:rsidRPr="00BE5170">
          <w:rPr>
            <w:rStyle w:val="Hyperlink"/>
            <w:rFonts w:ascii="Arial" w:hAnsi="Arial" w:cs="Arial"/>
            <w:b/>
            <w:bCs/>
            <w:sz w:val="20"/>
            <w:u w:val="none"/>
          </w:rPr>
          <w:t>A</w:t>
        </w:r>
      </w:hyperlink>
    </w:p>
    <w:p w14:paraId="0C449A47" w14:textId="77777777" w:rsidR="00693223" w:rsidRPr="00BE5170" w:rsidRDefault="00693223">
      <w:pPr>
        <w:pBdr>
          <w:top w:val="single" w:sz="4" w:space="1" w:color="auto"/>
          <w:left w:val="single" w:sz="4" w:space="4" w:color="auto"/>
          <w:bottom w:val="single" w:sz="4" w:space="1" w:color="auto"/>
          <w:right w:val="single" w:sz="4" w:space="4" w:color="auto"/>
        </w:pBdr>
        <w:rPr>
          <w:rFonts w:ascii="Arial" w:hAnsi="Arial" w:cs="Arial"/>
          <w:b/>
          <w:bCs/>
          <w:sz w:val="20"/>
        </w:rPr>
      </w:pPr>
      <w:hyperlink w:anchor="_4.3.2_Whether_jurisdic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w:t>
        </w:r>
        <w:r w:rsidR="00940D74" w:rsidRPr="00BE5170">
          <w:rPr>
            <w:rStyle w:val="Hyperlink"/>
            <w:rFonts w:ascii="Arial" w:hAnsi="Arial" w:cs="Arial"/>
            <w:b/>
            <w:bCs/>
            <w:sz w:val="20"/>
            <w:u w:val="none"/>
          </w:rPr>
          <w:t>3</w:t>
        </w:r>
        <w:r w:rsidRPr="00BE5170">
          <w:rPr>
            <w:rStyle w:val="Hyperlink"/>
            <w:rFonts w:ascii="Arial" w:hAnsi="Arial" w:cs="Arial"/>
            <w:b/>
            <w:bCs/>
            <w:sz w:val="20"/>
            <w:u w:val="none"/>
          </w:rPr>
          <w:t>.2</w:t>
        </w:r>
        <w:r w:rsidRPr="00BE5170">
          <w:rPr>
            <w:rStyle w:val="Hyperlink"/>
            <w:rFonts w:ascii="Arial" w:hAnsi="Arial" w:cs="Arial"/>
            <w:b/>
            <w:bCs/>
            <w:sz w:val="20"/>
            <w:u w:val="none"/>
          </w:rPr>
          <w:tab/>
        </w:r>
        <w:r w:rsidR="008708AB">
          <w:rPr>
            <w:rStyle w:val="Hyperlink"/>
            <w:rFonts w:ascii="Arial" w:hAnsi="Arial" w:cs="Arial"/>
            <w:b/>
            <w:bCs/>
            <w:sz w:val="20"/>
            <w:u w:val="none"/>
          </w:rPr>
          <w:t>J</w:t>
        </w:r>
        <w:r w:rsidRPr="00BE5170">
          <w:rPr>
            <w:rStyle w:val="Hyperlink"/>
            <w:rFonts w:ascii="Arial" w:hAnsi="Arial" w:cs="Arial"/>
            <w:b/>
            <w:bCs/>
            <w:sz w:val="20"/>
            <w:u w:val="none"/>
          </w:rPr>
          <w:t>urisdiction under the Family Law Act 1975 (Cth) [as amended]</w:t>
        </w:r>
      </w:hyperlink>
    </w:p>
    <w:p w14:paraId="7C89FD9B" w14:textId="56348840" w:rsidR="001F1104" w:rsidRDefault="001F1104" w:rsidP="001F110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4.3.3_Jurisdiction_under" w:history="1">
        <w:r w:rsidRPr="00BE5170">
          <w:rPr>
            <w:rStyle w:val="Hyperlink"/>
            <w:rFonts w:ascii="Arial" w:hAnsi="Arial" w:cs="Arial"/>
            <w:b/>
            <w:bCs/>
            <w:sz w:val="20"/>
            <w:u w:val="none"/>
          </w:rPr>
          <w:tab/>
        </w:r>
        <w:r w:rsidRPr="00BE5170">
          <w:rPr>
            <w:rStyle w:val="Hyperlink"/>
            <w:rFonts w:ascii="Arial" w:hAnsi="Arial" w:cs="Arial"/>
            <w:b/>
            <w:bCs/>
            <w:sz w:val="20"/>
            <w:u w:val="none"/>
          </w:rPr>
          <w:tab/>
          <w:t>4.3.</w:t>
        </w:r>
        <w:r>
          <w:rPr>
            <w:rStyle w:val="Hyperlink"/>
            <w:rFonts w:ascii="Arial" w:hAnsi="Arial" w:cs="Arial"/>
            <w:b/>
            <w:bCs/>
            <w:sz w:val="20"/>
            <w:u w:val="none"/>
          </w:rPr>
          <w:t>3</w:t>
        </w:r>
        <w:r w:rsidRPr="00BE5170">
          <w:rPr>
            <w:rStyle w:val="Hyperlink"/>
            <w:rFonts w:ascii="Arial" w:hAnsi="Arial" w:cs="Arial"/>
            <w:b/>
            <w:bCs/>
            <w:sz w:val="20"/>
            <w:u w:val="none"/>
          </w:rPr>
          <w:tab/>
        </w:r>
        <w:r>
          <w:rPr>
            <w:rStyle w:val="Hyperlink"/>
            <w:rFonts w:ascii="Arial" w:hAnsi="Arial" w:cs="Arial"/>
            <w:b/>
            <w:bCs/>
            <w:sz w:val="20"/>
            <w:u w:val="none"/>
          </w:rPr>
          <w:t>J</w:t>
        </w:r>
        <w:r w:rsidRPr="00BE5170">
          <w:rPr>
            <w:rStyle w:val="Hyperlink"/>
            <w:rFonts w:ascii="Arial" w:hAnsi="Arial" w:cs="Arial"/>
            <w:b/>
            <w:bCs/>
            <w:sz w:val="20"/>
            <w:u w:val="none"/>
          </w:rPr>
          <w:t xml:space="preserve">urisdiction under the </w:t>
        </w:r>
        <w:r>
          <w:rPr>
            <w:rStyle w:val="Hyperlink"/>
            <w:rFonts w:ascii="Arial" w:hAnsi="Arial" w:cs="Arial"/>
            <w:b/>
            <w:bCs/>
            <w:sz w:val="20"/>
            <w:u w:val="none"/>
          </w:rPr>
          <w:t>Terrorism (Community Protection) Act 2003</w:t>
        </w:r>
      </w:hyperlink>
    </w:p>
    <w:p w14:paraId="5EBA63D6" w14:textId="767668E3" w:rsidR="00715D6B" w:rsidRPr="004261AF" w:rsidRDefault="00715D6B" w:rsidP="001F1104">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4__No" w:history="1">
        <w:r w:rsidRPr="004261AF">
          <w:rPr>
            <w:rStyle w:val="Hyperlink"/>
            <w:rFonts w:ascii="Arial" w:hAnsi="Arial" w:cs="Arial"/>
            <w:b/>
            <w:bCs/>
            <w:sz w:val="20"/>
            <w:u w:val="none"/>
          </w:rPr>
          <w:t>4.3.4</w:t>
        </w:r>
        <w:r w:rsidRPr="004261AF">
          <w:rPr>
            <w:rStyle w:val="Hyperlink"/>
            <w:rFonts w:ascii="Arial" w:hAnsi="Arial" w:cs="Arial"/>
            <w:b/>
            <w:bCs/>
            <w:sz w:val="20"/>
            <w:u w:val="none"/>
          </w:rPr>
          <w:tab/>
        </w:r>
        <w:r w:rsidR="00CB58D8">
          <w:rPr>
            <w:rStyle w:val="Hyperlink"/>
            <w:rFonts w:ascii="Arial" w:hAnsi="Arial" w:cs="Arial"/>
            <w:b/>
            <w:bCs/>
            <w:sz w:val="20"/>
            <w:u w:val="none"/>
          </w:rPr>
          <w:t>Limited</w:t>
        </w:r>
        <w:r w:rsidRPr="004261AF">
          <w:rPr>
            <w:rStyle w:val="Hyperlink"/>
            <w:rFonts w:ascii="Arial" w:hAnsi="Arial" w:cs="Arial"/>
            <w:b/>
            <w:bCs/>
            <w:sz w:val="20"/>
            <w:u w:val="none"/>
          </w:rPr>
          <w:t xml:space="preserve"> </w:t>
        </w:r>
        <w:r w:rsidR="0003013B">
          <w:rPr>
            <w:rStyle w:val="Hyperlink"/>
            <w:rFonts w:ascii="Arial" w:hAnsi="Arial" w:cs="Arial"/>
            <w:b/>
            <w:bCs/>
            <w:sz w:val="20"/>
            <w:u w:val="none"/>
          </w:rPr>
          <w:t>powers</w:t>
        </w:r>
        <w:r w:rsidRPr="004261AF">
          <w:rPr>
            <w:rStyle w:val="Hyperlink"/>
            <w:rFonts w:ascii="Arial" w:hAnsi="Arial" w:cs="Arial"/>
            <w:b/>
            <w:bCs/>
            <w:sz w:val="20"/>
            <w:u w:val="none"/>
          </w:rPr>
          <w:t xml:space="preserve"> under the Births etc </w:t>
        </w:r>
        <w:r w:rsidR="0060228E">
          <w:rPr>
            <w:rStyle w:val="Hyperlink"/>
            <w:rFonts w:ascii="Arial" w:hAnsi="Arial" w:cs="Arial"/>
            <w:b/>
            <w:bCs/>
            <w:sz w:val="20"/>
            <w:u w:val="none"/>
          </w:rPr>
          <w:t xml:space="preserve">Registration </w:t>
        </w:r>
        <w:r w:rsidRPr="004261AF">
          <w:rPr>
            <w:rStyle w:val="Hyperlink"/>
            <w:rFonts w:ascii="Arial" w:hAnsi="Arial" w:cs="Arial"/>
            <w:b/>
            <w:bCs/>
            <w:sz w:val="20"/>
            <w:u w:val="none"/>
          </w:rPr>
          <w:t>Act 1996</w:t>
        </w:r>
      </w:hyperlink>
    </w:p>
    <w:p w14:paraId="3F85334A" w14:textId="154D1113" w:rsidR="00102E8E" w:rsidRPr="004261AF" w:rsidRDefault="00102E8E" w:rsidP="00102E8E">
      <w:pPr>
        <w:pBdr>
          <w:top w:val="single" w:sz="4" w:space="1" w:color="auto"/>
          <w:left w:val="single" w:sz="4" w:space="4" w:color="auto"/>
          <w:bottom w:val="single" w:sz="4" w:space="1" w:color="auto"/>
          <w:right w:val="single" w:sz="4" w:space="4" w:color="auto"/>
        </w:pBdr>
        <w:rPr>
          <w:rFonts w:ascii="Arial" w:hAnsi="Arial" w:cs="Arial"/>
          <w:b/>
          <w:bCs/>
          <w:sz w:val="20"/>
        </w:rPr>
      </w:pPr>
      <w:r w:rsidRPr="004261AF">
        <w:rPr>
          <w:rStyle w:val="Hyperlink"/>
          <w:rFonts w:ascii="Arial" w:hAnsi="Arial" w:cs="Arial"/>
          <w:b/>
          <w:bCs/>
          <w:sz w:val="20"/>
          <w:u w:val="none"/>
        </w:rPr>
        <w:tab/>
      </w:r>
      <w:r w:rsidRPr="004261AF">
        <w:rPr>
          <w:rStyle w:val="Hyperlink"/>
          <w:rFonts w:ascii="Arial" w:hAnsi="Arial" w:cs="Arial"/>
          <w:b/>
          <w:bCs/>
          <w:sz w:val="20"/>
          <w:u w:val="none"/>
        </w:rPr>
        <w:tab/>
      </w:r>
      <w:hyperlink w:anchor="_4.3.5_Jurisdiction_under" w:history="1">
        <w:r w:rsidRPr="004261AF">
          <w:rPr>
            <w:rStyle w:val="Hyperlink"/>
            <w:rFonts w:ascii="Arial" w:hAnsi="Arial" w:cs="Arial"/>
            <w:b/>
            <w:bCs/>
            <w:sz w:val="20"/>
            <w:u w:val="none"/>
          </w:rPr>
          <w:t>4.3.</w:t>
        </w:r>
        <w:r>
          <w:rPr>
            <w:rStyle w:val="Hyperlink"/>
            <w:rFonts w:ascii="Arial" w:hAnsi="Arial" w:cs="Arial"/>
            <w:b/>
            <w:bCs/>
            <w:sz w:val="20"/>
            <w:u w:val="none"/>
          </w:rPr>
          <w:t>5</w:t>
        </w:r>
        <w:r w:rsidRPr="004261AF">
          <w:rPr>
            <w:rStyle w:val="Hyperlink"/>
            <w:rFonts w:ascii="Arial" w:hAnsi="Arial" w:cs="Arial"/>
            <w:b/>
            <w:bCs/>
            <w:sz w:val="20"/>
            <w:u w:val="none"/>
          </w:rPr>
          <w:tab/>
        </w:r>
        <w:r>
          <w:rPr>
            <w:rStyle w:val="Hyperlink"/>
            <w:rFonts w:ascii="Arial" w:hAnsi="Arial" w:cs="Arial"/>
            <w:b/>
            <w:bCs/>
            <w:sz w:val="20"/>
            <w:u w:val="none"/>
          </w:rPr>
          <w:t>Jurisdiction</w:t>
        </w:r>
        <w:r w:rsidRPr="004261AF">
          <w:rPr>
            <w:rStyle w:val="Hyperlink"/>
            <w:rFonts w:ascii="Arial" w:hAnsi="Arial" w:cs="Arial"/>
            <w:b/>
            <w:bCs/>
            <w:sz w:val="20"/>
            <w:u w:val="none"/>
          </w:rPr>
          <w:t xml:space="preserve"> under the </w:t>
        </w:r>
        <w:r>
          <w:rPr>
            <w:rStyle w:val="Hyperlink"/>
            <w:rFonts w:ascii="Arial" w:hAnsi="Arial" w:cs="Arial"/>
            <w:b/>
            <w:bCs/>
            <w:sz w:val="20"/>
            <w:u w:val="none"/>
          </w:rPr>
          <w:t xml:space="preserve">Firearms </w:t>
        </w:r>
        <w:r w:rsidRPr="004261AF">
          <w:rPr>
            <w:rStyle w:val="Hyperlink"/>
            <w:rFonts w:ascii="Arial" w:hAnsi="Arial" w:cs="Arial"/>
            <w:b/>
            <w:bCs/>
            <w:sz w:val="20"/>
            <w:u w:val="none"/>
          </w:rPr>
          <w:t>Act 1996</w:t>
        </w:r>
      </w:hyperlink>
    </w:p>
    <w:p w14:paraId="3EDF4838" w14:textId="75A60C1B"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4_Definitions_of_1" w:history="1">
        <w:r w:rsidRPr="00BE5170">
          <w:rPr>
            <w:rStyle w:val="Hyperlink"/>
            <w:rFonts w:ascii="Arial" w:hAnsi="Arial" w:cs="Arial"/>
            <w:b/>
            <w:bCs/>
            <w:u w:val="none"/>
          </w:rPr>
          <w:t>4.4</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Definition</w:t>
        </w:r>
        <w:r w:rsidR="002B604A" w:rsidRPr="00BE5170">
          <w:rPr>
            <w:rStyle w:val="Hyperlink"/>
            <w:rFonts w:ascii="Arial" w:hAnsi="Arial" w:cs="Arial"/>
            <w:b/>
            <w:bCs/>
            <w:u w:val="none"/>
          </w:rPr>
          <w:t>s</w:t>
        </w:r>
        <w:r w:rsidRPr="00BE5170">
          <w:rPr>
            <w:rStyle w:val="Hyperlink"/>
            <w:rFonts w:ascii="Arial" w:hAnsi="Arial" w:cs="Arial"/>
            <w:b/>
            <w:bCs/>
            <w:u w:val="none"/>
          </w:rPr>
          <w:t xml:space="preserve"> of </w:t>
        </w:r>
        <w:r w:rsidR="002B604A" w:rsidRPr="00BE5170">
          <w:rPr>
            <w:rStyle w:val="Hyperlink"/>
            <w:rFonts w:ascii="Arial" w:hAnsi="Arial" w:cs="Arial"/>
            <w:b/>
            <w:bCs/>
            <w:u w:val="none"/>
          </w:rPr>
          <w:t xml:space="preserve">‘child’ &amp; </w:t>
        </w:r>
        <w:r w:rsidRPr="00BE5170">
          <w:rPr>
            <w:rStyle w:val="Hyperlink"/>
            <w:rFonts w:ascii="Arial" w:hAnsi="Arial" w:cs="Arial"/>
            <w:b/>
            <w:bCs/>
            <w:u w:val="none"/>
          </w:rPr>
          <w:t>'parent'</w:t>
        </w:r>
      </w:hyperlink>
    </w:p>
    <w:p w14:paraId="16E26F8D"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5_Parental_responsibility" w:history="1">
        <w:r w:rsidRPr="00BE5170">
          <w:rPr>
            <w:rStyle w:val="Hyperlink"/>
            <w:rFonts w:ascii="Arial" w:hAnsi="Arial" w:cs="Arial"/>
            <w:b/>
            <w:bCs/>
            <w:u w:val="none"/>
          </w:rPr>
          <w:t>4.5</w:t>
        </w:r>
        <w:r w:rsidRPr="00BE5170">
          <w:rPr>
            <w:rStyle w:val="Hyperlink"/>
            <w:rFonts w:ascii="Arial" w:hAnsi="Arial" w:cs="Arial"/>
            <w:b/>
            <w:bCs/>
            <w:u w:val="none"/>
          </w:rPr>
          <w:tab/>
        </w:r>
        <w:r w:rsidR="00D13996" w:rsidRPr="00BE5170">
          <w:rPr>
            <w:rStyle w:val="Hyperlink"/>
            <w:rFonts w:ascii="Arial" w:hAnsi="Arial" w:cs="Arial"/>
            <w:b/>
            <w:bCs/>
            <w:u w:val="none"/>
          </w:rPr>
          <w:tab/>
        </w:r>
        <w:r w:rsidR="00C31E36" w:rsidRPr="00BE5170">
          <w:rPr>
            <w:rStyle w:val="Hyperlink"/>
            <w:rFonts w:ascii="Arial" w:hAnsi="Arial" w:cs="Arial"/>
            <w:b/>
            <w:bCs/>
            <w:u w:val="none"/>
          </w:rPr>
          <w:t>Parental responsibility</w:t>
        </w:r>
        <w:r w:rsidRPr="00BE5170">
          <w:rPr>
            <w:rStyle w:val="Hyperlink"/>
            <w:rFonts w:ascii="Arial" w:hAnsi="Arial" w:cs="Arial"/>
            <w:b/>
            <w:bCs/>
            <w:u w:val="none"/>
          </w:rPr>
          <w:t xml:space="preserve"> &amp; </w:t>
        </w:r>
        <w:r w:rsidR="00CF6AAD" w:rsidRPr="00BE5170">
          <w:rPr>
            <w:rStyle w:val="Hyperlink"/>
            <w:rFonts w:ascii="Arial" w:hAnsi="Arial" w:cs="Arial"/>
            <w:b/>
            <w:bCs/>
            <w:u w:val="none"/>
          </w:rPr>
          <w:t>contact</w:t>
        </w:r>
      </w:hyperlink>
    </w:p>
    <w:p w14:paraId="07DE3A96" w14:textId="77777777" w:rsidR="00693223" w:rsidRPr="00BE5170" w:rsidRDefault="00D451AD"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5.1_Parental_responsibilit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4.5.1</w:t>
        </w:r>
        <w:r w:rsidR="00693223" w:rsidRPr="00BE5170">
          <w:rPr>
            <w:rStyle w:val="Hyperlink"/>
            <w:rFonts w:ascii="Arial" w:hAnsi="Arial" w:cs="Arial"/>
            <w:b/>
            <w:bCs/>
            <w:sz w:val="20"/>
            <w:u w:val="none"/>
          </w:rPr>
          <w:tab/>
        </w:r>
        <w:r w:rsidR="00787E9B" w:rsidRPr="00BE5170">
          <w:rPr>
            <w:rStyle w:val="Hyperlink"/>
            <w:rFonts w:ascii="Arial" w:hAnsi="Arial" w:cs="Arial"/>
            <w:b/>
            <w:bCs/>
            <w:sz w:val="20"/>
            <w:u w:val="none"/>
          </w:rPr>
          <w:t>Parental responsibility – Major long-term issue</w:t>
        </w:r>
      </w:hyperlink>
    </w:p>
    <w:p w14:paraId="737A2F1B" w14:textId="77777777" w:rsidR="00787E9B" w:rsidRPr="00BE5170" w:rsidRDefault="00787E9B" w:rsidP="00787E9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2_Where_carer" w:history="1">
        <w:r w:rsidRPr="00BE5170">
          <w:rPr>
            <w:rStyle w:val="Hyperlink"/>
            <w:rFonts w:ascii="Arial" w:hAnsi="Arial" w:cs="Arial"/>
            <w:b/>
            <w:bCs/>
            <w:sz w:val="20"/>
            <w:u w:val="none"/>
          </w:rPr>
          <w:tab/>
        </w:r>
        <w:r w:rsidRPr="00BE5170">
          <w:rPr>
            <w:rStyle w:val="Hyperlink"/>
            <w:rFonts w:ascii="Arial" w:hAnsi="Arial" w:cs="Arial"/>
            <w:b/>
            <w:bCs/>
            <w:sz w:val="20"/>
            <w:u w:val="none"/>
          </w:rPr>
          <w:tab/>
          <w:t>4.5.2</w:t>
        </w:r>
        <w:r w:rsidRPr="00BE5170">
          <w:rPr>
            <w:rStyle w:val="Hyperlink"/>
            <w:rFonts w:ascii="Arial" w:hAnsi="Arial" w:cs="Arial"/>
            <w:b/>
            <w:bCs/>
            <w:sz w:val="20"/>
            <w:u w:val="none"/>
          </w:rPr>
          <w:tab/>
          <w:t>Where carer may exercise parental responsibility</w:t>
        </w:r>
      </w:hyperlink>
    </w:p>
    <w:p w14:paraId="316E1BDD"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3_Contact"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4.5.3</w:t>
        </w:r>
        <w:r w:rsidR="00693223" w:rsidRPr="00BE5170">
          <w:rPr>
            <w:rStyle w:val="Hyperlink"/>
            <w:rFonts w:ascii="Arial" w:hAnsi="Arial" w:cs="Arial"/>
            <w:b/>
            <w:bCs/>
            <w:sz w:val="20"/>
            <w:u w:val="none"/>
          </w:rPr>
          <w:tab/>
        </w:r>
        <w:r w:rsidR="00CF6AAD" w:rsidRPr="00BE5170">
          <w:rPr>
            <w:rStyle w:val="Hyperlink"/>
            <w:rFonts w:ascii="Arial" w:hAnsi="Arial" w:cs="Arial"/>
            <w:b/>
            <w:bCs/>
            <w:sz w:val="20"/>
            <w:u w:val="none"/>
          </w:rPr>
          <w:t>Contact</w:t>
        </w:r>
      </w:hyperlink>
    </w:p>
    <w:p w14:paraId="682FCD44"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5.4_Terms_used"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4.5.4</w:t>
        </w:r>
        <w:r w:rsidR="00693223" w:rsidRPr="00BE5170">
          <w:rPr>
            <w:rStyle w:val="Hyperlink"/>
            <w:rFonts w:ascii="Arial" w:hAnsi="Arial" w:cs="Arial"/>
            <w:b/>
            <w:bCs/>
            <w:sz w:val="20"/>
            <w:u w:val="none"/>
          </w:rPr>
          <w:tab/>
          <w:t>Terms used in the Family Law Act</w:t>
        </w:r>
      </w:hyperlink>
    </w:p>
    <w:p w14:paraId="0CE29DB2"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rPr>
      </w:pPr>
      <w:hyperlink w:anchor="_4.6_Protective_intervention" w:history="1">
        <w:r w:rsidRPr="00BE5170">
          <w:rPr>
            <w:rStyle w:val="Hyperlink"/>
            <w:rFonts w:ascii="Arial" w:hAnsi="Arial" w:cs="Arial"/>
            <w:b/>
            <w:bCs/>
            <w:u w:val="none"/>
          </w:rPr>
          <w:t>4.6</w:t>
        </w:r>
        <w:r w:rsidRPr="00BE5170">
          <w:rPr>
            <w:rStyle w:val="Hyperlink"/>
            <w:rFonts w:ascii="Arial" w:hAnsi="Arial" w:cs="Arial"/>
            <w:b/>
            <w:bCs/>
            <w:u w:val="none"/>
          </w:rPr>
          <w:tab/>
        </w:r>
        <w:r w:rsidR="00D13996" w:rsidRPr="00BE5170">
          <w:rPr>
            <w:rStyle w:val="Hyperlink"/>
            <w:rFonts w:ascii="Arial" w:hAnsi="Arial" w:cs="Arial"/>
            <w:b/>
            <w:bCs/>
            <w:u w:val="none"/>
          </w:rPr>
          <w:tab/>
        </w:r>
        <w:r w:rsidR="00D66DC3" w:rsidRPr="00BE5170">
          <w:rPr>
            <w:rStyle w:val="Hyperlink"/>
            <w:rFonts w:ascii="Arial" w:hAnsi="Arial" w:cs="Arial"/>
            <w:b/>
            <w:bCs/>
            <w:u w:val="none"/>
          </w:rPr>
          <w:t>P</w:t>
        </w:r>
        <w:r w:rsidR="007A7B63" w:rsidRPr="00BE5170">
          <w:rPr>
            <w:rStyle w:val="Hyperlink"/>
            <w:rFonts w:ascii="Arial" w:hAnsi="Arial" w:cs="Arial"/>
            <w:b/>
            <w:bCs/>
            <w:u w:val="none"/>
          </w:rPr>
          <w:t>rotective interven</w:t>
        </w:r>
        <w:r w:rsidR="00D66DC3" w:rsidRPr="00BE5170">
          <w:rPr>
            <w:rStyle w:val="Hyperlink"/>
            <w:rFonts w:ascii="Arial" w:hAnsi="Arial" w:cs="Arial"/>
            <w:b/>
            <w:bCs/>
            <w:u w:val="none"/>
          </w:rPr>
          <w:t>tion report</w:t>
        </w:r>
        <w:r w:rsidR="007A7B63" w:rsidRPr="00BE5170">
          <w:rPr>
            <w:rStyle w:val="Hyperlink"/>
            <w:rFonts w:ascii="Arial" w:hAnsi="Arial" w:cs="Arial"/>
            <w:b/>
            <w:bCs/>
            <w:u w:val="none"/>
          </w:rPr>
          <w:t xml:space="preserve">s [previously termed </w:t>
        </w:r>
        <w:r w:rsidR="00272B88" w:rsidRPr="00BE5170">
          <w:rPr>
            <w:rStyle w:val="Hyperlink"/>
            <w:rFonts w:ascii="Arial" w:hAnsi="Arial" w:cs="Arial"/>
            <w:b/>
            <w:bCs/>
            <w:u w:val="none"/>
          </w:rPr>
          <w:t>“</w:t>
        </w:r>
        <w:r w:rsidRPr="00BE5170">
          <w:rPr>
            <w:rStyle w:val="Hyperlink"/>
            <w:rFonts w:ascii="Arial" w:hAnsi="Arial" w:cs="Arial"/>
            <w:b/>
            <w:bCs/>
            <w:u w:val="none"/>
          </w:rPr>
          <w:t>Notifications</w:t>
        </w:r>
        <w:r w:rsidR="00272B88" w:rsidRPr="00BE5170">
          <w:rPr>
            <w:rStyle w:val="Hyperlink"/>
            <w:rFonts w:ascii="Arial" w:hAnsi="Arial" w:cs="Arial"/>
            <w:b/>
            <w:bCs/>
            <w:u w:val="none"/>
          </w:rPr>
          <w:t>”</w:t>
        </w:r>
        <w:r w:rsidR="007A7B63" w:rsidRPr="00BE5170">
          <w:rPr>
            <w:rStyle w:val="Hyperlink"/>
            <w:rFonts w:ascii="Arial" w:hAnsi="Arial" w:cs="Arial"/>
            <w:b/>
            <w:bCs/>
            <w:u w:val="none"/>
          </w:rPr>
          <w:t>]</w:t>
        </w:r>
      </w:hyperlink>
    </w:p>
    <w:p w14:paraId="6CC87008" w14:textId="77777777" w:rsidR="00C64706" w:rsidRPr="00BE5170" w:rsidRDefault="00C64706" w:rsidP="0054038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6.1_Anonymity_of" w:history="1">
        <w:r w:rsidRPr="00BE5170">
          <w:rPr>
            <w:rStyle w:val="Hyperlink"/>
            <w:rFonts w:ascii="Arial" w:hAnsi="Arial" w:cs="Arial"/>
            <w:b/>
            <w:bCs/>
            <w:sz w:val="20"/>
            <w:u w:val="none"/>
          </w:rPr>
          <w:tab/>
        </w:r>
        <w:r w:rsidRPr="00BE5170">
          <w:rPr>
            <w:rStyle w:val="Hyperlink"/>
            <w:rFonts w:ascii="Arial" w:hAnsi="Arial" w:cs="Arial"/>
            <w:b/>
            <w:bCs/>
            <w:sz w:val="20"/>
            <w:u w:val="none"/>
          </w:rPr>
          <w:tab/>
          <w:t>4.6.1</w:t>
        </w:r>
        <w:r w:rsidRPr="00BE5170">
          <w:rPr>
            <w:rStyle w:val="Hyperlink"/>
            <w:rFonts w:ascii="Arial" w:hAnsi="Arial" w:cs="Arial"/>
            <w:b/>
            <w:bCs/>
            <w:sz w:val="20"/>
            <w:u w:val="none"/>
          </w:rPr>
          <w:tab/>
          <w:t>Anonymity of protective intervention reporter [notifier]</w:t>
        </w:r>
      </w:hyperlink>
    </w:p>
    <w:p w14:paraId="607ECFDA" w14:textId="77777777" w:rsidR="00C64706" w:rsidRPr="00BE5170" w:rsidRDefault="00C64706"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2_Mandatory_protective" w:history="1">
        <w:r w:rsidRPr="00BE5170">
          <w:rPr>
            <w:rStyle w:val="Hyperlink"/>
            <w:rFonts w:ascii="Arial" w:hAnsi="Arial" w:cs="Arial"/>
            <w:b/>
            <w:bCs/>
            <w:sz w:val="20"/>
            <w:u w:val="none"/>
          </w:rPr>
          <w:tab/>
        </w:r>
        <w:r w:rsidRPr="00BE5170">
          <w:rPr>
            <w:rStyle w:val="Hyperlink"/>
            <w:rFonts w:ascii="Arial" w:hAnsi="Arial" w:cs="Arial"/>
            <w:b/>
            <w:bCs/>
            <w:sz w:val="20"/>
            <w:u w:val="none"/>
          </w:rPr>
          <w:tab/>
          <w:t>4.6.2</w:t>
        </w:r>
        <w:r w:rsidRPr="00BE5170">
          <w:rPr>
            <w:rStyle w:val="Hyperlink"/>
            <w:rFonts w:ascii="Arial" w:hAnsi="Arial" w:cs="Arial"/>
            <w:b/>
            <w:bCs/>
            <w:sz w:val="20"/>
            <w:u w:val="none"/>
          </w:rPr>
          <w:tab/>
          <w:t>Mandatory protective intervention report</w:t>
        </w:r>
      </w:hyperlink>
    </w:p>
    <w:p w14:paraId="7BF8BC3A" w14:textId="22E6A0F0" w:rsidR="00693223" w:rsidRPr="008358C0" w:rsidRDefault="00D451AD" w:rsidP="00C6470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6.3_Child_protection" w:history="1">
        <w:r w:rsidRPr="008358C0">
          <w:rPr>
            <w:rStyle w:val="Hyperlink"/>
            <w:rFonts w:ascii="Arial" w:hAnsi="Arial" w:cs="Arial"/>
            <w:b/>
            <w:bCs/>
            <w:sz w:val="20"/>
            <w:u w:val="none"/>
          </w:rPr>
          <w:tab/>
        </w:r>
        <w:r w:rsidR="00693223" w:rsidRPr="008358C0">
          <w:rPr>
            <w:rStyle w:val="Hyperlink"/>
            <w:rFonts w:ascii="Arial" w:hAnsi="Arial" w:cs="Arial"/>
            <w:b/>
            <w:bCs/>
            <w:sz w:val="20"/>
            <w:u w:val="none"/>
          </w:rPr>
          <w:tab/>
          <w:t>4.6.</w:t>
        </w:r>
        <w:r w:rsidR="00C64706" w:rsidRPr="008358C0">
          <w:rPr>
            <w:rStyle w:val="Hyperlink"/>
            <w:rFonts w:ascii="Arial" w:hAnsi="Arial" w:cs="Arial"/>
            <w:b/>
            <w:bCs/>
            <w:sz w:val="20"/>
            <w:u w:val="none"/>
          </w:rPr>
          <w:t>3</w:t>
        </w:r>
        <w:r w:rsidR="00693223" w:rsidRPr="008358C0">
          <w:rPr>
            <w:rStyle w:val="Hyperlink"/>
            <w:rFonts w:ascii="Arial" w:hAnsi="Arial" w:cs="Arial"/>
            <w:b/>
            <w:bCs/>
            <w:sz w:val="20"/>
            <w:u w:val="none"/>
          </w:rPr>
          <w:tab/>
        </w:r>
        <w:r w:rsidR="008358C0" w:rsidRPr="008358C0">
          <w:rPr>
            <w:rStyle w:val="Hyperlink"/>
            <w:rFonts w:ascii="Arial" w:hAnsi="Arial" w:cs="Arial"/>
            <w:b/>
            <w:bCs/>
            <w:sz w:val="20"/>
            <w:u w:val="none"/>
          </w:rPr>
          <w:t>C</w:t>
        </w:r>
        <w:r w:rsidR="008D3A55" w:rsidRPr="008358C0">
          <w:rPr>
            <w:rStyle w:val="Hyperlink"/>
            <w:rFonts w:ascii="Arial" w:hAnsi="Arial" w:cs="Arial"/>
            <w:b/>
            <w:bCs/>
            <w:sz w:val="20"/>
            <w:u w:val="none"/>
          </w:rPr>
          <w:t>hild protection report</w:t>
        </w:r>
        <w:r w:rsidR="008358C0" w:rsidRPr="008358C0">
          <w:rPr>
            <w:rStyle w:val="Hyperlink"/>
            <w:rFonts w:ascii="Arial" w:hAnsi="Arial" w:cs="Arial"/>
            <w:b/>
            <w:bCs/>
            <w:sz w:val="20"/>
            <w:u w:val="none"/>
          </w:rPr>
          <w:t xml:space="preserve"> </w:t>
        </w:r>
        <w:r w:rsidR="008D3A55" w:rsidRPr="008358C0">
          <w:rPr>
            <w:rStyle w:val="Hyperlink"/>
            <w:rFonts w:ascii="Arial" w:hAnsi="Arial" w:cs="Arial"/>
            <w:b/>
            <w:bCs/>
            <w:sz w:val="20"/>
            <w:u w:val="none"/>
          </w:rPr>
          <w:t>s</w:t>
        </w:r>
        <w:r w:rsidR="008358C0" w:rsidRPr="008358C0">
          <w:rPr>
            <w:rStyle w:val="Hyperlink"/>
            <w:rFonts w:ascii="Arial" w:hAnsi="Arial" w:cs="Arial"/>
            <w:b/>
            <w:bCs/>
            <w:sz w:val="20"/>
            <w:u w:val="none"/>
          </w:rPr>
          <w:t>tatistics</w:t>
        </w:r>
        <w:r w:rsidR="008D3A55" w:rsidRPr="008358C0">
          <w:rPr>
            <w:rStyle w:val="Hyperlink"/>
            <w:rFonts w:ascii="Arial" w:hAnsi="Arial" w:cs="Arial"/>
            <w:b/>
            <w:bCs/>
            <w:sz w:val="20"/>
            <w:u w:val="none"/>
          </w:rPr>
          <w:t xml:space="preserve"> </w:t>
        </w:r>
        <w:r w:rsidR="008358C0" w:rsidRPr="008358C0">
          <w:rPr>
            <w:rStyle w:val="Hyperlink"/>
            <w:rFonts w:ascii="Arial" w:hAnsi="Arial" w:cs="Arial"/>
            <w:b/>
            <w:bCs/>
            <w:sz w:val="20"/>
            <w:u w:val="none"/>
          </w:rPr>
          <w:t>(</w:t>
        </w:r>
        <w:r w:rsidR="009D6EF3" w:rsidRPr="008358C0">
          <w:rPr>
            <w:rStyle w:val="Hyperlink"/>
            <w:rFonts w:ascii="Arial" w:hAnsi="Arial" w:cs="Arial"/>
            <w:b/>
            <w:bCs/>
            <w:sz w:val="20"/>
            <w:u w:val="none"/>
          </w:rPr>
          <w:t>Victoria</w:t>
        </w:r>
        <w:r w:rsidR="008358C0" w:rsidRPr="008358C0">
          <w:rPr>
            <w:rStyle w:val="Hyperlink"/>
            <w:rFonts w:ascii="Arial" w:hAnsi="Arial" w:cs="Arial"/>
            <w:b/>
            <w:bCs/>
            <w:sz w:val="20"/>
            <w:u w:val="none"/>
          </w:rPr>
          <w:t xml:space="preserve"> &amp; Australia)</w:t>
        </w:r>
        <w:r w:rsidR="008D3A55" w:rsidRPr="008358C0">
          <w:rPr>
            <w:rStyle w:val="Hyperlink"/>
            <w:rFonts w:ascii="Arial" w:hAnsi="Arial" w:cs="Arial"/>
            <w:b/>
            <w:bCs/>
            <w:sz w:val="20"/>
            <w:u w:val="none"/>
          </w:rPr>
          <w:t xml:space="preserve"> – 19</w:t>
        </w:r>
        <w:r w:rsidR="009D6EF3" w:rsidRPr="008358C0">
          <w:rPr>
            <w:rStyle w:val="Hyperlink"/>
            <w:rFonts w:ascii="Arial" w:hAnsi="Arial" w:cs="Arial"/>
            <w:b/>
            <w:bCs/>
            <w:sz w:val="20"/>
            <w:u w:val="none"/>
          </w:rPr>
          <w:t>8</w:t>
        </w:r>
        <w:r w:rsidR="008D3A55" w:rsidRPr="008358C0">
          <w:rPr>
            <w:rStyle w:val="Hyperlink"/>
            <w:rFonts w:ascii="Arial" w:hAnsi="Arial" w:cs="Arial"/>
            <w:b/>
            <w:bCs/>
            <w:sz w:val="20"/>
            <w:u w:val="none"/>
          </w:rPr>
          <w:t>9</w:t>
        </w:r>
        <w:r w:rsidR="009D6EF3" w:rsidRPr="008358C0">
          <w:rPr>
            <w:rStyle w:val="Hyperlink"/>
            <w:rFonts w:ascii="Arial" w:hAnsi="Arial" w:cs="Arial"/>
            <w:b/>
            <w:bCs/>
            <w:sz w:val="20"/>
            <w:u w:val="none"/>
          </w:rPr>
          <w:t xml:space="preserve"> to 20</w:t>
        </w:r>
        <w:r w:rsidR="008358C0" w:rsidRPr="008358C0">
          <w:rPr>
            <w:rStyle w:val="Hyperlink"/>
            <w:rFonts w:ascii="Arial" w:hAnsi="Arial" w:cs="Arial"/>
            <w:b/>
            <w:bCs/>
            <w:sz w:val="20"/>
            <w:u w:val="none"/>
          </w:rPr>
          <w:t>2</w:t>
        </w:r>
        <w:r w:rsidR="00551938">
          <w:rPr>
            <w:rStyle w:val="Hyperlink"/>
            <w:rFonts w:ascii="Arial" w:hAnsi="Arial" w:cs="Arial"/>
            <w:b/>
            <w:bCs/>
            <w:sz w:val="20"/>
            <w:u w:val="none"/>
          </w:rPr>
          <w:t>3</w:t>
        </w:r>
      </w:hyperlink>
    </w:p>
    <w:p w14:paraId="65F226DF" w14:textId="1D23DEFF"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7_Representation_of_1" w:history="1">
        <w:r w:rsidRPr="00BE5170">
          <w:rPr>
            <w:rStyle w:val="Hyperlink"/>
            <w:rFonts w:ascii="Arial" w:hAnsi="Arial" w:cs="Arial"/>
            <w:b/>
            <w:bCs/>
            <w:u w:val="none"/>
          </w:rPr>
          <w:t>4.7</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Representation of children in the Family Division of the Court</w:t>
        </w:r>
      </w:hyperlink>
    </w:p>
    <w:p w14:paraId="15CA1D7E" w14:textId="77777777" w:rsidR="00C70722" w:rsidRPr="00BE5170" w:rsidRDefault="00C70722"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7.1_Obligation_to" w:history="1">
        <w:r w:rsidRPr="00BE5170">
          <w:rPr>
            <w:rStyle w:val="Hyperlink"/>
            <w:rFonts w:ascii="Arial" w:hAnsi="Arial" w:cs="Arial"/>
            <w:b/>
            <w:bCs/>
            <w:sz w:val="20"/>
            <w:u w:val="none"/>
          </w:rPr>
          <w:tab/>
        </w:r>
        <w:r w:rsidRPr="00BE5170">
          <w:rPr>
            <w:rStyle w:val="Hyperlink"/>
            <w:rFonts w:ascii="Arial" w:hAnsi="Arial" w:cs="Arial"/>
            <w:b/>
            <w:bCs/>
            <w:sz w:val="20"/>
            <w:u w:val="none"/>
          </w:rPr>
          <w:tab/>
          <w:t>4.7.1</w:t>
        </w:r>
        <w:r w:rsidRPr="00BE5170">
          <w:rPr>
            <w:rStyle w:val="Hyperlink"/>
            <w:rFonts w:ascii="Arial" w:hAnsi="Arial" w:cs="Arial"/>
            <w:b/>
            <w:bCs/>
            <w:sz w:val="20"/>
            <w:u w:val="none"/>
          </w:rPr>
          <w:tab/>
          <w:t>Obligation to afford child a fair hearing</w:t>
        </w:r>
      </w:hyperlink>
    </w:p>
    <w:p w14:paraId="05DA3482" w14:textId="77777777" w:rsidR="00FB23AB" w:rsidRPr="00BE5170" w:rsidRDefault="00FB23AB" w:rsidP="00FB23A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2_Models_of" w:history="1">
        <w:r w:rsidRPr="00BE5170">
          <w:rPr>
            <w:rStyle w:val="Hyperlink"/>
            <w:rFonts w:ascii="Arial" w:hAnsi="Arial" w:cs="Arial"/>
            <w:b/>
            <w:bCs/>
            <w:sz w:val="20"/>
            <w:u w:val="none"/>
          </w:rPr>
          <w:tab/>
        </w:r>
        <w:r w:rsidRPr="00BE5170">
          <w:rPr>
            <w:rStyle w:val="Hyperlink"/>
            <w:rFonts w:ascii="Arial" w:hAnsi="Arial" w:cs="Arial"/>
            <w:b/>
            <w:bCs/>
            <w:sz w:val="20"/>
            <w:u w:val="none"/>
          </w:rPr>
          <w:tab/>
          <w:t>4.7.2</w:t>
        </w:r>
        <w:r w:rsidRPr="00BE5170">
          <w:rPr>
            <w:rStyle w:val="Hyperlink"/>
            <w:rFonts w:ascii="Arial" w:hAnsi="Arial" w:cs="Arial"/>
            <w:b/>
            <w:bCs/>
            <w:sz w:val="20"/>
            <w:u w:val="none"/>
          </w:rPr>
          <w:tab/>
          <w:t>Models of child representation</w:t>
        </w:r>
      </w:hyperlink>
    </w:p>
    <w:p w14:paraId="1F1D0884" w14:textId="77777777" w:rsidR="00693223" w:rsidRPr="00BE5170" w:rsidRDefault="00D451AD" w:rsidP="00C7072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3_Child_usuall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3</w:t>
        </w:r>
        <w:r w:rsidR="00693223" w:rsidRPr="00BE5170">
          <w:rPr>
            <w:rStyle w:val="Hyperlink"/>
            <w:rFonts w:ascii="Arial" w:hAnsi="Arial" w:cs="Arial"/>
            <w:b/>
            <w:bCs/>
            <w:sz w:val="20"/>
            <w:u w:val="none"/>
          </w:rPr>
          <w:tab/>
          <w:t xml:space="preserve">Child usually represented if </w:t>
        </w:r>
        <w:r w:rsidR="003E2B31" w:rsidRPr="00BE5170">
          <w:rPr>
            <w:rStyle w:val="Hyperlink"/>
            <w:rFonts w:ascii="Arial" w:hAnsi="Arial" w:cs="Arial"/>
            <w:b/>
            <w:bCs/>
            <w:sz w:val="20"/>
            <w:u w:val="none"/>
          </w:rPr>
          <w:t>aged 10 years or more</w:t>
        </w:r>
      </w:hyperlink>
    </w:p>
    <w:p w14:paraId="37DC66A7"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4_Representation_of"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4.7.</w:t>
        </w:r>
        <w:r w:rsidR="00FB23AB" w:rsidRPr="00BE5170">
          <w:rPr>
            <w:rStyle w:val="Hyperlink"/>
            <w:rFonts w:ascii="Arial" w:hAnsi="Arial" w:cs="Arial"/>
            <w:b/>
            <w:bCs/>
            <w:sz w:val="20"/>
            <w:u w:val="none"/>
          </w:rPr>
          <w:t>4</w:t>
        </w:r>
        <w:r w:rsidR="00693223" w:rsidRPr="00BE5170">
          <w:rPr>
            <w:rStyle w:val="Hyperlink"/>
            <w:rFonts w:ascii="Arial" w:hAnsi="Arial" w:cs="Arial"/>
            <w:b/>
            <w:bCs/>
            <w:sz w:val="20"/>
            <w:u w:val="none"/>
          </w:rPr>
          <w:tab/>
        </w:r>
        <w:r w:rsidR="0063057F" w:rsidRPr="00BE5170">
          <w:rPr>
            <w:rStyle w:val="Hyperlink"/>
            <w:rFonts w:ascii="Arial" w:hAnsi="Arial" w:cs="Arial"/>
            <w:b/>
            <w:bCs/>
            <w:sz w:val="20"/>
            <w:u w:val="none"/>
          </w:rPr>
          <w:t xml:space="preserve">Represent’n of </w:t>
        </w:r>
        <w:r w:rsidR="001D3F93" w:rsidRPr="00BE5170">
          <w:rPr>
            <w:rStyle w:val="Hyperlink"/>
            <w:rFonts w:ascii="Arial" w:hAnsi="Arial" w:cs="Arial"/>
            <w:b/>
            <w:bCs/>
            <w:sz w:val="20"/>
            <w:u w:val="none"/>
          </w:rPr>
          <w:t xml:space="preserve">child </w:t>
        </w:r>
        <w:r w:rsidR="0063057F" w:rsidRPr="00BE5170">
          <w:rPr>
            <w:rStyle w:val="Hyperlink"/>
            <w:rFonts w:ascii="Arial" w:hAnsi="Arial" w:cs="Arial"/>
            <w:b/>
            <w:bCs/>
            <w:sz w:val="20"/>
            <w:u w:val="none"/>
          </w:rPr>
          <w:t xml:space="preserve">under 10 or </w:t>
        </w:r>
        <w:r w:rsidR="001D3F93" w:rsidRPr="00BE5170">
          <w:rPr>
            <w:rStyle w:val="Hyperlink"/>
            <w:rFonts w:ascii="Arial" w:hAnsi="Arial" w:cs="Arial"/>
            <w:b/>
            <w:bCs/>
            <w:sz w:val="20"/>
            <w:u w:val="none"/>
          </w:rPr>
          <w:t>not mature enough to give instructions</w:t>
        </w:r>
      </w:hyperlink>
    </w:p>
    <w:p w14:paraId="1D5ADF13" w14:textId="77777777" w:rsidR="0094744E" w:rsidRPr="00BE5170" w:rsidRDefault="0094744E" w:rsidP="0094744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5_Representing_more"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FB23AB" w:rsidRPr="00BE5170">
          <w:rPr>
            <w:rStyle w:val="Hyperlink"/>
            <w:rFonts w:ascii="Arial" w:hAnsi="Arial" w:cs="Arial"/>
            <w:b/>
            <w:bCs/>
            <w:sz w:val="20"/>
            <w:u w:val="none"/>
          </w:rPr>
          <w:t>5</w:t>
        </w:r>
        <w:r w:rsidRPr="00BE5170">
          <w:rPr>
            <w:rStyle w:val="Hyperlink"/>
            <w:rFonts w:ascii="Arial" w:hAnsi="Arial" w:cs="Arial"/>
            <w:b/>
            <w:bCs/>
            <w:sz w:val="20"/>
            <w:u w:val="none"/>
          </w:rPr>
          <w:tab/>
          <w:t>Representing more than one child in a proceeding</w:t>
        </w:r>
      </w:hyperlink>
    </w:p>
    <w:p w14:paraId="422C9D8A" w14:textId="77777777" w:rsidR="003252C3" w:rsidRPr="00BE5170" w:rsidRDefault="003252C3" w:rsidP="003252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6_Child_representation"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4744E" w:rsidRPr="00BE5170">
          <w:rPr>
            <w:rStyle w:val="Hyperlink"/>
            <w:rFonts w:ascii="Arial" w:hAnsi="Arial" w:cs="Arial"/>
            <w:b/>
            <w:bCs/>
            <w:sz w:val="20"/>
            <w:u w:val="none"/>
          </w:rPr>
          <w:t>6</w:t>
        </w:r>
        <w:r w:rsidRPr="00BE5170">
          <w:rPr>
            <w:rStyle w:val="Hyperlink"/>
            <w:rFonts w:ascii="Arial" w:hAnsi="Arial" w:cs="Arial"/>
            <w:b/>
            <w:bCs/>
            <w:sz w:val="20"/>
            <w:u w:val="none"/>
          </w:rPr>
          <w:tab/>
          <w:t>Child representation in Children's Court and Family Court compared</w:t>
        </w:r>
      </w:hyperlink>
    </w:p>
    <w:p w14:paraId="44A49578"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7_Recommendations_by" w:history="1">
        <w:r w:rsidRPr="00BE5170">
          <w:rPr>
            <w:rStyle w:val="Hyperlink"/>
            <w:rFonts w:ascii="Arial" w:hAnsi="Arial" w:cs="Arial"/>
            <w:b/>
            <w:bCs/>
            <w:sz w:val="20"/>
            <w:u w:val="none"/>
          </w:rPr>
          <w:tab/>
        </w:r>
        <w:r w:rsidR="00176C77" w:rsidRPr="00BE5170">
          <w:rPr>
            <w:rStyle w:val="Hyperlink"/>
            <w:rFonts w:ascii="Arial" w:hAnsi="Arial" w:cs="Arial"/>
            <w:b/>
            <w:bCs/>
            <w:sz w:val="20"/>
            <w:u w:val="none"/>
          </w:rPr>
          <w:tab/>
          <w:t>4.7.</w:t>
        </w:r>
        <w:r w:rsidR="009B3556" w:rsidRPr="00BE5170">
          <w:rPr>
            <w:rStyle w:val="Hyperlink"/>
            <w:rFonts w:ascii="Arial" w:hAnsi="Arial" w:cs="Arial"/>
            <w:b/>
            <w:bCs/>
            <w:sz w:val="20"/>
            <w:u w:val="none"/>
          </w:rPr>
          <w:t>7</w:t>
        </w:r>
        <w:r w:rsidR="00693223" w:rsidRPr="00BE5170">
          <w:rPr>
            <w:rStyle w:val="Hyperlink"/>
            <w:rFonts w:ascii="Arial" w:hAnsi="Arial" w:cs="Arial"/>
            <w:b/>
            <w:bCs/>
            <w:sz w:val="20"/>
            <w:u w:val="none"/>
          </w:rPr>
          <w:tab/>
          <w:t>Recommendations by Australian Law Reform Commission</w:t>
        </w:r>
      </w:hyperlink>
    </w:p>
    <w:p w14:paraId="7906EA5E" w14:textId="77777777" w:rsidR="00F917A7" w:rsidRPr="00BE5170" w:rsidRDefault="00F917A7" w:rsidP="00F917A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8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8</w:t>
        </w:r>
        <w:r w:rsidRPr="00BE5170">
          <w:rPr>
            <w:rStyle w:val="Hyperlink"/>
            <w:rFonts w:ascii="Arial" w:hAnsi="Arial" w:cs="Arial"/>
            <w:b/>
            <w:bCs/>
            <w:sz w:val="20"/>
            <w:u w:val="none"/>
          </w:rPr>
          <w:tab/>
          <w:t>Recommendations by Victorian Law Reform Commission</w:t>
        </w:r>
      </w:hyperlink>
    </w:p>
    <w:p w14:paraId="195A06D2" w14:textId="77777777" w:rsidR="009E5DAC" w:rsidRPr="00BE5170" w:rsidRDefault="009E5DAC" w:rsidP="009E5DA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9_Recommendations_by"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9B3556" w:rsidRPr="00BE5170">
          <w:rPr>
            <w:rStyle w:val="Hyperlink"/>
            <w:rFonts w:ascii="Arial" w:hAnsi="Arial" w:cs="Arial"/>
            <w:b/>
            <w:bCs/>
            <w:sz w:val="20"/>
            <w:u w:val="none"/>
          </w:rPr>
          <w:t>9</w:t>
        </w:r>
        <w:r w:rsidRPr="00BE5170">
          <w:rPr>
            <w:rStyle w:val="Hyperlink"/>
            <w:rFonts w:ascii="Arial" w:hAnsi="Arial" w:cs="Arial"/>
            <w:b/>
            <w:bCs/>
            <w:sz w:val="20"/>
            <w:u w:val="none"/>
          </w:rPr>
          <w:tab/>
          <w:t>Recommendations by the “Cummins Inquiry”</w:t>
        </w:r>
      </w:hyperlink>
    </w:p>
    <w:p w14:paraId="2DC464B5" w14:textId="77777777" w:rsidR="000B2C51" w:rsidRPr="00BE5170" w:rsidRDefault="000B2C51" w:rsidP="000B2C51">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7.10_Representation_of" w:history="1">
        <w:r w:rsidRPr="00BE5170">
          <w:rPr>
            <w:rStyle w:val="Hyperlink"/>
            <w:rFonts w:ascii="Arial" w:hAnsi="Arial" w:cs="Arial"/>
            <w:b/>
            <w:bCs/>
            <w:sz w:val="20"/>
            <w:u w:val="none"/>
          </w:rPr>
          <w:tab/>
        </w:r>
        <w:r w:rsidRPr="00BE5170">
          <w:rPr>
            <w:rStyle w:val="Hyperlink"/>
            <w:rFonts w:ascii="Arial" w:hAnsi="Arial" w:cs="Arial"/>
            <w:b/>
            <w:bCs/>
            <w:sz w:val="20"/>
            <w:u w:val="none"/>
          </w:rPr>
          <w:tab/>
          <w:t>4.7.</w:t>
        </w:r>
        <w:r w:rsidR="008D7F61" w:rsidRPr="00BE5170">
          <w:rPr>
            <w:rStyle w:val="Hyperlink"/>
            <w:rFonts w:ascii="Arial" w:hAnsi="Arial" w:cs="Arial"/>
            <w:b/>
            <w:bCs/>
            <w:sz w:val="20"/>
            <w:u w:val="none"/>
          </w:rPr>
          <w:t>1</w:t>
        </w:r>
        <w:r w:rsidR="009B3556" w:rsidRPr="00BE5170">
          <w:rPr>
            <w:rStyle w:val="Hyperlink"/>
            <w:rFonts w:ascii="Arial" w:hAnsi="Arial" w:cs="Arial"/>
            <w:b/>
            <w:bCs/>
            <w:sz w:val="20"/>
            <w:u w:val="none"/>
          </w:rPr>
          <w:t>0</w:t>
        </w:r>
        <w:r w:rsidRPr="00BE5170">
          <w:rPr>
            <w:rStyle w:val="Hyperlink"/>
            <w:rFonts w:ascii="Arial" w:hAnsi="Arial" w:cs="Arial"/>
            <w:b/>
            <w:bCs/>
            <w:sz w:val="20"/>
            <w:u w:val="none"/>
          </w:rPr>
          <w:tab/>
          <w:t>Representation of child who is not respondent or applicant under FVPA</w:t>
        </w:r>
      </w:hyperlink>
    </w:p>
    <w:p w14:paraId="625832FE" w14:textId="77777777"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8_Conduct_of" w:history="1">
        <w:r w:rsidRPr="00BE5170">
          <w:rPr>
            <w:rStyle w:val="Hyperlink"/>
            <w:rFonts w:ascii="Arial" w:hAnsi="Arial" w:cs="Arial"/>
            <w:b/>
            <w:bCs/>
            <w:u w:val="none"/>
          </w:rPr>
          <w:t>4.8</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Conduct of proceedings in Family Division</w:t>
        </w:r>
      </w:hyperlink>
    </w:p>
    <w:p w14:paraId="6CA91FCD" w14:textId="77777777" w:rsidR="00693223" w:rsidRPr="00BE5170" w:rsidRDefault="00D451AD"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8.1_Informal_procedure"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4.8.1</w:t>
        </w:r>
        <w:r w:rsidR="00693223" w:rsidRPr="00BE5170">
          <w:rPr>
            <w:rStyle w:val="Hyperlink"/>
            <w:rFonts w:ascii="Arial" w:hAnsi="Arial" w:cs="Arial"/>
            <w:b/>
            <w:bCs/>
            <w:sz w:val="20"/>
            <w:u w:val="none"/>
          </w:rPr>
          <w:tab/>
          <w:t>Informal procedure</w:t>
        </w:r>
      </w:hyperlink>
    </w:p>
    <w:p w14:paraId="4F4C6AE3" w14:textId="37E382C9" w:rsidR="0026104F" w:rsidRPr="0099333E" w:rsidRDefault="0026104F" w:rsidP="002610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2_Whether_an" w:history="1">
        <w:r w:rsidRPr="0099333E">
          <w:rPr>
            <w:rStyle w:val="Hyperlink"/>
            <w:rFonts w:ascii="Arial" w:hAnsi="Arial" w:cs="Arial"/>
            <w:b/>
            <w:bCs/>
            <w:sz w:val="20"/>
            <w:u w:val="none"/>
          </w:rPr>
          <w:tab/>
        </w:r>
        <w:r w:rsidRPr="0099333E">
          <w:rPr>
            <w:rStyle w:val="Hyperlink"/>
            <w:rFonts w:ascii="Arial" w:hAnsi="Arial" w:cs="Arial"/>
            <w:b/>
            <w:bCs/>
            <w:sz w:val="20"/>
            <w:u w:val="none"/>
          </w:rPr>
          <w:tab/>
          <w:t>4.8.2</w:t>
        </w:r>
        <w:r w:rsidRPr="0099333E">
          <w:rPr>
            <w:rStyle w:val="Hyperlink"/>
            <w:rFonts w:ascii="Arial" w:hAnsi="Arial" w:cs="Arial"/>
            <w:b/>
            <w:bCs/>
            <w:sz w:val="20"/>
            <w:u w:val="none"/>
          </w:rPr>
          <w:tab/>
          <w:t>Whether an adult party may be represented by a ‘litigation guardian’</w:t>
        </w:r>
      </w:hyperlink>
    </w:p>
    <w:p w14:paraId="2F35DA09" w14:textId="10C33FC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Court_may"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3</w:t>
        </w:r>
        <w:r w:rsidR="00693223" w:rsidRPr="00BE5170">
          <w:rPr>
            <w:rStyle w:val="Hyperlink"/>
            <w:rFonts w:ascii="Arial" w:hAnsi="Arial" w:cs="Arial"/>
            <w:b/>
            <w:bCs/>
            <w:sz w:val="20"/>
            <w:u w:val="none"/>
          </w:rPr>
          <w:tab/>
        </w:r>
        <w:r w:rsidR="00D36D17" w:rsidRPr="00BE5170">
          <w:rPr>
            <w:rStyle w:val="Hyperlink"/>
            <w:rFonts w:ascii="Arial" w:hAnsi="Arial" w:cs="Arial"/>
            <w:b/>
            <w:bCs/>
            <w:sz w:val="20"/>
            <w:u w:val="none"/>
          </w:rPr>
          <w:t>Court may inform itself as it thinks fit - Rules of evidence not mandatory</w:t>
        </w:r>
      </w:hyperlink>
    </w:p>
    <w:p w14:paraId="3FFA47BD" w14:textId="4AF4145E" w:rsidR="00D6007D" w:rsidRPr="00BE5170" w:rsidRDefault="00D6007D" w:rsidP="00D600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3_Impact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26104F">
          <w:rPr>
            <w:rStyle w:val="Hyperlink"/>
            <w:rFonts w:ascii="Arial" w:hAnsi="Arial" w:cs="Arial"/>
            <w:b/>
            <w:bCs/>
            <w:sz w:val="20"/>
            <w:u w:val="none"/>
          </w:rPr>
          <w:t>4</w:t>
        </w:r>
        <w:r w:rsidRPr="00BE5170">
          <w:rPr>
            <w:rStyle w:val="Hyperlink"/>
            <w:rFonts w:ascii="Arial" w:hAnsi="Arial" w:cs="Arial"/>
            <w:b/>
            <w:bCs/>
            <w:sz w:val="20"/>
            <w:u w:val="none"/>
          </w:rPr>
          <w:tab/>
          <w:t>Impact of the “best interests” principle on the Court’s procedure</w:t>
        </w:r>
      </w:hyperlink>
    </w:p>
    <w:p w14:paraId="7F9EE789" w14:textId="6B59088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4_Findings_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4.8.</w:t>
        </w:r>
        <w:r w:rsidR="0026104F">
          <w:rPr>
            <w:rStyle w:val="Hyperlink"/>
            <w:rFonts w:ascii="Arial" w:hAnsi="Arial" w:cs="Arial"/>
            <w:b/>
            <w:bCs/>
            <w:sz w:val="20"/>
            <w:u w:val="none"/>
          </w:rPr>
          <w:t>5</w:t>
        </w:r>
        <w:r w:rsidR="00693223" w:rsidRPr="00BE5170">
          <w:rPr>
            <w:rStyle w:val="Hyperlink"/>
            <w:rFonts w:ascii="Arial" w:hAnsi="Arial" w:cs="Arial"/>
            <w:b/>
            <w:bCs/>
            <w:sz w:val="20"/>
            <w:u w:val="none"/>
          </w:rPr>
          <w:tab/>
          <w:t>Findings on balance of probabilities</w:t>
        </w:r>
      </w:hyperlink>
    </w:p>
    <w:p w14:paraId="4E4845BD" w14:textId="1A3AF6FB" w:rsidR="00775DC6" w:rsidRPr="00BE5170" w:rsidRDefault="00775DC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8.6_Attendance_of" w:history="1">
        <w:r w:rsidRPr="00BE5170">
          <w:rPr>
            <w:rStyle w:val="Hyperlink"/>
            <w:rFonts w:ascii="Arial" w:hAnsi="Arial" w:cs="Arial"/>
            <w:b/>
            <w:bCs/>
            <w:sz w:val="20"/>
            <w:u w:val="none"/>
          </w:rPr>
          <w:tab/>
        </w:r>
        <w:r w:rsidRPr="00BE5170">
          <w:rPr>
            <w:rStyle w:val="Hyperlink"/>
            <w:rFonts w:ascii="Arial" w:hAnsi="Arial" w:cs="Arial"/>
            <w:b/>
            <w:bCs/>
            <w:sz w:val="20"/>
            <w:u w:val="none"/>
          </w:rPr>
          <w:tab/>
          <w:t>4.8.</w:t>
        </w:r>
        <w:r w:rsidR="00030EFF">
          <w:rPr>
            <w:rStyle w:val="Hyperlink"/>
            <w:rFonts w:ascii="Arial" w:hAnsi="Arial" w:cs="Arial"/>
            <w:b/>
            <w:bCs/>
            <w:sz w:val="20"/>
            <w:u w:val="none"/>
          </w:rPr>
          <w:t>6</w:t>
        </w:r>
        <w:r w:rsidRPr="00BE5170">
          <w:rPr>
            <w:rStyle w:val="Hyperlink"/>
            <w:rFonts w:ascii="Arial" w:hAnsi="Arial" w:cs="Arial"/>
            <w:b/>
            <w:bCs/>
            <w:sz w:val="20"/>
            <w:u w:val="none"/>
          </w:rPr>
          <w:tab/>
          <w:t>Attendance of child at Court</w:t>
        </w:r>
      </w:hyperlink>
    </w:p>
    <w:p w14:paraId="45A835C8" w14:textId="66DB4AAD" w:rsidR="00693223" w:rsidRPr="00BE5170" w:rsidRDefault="00693223" w:rsidP="00540381">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4.9_Family_Division" w:history="1">
        <w:r w:rsidRPr="00BE5170">
          <w:rPr>
            <w:rStyle w:val="Hyperlink"/>
            <w:rFonts w:ascii="Arial" w:hAnsi="Arial" w:cs="Arial"/>
            <w:b/>
            <w:bCs/>
            <w:u w:val="none"/>
          </w:rPr>
          <w:t>4.9</w:t>
        </w:r>
        <w:r w:rsidRPr="00BE5170">
          <w:rPr>
            <w:rStyle w:val="Hyperlink"/>
            <w:rFonts w:ascii="Arial" w:hAnsi="Arial" w:cs="Arial"/>
            <w:b/>
            <w:bCs/>
            <w:u w:val="none"/>
          </w:rPr>
          <w:tab/>
        </w:r>
        <w:r w:rsidR="00D13996" w:rsidRPr="00BE5170">
          <w:rPr>
            <w:rStyle w:val="Hyperlink"/>
            <w:rFonts w:ascii="Arial" w:hAnsi="Arial" w:cs="Arial"/>
            <w:b/>
            <w:bCs/>
            <w:u w:val="none"/>
          </w:rPr>
          <w:tab/>
        </w:r>
        <w:r w:rsidRPr="00BE5170">
          <w:rPr>
            <w:rStyle w:val="Hyperlink"/>
            <w:rFonts w:ascii="Arial" w:hAnsi="Arial" w:cs="Arial"/>
            <w:b/>
            <w:bCs/>
            <w:u w:val="none"/>
          </w:rPr>
          <w:t>Family Division Court hearings</w:t>
        </w:r>
      </w:hyperlink>
    </w:p>
    <w:p w14:paraId="6124167E" w14:textId="77777777" w:rsidR="00693223" w:rsidRPr="00BE5170" w:rsidRDefault="00693223" w:rsidP="0030237B">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9.1_Apprehension_–"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4.9.</w:t>
        </w:r>
        <w:r w:rsidR="00775DC6" w:rsidRPr="00BE5170">
          <w:rPr>
            <w:rStyle w:val="Hyperlink"/>
            <w:rFonts w:ascii="Arial" w:hAnsi="Arial" w:cs="Arial"/>
            <w:b/>
            <w:bCs/>
            <w:sz w:val="20"/>
            <w:u w:val="none"/>
          </w:rPr>
          <w:t>1</w:t>
        </w:r>
        <w:r w:rsidRPr="00BE5170">
          <w:rPr>
            <w:rStyle w:val="Hyperlink"/>
            <w:rFonts w:ascii="Arial" w:hAnsi="Arial" w:cs="Arial"/>
            <w:b/>
            <w:bCs/>
            <w:sz w:val="20"/>
            <w:u w:val="none"/>
          </w:rPr>
          <w:tab/>
        </w:r>
        <w:r w:rsidR="003325AD" w:rsidRPr="00BE5170">
          <w:rPr>
            <w:rStyle w:val="Hyperlink"/>
            <w:rFonts w:ascii="Arial" w:hAnsi="Arial" w:cs="Arial"/>
            <w:b/>
            <w:bCs/>
            <w:sz w:val="20"/>
            <w:u w:val="none"/>
          </w:rPr>
          <w:t xml:space="preserve">Apprehension </w:t>
        </w:r>
        <w:r w:rsidR="009F5B0E" w:rsidRPr="00BE5170">
          <w:rPr>
            <w:rStyle w:val="Hyperlink"/>
            <w:rFonts w:ascii="Arial" w:hAnsi="Arial" w:cs="Arial"/>
            <w:b/>
            <w:bCs/>
            <w:sz w:val="20"/>
            <w:u w:val="none"/>
          </w:rPr>
          <w:t>–</w:t>
        </w:r>
        <w:r w:rsidR="003325AD" w:rsidRPr="00BE5170">
          <w:rPr>
            <w:rStyle w:val="Hyperlink"/>
            <w:rFonts w:ascii="Arial" w:hAnsi="Arial" w:cs="Arial"/>
            <w:b/>
            <w:bCs/>
            <w:sz w:val="20"/>
            <w:u w:val="none"/>
          </w:rPr>
          <w:t xml:space="preserve"> H</w:t>
        </w:r>
        <w:r w:rsidR="00E31A12" w:rsidRPr="00BE5170">
          <w:rPr>
            <w:rStyle w:val="Hyperlink"/>
            <w:rFonts w:ascii="Arial" w:hAnsi="Arial" w:cs="Arial"/>
            <w:b/>
            <w:bCs/>
            <w:sz w:val="20"/>
            <w:u w:val="none"/>
          </w:rPr>
          <w:t>earing</w:t>
        </w:r>
        <w:r w:rsidR="009F5B0E" w:rsidRPr="00BE5170">
          <w:rPr>
            <w:rStyle w:val="Hyperlink"/>
            <w:rFonts w:ascii="Arial" w:hAnsi="Arial" w:cs="Arial"/>
            <w:b/>
            <w:bCs/>
            <w:sz w:val="20"/>
            <w:u w:val="none"/>
          </w:rPr>
          <w:t xml:space="preserve"> </w:t>
        </w:r>
        <w:r w:rsidR="00E31A12" w:rsidRPr="00BE5170">
          <w:rPr>
            <w:rStyle w:val="Hyperlink"/>
            <w:rFonts w:ascii="Arial" w:hAnsi="Arial" w:cs="Arial"/>
            <w:b/>
            <w:bCs/>
            <w:sz w:val="20"/>
            <w:u w:val="none"/>
          </w:rPr>
          <w:t>after child placed in e</w:t>
        </w:r>
        <w:r w:rsidR="002229EE" w:rsidRPr="00BE5170">
          <w:rPr>
            <w:rStyle w:val="Hyperlink"/>
            <w:rFonts w:ascii="Arial" w:hAnsi="Arial" w:cs="Arial"/>
            <w:b/>
            <w:bCs/>
            <w:sz w:val="20"/>
            <w:u w:val="none"/>
          </w:rPr>
          <w:t>mergency care</w:t>
        </w:r>
      </w:hyperlink>
    </w:p>
    <w:p w14:paraId="407FBBA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2_Men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2</w:t>
        </w:r>
        <w:r w:rsidR="00693223" w:rsidRPr="00BE5170">
          <w:rPr>
            <w:rStyle w:val="Hyperlink"/>
            <w:rFonts w:ascii="Arial" w:hAnsi="Arial" w:cs="Arial"/>
            <w:b/>
            <w:bCs/>
            <w:sz w:val="20"/>
            <w:u w:val="none"/>
          </w:rPr>
          <w:tab/>
          <w:t>Mention</w:t>
        </w:r>
      </w:hyperlink>
    </w:p>
    <w:p w14:paraId="7F4E2A36" w14:textId="05144CBD"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3_Conciliation"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4.9.</w:t>
        </w:r>
        <w:r w:rsidR="00775DC6" w:rsidRPr="00BE5170">
          <w:rPr>
            <w:rStyle w:val="Hyperlink"/>
            <w:rFonts w:ascii="Arial" w:hAnsi="Arial" w:cs="Arial"/>
            <w:b/>
            <w:bCs/>
            <w:sz w:val="20"/>
            <w:u w:val="none"/>
          </w:rPr>
          <w:t>3</w:t>
        </w:r>
        <w:r w:rsidR="00693223" w:rsidRPr="00BE5170">
          <w:rPr>
            <w:rStyle w:val="Hyperlink"/>
            <w:rFonts w:ascii="Arial" w:hAnsi="Arial" w:cs="Arial"/>
            <w:b/>
            <w:bCs/>
            <w:sz w:val="20"/>
            <w:u w:val="none"/>
          </w:rPr>
          <w:tab/>
        </w:r>
        <w:r w:rsidR="00484481" w:rsidRPr="00BE5170">
          <w:rPr>
            <w:rStyle w:val="Hyperlink"/>
            <w:rFonts w:ascii="Arial" w:hAnsi="Arial" w:cs="Arial"/>
            <w:b/>
            <w:bCs/>
            <w:sz w:val="20"/>
            <w:u w:val="none"/>
          </w:rPr>
          <w:t>Concil</w:t>
        </w:r>
        <w:r w:rsidR="006D2D55" w:rsidRPr="00BE5170">
          <w:rPr>
            <w:rStyle w:val="Hyperlink"/>
            <w:rFonts w:ascii="Arial" w:hAnsi="Arial" w:cs="Arial"/>
            <w:b/>
            <w:bCs/>
            <w:sz w:val="20"/>
            <w:u w:val="none"/>
          </w:rPr>
          <w:t>iation</w:t>
        </w:r>
      </w:hyperlink>
    </w:p>
    <w:p w14:paraId="1321F925" w14:textId="12B416AC" w:rsidR="0030237B" w:rsidRPr="00BE5170" w:rsidRDefault="0030237B">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4A_Readines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sidR="00AB4B8D">
          <w:rPr>
            <w:rStyle w:val="Hyperlink"/>
            <w:rFonts w:ascii="Arial" w:hAnsi="Arial" w:cs="Arial"/>
            <w:b/>
            <w:bCs/>
            <w:sz w:val="20"/>
            <w:u w:val="none"/>
          </w:rPr>
          <w:t>4</w:t>
        </w:r>
        <w:r w:rsidRPr="00BE5170">
          <w:rPr>
            <w:rStyle w:val="Hyperlink"/>
            <w:rFonts w:ascii="Arial" w:hAnsi="Arial" w:cs="Arial"/>
            <w:b/>
            <w:bCs/>
            <w:sz w:val="20"/>
            <w:u w:val="none"/>
          </w:rPr>
          <w:tab/>
          <w:t xml:space="preserve">Readiness </w:t>
        </w:r>
        <w:r w:rsidR="00527793">
          <w:rPr>
            <w:rStyle w:val="Hyperlink"/>
            <w:rFonts w:ascii="Arial" w:hAnsi="Arial" w:cs="Arial"/>
            <w:b/>
            <w:bCs/>
            <w:sz w:val="20"/>
            <w:u w:val="none"/>
          </w:rPr>
          <w:t>H</w:t>
        </w:r>
        <w:r w:rsidRPr="00BE5170">
          <w:rPr>
            <w:rStyle w:val="Hyperlink"/>
            <w:rFonts w:ascii="Arial" w:hAnsi="Arial" w:cs="Arial"/>
            <w:b/>
            <w:bCs/>
            <w:sz w:val="20"/>
            <w:u w:val="none"/>
          </w:rPr>
          <w:t>earing</w:t>
        </w:r>
      </w:hyperlink>
    </w:p>
    <w:p w14:paraId="67CEC97B" w14:textId="535B2443" w:rsidR="00935D58" w:rsidRPr="00BE5170" w:rsidRDefault="00935D58" w:rsidP="00935D5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9.5_Directions_hearing" w:history="1">
        <w:r w:rsidRPr="00BE5170">
          <w:rPr>
            <w:rStyle w:val="Hyperlink"/>
            <w:rFonts w:ascii="Arial" w:hAnsi="Arial" w:cs="Arial"/>
            <w:b/>
            <w:bCs/>
            <w:sz w:val="20"/>
            <w:u w:val="none"/>
          </w:rPr>
          <w:tab/>
        </w:r>
        <w:r w:rsidRPr="00BE5170">
          <w:rPr>
            <w:rStyle w:val="Hyperlink"/>
            <w:rFonts w:ascii="Arial" w:hAnsi="Arial" w:cs="Arial"/>
            <w:b/>
            <w:bCs/>
            <w:sz w:val="20"/>
            <w:u w:val="none"/>
          </w:rPr>
          <w:tab/>
          <w:t>4.9.</w:t>
        </w:r>
        <w:r>
          <w:rPr>
            <w:rStyle w:val="Hyperlink"/>
            <w:rFonts w:ascii="Arial" w:hAnsi="Arial" w:cs="Arial"/>
            <w:b/>
            <w:bCs/>
            <w:sz w:val="20"/>
            <w:u w:val="none"/>
          </w:rPr>
          <w:t>5</w:t>
        </w:r>
        <w:r w:rsidRPr="00BE5170">
          <w:rPr>
            <w:rStyle w:val="Hyperlink"/>
            <w:rFonts w:ascii="Arial" w:hAnsi="Arial" w:cs="Arial"/>
            <w:b/>
            <w:bCs/>
            <w:sz w:val="20"/>
            <w:u w:val="none"/>
          </w:rPr>
          <w:tab/>
          <w:t>Directions hearing preceding a contest</w:t>
        </w:r>
      </w:hyperlink>
    </w:p>
    <w:p w14:paraId="195FB9EA" w14:textId="3A8C05BE" w:rsidR="00693223" w:rsidRPr="00A6227C" w:rsidRDefault="00D451AD">
      <w:pPr>
        <w:pBdr>
          <w:top w:val="single" w:sz="4" w:space="1" w:color="auto"/>
          <w:left w:val="single" w:sz="4" w:space="4" w:color="auto"/>
          <w:bottom w:val="single" w:sz="4" w:space="1" w:color="auto"/>
          <w:right w:val="single" w:sz="4" w:space="4" w:color="auto"/>
        </w:pBdr>
        <w:rPr>
          <w:rStyle w:val="Hyperlink"/>
          <w:rFonts w:ascii="Arial" w:hAnsi="Arial" w:cs="Arial"/>
          <w:b/>
          <w:bCs/>
          <w:sz w:val="20"/>
        </w:rPr>
      </w:pPr>
      <w:hyperlink w:anchor="_4.9.5_Contested_hearing" w:history="1">
        <w:r w:rsidRPr="00BE5170">
          <w:rPr>
            <w:rStyle w:val="Hyperlink"/>
            <w:rFonts w:ascii="Arial" w:hAnsi="Arial" w:cs="Arial"/>
            <w:b/>
            <w:bCs/>
            <w:sz w:val="20"/>
            <w:u w:val="none"/>
          </w:rPr>
          <w:tab/>
        </w:r>
        <w:r w:rsidR="002229EE" w:rsidRPr="00BE5170">
          <w:rPr>
            <w:rStyle w:val="Hyperlink"/>
            <w:rFonts w:ascii="Arial" w:hAnsi="Arial" w:cs="Arial"/>
            <w:b/>
            <w:bCs/>
            <w:sz w:val="20"/>
            <w:u w:val="none"/>
          </w:rPr>
          <w:tab/>
          <w:t>4.9</w:t>
        </w:r>
        <w:r w:rsidR="007867B3" w:rsidRPr="00BE5170">
          <w:rPr>
            <w:rStyle w:val="Hyperlink"/>
            <w:rFonts w:ascii="Arial" w:hAnsi="Arial" w:cs="Arial"/>
            <w:b/>
            <w:bCs/>
            <w:sz w:val="20"/>
            <w:u w:val="none"/>
          </w:rPr>
          <w:t>.</w:t>
        </w:r>
        <w:r w:rsidR="00527793">
          <w:rPr>
            <w:rStyle w:val="Hyperlink"/>
            <w:rFonts w:ascii="Arial" w:hAnsi="Arial" w:cs="Arial"/>
            <w:b/>
            <w:bCs/>
            <w:sz w:val="20"/>
            <w:u w:val="none"/>
          </w:rPr>
          <w:t>6</w:t>
        </w:r>
        <w:r w:rsidR="00693223" w:rsidRPr="00BE5170">
          <w:rPr>
            <w:rStyle w:val="Hyperlink"/>
            <w:rFonts w:ascii="Arial" w:hAnsi="Arial" w:cs="Arial"/>
            <w:b/>
            <w:bCs/>
            <w:sz w:val="20"/>
            <w:u w:val="none"/>
          </w:rPr>
          <w:tab/>
          <w:t>Contested hearing</w:t>
        </w:r>
      </w:hyperlink>
      <w:r w:rsidR="00A6227C">
        <w:rPr>
          <w:rFonts w:ascii="Arial" w:hAnsi="Arial" w:cs="Arial"/>
          <w:b/>
          <w:bCs/>
          <w:sz w:val="20"/>
        </w:rPr>
        <w:fldChar w:fldCharType="begin"/>
      </w:r>
      <w:r w:rsidR="001966B1">
        <w:rPr>
          <w:rFonts w:ascii="Arial" w:hAnsi="Arial" w:cs="Arial"/>
          <w:b/>
          <w:bCs/>
          <w:sz w:val="20"/>
        </w:rPr>
        <w:instrText>HYPERLINK  \l "_4.9.7_Throughput_of_2"</w:instrText>
      </w:r>
      <w:r w:rsidR="00A6227C">
        <w:rPr>
          <w:rFonts w:ascii="Arial" w:hAnsi="Arial" w:cs="Arial"/>
          <w:b/>
          <w:bCs/>
          <w:sz w:val="20"/>
        </w:rPr>
      </w:r>
      <w:r w:rsidR="00A6227C">
        <w:rPr>
          <w:rFonts w:ascii="Arial" w:hAnsi="Arial" w:cs="Arial"/>
          <w:b/>
          <w:bCs/>
          <w:sz w:val="20"/>
        </w:rPr>
        <w:fldChar w:fldCharType="separate"/>
      </w:r>
    </w:p>
    <w:p w14:paraId="64217E44" w14:textId="5E22B868" w:rsidR="005C410C" w:rsidRPr="00A6227C" w:rsidRDefault="005C410C" w:rsidP="005C410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6227C">
        <w:rPr>
          <w:rStyle w:val="Hyperlink"/>
          <w:rFonts w:ascii="Arial" w:hAnsi="Arial" w:cs="Arial"/>
          <w:b/>
          <w:bCs/>
          <w:sz w:val="20"/>
          <w:u w:val="none"/>
        </w:rPr>
        <w:tab/>
      </w:r>
      <w:r w:rsidRPr="00A6227C">
        <w:rPr>
          <w:rStyle w:val="Hyperlink"/>
          <w:rFonts w:ascii="Arial" w:hAnsi="Arial" w:cs="Arial"/>
          <w:b/>
          <w:bCs/>
          <w:sz w:val="20"/>
          <w:u w:val="none"/>
        </w:rPr>
        <w:tab/>
        <w:t>4.9.7</w:t>
      </w:r>
      <w:r w:rsidRPr="00A6227C">
        <w:rPr>
          <w:rStyle w:val="Hyperlink"/>
          <w:rFonts w:ascii="Arial" w:hAnsi="Arial" w:cs="Arial"/>
          <w:b/>
          <w:bCs/>
          <w:sz w:val="20"/>
          <w:u w:val="none"/>
        </w:rPr>
        <w:tab/>
        <w:t>Throughput of applications</w:t>
      </w:r>
      <w:r w:rsidR="001F6450">
        <w:rPr>
          <w:rStyle w:val="Hyperlink"/>
          <w:rFonts w:ascii="Arial" w:hAnsi="Arial" w:cs="Arial"/>
          <w:b/>
          <w:bCs/>
          <w:sz w:val="20"/>
          <w:u w:val="none"/>
        </w:rPr>
        <w:t xml:space="preserve"> in the Family Div’n child prot’n jurisdiction</w:t>
      </w:r>
    </w:p>
    <w:p w14:paraId="003F3CD8" w14:textId="11A112CC" w:rsidR="00ED3555" w:rsidRPr="00BE5170" w:rsidRDefault="00A6227C" w:rsidP="00ED355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sz w:val="20"/>
        </w:rPr>
        <w:fldChar w:fldCharType="end"/>
      </w:r>
      <w:hyperlink w:anchor="_4.9.8_Marram-Ngala_Ganbu" w:history="1">
        <w:r w:rsidR="00ED3555" w:rsidRPr="00BE5170">
          <w:rPr>
            <w:rStyle w:val="Hyperlink"/>
            <w:rFonts w:ascii="Arial" w:hAnsi="Arial" w:cs="Arial"/>
            <w:b/>
            <w:bCs/>
            <w:sz w:val="20"/>
            <w:u w:val="none"/>
          </w:rPr>
          <w:tab/>
        </w:r>
        <w:r w:rsidR="00ED3555" w:rsidRPr="00BE5170">
          <w:rPr>
            <w:rStyle w:val="Hyperlink"/>
            <w:rFonts w:ascii="Arial" w:hAnsi="Arial" w:cs="Arial"/>
            <w:b/>
            <w:bCs/>
            <w:sz w:val="20"/>
            <w:u w:val="none"/>
          </w:rPr>
          <w:tab/>
          <w:t>4.9.</w:t>
        </w:r>
        <w:r w:rsidR="005C410C">
          <w:rPr>
            <w:rStyle w:val="Hyperlink"/>
            <w:rFonts w:ascii="Arial" w:hAnsi="Arial" w:cs="Arial"/>
            <w:b/>
            <w:bCs/>
            <w:sz w:val="20"/>
            <w:u w:val="none"/>
          </w:rPr>
          <w:t>8</w:t>
        </w:r>
        <w:r w:rsidR="00ED3555" w:rsidRPr="00BE5170">
          <w:rPr>
            <w:rStyle w:val="Hyperlink"/>
            <w:rFonts w:ascii="Arial" w:hAnsi="Arial" w:cs="Arial"/>
            <w:b/>
            <w:bCs/>
            <w:sz w:val="20"/>
            <w:u w:val="none"/>
          </w:rPr>
          <w:tab/>
          <w:t>Marram-Ngala Ganbu Program</w:t>
        </w:r>
      </w:hyperlink>
    </w:p>
    <w:p w14:paraId="332366A4" w14:textId="77777777" w:rsidR="00A338D2" w:rsidRPr="00540381" w:rsidRDefault="00A338D2" w:rsidP="00A338D2">
      <w:pPr>
        <w:pBdr>
          <w:top w:val="single" w:sz="4" w:space="1" w:color="auto"/>
          <w:left w:val="single" w:sz="4" w:space="4" w:color="auto"/>
          <w:bottom w:val="single" w:sz="4" w:space="1" w:color="auto"/>
          <w:right w:val="single" w:sz="4" w:space="4" w:color="auto"/>
        </w:pBdr>
        <w:rPr>
          <w:rFonts w:ascii="Arial" w:hAnsi="Arial" w:cs="Arial"/>
          <w:b/>
          <w:bCs/>
          <w:sz w:val="6"/>
          <w:szCs w:val="18"/>
        </w:rPr>
      </w:pPr>
    </w:p>
    <w:p w14:paraId="70256769" w14:textId="5B677447" w:rsidR="00693223" w:rsidRPr="0026104F" w:rsidRDefault="00693223">
      <w:pPr>
        <w:pStyle w:val="Heading1"/>
        <w:numPr>
          <w:ilvl w:val="0"/>
          <w:numId w:val="0"/>
        </w:numPr>
        <w:spacing w:before="0" w:line="240" w:lineRule="auto"/>
        <w:jc w:val="center"/>
        <w:rPr>
          <w:rFonts w:ascii="Arial" w:hAnsi="Arial" w:cs="Arial"/>
          <w:b/>
          <w:bCs/>
          <w:color w:val="FF0000"/>
          <w:sz w:val="40"/>
        </w:rPr>
      </w:pPr>
      <w:r>
        <w:rPr>
          <w:rFonts w:ascii="Arial" w:hAnsi="Arial" w:cs="Arial"/>
        </w:rPr>
        <w:br w:type="page"/>
      </w:r>
      <w:r w:rsidRPr="0026104F">
        <w:rPr>
          <w:rFonts w:ascii="Arial" w:hAnsi="Arial" w:cs="Arial"/>
          <w:b/>
          <w:bCs/>
          <w:color w:val="FF0000"/>
          <w:sz w:val="40"/>
        </w:rPr>
        <w:lastRenderedPageBreak/>
        <w:t xml:space="preserve">4.  FAMILY DIVISION </w:t>
      </w:r>
      <w:r w:rsidR="002221CB">
        <w:rPr>
          <w:rFonts w:ascii="Arial" w:hAnsi="Arial" w:cs="Arial"/>
          <w:b/>
          <w:bCs/>
          <w:color w:val="FF0000"/>
          <w:sz w:val="40"/>
        </w:rPr>
        <w:t>–</w:t>
      </w:r>
      <w:r w:rsidRPr="0026104F">
        <w:rPr>
          <w:rFonts w:ascii="Arial" w:hAnsi="Arial" w:cs="Arial"/>
          <w:b/>
          <w:bCs/>
          <w:color w:val="FF0000"/>
          <w:sz w:val="40"/>
        </w:rPr>
        <w:t xml:space="preserve"> GENERAL</w:t>
      </w:r>
    </w:p>
    <w:p w14:paraId="65FD0C12" w14:textId="77777777" w:rsidR="00693223" w:rsidRPr="00E14F02" w:rsidRDefault="00693223">
      <w:pPr>
        <w:jc w:val="both"/>
        <w:rPr>
          <w:rFonts w:ascii="Arial" w:hAnsi="Arial" w:cs="Arial"/>
          <w:sz w:val="12"/>
        </w:rPr>
      </w:pPr>
    </w:p>
    <w:p w14:paraId="37C50227" w14:textId="1FC60C57" w:rsidR="00693223" w:rsidRPr="00540381" w:rsidRDefault="00693223">
      <w:pPr>
        <w:pBdr>
          <w:top w:val="single" w:sz="4" w:space="1" w:color="auto"/>
          <w:left w:val="single" w:sz="4" w:space="4" w:color="auto"/>
          <w:bottom w:val="single" w:sz="4" w:space="1" w:color="auto"/>
          <w:right w:val="single" w:sz="4" w:space="4" w:color="auto"/>
        </w:pBdr>
        <w:rPr>
          <w:rFonts w:ascii="Arial" w:hAnsi="Arial" w:cs="Arial"/>
          <w:b/>
          <w:bCs/>
          <w:sz w:val="12"/>
          <w:szCs w:val="28"/>
        </w:rPr>
      </w:pPr>
      <w:bookmarkStart w:id="33" w:name="_Toc30607525"/>
      <w:bookmarkStart w:id="34" w:name="_Toc30607654"/>
      <w:bookmarkStart w:id="35" w:name="_Toc30607979"/>
      <w:bookmarkStart w:id="36" w:name="_Toc30608812"/>
      <w:bookmarkStart w:id="37" w:name="_Toc30610026"/>
      <w:bookmarkStart w:id="38" w:name="_Toc30610270"/>
      <w:bookmarkStart w:id="39" w:name="_Toc30638424"/>
      <w:bookmarkStart w:id="40" w:name="_Toc30644234"/>
      <w:bookmarkStart w:id="41" w:name="_Toc30644637"/>
      <w:bookmarkStart w:id="42" w:name="_Toc30645187"/>
      <w:bookmarkStart w:id="43" w:name="_Toc30646398"/>
      <w:bookmarkStart w:id="44" w:name="_Toc30646693"/>
      <w:bookmarkStart w:id="45" w:name="_Toc30646804"/>
      <w:bookmarkStart w:id="46" w:name="_Toc30648161"/>
      <w:bookmarkStart w:id="47" w:name="_Toc30649059"/>
      <w:bookmarkStart w:id="48" w:name="_Toc30649135"/>
      <w:bookmarkStart w:id="49" w:name="_Toc30649396"/>
      <w:bookmarkStart w:id="50" w:name="_Toc30649721"/>
      <w:bookmarkStart w:id="51" w:name="_Toc30651661"/>
      <w:bookmarkStart w:id="52" w:name="_Toc30652651"/>
      <w:bookmarkStart w:id="53" w:name="_Toc30652747"/>
      <w:bookmarkStart w:id="54" w:name="_Toc30654092"/>
      <w:bookmarkStart w:id="55" w:name="_Toc30654443"/>
      <w:bookmarkStart w:id="56" w:name="_Toc30655062"/>
      <w:bookmarkStart w:id="57" w:name="_Toc30655319"/>
      <w:bookmarkStart w:id="58" w:name="_Toc30656997"/>
      <w:bookmarkStart w:id="59" w:name="_Toc30661746"/>
      <w:bookmarkStart w:id="60" w:name="_Toc30666434"/>
      <w:bookmarkStart w:id="61" w:name="_Toc30666664"/>
      <w:bookmarkStart w:id="62" w:name="_Toc30667839"/>
      <w:bookmarkStart w:id="63" w:name="_Toc30669217"/>
      <w:bookmarkStart w:id="64" w:name="_Toc30671433"/>
      <w:bookmarkStart w:id="65" w:name="_Toc30673960"/>
      <w:bookmarkStart w:id="66" w:name="_Toc30691182"/>
      <w:bookmarkStart w:id="67" w:name="_Toc30691555"/>
      <w:bookmarkStart w:id="68" w:name="_Toc30691935"/>
      <w:bookmarkStart w:id="69" w:name="_Toc30692694"/>
      <w:bookmarkStart w:id="70" w:name="_Toc30693073"/>
      <w:bookmarkStart w:id="71" w:name="_Toc30693451"/>
      <w:bookmarkStart w:id="72" w:name="_Toc30693829"/>
      <w:bookmarkStart w:id="73" w:name="_Toc30694210"/>
      <w:bookmarkStart w:id="74" w:name="_Toc30698799"/>
      <w:bookmarkStart w:id="75" w:name="_Toc30699177"/>
      <w:bookmarkStart w:id="76" w:name="_Toc30699562"/>
      <w:bookmarkStart w:id="77" w:name="_Toc30700717"/>
      <w:bookmarkStart w:id="78" w:name="_Toc30701104"/>
      <w:bookmarkStart w:id="79" w:name="_Toc30743713"/>
      <w:bookmarkStart w:id="80" w:name="_Toc30754536"/>
      <w:bookmarkStart w:id="81" w:name="_Toc30756976"/>
      <w:bookmarkStart w:id="82" w:name="_Toc30757525"/>
      <w:bookmarkStart w:id="83" w:name="_Toc30757925"/>
      <w:bookmarkStart w:id="84" w:name="_Toc30762686"/>
      <w:bookmarkStart w:id="85" w:name="_Toc30767340"/>
      <w:bookmarkStart w:id="86" w:name="_Toc34823356"/>
    </w:p>
    <w:p w14:paraId="72FBE86B" w14:textId="77777777" w:rsidR="00497924" w:rsidRPr="00BE5170" w:rsidRDefault="00A338D2" w:rsidP="00540381">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4.10_Alternative_Dispute" w:history="1">
        <w:r w:rsidRPr="00BE5170">
          <w:rPr>
            <w:rStyle w:val="Hyperlink"/>
            <w:rFonts w:ascii="Arial" w:hAnsi="Arial" w:cs="Arial"/>
            <w:b/>
            <w:bCs/>
            <w:u w:val="none"/>
          </w:rPr>
          <w:t>4.10</w:t>
        </w:r>
        <w:r w:rsidR="003C760C" w:rsidRPr="00BE5170">
          <w:rPr>
            <w:rStyle w:val="Hyperlink"/>
            <w:rFonts w:ascii="Arial" w:hAnsi="Arial" w:cs="Arial"/>
            <w:b/>
            <w:bCs/>
            <w:u w:val="none"/>
          </w:rPr>
          <w:tab/>
        </w:r>
        <w:r w:rsidR="007C7752" w:rsidRPr="00BE5170">
          <w:rPr>
            <w:rStyle w:val="Hyperlink"/>
            <w:rFonts w:ascii="Arial" w:hAnsi="Arial" w:cs="Arial"/>
            <w:b/>
            <w:bCs/>
            <w:u w:val="none"/>
          </w:rPr>
          <w:t>A</w:t>
        </w:r>
        <w:r w:rsidR="005A4138" w:rsidRPr="00BE5170">
          <w:rPr>
            <w:rStyle w:val="Hyperlink"/>
            <w:rFonts w:ascii="Arial" w:hAnsi="Arial" w:cs="Arial"/>
            <w:b/>
            <w:bCs/>
            <w:u w:val="none"/>
          </w:rPr>
          <w:t>lternative</w:t>
        </w:r>
        <w:r w:rsidR="00411866" w:rsidRPr="00BE5170">
          <w:rPr>
            <w:rStyle w:val="Hyperlink"/>
            <w:rFonts w:ascii="Arial" w:hAnsi="Arial" w:cs="Arial"/>
            <w:b/>
            <w:bCs/>
            <w:u w:val="none"/>
          </w:rPr>
          <w:t xml:space="preserve"> </w:t>
        </w:r>
        <w:r w:rsidR="00AF5500" w:rsidRPr="00BE5170">
          <w:rPr>
            <w:rStyle w:val="Hyperlink"/>
            <w:rFonts w:ascii="Arial" w:hAnsi="Arial" w:cs="Arial"/>
            <w:b/>
            <w:bCs/>
            <w:u w:val="none"/>
          </w:rPr>
          <w:t>Dispute Resolution</w:t>
        </w:r>
      </w:hyperlink>
    </w:p>
    <w:p w14:paraId="4510533F" w14:textId="644A5E00" w:rsidR="00497924" w:rsidRPr="00111111" w:rsidRDefault="00D451AD" w:rsidP="007E7E01">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4.10.1_Conciliation_Conferences" w:history="1">
        <w:r w:rsidRPr="00111111">
          <w:rPr>
            <w:rStyle w:val="Hyperlink"/>
            <w:rFonts w:ascii="Arial" w:hAnsi="Arial" w:cs="Arial"/>
            <w:b/>
            <w:bCs/>
            <w:sz w:val="20"/>
            <w:u w:val="none"/>
          </w:rPr>
          <w:tab/>
        </w:r>
        <w:r w:rsidR="00497924" w:rsidRPr="00111111">
          <w:rPr>
            <w:rStyle w:val="Hyperlink"/>
            <w:rFonts w:ascii="Arial" w:hAnsi="Arial" w:cs="Arial"/>
            <w:b/>
            <w:bCs/>
            <w:sz w:val="20"/>
            <w:u w:val="none"/>
          </w:rPr>
          <w:tab/>
          <w:t>4.1</w:t>
        </w:r>
        <w:r w:rsidR="00A338D2" w:rsidRPr="00111111">
          <w:rPr>
            <w:rStyle w:val="Hyperlink"/>
            <w:rFonts w:ascii="Arial" w:hAnsi="Arial" w:cs="Arial"/>
            <w:b/>
            <w:bCs/>
            <w:sz w:val="20"/>
            <w:u w:val="none"/>
          </w:rPr>
          <w:t>0</w:t>
        </w:r>
        <w:r w:rsidR="00497924" w:rsidRPr="00111111">
          <w:rPr>
            <w:rStyle w:val="Hyperlink"/>
            <w:rFonts w:ascii="Arial" w:hAnsi="Arial" w:cs="Arial"/>
            <w:b/>
            <w:bCs/>
            <w:sz w:val="20"/>
            <w:u w:val="none"/>
          </w:rPr>
          <w:t>.1</w:t>
        </w:r>
        <w:r w:rsidR="00EE4D2D" w:rsidRPr="00111111">
          <w:rPr>
            <w:rStyle w:val="Hyperlink"/>
            <w:rFonts w:ascii="Arial" w:hAnsi="Arial" w:cs="Arial"/>
            <w:b/>
            <w:bCs/>
            <w:sz w:val="20"/>
            <w:u w:val="none"/>
          </w:rPr>
          <w:tab/>
        </w:r>
        <w:r w:rsidR="00801CD5" w:rsidRPr="00111111">
          <w:rPr>
            <w:rStyle w:val="Hyperlink"/>
            <w:rFonts w:ascii="Arial" w:hAnsi="Arial" w:cs="Arial"/>
            <w:b/>
            <w:bCs/>
            <w:sz w:val="20"/>
            <w:u w:val="none"/>
          </w:rPr>
          <w:t>Concilia</w:t>
        </w:r>
        <w:r w:rsidR="009A5523" w:rsidRPr="00111111">
          <w:rPr>
            <w:rStyle w:val="Hyperlink"/>
            <w:rFonts w:ascii="Arial" w:hAnsi="Arial" w:cs="Arial"/>
            <w:b/>
            <w:bCs/>
            <w:sz w:val="20"/>
            <w:u w:val="none"/>
          </w:rPr>
          <w:t>tion Conferences</w:t>
        </w:r>
      </w:hyperlink>
      <w:r w:rsidR="00412B7F">
        <w:rPr>
          <w:rFonts w:ascii="Arial" w:hAnsi="Arial" w:cs="Arial"/>
          <w:b/>
          <w:bCs/>
          <w:color w:val="000000"/>
          <w:sz w:val="20"/>
        </w:rPr>
        <w:t xml:space="preserve"> </w:t>
      </w:r>
      <w:r w:rsidR="00412B7F" w:rsidRPr="00111111">
        <w:rPr>
          <w:rFonts w:ascii="Arial" w:hAnsi="Arial" w:cs="Arial"/>
          <w:b/>
          <w:bCs/>
          <w:color w:val="FFFFFF" w:themeColor="background1"/>
          <w:sz w:val="20"/>
          <w:shd w:val="clear" w:color="auto" w:fill="FF0000"/>
        </w:rPr>
        <w:t>[NO LONGER AVAILABLE]</w:t>
      </w:r>
    </w:p>
    <w:p w14:paraId="1E5673D3" w14:textId="77777777" w:rsidR="004C5BBD" w:rsidRPr="00BE5170" w:rsidRDefault="004C5BBD" w:rsidP="004C5BB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2_Jurisdiction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9A5523" w:rsidRPr="00BE5170">
          <w:rPr>
            <w:rStyle w:val="Hyperlink"/>
            <w:rFonts w:ascii="Arial" w:hAnsi="Arial" w:cs="Arial"/>
            <w:b/>
            <w:bCs/>
            <w:sz w:val="20"/>
            <w:u w:val="none"/>
          </w:rPr>
          <w:t>2</w:t>
        </w:r>
        <w:r w:rsidR="009A5523" w:rsidRPr="00BE5170">
          <w:rPr>
            <w:rStyle w:val="Hyperlink"/>
            <w:rFonts w:ascii="Arial" w:hAnsi="Arial" w:cs="Arial"/>
            <w:b/>
            <w:bCs/>
            <w:sz w:val="20"/>
            <w:u w:val="none"/>
          </w:rPr>
          <w:tab/>
        </w:r>
        <w:r w:rsidRPr="00BE5170">
          <w:rPr>
            <w:rStyle w:val="Hyperlink"/>
            <w:rFonts w:ascii="Arial" w:hAnsi="Arial" w:cs="Arial"/>
            <w:b/>
            <w:bCs/>
            <w:sz w:val="20"/>
            <w:u w:val="none"/>
          </w:rPr>
          <w:t>Jurisdiction &amp; Purpose</w:t>
        </w:r>
        <w:r w:rsidR="005623CD" w:rsidRPr="00BE5170">
          <w:rPr>
            <w:rStyle w:val="Hyperlink"/>
            <w:rFonts w:ascii="Arial" w:hAnsi="Arial" w:cs="Arial"/>
            <w:b/>
            <w:bCs/>
            <w:sz w:val="20"/>
            <w:u w:val="none"/>
          </w:rPr>
          <w:t xml:space="preserve"> of </w:t>
        </w:r>
        <w:r w:rsidR="00801CD5" w:rsidRPr="00BE5170">
          <w:rPr>
            <w:rStyle w:val="Hyperlink"/>
            <w:rFonts w:ascii="Arial" w:hAnsi="Arial" w:cs="Arial"/>
            <w:b/>
            <w:bCs/>
            <w:sz w:val="20"/>
            <w:u w:val="none"/>
          </w:rPr>
          <w:t>C</w:t>
        </w:r>
        <w:r w:rsidR="009A5523" w:rsidRPr="00BE5170">
          <w:rPr>
            <w:rStyle w:val="Hyperlink"/>
            <w:rFonts w:ascii="Arial" w:hAnsi="Arial" w:cs="Arial"/>
            <w:b/>
            <w:bCs/>
            <w:sz w:val="20"/>
            <w:u w:val="none"/>
          </w:rPr>
          <w:t>C</w:t>
        </w:r>
      </w:hyperlink>
    </w:p>
    <w:p w14:paraId="75A63A9E" w14:textId="77777777" w:rsidR="00497924" w:rsidRPr="00BE5170" w:rsidRDefault="009A5523"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3_Convenor"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Pr="00BE5170">
          <w:rPr>
            <w:rStyle w:val="Hyperlink"/>
            <w:rFonts w:ascii="Arial" w:hAnsi="Arial" w:cs="Arial"/>
            <w:b/>
            <w:bCs/>
            <w:sz w:val="20"/>
            <w:u w:val="none"/>
          </w:rPr>
          <w:t>3</w:t>
        </w:r>
        <w:r w:rsidRPr="00BE5170">
          <w:rPr>
            <w:rStyle w:val="Hyperlink"/>
            <w:rFonts w:ascii="Arial" w:hAnsi="Arial" w:cs="Arial"/>
            <w:b/>
            <w:bCs/>
            <w:sz w:val="20"/>
            <w:u w:val="none"/>
          </w:rPr>
          <w:tab/>
        </w:r>
        <w:r w:rsidR="005A3FD8" w:rsidRPr="00BE5170">
          <w:rPr>
            <w:rStyle w:val="Hyperlink"/>
            <w:rFonts w:ascii="Arial" w:hAnsi="Arial" w:cs="Arial"/>
            <w:b/>
            <w:bCs/>
            <w:sz w:val="20"/>
            <w:u w:val="none"/>
          </w:rPr>
          <w:t>Convenor</w:t>
        </w:r>
      </w:hyperlink>
    </w:p>
    <w:p w14:paraId="0523BEDB" w14:textId="77777777" w:rsidR="0071271A" w:rsidRPr="00BE5170" w:rsidRDefault="00D451A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4_Repeal_of" w:history="1">
        <w:r w:rsidRPr="00BE5170">
          <w:rPr>
            <w:rStyle w:val="Hyperlink"/>
            <w:rFonts w:ascii="Arial" w:hAnsi="Arial" w:cs="Arial"/>
            <w:b/>
            <w:bCs/>
            <w:sz w:val="20"/>
            <w:u w:val="none"/>
          </w:rPr>
          <w:tab/>
        </w:r>
        <w:r w:rsidR="0071271A" w:rsidRPr="00BE5170">
          <w:rPr>
            <w:rStyle w:val="Hyperlink"/>
            <w:rFonts w:ascii="Arial" w:hAnsi="Arial" w:cs="Arial"/>
            <w:b/>
            <w:bCs/>
            <w:sz w:val="20"/>
            <w:u w:val="none"/>
          </w:rPr>
          <w:tab/>
          <w:t>4.10.</w:t>
        </w:r>
        <w:r w:rsidR="009A5523" w:rsidRPr="00BE5170">
          <w:rPr>
            <w:rStyle w:val="Hyperlink"/>
            <w:rFonts w:ascii="Arial" w:hAnsi="Arial" w:cs="Arial"/>
            <w:b/>
            <w:bCs/>
            <w:sz w:val="20"/>
            <w:u w:val="none"/>
          </w:rPr>
          <w:t>4</w:t>
        </w:r>
        <w:r w:rsidR="009A5523" w:rsidRPr="00BE5170">
          <w:rPr>
            <w:rStyle w:val="Hyperlink"/>
            <w:rFonts w:ascii="Arial" w:hAnsi="Arial" w:cs="Arial"/>
            <w:b/>
            <w:bCs/>
            <w:sz w:val="20"/>
            <w:u w:val="none"/>
          </w:rPr>
          <w:tab/>
        </w:r>
        <w:r w:rsidR="00801CD5" w:rsidRPr="00BE5170">
          <w:rPr>
            <w:rStyle w:val="Hyperlink"/>
            <w:rFonts w:ascii="Arial" w:hAnsi="Arial" w:cs="Arial"/>
            <w:b/>
            <w:bCs/>
            <w:sz w:val="20"/>
            <w:u w:val="none"/>
          </w:rPr>
          <w:t>Repeal of</w:t>
        </w:r>
        <w:r w:rsidR="0071271A" w:rsidRPr="00BE5170">
          <w:rPr>
            <w:rStyle w:val="Hyperlink"/>
            <w:rFonts w:ascii="Arial" w:hAnsi="Arial" w:cs="Arial"/>
            <w:b/>
            <w:bCs/>
            <w:sz w:val="20"/>
            <w:u w:val="none"/>
          </w:rPr>
          <w:t xml:space="preserve"> advisory conference</w:t>
        </w:r>
        <w:r w:rsidR="00801CD5" w:rsidRPr="00BE5170">
          <w:rPr>
            <w:rStyle w:val="Hyperlink"/>
            <w:rFonts w:ascii="Arial" w:hAnsi="Arial" w:cs="Arial"/>
            <w:b/>
            <w:bCs/>
            <w:sz w:val="20"/>
            <w:u w:val="none"/>
          </w:rPr>
          <w:t xml:space="preserve"> provisions</w:t>
        </w:r>
      </w:hyperlink>
    </w:p>
    <w:p w14:paraId="475D89FC" w14:textId="77777777" w:rsidR="009A5523" w:rsidRPr="00BE5170" w:rsidRDefault="004C5BBD" w:rsidP="0049792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5_Attendance_at"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497924" w:rsidRPr="00BE5170">
          <w:rPr>
            <w:rStyle w:val="Hyperlink"/>
            <w:rFonts w:ascii="Arial" w:hAnsi="Arial" w:cs="Arial"/>
            <w:b/>
            <w:bCs/>
            <w:sz w:val="20"/>
            <w:u w:val="none"/>
          </w:rPr>
          <w:t>4.1</w:t>
        </w:r>
        <w:r w:rsidR="00A338D2" w:rsidRPr="00BE5170">
          <w:rPr>
            <w:rStyle w:val="Hyperlink"/>
            <w:rFonts w:ascii="Arial" w:hAnsi="Arial" w:cs="Arial"/>
            <w:b/>
            <w:bCs/>
            <w:sz w:val="20"/>
            <w:u w:val="none"/>
          </w:rPr>
          <w:t>0</w:t>
        </w:r>
        <w:r w:rsidR="00497924" w:rsidRPr="00BE5170">
          <w:rPr>
            <w:rStyle w:val="Hyperlink"/>
            <w:rFonts w:ascii="Arial" w:hAnsi="Arial" w:cs="Arial"/>
            <w:b/>
            <w:bCs/>
            <w:sz w:val="20"/>
            <w:u w:val="none"/>
          </w:rPr>
          <w:t>.</w:t>
        </w:r>
        <w:r w:rsidR="009A5523" w:rsidRPr="00BE5170">
          <w:rPr>
            <w:rStyle w:val="Hyperlink"/>
            <w:rFonts w:ascii="Arial" w:hAnsi="Arial" w:cs="Arial"/>
            <w:b/>
            <w:bCs/>
            <w:sz w:val="20"/>
            <w:u w:val="none"/>
          </w:rPr>
          <w:t>5</w:t>
        </w:r>
        <w:r w:rsidR="009A5523" w:rsidRPr="00BE5170">
          <w:rPr>
            <w:rStyle w:val="Hyperlink"/>
            <w:rFonts w:ascii="Arial" w:hAnsi="Arial" w:cs="Arial"/>
            <w:b/>
            <w:bCs/>
            <w:sz w:val="20"/>
            <w:u w:val="none"/>
          </w:rPr>
          <w:tab/>
          <w:t>Attendance at</w:t>
        </w:r>
        <w:r w:rsidR="009A5523" w:rsidRPr="00BE5170">
          <w:rPr>
            <w:rStyle w:val="Hyperlink"/>
            <w:rFonts w:ascii="Arial" w:hAnsi="Arial" w:cs="Arial"/>
            <w:b/>
            <w:sz w:val="20"/>
            <w:u w:val="none"/>
          </w:rPr>
          <w:t xml:space="preserve"> </w:t>
        </w:r>
        <w:r w:rsidR="00801CD5" w:rsidRPr="00BE5170">
          <w:rPr>
            <w:rStyle w:val="Hyperlink"/>
            <w:rFonts w:ascii="Arial" w:hAnsi="Arial" w:cs="Arial"/>
            <w:b/>
            <w:sz w:val="20"/>
            <w:u w:val="none"/>
          </w:rPr>
          <w:t>C</w:t>
        </w:r>
        <w:r w:rsidR="009A5523" w:rsidRPr="00BE5170">
          <w:rPr>
            <w:rStyle w:val="Hyperlink"/>
            <w:rFonts w:ascii="Arial" w:hAnsi="Arial" w:cs="Arial"/>
            <w:b/>
            <w:sz w:val="20"/>
            <w:u w:val="none"/>
          </w:rPr>
          <w:t>C</w:t>
        </w:r>
      </w:hyperlink>
    </w:p>
    <w:p w14:paraId="6A836BC0" w14:textId="77777777" w:rsidR="00497924" w:rsidRPr="00BE5170" w:rsidRDefault="009A5523" w:rsidP="009A552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6_Guidelines_&amp;" w:history="1">
        <w:r w:rsidRPr="00BE5170">
          <w:rPr>
            <w:rStyle w:val="Hyperlink"/>
            <w:rFonts w:ascii="Arial" w:hAnsi="Arial" w:cs="Arial"/>
            <w:b/>
            <w:bCs/>
            <w:sz w:val="20"/>
            <w:u w:val="none"/>
          </w:rPr>
          <w:tab/>
        </w:r>
        <w:r w:rsidRPr="00BE5170">
          <w:rPr>
            <w:rStyle w:val="Hyperlink"/>
            <w:rFonts w:ascii="Arial" w:hAnsi="Arial" w:cs="Arial"/>
            <w:b/>
            <w:bCs/>
            <w:sz w:val="20"/>
            <w:u w:val="none"/>
          </w:rPr>
          <w:tab/>
          <w:t>4.10.6</w:t>
        </w:r>
        <w:r w:rsidRPr="00BE5170">
          <w:rPr>
            <w:rStyle w:val="Hyperlink"/>
            <w:rFonts w:ascii="Arial" w:hAnsi="Arial" w:cs="Arial"/>
            <w:b/>
            <w:bCs/>
            <w:sz w:val="20"/>
            <w:u w:val="none"/>
          </w:rPr>
          <w:tab/>
        </w:r>
        <w:r w:rsidR="0071271A" w:rsidRPr="00BE5170">
          <w:rPr>
            <w:rStyle w:val="Hyperlink"/>
            <w:rFonts w:ascii="Arial" w:hAnsi="Arial" w:cs="Arial"/>
            <w:b/>
            <w:bCs/>
            <w:sz w:val="20"/>
            <w:u w:val="none"/>
          </w:rPr>
          <w:t xml:space="preserve">Guidelines &amp; </w:t>
        </w:r>
        <w:r w:rsidR="00497924" w:rsidRPr="00BE5170">
          <w:rPr>
            <w:rStyle w:val="Hyperlink"/>
            <w:rFonts w:ascii="Arial" w:hAnsi="Arial" w:cs="Arial"/>
            <w:b/>
            <w:bCs/>
            <w:sz w:val="20"/>
            <w:u w:val="none"/>
          </w:rPr>
          <w:t>Procedure</w:t>
        </w:r>
      </w:hyperlink>
    </w:p>
    <w:p w14:paraId="4EC99178" w14:textId="77777777" w:rsidR="007A7BE3" w:rsidRPr="00BE5170" w:rsidRDefault="004C5BB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7_Reports_&amp;" w:history="1">
        <w:r w:rsidRPr="00BE5170">
          <w:rPr>
            <w:rStyle w:val="Hyperlink"/>
            <w:rFonts w:ascii="Arial" w:hAnsi="Arial" w:cs="Arial"/>
            <w:b/>
            <w:bCs/>
            <w:sz w:val="20"/>
            <w:u w:val="none"/>
          </w:rPr>
          <w:tab/>
        </w:r>
        <w:r w:rsidRPr="00BE5170">
          <w:rPr>
            <w:rStyle w:val="Hyperlink"/>
            <w:rFonts w:ascii="Arial" w:hAnsi="Arial" w:cs="Arial"/>
            <w:b/>
            <w:bCs/>
            <w:sz w:val="20"/>
            <w:u w:val="none"/>
          </w:rPr>
          <w:tab/>
        </w:r>
        <w:r w:rsidR="007A7BE3" w:rsidRPr="00BE5170">
          <w:rPr>
            <w:rStyle w:val="Hyperlink"/>
            <w:rFonts w:ascii="Arial" w:hAnsi="Arial" w:cs="Arial"/>
            <w:b/>
            <w:bCs/>
            <w:sz w:val="20"/>
            <w:u w:val="none"/>
          </w:rPr>
          <w:t>4.10.7</w:t>
        </w:r>
        <w:r w:rsidR="00EE4D2D" w:rsidRPr="00BE5170">
          <w:rPr>
            <w:rStyle w:val="Hyperlink"/>
            <w:rFonts w:ascii="Arial" w:hAnsi="Arial" w:cs="Arial"/>
            <w:b/>
            <w:bCs/>
            <w:sz w:val="20"/>
            <w:u w:val="none"/>
          </w:rPr>
          <w:tab/>
        </w:r>
        <w:r w:rsidR="00F301D1" w:rsidRPr="00BE5170">
          <w:rPr>
            <w:rStyle w:val="Hyperlink"/>
            <w:rFonts w:ascii="Arial" w:hAnsi="Arial" w:cs="Arial"/>
            <w:b/>
            <w:bCs/>
            <w:sz w:val="20"/>
            <w:u w:val="none"/>
          </w:rPr>
          <w:t>Reports &amp; Confidentiality</w:t>
        </w:r>
      </w:hyperlink>
    </w:p>
    <w:p w14:paraId="25DE97F0" w14:textId="77777777" w:rsidR="0048483D" w:rsidRPr="00BE5170" w:rsidRDefault="0048483D"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8_Court_orders"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8</w:t>
        </w:r>
        <w:r w:rsidRPr="00BE5170">
          <w:rPr>
            <w:rStyle w:val="Hyperlink"/>
            <w:rFonts w:ascii="Arial" w:hAnsi="Arial" w:cs="Arial"/>
            <w:b/>
            <w:bCs/>
            <w:sz w:val="20"/>
            <w:u w:val="none"/>
          </w:rPr>
          <w:tab/>
        </w:r>
        <w:r w:rsidR="00F301D1" w:rsidRPr="00BE5170">
          <w:rPr>
            <w:rStyle w:val="Hyperlink"/>
            <w:rFonts w:ascii="Arial" w:hAnsi="Arial" w:cs="Arial"/>
            <w:b/>
            <w:bCs/>
            <w:sz w:val="20"/>
            <w:u w:val="none"/>
          </w:rPr>
          <w:t>Court orders</w:t>
        </w:r>
      </w:hyperlink>
    </w:p>
    <w:p w14:paraId="6777A8E1" w14:textId="77777777" w:rsidR="00F301D1" w:rsidRPr="00BE5170" w:rsidRDefault="00F301D1"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9_Statistics" w:history="1">
        <w:r w:rsidRPr="00BE5170">
          <w:rPr>
            <w:rStyle w:val="Hyperlink"/>
            <w:rFonts w:ascii="Arial" w:hAnsi="Arial" w:cs="Arial"/>
            <w:b/>
            <w:bCs/>
            <w:sz w:val="20"/>
            <w:u w:val="none"/>
          </w:rPr>
          <w:tab/>
        </w:r>
        <w:r w:rsidRPr="00BE5170">
          <w:rPr>
            <w:rStyle w:val="Hyperlink"/>
            <w:rFonts w:ascii="Arial" w:hAnsi="Arial" w:cs="Arial"/>
            <w:b/>
            <w:bCs/>
            <w:sz w:val="20"/>
            <w:u w:val="none"/>
          </w:rPr>
          <w:tab/>
          <w:t>4.10.9</w:t>
        </w:r>
        <w:r w:rsidRPr="00BE5170">
          <w:rPr>
            <w:rStyle w:val="Hyperlink"/>
            <w:rFonts w:ascii="Arial" w:hAnsi="Arial" w:cs="Arial"/>
            <w:b/>
            <w:bCs/>
            <w:sz w:val="20"/>
            <w:u w:val="none"/>
          </w:rPr>
          <w:tab/>
          <w:t>Statistics</w:t>
        </w:r>
      </w:hyperlink>
    </w:p>
    <w:p w14:paraId="74969FA5" w14:textId="77777777" w:rsidR="00F0138C" w:rsidRPr="00BE5170" w:rsidRDefault="00F0138C" w:rsidP="007A7BE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4.10.10__Judicial" w:history="1">
        <w:r w:rsidRPr="00BE5170">
          <w:rPr>
            <w:rStyle w:val="Hyperlink"/>
            <w:rFonts w:ascii="Arial" w:hAnsi="Arial" w:cs="Arial"/>
            <w:b/>
            <w:bCs/>
            <w:sz w:val="20"/>
            <w:u w:val="none"/>
          </w:rPr>
          <w:tab/>
        </w:r>
        <w:r w:rsidRPr="00BE5170">
          <w:rPr>
            <w:rStyle w:val="Hyperlink"/>
            <w:rFonts w:ascii="Arial" w:hAnsi="Arial" w:cs="Arial"/>
            <w:b/>
            <w:bCs/>
            <w:sz w:val="20"/>
            <w:u w:val="none"/>
          </w:rPr>
          <w:tab/>
          <w:t>4.10.</w:t>
        </w:r>
        <w:r w:rsidR="00F301D1" w:rsidRPr="00BE5170">
          <w:rPr>
            <w:rStyle w:val="Hyperlink"/>
            <w:rFonts w:ascii="Arial" w:hAnsi="Arial" w:cs="Arial"/>
            <w:b/>
            <w:bCs/>
            <w:sz w:val="20"/>
            <w:u w:val="none"/>
          </w:rPr>
          <w:t>10</w:t>
        </w:r>
        <w:r w:rsidRPr="00BE5170">
          <w:rPr>
            <w:rStyle w:val="Hyperlink"/>
            <w:rFonts w:ascii="Arial" w:hAnsi="Arial" w:cs="Arial"/>
            <w:b/>
            <w:bCs/>
            <w:sz w:val="20"/>
            <w:u w:val="none"/>
          </w:rPr>
          <w:tab/>
          <w:t>Judicial Resolution Conferences</w:t>
        </w:r>
      </w:hyperlink>
    </w:p>
    <w:p w14:paraId="517769F6" w14:textId="77777777" w:rsidR="00693223" w:rsidRPr="00BE5170" w:rsidRDefault="00693223" w:rsidP="00C66220">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1_Children's_Court" w:history="1">
        <w:r w:rsidRPr="00BE5170">
          <w:rPr>
            <w:rStyle w:val="Hyperlink"/>
            <w:rFonts w:ascii="Arial" w:hAnsi="Arial" w:cs="Arial"/>
            <w:b/>
            <w:bCs/>
            <w:u w:val="none"/>
          </w:rPr>
          <w:t>4.1</w:t>
        </w:r>
        <w:r w:rsidR="00A338D2" w:rsidRPr="00BE5170">
          <w:rPr>
            <w:rStyle w:val="Hyperlink"/>
            <w:rFonts w:ascii="Arial" w:hAnsi="Arial" w:cs="Arial"/>
            <w:b/>
            <w:bCs/>
            <w:u w:val="none"/>
          </w:rPr>
          <w:t>1</w:t>
        </w:r>
        <w:r w:rsidRPr="00BE5170">
          <w:rPr>
            <w:rStyle w:val="Hyperlink"/>
            <w:rFonts w:ascii="Arial" w:hAnsi="Arial" w:cs="Arial"/>
            <w:b/>
            <w:bCs/>
            <w:u w:val="none"/>
          </w:rPr>
          <w:tab/>
          <w:t>Children's Court &amp; Family Court compared &amp; contrasted</w:t>
        </w:r>
      </w:hyperlink>
    </w:p>
    <w:p w14:paraId="6D28E74B" w14:textId="77777777" w:rsidR="00693223" w:rsidRPr="00BE5170" w:rsidRDefault="00D451AD" w:rsidP="00C6622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4.11.1__Public" w:history="1">
        <w:r w:rsidRPr="00BE5170">
          <w:rPr>
            <w:rStyle w:val="Hyperlink"/>
            <w:rFonts w:ascii="Arial" w:hAnsi="Arial" w:cs="Arial"/>
            <w:b/>
            <w:bCs/>
            <w:sz w:val="20"/>
            <w:u w:val="none"/>
          </w:rPr>
          <w:tab/>
        </w:r>
        <w:r w:rsidR="00693223" w:rsidRPr="00BE5170">
          <w:rPr>
            <w:rStyle w:val="Hyperlink"/>
            <w:rFonts w:ascii="Arial" w:hAnsi="Arial" w:cs="Arial"/>
            <w:b/>
            <w:bCs/>
            <w:sz w:val="20"/>
            <w:u w:val="none"/>
          </w:rPr>
          <w:tab/>
          <w:t>4.1</w:t>
        </w:r>
        <w:r w:rsidR="00A338D2" w:rsidRPr="00BE5170">
          <w:rPr>
            <w:rStyle w:val="Hyperlink"/>
            <w:rFonts w:ascii="Arial" w:hAnsi="Arial" w:cs="Arial"/>
            <w:b/>
            <w:bCs/>
            <w:sz w:val="20"/>
            <w:u w:val="none"/>
          </w:rPr>
          <w:t>1</w:t>
        </w:r>
        <w:r w:rsidR="00693223" w:rsidRPr="00BE5170">
          <w:rPr>
            <w:rStyle w:val="Hyperlink"/>
            <w:rFonts w:ascii="Arial" w:hAnsi="Arial" w:cs="Arial"/>
            <w:b/>
            <w:bCs/>
            <w:sz w:val="20"/>
            <w:u w:val="none"/>
          </w:rPr>
          <w:t>.1</w:t>
        </w:r>
        <w:r w:rsidR="004C5BBD" w:rsidRPr="00BE5170">
          <w:rPr>
            <w:rStyle w:val="Hyperlink"/>
            <w:rFonts w:ascii="Arial" w:hAnsi="Arial" w:cs="Arial"/>
            <w:b/>
            <w:bCs/>
            <w:sz w:val="20"/>
            <w:u w:val="none"/>
          </w:rPr>
          <w:tab/>
        </w:r>
        <w:r w:rsidR="00693223" w:rsidRPr="00BE5170">
          <w:rPr>
            <w:rStyle w:val="Hyperlink"/>
            <w:rFonts w:ascii="Arial" w:hAnsi="Arial" w:cs="Arial"/>
            <w:b/>
            <w:bCs/>
            <w:sz w:val="20"/>
            <w:u w:val="none"/>
          </w:rPr>
          <w:t>Public law versus private law</w:t>
        </w:r>
      </w:hyperlink>
    </w:p>
    <w:p w14:paraId="553E1BC9"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2__Responsibilities"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.2</w:t>
        </w:r>
        <w:r w:rsidR="00EE4D2D" w:rsidRPr="00BE5170">
          <w:rPr>
            <w:rStyle w:val="Hyperlink"/>
            <w:rFonts w:ascii="Arial" w:hAnsi="Arial" w:cs="Arial"/>
            <w:b/>
            <w:bCs/>
            <w:sz w:val="20"/>
            <w:u w:val="none"/>
          </w:rPr>
          <w:tab/>
        </w:r>
        <w:r w:rsidR="00183039">
          <w:rPr>
            <w:rStyle w:val="Hyperlink"/>
            <w:rFonts w:ascii="Arial" w:hAnsi="Arial" w:cs="Arial"/>
            <w:b/>
            <w:bCs/>
            <w:sz w:val="20"/>
            <w:u w:val="none"/>
          </w:rPr>
          <w:t>R</w:t>
        </w:r>
        <w:r w:rsidR="00693223" w:rsidRPr="00BE5170">
          <w:rPr>
            <w:rStyle w:val="Hyperlink"/>
            <w:rFonts w:ascii="Arial" w:hAnsi="Arial" w:cs="Arial"/>
            <w:b/>
            <w:bCs/>
            <w:sz w:val="20"/>
            <w:u w:val="none"/>
          </w:rPr>
          <w:t>esponsibilities and obligations of the Family Court to children</w:t>
        </w:r>
      </w:hyperlink>
    </w:p>
    <w:p w14:paraId="4ABCCB74" w14:textId="77777777" w:rsidR="00693223" w:rsidRPr="00BE5170" w:rsidRDefault="00A338D2">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3__Notification" w:history="1">
        <w:r w:rsidRPr="00BE5170">
          <w:rPr>
            <w:rStyle w:val="Hyperlink"/>
            <w:rFonts w:ascii="Arial" w:hAnsi="Arial" w:cs="Arial"/>
            <w:b/>
            <w:bCs/>
            <w:sz w:val="20"/>
            <w:u w:val="none"/>
          </w:rPr>
          <w:tab/>
        </w:r>
        <w:r w:rsidR="00D451AD" w:rsidRPr="00BE5170">
          <w:rPr>
            <w:rStyle w:val="Hyperlink"/>
            <w:rFonts w:ascii="Arial" w:hAnsi="Arial" w:cs="Arial"/>
            <w:b/>
            <w:bCs/>
            <w:sz w:val="20"/>
            <w:u w:val="none"/>
          </w:rPr>
          <w:tab/>
        </w:r>
        <w:r w:rsidRPr="00BE5170">
          <w:rPr>
            <w:rStyle w:val="Hyperlink"/>
            <w:rFonts w:ascii="Arial" w:hAnsi="Arial" w:cs="Arial"/>
            <w:b/>
            <w:bCs/>
            <w:sz w:val="20"/>
            <w:u w:val="none"/>
          </w:rPr>
          <w:t>4.11</w:t>
        </w:r>
        <w:r w:rsidR="00693223" w:rsidRPr="00BE5170">
          <w:rPr>
            <w:rStyle w:val="Hyperlink"/>
            <w:rFonts w:ascii="Arial" w:hAnsi="Arial" w:cs="Arial"/>
            <w:b/>
            <w:bCs/>
            <w:sz w:val="20"/>
            <w:u w:val="none"/>
          </w:rPr>
          <w:t>.3</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Notification by the Family Court to State welfare authorities</w:t>
        </w:r>
      </w:hyperlink>
    </w:p>
    <w:p w14:paraId="47D60E63" w14:textId="77777777" w:rsidR="00693223" w:rsidRPr="00BE5170"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4__Representation"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.4</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Representation of children</w:t>
        </w:r>
      </w:hyperlink>
    </w:p>
    <w:p w14:paraId="79F2BF5B" w14:textId="77777777" w:rsidR="00693223" w:rsidRDefault="00D451AD">
      <w:pPr>
        <w:pBdr>
          <w:top w:val="single" w:sz="4" w:space="1" w:color="auto"/>
          <w:left w:val="single" w:sz="4" w:space="4" w:color="auto"/>
          <w:bottom w:val="single" w:sz="4" w:space="1" w:color="auto"/>
          <w:right w:val="single" w:sz="4" w:space="4" w:color="auto"/>
        </w:pBdr>
        <w:rPr>
          <w:rFonts w:ascii="Arial" w:hAnsi="Arial" w:cs="Arial"/>
          <w:b/>
          <w:bCs/>
          <w:sz w:val="20"/>
        </w:rPr>
      </w:pPr>
      <w:hyperlink w:anchor="_4.11.5__Priority" w:history="1">
        <w:r w:rsidRPr="00BE5170">
          <w:rPr>
            <w:rStyle w:val="Hyperlink"/>
            <w:rFonts w:ascii="Arial" w:hAnsi="Arial" w:cs="Arial"/>
            <w:b/>
            <w:bCs/>
            <w:sz w:val="20"/>
            <w:u w:val="none"/>
          </w:rPr>
          <w:tab/>
        </w:r>
        <w:r w:rsidR="00A338D2" w:rsidRPr="00BE5170">
          <w:rPr>
            <w:rStyle w:val="Hyperlink"/>
            <w:rFonts w:ascii="Arial" w:hAnsi="Arial" w:cs="Arial"/>
            <w:b/>
            <w:bCs/>
            <w:sz w:val="20"/>
            <w:u w:val="none"/>
          </w:rPr>
          <w:tab/>
          <w:t>4.11</w:t>
        </w:r>
        <w:r w:rsidR="00693223" w:rsidRPr="00BE5170">
          <w:rPr>
            <w:rStyle w:val="Hyperlink"/>
            <w:rFonts w:ascii="Arial" w:hAnsi="Arial" w:cs="Arial"/>
            <w:b/>
            <w:bCs/>
            <w:sz w:val="20"/>
            <w:u w:val="none"/>
          </w:rPr>
          <w:t>.5</w:t>
        </w:r>
        <w:r w:rsidR="00EE4D2D" w:rsidRPr="00BE5170">
          <w:rPr>
            <w:rStyle w:val="Hyperlink"/>
            <w:rFonts w:ascii="Arial" w:hAnsi="Arial" w:cs="Arial"/>
            <w:b/>
            <w:bCs/>
            <w:sz w:val="20"/>
            <w:u w:val="none"/>
          </w:rPr>
          <w:tab/>
        </w:r>
        <w:r w:rsidR="00693223" w:rsidRPr="00BE5170">
          <w:rPr>
            <w:rStyle w:val="Hyperlink"/>
            <w:rFonts w:ascii="Arial" w:hAnsi="Arial" w:cs="Arial"/>
            <w:b/>
            <w:bCs/>
            <w:sz w:val="20"/>
            <w:u w:val="none"/>
          </w:rPr>
          <w:t>Priority of orders</w:t>
        </w:r>
      </w:hyperlink>
    </w:p>
    <w:p w14:paraId="70A40CA1" w14:textId="77777777" w:rsidR="00802EC5" w:rsidRPr="00D74C22" w:rsidRDefault="00802EC5">
      <w:pPr>
        <w:pBdr>
          <w:top w:val="single" w:sz="4" w:space="1" w:color="auto"/>
          <w:left w:val="single" w:sz="4" w:space="4" w:color="auto"/>
          <w:bottom w:val="single" w:sz="4" w:space="1" w:color="auto"/>
          <w:right w:val="single" w:sz="4" w:space="4" w:color="auto"/>
        </w:pBdr>
        <w:rPr>
          <w:rFonts w:ascii="Arial" w:hAnsi="Arial" w:cs="Arial"/>
          <w:b/>
          <w:bCs/>
          <w:sz w:val="20"/>
        </w:rPr>
      </w:pPr>
      <w:r w:rsidRPr="00D74C22">
        <w:rPr>
          <w:rFonts w:ascii="Arial" w:hAnsi="Arial" w:cs="Arial"/>
          <w:b/>
          <w:bCs/>
          <w:sz w:val="20"/>
        </w:rPr>
        <w:tab/>
      </w:r>
      <w:r w:rsidRPr="00D74C22">
        <w:rPr>
          <w:rFonts w:ascii="Arial" w:hAnsi="Arial" w:cs="Arial"/>
          <w:b/>
          <w:bCs/>
          <w:sz w:val="20"/>
        </w:rPr>
        <w:tab/>
      </w:r>
      <w:hyperlink w:anchor="_4.11.6__Sharing" w:history="1">
        <w:r w:rsidRPr="00D74C22">
          <w:rPr>
            <w:rStyle w:val="Hyperlink"/>
            <w:rFonts w:ascii="Arial" w:hAnsi="Arial" w:cs="Arial"/>
            <w:b/>
            <w:bCs/>
            <w:sz w:val="20"/>
            <w:u w:val="none"/>
          </w:rPr>
          <w:t>4.11.6</w:t>
        </w:r>
        <w:r w:rsidRPr="00D74C22">
          <w:rPr>
            <w:rStyle w:val="Hyperlink"/>
            <w:rFonts w:ascii="Arial" w:hAnsi="Arial" w:cs="Arial"/>
            <w:b/>
            <w:bCs/>
            <w:sz w:val="20"/>
            <w:u w:val="none"/>
          </w:rPr>
          <w:tab/>
          <w:t>Sharing of materials between Children’s Court &amp; Family Court</w:t>
        </w:r>
      </w:hyperlink>
    </w:p>
    <w:p w14:paraId="60855F04" w14:textId="77777777" w:rsidR="00693223" w:rsidRPr="00BE5170" w:rsidRDefault="00693223">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2_Relationship_between" w:history="1">
        <w:r w:rsidRPr="00BE5170">
          <w:rPr>
            <w:rStyle w:val="Hyperlink"/>
            <w:rFonts w:ascii="Arial" w:hAnsi="Arial" w:cs="Arial"/>
            <w:b/>
            <w:bCs/>
            <w:u w:val="none"/>
          </w:rPr>
          <w:t>4.1</w:t>
        </w:r>
        <w:r w:rsidR="00A338D2" w:rsidRPr="00BE5170">
          <w:rPr>
            <w:rStyle w:val="Hyperlink"/>
            <w:rFonts w:ascii="Arial" w:hAnsi="Arial" w:cs="Arial"/>
            <w:b/>
            <w:bCs/>
            <w:u w:val="none"/>
          </w:rPr>
          <w:t>2</w:t>
        </w:r>
        <w:r w:rsidRPr="00BE5170">
          <w:rPr>
            <w:rStyle w:val="Hyperlink"/>
            <w:rFonts w:ascii="Arial" w:hAnsi="Arial" w:cs="Arial"/>
            <w:b/>
            <w:bCs/>
            <w:u w:val="none"/>
          </w:rPr>
          <w:tab/>
          <w:t>Relationship between attachment and child's emotional wellbeing</w:t>
        </w:r>
      </w:hyperlink>
    </w:p>
    <w:p w14:paraId="779B1742" w14:textId="77777777" w:rsidR="00693223" w:rsidRPr="00BE5170" w:rsidRDefault="00A338D2">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3_Shared_care" w:history="1">
        <w:r w:rsidRPr="00BE5170">
          <w:rPr>
            <w:rStyle w:val="Hyperlink"/>
            <w:rFonts w:ascii="Arial" w:hAnsi="Arial" w:cs="Arial"/>
            <w:b/>
            <w:bCs/>
            <w:u w:val="none"/>
          </w:rPr>
          <w:t>4.13</w:t>
        </w:r>
        <w:r w:rsidR="00693223" w:rsidRPr="00BE5170">
          <w:rPr>
            <w:rStyle w:val="Hyperlink"/>
            <w:rFonts w:ascii="Arial" w:hAnsi="Arial" w:cs="Arial"/>
            <w:b/>
            <w:bCs/>
            <w:u w:val="none"/>
          </w:rPr>
          <w:tab/>
          <w:t>Shared care of a young child</w:t>
        </w:r>
      </w:hyperlink>
    </w:p>
    <w:p w14:paraId="13D83405" w14:textId="77777777" w:rsidR="00E14F02" w:rsidRPr="00BE5170" w:rsidRDefault="00E14F02" w:rsidP="00E14F02">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4.14_Frequency_of" w:history="1">
        <w:r w:rsidRPr="00BE5170">
          <w:rPr>
            <w:rStyle w:val="Hyperlink"/>
            <w:rFonts w:ascii="Arial" w:hAnsi="Arial" w:cs="Arial"/>
            <w:b/>
            <w:bCs/>
            <w:u w:val="none"/>
          </w:rPr>
          <w:t>4.14</w:t>
        </w:r>
        <w:r w:rsidRPr="00BE5170">
          <w:rPr>
            <w:rStyle w:val="Hyperlink"/>
            <w:rFonts w:ascii="Arial" w:hAnsi="Arial" w:cs="Arial"/>
            <w:b/>
            <w:bCs/>
            <w:u w:val="none"/>
          </w:rPr>
          <w:tab/>
          <w:t xml:space="preserve">Frequency of </w:t>
        </w:r>
        <w:r w:rsidR="00CF6AAD" w:rsidRPr="00BE5170">
          <w:rPr>
            <w:rStyle w:val="Hyperlink"/>
            <w:rFonts w:ascii="Arial" w:hAnsi="Arial" w:cs="Arial"/>
            <w:b/>
            <w:bCs/>
            <w:u w:val="none"/>
          </w:rPr>
          <w:t>contact</w:t>
        </w:r>
        <w:r w:rsidRPr="00BE5170">
          <w:rPr>
            <w:rStyle w:val="Hyperlink"/>
            <w:rFonts w:ascii="Arial" w:hAnsi="Arial" w:cs="Arial"/>
            <w:b/>
            <w:bCs/>
            <w:u w:val="none"/>
          </w:rPr>
          <w:t xml:space="preserve"> between </w:t>
        </w:r>
        <w:r w:rsidR="00EF65CA" w:rsidRPr="00BE5170">
          <w:rPr>
            <w:rStyle w:val="Hyperlink"/>
            <w:rFonts w:ascii="Arial" w:hAnsi="Arial" w:cs="Arial"/>
            <w:b/>
            <w:bCs/>
            <w:u w:val="none"/>
          </w:rPr>
          <w:t>young child</w:t>
        </w:r>
        <w:r w:rsidRPr="00BE5170">
          <w:rPr>
            <w:rStyle w:val="Hyperlink"/>
            <w:rFonts w:ascii="Arial" w:hAnsi="Arial" w:cs="Arial"/>
            <w:b/>
            <w:bCs/>
            <w:u w:val="none"/>
          </w:rPr>
          <w:t xml:space="preserve"> and parent</w:t>
        </w:r>
      </w:hyperlink>
    </w:p>
    <w:p w14:paraId="6B9F3C05" w14:textId="13415D84" w:rsidR="007E7E01" w:rsidRPr="00C66220" w:rsidRDefault="00C66220" w:rsidP="00C66220">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sz w:val="20"/>
          <w:u w:val="none"/>
        </w:rPr>
      </w:pPr>
      <w:r w:rsidRPr="00C66220">
        <w:rPr>
          <w:rFonts w:ascii="Arial" w:hAnsi="Arial" w:cs="Arial"/>
          <w:b/>
          <w:bCs/>
          <w:sz w:val="20"/>
        </w:rPr>
        <w:fldChar w:fldCharType="begin"/>
      </w:r>
      <w:r w:rsidRPr="00C66220">
        <w:rPr>
          <w:rFonts w:ascii="Arial" w:hAnsi="Arial" w:cs="Arial"/>
          <w:b/>
          <w:bCs/>
          <w:sz w:val="20"/>
        </w:rPr>
        <w:instrText xml:space="preserve"> HYPERLINK  \l "_4.14.1_The_Victorian" </w:instrText>
      </w:r>
      <w:r w:rsidRPr="00C66220">
        <w:rPr>
          <w:rFonts w:ascii="Arial" w:hAnsi="Arial" w:cs="Arial"/>
          <w:b/>
          <w:bCs/>
          <w:sz w:val="20"/>
        </w:rPr>
      </w:r>
      <w:r w:rsidRPr="00C66220">
        <w:rPr>
          <w:rFonts w:ascii="Arial" w:hAnsi="Arial" w:cs="Arial"/>
          <w:b/>
          <w:bCs/>
          <w:sz w:val="20"/>
        </w:rPr>
        <w:fldChar w:fldCharType="separate"/>
      </w:r>
      <w:r w:rsidR="007E7E01" w:rsidRPr="00C66220">
        <w:rPr>
          <w:rStyle w:val="Hyperlink"/>
          <w:rFonts w:ascii="Arial" w:hAnsi="Arial" w:cs="Arial"/>
          <w:b/>
          <w:bCs/>
          <w:sz w:val="20"/>
          <w:u w:val="none"/>
        </w:rPr>
        <w:tab/>
      </w:r>
      <w:r w:rsidR="007E7E01" w:rsidRPr="00C66220">
        <w:rPr>
          <w:rStyle w:val="Hyperlink"/>
          <w:rFonts w:ascii="Arial" w:hAnsi="Arial" w:cs="Arial"/>
          <w:b/>
          <w:bCs/>
          <w:sz w:val="20"/>
          <w:u w:val="none"/>
        </w:rPr>
        <w:tab/>
        <w:t>4.14.</w:t>
      </w:r>
      <w:r w:rsidR="00AF349E" w:rsidRPr="00C66220">
        <w:rPr>
          <w:rStyle w:val="Hyperlink"/>
          <w:rFonts w:ascii="Arial" w:hAnsi="Arial" w:cs="Arial"/>
          <w:b/>
          <w:bCs/>
          <w:sz w:val="20"/>
          <w:u w:val="none"/>
        </w:rPr>
        <w:t>1</w:t>
      </w:r>
      <w:r w:rsidR="007E7E01" w:rsidRPr="00C66220">
        <w:rPr>
          <w:rStyle w:val="Hyperlink"/>
          <w:rFonts w:ascii="Arial" w:hAnsi="Arial" w:cs="Arial"/>
          <w:b/>
          <w:bCs/>
          <w:sz w:val="20"/>
          <w:u w:val="none"/>
        </w:rPr>
        <w:tab/>
      </w:r>
      <w:r w:rsidRPr="00C66220">
        <w:rPr>
          <w:rStyle w:val="Hyperlink"/>
          <w:rFonts w:ascii="Arial" w:hAnsi="Arial" w:cs="Arial"/>
          <w:b/>
          <w:bCs/>
          <w:sz w:val="20"/>
          <w:u w:val="none"/>
        </w:rPr>
        <w:t xml:space="preserve">The Victorian case of </w:t>
      </w:r>
      <w:r w:rsidRPr="00C66220">
        <w:rPr>
          <w:rStyle w:val="Hyperlink"/>
          <w:rFonts w:ascii="Arial" w:hAnsi="Arial" w:cs="Arial"/>
          <w:b/>
          <w:bCs/>
          <w:i/>
          <w:iCs/>
          <w:sz w:val="20"/>
          <w:u w:val="none"/>
        </w:rPr>
        <w:t>DOHS v Ms B &amp; Mr G</w:t>
      </w:r>
    </w:p>
    <w:p w14:paraId="56CE8D11" w14:textId="7A58BAC1" w:rsidR="00F236C2" w:rsidRPr="00BE5170" w:rsidRDefault="00C66220" w:rsidP="007E7E01">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66220">
        <w:rPr>
          <w:rFonts w:ascii="Arial" w:hAnsi="Arial" w:cs="Arial"/>
          <w:b/>
          <w:bCs/>
          <w:sz w:val="20"/>
        </w:rPr>
        <w:fldChar w:fldCharType="end"/>
      </w:r>
      <w:hyperlink w:anchor="_4.14.3__American" w:history="1">
        <w:r w:rsidR="00806118" w:rsidRPr="00BE5170">
          <w:rPr>
            <w:rStyle w:val="Hyperlink"/>
            <w:rFonts w:ascii="Arial" w:hAnsi="Arial" w:cs="Arial"/>
            <w:b/>
            <w:bCs/>
            <w:sz w:val="20"/>
            <w:u w:val="none"/>
          </w:rPr>
          <w:tab/>
        </w:r>
        <w:r w:rsidR="00806118" w:rsidRPr="00BE5170">
          <w:rPr>
            <w:rStyle w:val="Hyperlink"/>
            <w:rFonts w:ascii="Arial" w:hAnsi="Arial" w:cs="Arial"/>
            <w:b/>
            <w:bCs/>
            <w:sz w:val="20"/>
            <w:u w:val="none"/>
          </w:rPr>
          <w:tab/>
          <w:t>4.14.</w:t>
        </w:r>
        <w:r w:rsidR="009F6564">
          <w:rPr>
            <w:rStyle w:val="Hyperlink"/>
            <w:rFonts w:ascii="Arial" w:hAnsi="Arial" w:cs="Arial"/>
            <w:b/>
            <w:bCs/>
            <w:sz w:val="20"/>
            <w:u w:val="none"/>
          </w:rPr>
          <w:t>2</w:t>
        </w:r>
        <w:r w:rsidR="00806118" w:rsidRPr="00BE5170">
          <w:rPr>
            <w:rStyle w:val="Hyperlink"/>
            <w:rFonts w:ascii="Arial" w:hAnsi="Arial" w:cs="Arial"/>
            <w:b/>
            <w:bCs/>
            <w:sz w:val="20"/>
            <w:u w:val="none"/>
          </w:rPr>
          <w:tab/>
        </w:r>
        <w:r w:rsidR="00183039">
          <w:rPr>
            <w:rStyle w:val="Hyperlink"/>
            <w:rFonts w:ascii="Arial" w:hAnsi="Arial" w:cs="Arial"/>
            <w:b/>
            <w:bCs/>
            <w:sz w:val="20"/>
            <w:u w:val="none"/>
          </w:rPr>
          <w:t>A</w:t>
        </w:r>
        <w:r w:rsidR="00F236C2" w:rsidRPr="00BE5170">
          <w:rPr>
            <w:rStyle w:val="Hyperlink"/>
            <w:rFonts w:ascii="Arial" w:hAnsi="Arial" w:cs="Arial"/>
            <w:b/>
            <w:bCs/>
            <w:sz w:val="20"/>
            <w:u w:val="none"/>
          </w:rPr>
          <w:t xml:space="preserve">merican judicial </w:t>
        </w:r>
        <w:r w:rsidR="00247BF7" w:rsidRPr="00BE5170">
          <w:rPr>
            <w:rStyle w:val="Hyperlink"/>
            <w:rFonts w:ascii="Arial" w:hAnsi="Arial" w:cs="Arial"/>
            <w:b/>
            <w:bCs/>
            <w:sz w:val="20"/>
            <w:u w:val="none"/>
          </w:rPr>
          <w:t>guidelines</w:t>
        </w:r>
        <w:r w:rsidR="00806118" w:rsidRPr="00BE5170">
          <w:rPr>
            <w:rStyle w:val="Hyperlink"/>
            <w:rFonts w:ascii="Arial" w:hAnsi="Arial" w:cs="Arial"/>
            <w:b/>
            <w:bCs/>
            <w:sz w:val="20"/>
            <w:u w:val="none"/>
          </w:rPr>
          <w:t xml:space="preserve"> 2009</w:t>
        </w:r>
      </w:hyperlink>
    </w:p>
    <w:p w14:paraId="13F7D825" w14:textId="77777777" w:rsidR="00FB53EB" w:rsidRPr="00BE5170" w:rsidRDefault="00497924">
      <w:pPr>
        <w:pBdr>
          <w:top w:val="single" w:sz="4" w:space="1" w:color="auto"/>
          <w:left w:val="single" w:sz="4" w:space="4" w:color="auto"/>
          <w:bottom w:val="single" w:sz="4" w:space="1" w:color="auto"/>
          <w:right w:val="single" w:sz="4" w:space="4" w:color="auto"/>
        </w:pBdr>
        <w:spacing w:before="120"/>
        <w:rPr>
          <w:rFonts w:ascii="Arial" w:hAnsi="Arial" w:cs="Arial"/>
          <w:b/>
          <w:bCs/>
        </w:rPr>
      </w:pPr>
      <w:hyperlink w:anchor="_4.15_Cumulative_harm" w:history="1">
        <w:r w:rsidRPr="00BE5170">
          <w:rPr>
            <w:rStyle w:val="Hyperlink"/>
            <w:rFonts w:ascii="Arial" w:hAnsi="Arial" w:cs="Arial"/>
            <w:b/>
            <w:bCs/>
            <w:u w:val="none"/>
          </w:rPr>
          <w:t>4.1</w:t>
        </w:r>
        <w:r w:rsidR="00E14F02" w:rsidRPr="00BE5170">
          <w:rPr>
            <w:rStyle w:val="Hyperlink"/>
            <w:rFonts w:ascii="Arial" w:hAnsi="Arial" w:cs="Arial"/>
            <w:b/>
            <w:bCs/>
            <w:u w:val="none"/>
          </w:rPr>
          <w:t>5</w:t>
        </w:r>
        <w:r w:rsidR="00693223" w:rsidRPr="00BE5170">
          <w:rPr>
            <w:rStyle w:val="Hyperlink"/>
            <w:rFonts w:ascii="Arial" w:hAnsi="Arial" w:cs="Arial"/>
            <w:b/>
            <w:bCs/>
            <w:u w:val="none"/>
          </w:rPr>
          <w:tab/>
        </w:r>
        <w:r w:rsidR="00FB53EB" w:rsidRPr="00BE5170">
          <w:rPr>
            <w:rStyle w:val="Hyperlink"/>
            <w:rFonts w:ascii="Arial" w:hAnsi="Arial" w:cs="Arial"/>
            <w:b/>
            <w:bCs/>
            <w:u w:val="none"/>
          </w:rPr>
          <w:t>Cumulative harm</w:t>
        </w:r>
      </w:hyperlink>
    </w:p>
    <w:p w14:paraId="7482B925" w14:textId="40B9C155" w:rsidR="00580B58" w:rsidRPr="00BE5170" w:rsidRDefault="00BE5170" w:rsidP="00580B58">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begin"/>
      </w:r>
      <w:r w:rsidRPr="00BE5170">
        <w:rPr>
          <w:rFonts w:ascii="Arial" w:hAnsi="Arial" w:cs="Arial"/>
          <w:b/>
          <w:bCs/>
          <w:color w:val="000000"/>
        </w:rPr>
        <w:instrText xml:space="preserve"> HYPERLINK  \l "_4.17_Family_Drug" </w:instrText>
      </w:r>
      <w:r w:rsidRPr="00BE5170">
        <w:rPr>
          <w:rFonts w:ascii="Arial" w:hAnsi="Arial" w:cs="Arial"/>
          <w:b/>
          <w:bCs/>
          <w:color w:val="000000"/>
        </w:rPr>
      </w:r>
      <w:r w:rsidRPr="00BE5170">
        <w:rPr>
          <w:rFonts w:ascii="Arial" w:hAnsi="Arial" w:cs="Arial"/>
          <w:b/>
          <w:bCs/>
          <w:color w:val="000000"/>
        </w:rPr>
        <w:fldChar w:fldCharType="separate"/>
      </w:r>
      <w:r w:rsidR="00580B58" w:rsidRPr="00BE5170">
        <w:rPr>
          <w:rStyle w:val="Hyperlink"/>
          <w:rFonts w:ascii="Arial" w:hAnsi="Arial" w:cs="Arial"/>
          <w:b/>
          <w:bCs/>
          <w:u w:val="none"/>
        </w:rPr>
        <w:t>4.1</w:t>
      </w:r>
      <w:r w:rsidR="001521E7">
        <w:rPr>
          <w:rStyle w:val="Hyperlink"/>
          <w:rFonts w:ascii="Arial" w:hAnsi="Arial" w:cs="Arial"/>
          <w:b/>
          <w:bCs/>
          <w:u w:val="none"/>
        </w:rPr>
        <w:t>6</w:t>
      </w:r>
      <w:r w:rsidR="00580B58" w:rsidRPr="00BE5170">
        <w:rPr>
          <w:rStyle w:val="Hyperlink"/>
          <w:rFonts w:ascii="Arial" w:hAnsi="Arial" w:cs="Arial"/>
          <w:b/>
          <w:bCs/>
          <w:u w:val="none"/>
        </w:rPr>
        <w:tab/>
        <w:t>Family Drug Treatment Court</w:t>
      </w:r>
    </w:p>
    <w:p w14:paraId="5072F3E4" w14:textId="795D891B" w:rsidR="00BA7079" w:rsidRPr="00BE5170" w:rsidRDefault="00BE5170" w:rsidP="00BA7079">
      <w:pPr>
        <w:pBdr>
          <w:top w:val="single" w:sz="4" w:space="1" w:color="auto"/>
          <w:left w:val="single" w:sz="4" w:space="4" w:color="auto"/>
          <w:bottom w:val="single" w:sz="4" w:space="1" w:color="auto"/>
          <w:right w:val="single" w:sz="4" w:space="4" w:color="auto"/>
        </w:pBdr>
        <w:spacing w:before="120"/>
        <w:rPr>
          <w:rStyle w:val="Hyperlink"/>
          <w:rFonts w:ascii="Arial" w:hAnsi="Arial" w:cs="Arial"/>
          <w:b/>
          <w:bCs/>
          <w:u w:val="none"/>
        </w:rPr>
      </w:pPr>
      <w:r w:rsidRPr="00BE5170">
        <w:rPr>
          <w:rFonts w:ascii="Arial" w:hAnsi="Arial" w:cs="Arial"/>
          <w:b/>
          <w:bCs/>
          <w:color w:val="000000"/>
        </w:rPr>
        <w:fldChar w:fldCharType="end"/>
      </w:r>
      <w:r w:rsidR="00BA7079" w:rsidRPr="00BE5170">
        <w:rPr>
          <w:rFonts w:ascii="Arial" w:hAnsi="Arial" w:cs="Arial"/>
          <w:b/>
          <w:bCs/>
          <w:color w:val="000000"/>
        </w:rPr>
        <w:fldChar w:fldCharType="begin"/>
      </w:r>
      <w:r w:rsidR="00790EB2">
        <w:rPr>
          <w:rFonts w:ascii="Arial" w:hAnsi="Arial" w:cs="Arial"/>
          <w:b/>
          <w:bCs/>
          <w:color w:val="000000"/>
        </w:rPr>
        <w:instrText>HYPERLINK  \l "_4.17_Working_with"</w:instrText>
      </w:r>
      <w:r w:rsidR="00BA7079" w:rsidRPr="00BE5170">
        <w:rPr>
          <w:rFonts w:ascii="Arial" w:hAnsi="Arial" w:cs="Arial"/>
          <w:b/>
          <w:bCs/>
          <w:color w:val="000000"/>
        </w:rPr>
      </w:r>
      <w:r w:rsidR="00BA7079" w:rsidRPr="00BE5170">
        <w:rPr>
          <w:rFonts w:ascii="Arial" w:hAnsi="Arial" w:cs="Arial"/>
          <w:b/>
          <w:bCs/>
          <w:color w:val="000000"/>
        </w:rPr>
        <w:fldChar w:fldCharType="separate"/>
      </w:r>
      <w:r w:rsidR="00BA7079" w:rsidRPr="00BE5170">
        <w:rPr>
          <w:rStyle w:val="Hyperlink"/>
          <w:rFonts w:ascii="Arial" w:hAnsi="Arial" w:cs="Arial"/>
          <w:b/>
          <w:bCs/>
          <w:u w:val="none"/>
        </w:rPr>
        <w:t>4.1</w:t>
      </w:r>
      <w:r w:rsidR="00BA7079">
        <w:rPr>
          <w:rStyle w:val="Hyperlink"/>
          <w:rFonts w:ascii="Arial" w:hAnsi="Arial" w:cs="Arial"/>
          <w:b/>
          <w:bCs/>
          <w:u w:val="none"/>
        </w:rPr>
        <w:t>7</w:t>
      </w:r>
      <w:r w:rsidR="00BA7079" w:rsidRPr="00BE5170">
        <w:rPr>
          <w:rStyle w:val="Hyperlink"/>
          <w:rFonts w:ascii="Arial" w:hAnsi="Arial" w:cs="Arial"/>
          <w:b/>
          <w:bCs/>
          <w:u w:val="none"/>
        </w:rPr>
        <w:tab/>
      </w:r>
      <w:r w:rsidR="00BA7079">
        <w:rPr>
          <w:rStyle w:val="Hyperlink"/>
          <w:rFonts w:ascii="Arial" w:hAnsi="Arial" w:cs="Arial"/>
          <w:b/>
          <w:bCs/>
          <w:u w:val="none"/>
        </w:rPr>
        <w:t>Working with children checks</w:t>
      </w:r>
    </w:p>
    <w:p w14:paraId="35E489E1" w14:textId="6503497E" w:rsidR="00693223" w:rsidRPr="00EF65CA" w:rsidRDefault="00BA7079" w:rsidP="00BA7079">
      <w:pPr>
        <w:pBdr>
          <w:top w:val="single" w:sz="4" w:space="1" w:color="auto"/>
          <w:left w:val="single" w:sz="4" w:space="4" w:color="auto"/>
          <w:bottom w:val="single" w:sz="4" w:space="1" w:color="auto"/>
          <w:right w:val="single" w:sz="4" w:space="4" w:color="auto"/>
        </w:pBdr>
        <w:spacing w:before="120"/>
        <w:rPr>
          <w:rFonts w:ascii="Arial" w:hAnsi="Arial" w:cs="Arial"/>
          <w:b/>
          <w:bCs/>
          <w:sz w:val="10"/>
        </w:rPr>
      </w:pPr>
      <w:r w:rsidRPr="00BE5170">
        <w:rPr>
          <w:rFonts w:ascii="Arial" w:hAnsi="Arial" w:cs="Arial"/>
          <w:b/>
          <w:bCs/>
          <w:color w:val="000000"/>
        </w:rPr>
        <w:fldChar w:fldCharType="end"/>
      </w:r>
    </w:p>
    <w:p w14:paraId="1B8A49C4" w14:textId="77777777" w:rsidR="00160EB1" w:rsidRDefault="00160EB1">
      <w:pPr>
        <w:jc w:val="both"/>
        <w:rPr>
          <w:rFonts w:ascii="Arial" w:hAnsi="Arial" w:cs="Arial"/>
          <w:sz w:val="18"/>
        </w:rPr>
      </w:pPr>
    </w:p>
    <w:p w14:paraId="233CB38E" w14:textId="41ACCDE7" w:rsidR="00A56DB8" w:rsidRPr="00830010" w:rsidRDefault="00A56DB8" w:rsidP="00A56DB8">
      <w:pPr>
        <w:shd w:val="clear" w:color="auto" w:fill="000000"/>
        <w:ind w:left="-57" w:right="-85"/>
        <w:jc w:val="both"/>
        <w:rPr>
          <w:rFonts w:ascii="Arial" w:hAnsi="Arial" w:cs="Arial"/>
          <w:b/>
          <w:bCs/>
          <w:sz w:val="22"/>
          <w:szCs w:val="32"/>
        </w:rPr>
      </w:pPr>
      <w:r w:rsidRPr="00830010">
        <w:rPr>
          <w:rFonts w:ascii="Arial" w:hAnsi="Arial" w:cs="Arial"/>
          <w:b/>
          <w:bCs/>
          <w:sz w:val="22"/>
          <w:szCs w:val="32"/>
        </w:rPr>
        <w:t>IN THESE RESEARCH MATERIALS A REFERENCE TO THE “FAMILY COURT” OR THE “FAMILY COURT OF AUSTRALIA” IS A REFERENCE TO WHAT IS NOW KNOWN AS THE “FEDERAL CIRCUIT AND FAMILY COURT OF AUSTRALIA”.</w:t>
      </w:r>
    </w:p>
    <w:p w14:paraId="6AC10FC5" w14:textId="77777777" w:rsidR="00A56DB8" w:rsidRDefault="00A56DB8" w:rsidP="00A56DB8">
      <w:pPr>
        <w:rPr>
          <w:rFonts w:ascii="Arial" w:hAnsi="Arial" w:cs="Arial"/>
          <w:color w:val="000000"/>
          <w:sz w:val="18"/>
          <w:szCs w:val="22"/>
        </w:rPr>
      </w:pPr>
    </w:p>
    <w:p w14:paraId="0B86F9D2" w14:textId="77777777" w:rsidR="005B4417" w:rsidRDefault="005B4417" w:rsidP="005B4417">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"What is learned in childhood is engraved in stone."</w:t>
      </w:r>
    </w:p>
    <w:p w14:paraId="542AAD6D" w14:textId="77777777" w:rsidR="005B4417" w:rsidRDefault="009A5DF9" w:rsidP="005B4417">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sz w:val="20"/>
        </w:rPr>
        <w:t>Mary McAleese</w:t>
      </w:r>
      <w:r w:rsidR="005B4417">
        <w:rPr>
          <w:rFonts w:ascii="Arial" w:hAnsi="Arial" w:cs="Arial"/>
          <w:sz w:val="20"/>
        </w:rPr>
        <w:t xml:space="preserve"> (Pr</w:t>
      </w:r>
      <w:r>
        <w:rPr>
          <w:rFonts w:ascii="Arial" w:hAnsi="Arial" w:cs="Arial"/>
          <w:sz w:val="20"/>
        </w:rPr>
        <w:t xml:space="preserve">esident of </w:t>
      </w:r>
      <w:smartTag w:uri="urn:schemas-microsoft-com:office:smarttags" w:element="country-region">
        <w:r>
          <w:rPr>
            <w:rFonts w:ascii="Arial" w:hAnsi="Arial" w:cs="Arial"/>
            <w:sz w:val="20"/>
          </w:rPr>
          <w:t>Ireland</w:t>
        </w:r>
      </w:smartTag>
      <w:r>
        <w:rPr>
          <w:rFonts w:ascii="Arial" w:hAnsi="Arial" w:cs="Arial"/>
          <w:sz w:val="20"/>
        </w:rPr>
        <w:t xml:space="preserve"> – </w:t>
      </w:r>
      <w:smartTag w:uri="urn:schemas-microsoft-com:office:smarttags" w:element="City">
        <w:smartTag w:uri="urn:schemas-microsoft-com:office:smarttags" w:element="place">
          <w:r>
            <w:rPr>
              <w:rFonts w:ascii="Arial" w:hAnsi="Arial" w:cs="Arial"/>
              <w:sz w:val="20"/>
            </w:rPr>
            <w:t>Belfast</w:t>
          </w:r>
        </w:smartTag>
      </w:smartTag>
      <w:r>
        <w:rPr>
          <w:rFonts w:ascii="Arial" w:hAnsi="Arial" w:cs="Arial"/>
          <w:sz w:val="20"/>
        </w:rPr>
        <w:t>, August 2006</w:t>
      </w:r>
      <w:r w:rsidR="005B4417">
        <w:rPr>
          <w:rFonts w:ascii="Arial" w:hAnsi="Arial" w:cs="Arial"/>
          <w:sz w:val="20"/>
        </w:rPr>
        <w:t>)</w:t>
      </w:r>
    </w:p>
    <w:p w14:paraId="044C1B06" w14:textId="77777777" w:rsidR="005B4417" w:rsidRPr="00EF65CA" w:rsidRDefault="005B4417">
      <w:pPr>
        <w:jc w:val="both"/>
        <w:rPr>
          <w:rFonts w:ascii="Arial" w:hAnsi="Arial" w:cs="Arial"/>
          <w:sz w:val="14"/>
        </w:rPr>
      </w:pPr>
    </w:p>
    <w:p w14:paraId="76B56249" w14:textId="77777777" w:rsidR="00693223" w:rsidRDefault="00693223">
      <w:pPr>
        <w:pStyle w:val="Heading2"/>
        <w:tabs>
          <w:tab w:val="left" w:pos="567"/>
        </w:tabs>
        <w:spacing w:line="240" w:lineRule="auto"/>
        <w:rPr>
          <w:rFonts w:ascii="Arial" w:hAnsi="Arial" w:cs="Arial"/>
          <w:b/>
          <w:bCs/>
        </w:rPr>
      </w:pPr>
      <w:bookmarkStart w:id="87" w:name="_4.1_The_Child"/>
      <w:bookmarkStart w:id="88" w:name="B41"/>
      <w:bookmarkEnd w:id="87"/>
      <w:bookmarkEnd w:id="88"/>
      <w:r>
        <w:rPr>
          <w:rFonts w:ascii="Arial" w:hAnsi="Arial" w:cs="Arial"/>
          <w:b/>
          <w:bCs/>
        </w:rPr>
        <w:t>4.1</w:t>
      </w:r>
      <w:r>
        <w:rPr>
          <w:rFonts w:ascii="Arial" w:hAnsi="Arial" w:cs="Arial"/>
          <w:b/>
          <w:bCs/>
        </w:rPr>
        <w:tab/>
      </w:r>
      <w:r w:rsidR="00940D74">
        <w:rPr>
          <w:rFonts w:ascii="Arial" w:hAnsi="Arial" w:cs="Arial"/>
          <w:b/>
          <w:bCs/>
        </w:rPr>
        <w:t xml:space="preserve">The </w:t>
      </w:r>
      <w:r>
        <w:rPr>
          <w:rFonts w:ascii="Arial" w:hAnsi="Arial" w:cs="Arial"/>
          <w:b/>
          <w:bCs/>
        </w:rPr>
        <w:t xml:space="preserve">Child Protection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940D74">
        <w:rPr>
          <w:rFonts w:ascii="Arial" w:hAnsi="Arial" w:cs="Arial"/>
          <w:b/>
          <w:bCs/>
        </w:rPr>
        <w:t>Service</w:t>
      </w:r>
      <w:r w:rsidR="00785D2D">
        <w:rPr>
          <w:rFonts w:ascii="Arial" w:hAnsi="Arial" w:cs="Arial"/>
          <w:b/>
          <w:bCs/>
        </w:rPr>
        <w:t xml:space="preserve"> [‘DFFH’]</w:t>
      </w:r>
    </w:p>
    <w:p w14:paraId="278871B3" w14:textId="77777777" w:rsidR="00693223" w:rsidRPr="00EF65CA" w:rsidRDefault="00693223">
      <w:pPr>
        <w:jc w:val="both"/>
        <w:rPr>
          <w:rFonts w:ascii="Arial" w:hAnsi="Arial" w:cs="Arial"/>
          <w:sz w:val="14"/>
        </w:rPr>
      </w:pPr>
    </w:p>
    <w:p w14:paraId="387E9826" w14:textId="607274D0" w:rsidR="00693223" w:rsidRDefault="0069322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Most Victorian children and young people are adequately cared for and nurtured by their family. </w:t>
      </w:r>
      <w:r w:rsidR="00B05EC7">
        <w:rPr>
          <w:rFonts w:ascii="Arial" w:hAnsi="Arial" w:cs="Arial"/>
          <w:sz w:val="20"/>
          <w:szCs w:val="20"/>
        </w:rPr>
        <w:t xml:space="preserve"> </w:t>
      </w:r>
      <w:r>
        <w:rPr>
          <w:rFonts w:ascii="Arial" w:hAnsi="Arial" w:cs="Arial"/>
          <w:sz w:val="20"/>
          <w:szCs w:val="20"/>
        </w:rPr>
        <w:t xml:space="preserve">It is only when parents or caregivers are unable or unwilling to protect children against significant harm that the Child Protection Service of the Victorian Government's Department of </w:t>
      </w:r>
      <w:r w:rsidR="00785D2D">
        <w:rPr>
          <w:rFonts w:ascii="Arial" w:hAnsi="Arial" w:cs="Arial"/>
          <w:sz w:val="20"/>
          <w:szCs w:val="20"/>
        </w:rPr>
        <w:t xml:space="preserve">Families, Fairness and Housing ('DFFH’ or ‘the Department') – formerly called the Department of </w:t>
      </w:r>
      <w:r w:rsidR="00520BE4">
        <w:rPr>
          <w:rFonts w:ascii="Arial" w:hAnsi="Arial" w:cs="Arial"/>
          <w:sz w:val="20"/>
          <w:szCs w:val="20"/>
        </w:rPr>
        <w:t xml:space="preserve">Health &amp; </w:t>
      </w:r>
      <w:r>
        <w:rPr>
          <w:rFonts w:ascii="Arial" w:hAnsi="Arial" w:cs="Arial"/>
          <w:sz w:val="20"/>
          <w:szCs w:val="20"/>
        </w:rPr>
        <w:t xml:space="preserve">Human Services </w:t>
      </w:r>
      <w:r w:rsidR="00785D2D">
        <w:rPr>
          <w:rFonts w:ascii="Arial" w:hAnsi="Arial" w:cs="Arial"/>
          <w:sz w:val="20"/>
          <w:szCs w:val="20"/>
        </w:rPr>
        <w:t>('DHHS') or the Department of Human Services (</w:t>
      </w:r>
      <w:r w:rsidR="002E0E92">
        <w:rPr>
          <w:rFonts w:ascii="Arial" w:hAnsi="Arial" w:cs="Arial"/>
          <w:sz w:val="20"/>
          <w:szCs w:val="20"/>
        </w:rPr>
        <w:t xml:space="preserve">‘DHS’ or </w:t>
      </w:r>
      <w:r w:rsidR="00785D2D">
        <w:rPr>
          <w:rFonts w:ascii="Arial" w:hAnsi="Arial" w:cs="Arial"/>
          <w:sz w:val="20"/>
          <w:szCs w:val="20"/>
        </w:rPr>
        <w:t xml:space="preserve">‘DOHS’) – </w:t>
      </w:r>
      <w:r>
        <w:rPr>
          <w:rFonts w:ascii="Arial" w:hAnsi="Arial" w:cs="Arial"/>
          <w:sz w:val="20"/>
          <w:szCs w:val="20"/>
        </w:rPr>
        <w:t>intervenes</w:t>
      </w:r>
      <w:r w:rsidR="00785D2D">
        <w:rPr>
          <w:rFonts w:ascii="Arial" w:hAnsi="Arial" w:cs="Arial"/>
          <w:sz w:val="20"/>
          <w:szCs w:val="20"/>
        </w:rPr>
        <w:t xml:space="preserve"> </w:t>
      </w:r>
      <w:r>
        <w:rPr>
          <w:rFonts w:ascii="Arial" w:hAnsi="Arial" w:cs="Arial"/>
          <w:sz w:val="20"/>
          <w:szCs w:val="20"/>
        </w:rPr>
        <w:t xml:space="preserve">to protect children and young people.  The permanent head of the Department is entitled 'the Secretary' [s.3 of the </w:t>
      </w:r>
      <w:r>
        <w:rPr>
          <w:rFonts w:ascii="Arial" w:hAnsi="Arial" w:cs="Arial"/>
          <w:iCs/>
          <w:sz w:val="20"/>
          <w:u w:val="single"/>
        </w:rPr>
        <w:t>Children</w:t>
      </w:r>
      <w:r w:rsidR="007A7B63">
        <w:rPr>
          <w:rFonts w:ascii="Arial" w:hAnsi="Arial" w:cs="Arial"/>
          <w:iCs/>
          <w:sz w:val="20"/>
          <w:u w:val="single"/>
        </w:rPr>
        <w:t xml:space="preserve">, Youth and Families Act </w:t>
      </w:r>
      <w:r w:rsidR="007A7B63">
        <w:rPr>
          <w:rFonts w:ascii="Arial" w:hAnsi="Arial" w:cs="Arial"/>
          <w:sz w:val="20"/>
          <w:u w:val="single"/>
        </w:rPr>
        <w:t>2005</w:t>
      </w:r>
      <w:r>
        <w:rPr>
          <w:rFonts w:ascii="Arial" w:hAnsi="Arial" w:cs="Arial"/>
          <w:sz w:val="20"/>
          <w:u w:val="single"/>
        </w:rPr>
        <w:t xml:space="preserve"> (Vic)</w:t>
      </w:r>
      <w:r>
        <w:rPr>
          <w:rFonts w:ascii="Arial" w:hAnsi="Arial" w:cs="Arial"/>
          <w:sz w:val="20"/>
        </w:rPr>
        <w:t xml:space="preserve"> [No.</w:t>
      </w:r>
      <w:r w:rsidR="007A7B63">
        <w:rPr>
          <w:rFonts w:ascii="Arial" w:hAnsi="Arial" w:cs="Arial"/>
          <w:sz w:val="20"/>
        </w:rPr>
        <w:t>9</w:t>
      </w:r>
      <w:r>
        <w:rPr>
          <w:rFonts w:ascii="Arial" w:hAnsi="Arial" w:cs="Arial"/>
          <w:sz w:val="20"/>
        </w:rPr>
        <w:t>6/</w:t>
      </w:r>
      <w:r w:rsidR="007A7B63">
        <w:rPr>
          <w:rFonts w:ascii="Arial" w:hAnsi="Arial" w:cs="Arial"/>
          <w:sz w:val="20"/>
        </w:rPr>
        <w:t>2005</w:t>
      </w:r>
      <w:r>
        <w:rPr>
          <w:rFonts w:ascii="Arial" w:hAnsi="Arial" w:cs="Arial"/>
          <w:sz w:val="20"/>
        </w:rPr>
        <w:t>] ('the CY</w:t>
      </w:r>
      <w:r w:rsidR="007A7B63">
        <w:rPr>
          <w:rFonts w:ascii="Arial" w:hAnsi="Arial" w:cs="Arial"/>
          <w:sz w:val="20"/>
        </w:rPr>
        <w:t>F</w:t>
      </w:r>
      <w:r>
        <w:rPr>
          <w:rFonts w:ascii="Arial" w:hAnsi="Arial" w:cs="Arial"/>
          <w:sz w:val="20"/>
        </w:rPr>
        <w:t>A')</w:t>
      </w:r>
      <w:r w:rsidR="00FB77B7">
        <w:rPr>
          <w:rFonts w:ascii="Arial" w:hAnsi="Arial" w:cs="Arial"/>
          <w:sz w:val="20"/>
        </w:rPr>
        <w:t>]</w:t>
      </w:r>
      <w:r>
        <w:rPr>
          <w:rFonts w:ascii="Arial" w:hAnsi="Arial" w:cs="Arial"/>
          <w:sz w:val="20"/>
          <w:szCs w:val="20"/>
        </w:rPr>
        <w:t>.</w:t>
      </w:r>
      <w:r w:rsidR="00921C6A">
        <w:rPr>
          <w:rFonts w:ascii="Arial" w:hAnsi="Arial" w:cs="Arial"/>
          <w:sz w:val="20"/>
          <w:szCs w:val="20"/>
        </w:rPr>
        <w:t xml:space="preserve">  Section 17 CYFA empowers the Secretary to delegate to any employee or class of employees any function or power of the Secretary under the CYFA except for 7 specific exclusions, the last of which is “this power of delegation”.</w:t>
      </w:r>
    </w:p>
    <w:p w14:paraId="6B9FC584" w14:textId="77777777" w:rsidR="00693223" w:rsidRPr="00E14F02" w:rsidRDefault="00693223">
      <w:pPr>
        <w:pStyle w:val="NormalWeb"/>
        <w:spacing w:before="0" w:beforeAutospacing="0" w:after="0" w:afterAutospacing="0"/>
        <w:jc w:val="both"/>
        <w:rPr>
          <w:rFonts w:ascii="Arial" w:hAnsi="Arial" w:cs="Arial"/>
          <w:sz w:val="18"/>
          <w:szCs w:val="20"/>
        </w:rPr>
      </w:pPr>
    </w:p>
    <w:p w14:paraId="6B693F61" w14:textId="77777777" w:rsidR="00693223" w:rsidRDefault="00693223" w:rsidP="00A56DB8">
      <w:pPr>
        <w:pStyle w:val="Heading3"/>
        <w:keepNext/>
        <w:keepLines/>
        <w:widowControl/>
        <w:spacing w:line="240" w:lineRule="auto"/>
        <w:rPr>
          <w:rFonts w:ascii="Arial" w:hAnsi="Arial" w:cs="Arial"/>
          <w:b/>
          <w:bCs/>
          <w:sz w:val="20"/>
        </w:rPr>
      </w:pPr>
      <w:bookmarkStart w:id="89" w:name="_4.1.1_Functions_of"/>
      <w:bookmarkStart w:id="90" w:name="B41x1"/>
      <w:bookmarkStart w:id="91" w:name="_Toc30644235"/>
      <w:bookmarkStart w:id="92" w:name="_Toc30644638"/>
      <w:bookmarkStart w:id="93" w:name="_Toc30645188"/>
      <w:bookmarkStart w:id="94" w:name="_Toc30646399"/>
      <w:bookmarkStart w:id="95" w:name="_Toc30646694"/>
      <w:bookmarkStart w:id="96" w:name="_Toc30646805"/>
      <w:bookmarkStart w:id="97" w:name="_Toc30648162"/>
      <w:bookmarkStart w:id="98" w:name="_Toc30649060"/>
      <w:bookmarkStart w:id="99" w:name="_Toc30649136"/>
      <w:bookmarkStart w:id="100" w:name="_Toc30649397"/>
      <w:bookmarkStart w:id="101" w:name="_Toc30649722"/>
      <w:bookmarkStart w:id="102" w:name="_Toc30651662"/>
      <w:bookmarkStart w:id="103" w:name="_Toc30652652"/>
      <w:bookmarkStart w:id="104" w:name="_Toc30652748"/>
      <w:bookmarkStart w:id="105" w:name="_Toc30654093"/>
      <w:bookmarkStart w:id="106" w:name="_Toc30654444"/>
      <w:bookmarkStart w:id="107" w:name="_Toc30655063"/>
      <w:bookmarkStart w:id="108" w:name="_Toc30655320"/>
      <w:bookmarkStart w:id="109" w:name="_Toc30656998"/>
      <w:bookmarkStart w:id="110" w:name="_Toc30661747"/>
      <w:bookmarkStart w:id="111" w:name="_Toc30666435"/>
      <w:bookmarkStart w:id="112" w:name="_Toc30666665"/>
      <w:bookmarkStart w:id="113" w:name="_Toc30667840"/>
      <w:bookmarkStart w:id="114" w:name="_Toc30669218"/>
      <w:bookmarkStart w:id="115" w:name="_Toc30671434"/>
      <w:bookmarkStart w:id="116" w:name="_Toc30673961"/>
      <w:bookmarkStart w:id="117" w:name="_Toc30691183"/>
      <w:bookmarkStart w:id="118" w:name="_Toc30691556"/>
      <w:bookmarkStart w:id="119" w:name="_Toc30691936"/>
      <w:bookmarkStart w:id="120" w:name="_Toc30692695"/>
      <w:bookmarkStart w:id="121" w:name="_Toc30693074"/>
      <w:bookmarkStart w:id="122" w:name="_Toc30693452"/>
      <w:bookmarkStart w:id="123" w:name="_Toc30693830"/>
      <w:bookmarkStart w:id="124" w:name="_Toc30694211"/>
      <w:bookmarkStart w:id="125" w:name="_Toc30698800"/>
      <w:bookmarkStart w:id="126" w:name="_Toc30699178"/>
      <w:bookmarkStart w:id="127" w:name="_Toc30699563"/>
      <w:bookmarkStart w:id="128" w:name="_Toc30700718"/>
      <w:bookmarkStart w:id="129" w:name="_Toc30701105"/>
      <w:bookmarkStart w:id="130" w:name="_Toc30743714"/>
      <w:bookmarkStart w:id="131" w:name="_Toc30754537"/>
      <w:bookmarkStart w:id="132" w:name="_Toc30756977"/>
      <w:bookmarkStart w:id="133" w:name="_Toc30757526"/>
      <w:bookmarkStart w:id="134" w:name="_Toc30757926"/>
      <w:bookmarkStart w:id="135" w:name="_Toc30762687"/>
      <w:bookmarkStart w:id="136" w:name="_Toc30767341"/>
      <w:bookmarkStart w:id="137" w:name="_Toc34823357"/>
      <w:bookmarkEnd w:id="89"/>
      <w:bookmarkEnd w:id="90"/>
      <w:r>
        <w:rPr>
          <w:rFonts w:ascii="Arial" w:hAnsi="Arial" w:cs="Arial"/>
          <w:b/>
          <w:bCs/>
          <w:sz w:val="20"/>
        </w:rPr>
        <w:t>4.1.1</w:t>
      </w:r>
      <w:r>
        <w:rPr>
          <w:rFonts w:ascii="Arial" w:hAnsi="Arial" w:cs="Arial"/>
          <w:b/>
          <w:bCs/>
          <w:sz w:val="20"/>
        </w:rPr>
        <w:tab/>
        <w:t>Functions of the Child Protection Service</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FB151C4" w14:textId="77777777" w:rsidR="00693223" w:rsidRPr="00E14F02" w:rsidRDefault="00693223" w:rsidP="00516B86">
      <w:pPr>
        <w:pStyle w:val="Heading3"/>
        <w:keepNext/>
        <w:keepLines/>
        <w:widowControl/>
        <w:spacing w:line="240" w:lineRule="auto"/>
        <w:rPr>
          <w:rFonts w:ascii="Arial" w:hAnsi="Arial" w:cs="Arial"/>
          <w:b/>
          <w:bCs/>
          <w:sz w:val="18"/>
        </w:rPr>
      </w:pPr>
    </w:p>
    <w:p w14:paraId="109AAAD7" w14:textId="77777777" w:rsidR="00693223" w:rsidRDefault="00693223" w:rsidP="00082A5E">
      <w:pPr>
        <w:jc w:val="both"/>
        <w:rPr>
          <w:rFonts w:ascii="Arial" w:hAnsi="Arial" w:cs="Arial"/>
          <w:sz w:val="20"/>
        </w:rPr>
      </w:pPr>
      <w:r>
        <w:rPr>
          <w:rFonts w:ascii="Arial" w:hAnsi="Arial" w:cs="Arial"/>
          <w:sz w:val="20"/>
        </w:rPr>
        <w:t xml:space="preserve">The main functions of the </w:t>
      </w:r>
      <w:r w:rsidRPr="00FA1A78">
        <w:rPr>
          <w:rFonts w:ascii="Arial" w:hAnsi="Arial" w:cs="Arial"/>
          <w:b/>
          <w:bCs/>
          <w:sz w:val="20"/>
        </w:rPr>
        <w:t>Child Protection Service</w:t>
      </w:r>
      <w:r>
        <w:rPr>
          <w:rFonts w:ascii="Arial" w:hAnsi="Arial" w:cs="Arial"/>
          <w:sz w:val="20"/>
        </w:rPr>
        <w:t xml:space="preserve"> are:</w:t>
      </w:r>
    </w:p>
    <w:p w14:paraId="1898BD65" w14:textId="77777777" w:rsidR="00693223" w:rsidRDefault="00693223">
      <w:pPr>
        <w:keepNext/>
        <w:keepLines/>
        <w:numPr>
          <w:ilvl w:val="0"/>
          <w:numId w:val="56"/>
        </w:numPr>
        <w:ind w:left="357" w:hanging="357"/>
        <w:jc w:val="both"/>
        <w:rPr>
          <w:sz w:val="20"/>
        </w:rPr>
      </w:pPr>
      <w:r>
        <w:rPr>
          <w:rFonts w:ascii="Arial" w:hAnsi="Arial" w:cs="Arial"/>
          <w:sz w:val="20"/>
        </w:rPr>
        <w:lastRenderedPageBreak/>
        <w:t>to investigate matters where it is alleged that a child is at risk of significant harm;</w:t>
      </w:r>
    </w:p>
    <w:p w14:paraId="36A68384" w14:textId="77777777" w:rsidR="00693223" w:rsidRDefault="00693223">
      <w:pPr>
        <w:keepNext/>
        <w:keepLines/>
        <w:numPr>
          <w:ilvl w:val="0"/>
          <w:numId w:val="56"/>
        </w:numPr>
        <w:ind w:left="357" w:hanging="357"/>
        <w:jc w:val="both"/>
        <w:rPr>
          <w:sz w:val="20"/>
        </w:rPr>
      </w:pPr>
      <w:r>
        <w:rPr>
          <w:rFonts w:ascii="Arial" w:hAnsi="Arial" w:cs="Arial"/>
          <w:sz w:val="20"/>
        </w:rPr>
        <w:t>to refer children and families to services that assist in providing the ongoing safety and well-being of the children;</w:t>
      </w:r>
    </w:p>
    <w:p w14:paraId="2D101ECB" w14:textId="77777777" w:rsidR="00693223" w:rsidRDefault="00693223">
      <w:pPr>
        <w:numPr>
          <w:ilvl w:val="0"/>
          <w:numId w:val="56"/>
        </w:numPr>
        <w:ind w:left="357" w:hanging="357"/>
        <w:jc w:val="both"/>
        <w:rPr>
          <w:sz w:val="20"/>
        </w:rPr>
      </w:pPr>
      <w:r>
        <w:rPr>
          <w:rFonts w:ascii="Arial" w:hAnsi="Arial" w:cs="Arial"/>
          <w:sz w:val="20"/>
        </w:rPr>
        <w:t>to take matters before the Children's Court if the child's safety cannot be ensured within the family;</w:t>
      </w:r>
    </w:p>
    <w:p w14:paraId="5E7A224B" w14:textId="77777777" w:rsidR="00693223" w:rsidRDefault="00693223">
      <w:pPr>
        <w:numPr>
          <w:ilvl w:val="0"/>
          <w:numId w:val="56"/>
        </w:numPr>
        <w:ind w:left="357" w:hanging="357"/>
        <w:jc w:val="both"/>
        <w:rPr>
          <w:sz w:val="20"/>
        </w:rPr>
      </w:pPr>
      <w:r>
        <w:rPr>
          <w:rFonts w:ascii="Arial" w:hAnsi="Arial" w:cs="Arial"/>
          <w:sz w:val="20"/>
        </w:rPr>
        <w:t>to supervise children on legal orders granted by the Children's Court; and</w:t>
      </w:r>
    </w:p>
    <w:p w14:paraId="0E827B34" w14:textId="77777777" w:rsidR="00693223" w:rsidRDefault="00693223">
      <w:pPr>
        <w:numPr>
          <w:ilvl w:val="0"/>
          <w:numId w:val="56"/>
        </w:numPr>
        <w:ind w:left="357" w:hanging="357"/>
        <w:jc w:val="both"/>
        <w:rPr>
          <w:sz w:val="20"/>
        </w:rPr>
      </w:pPr>
      <w:r>
        <w:rPr>
          <w:rFonts w:ascii="Arial" w:hAnsi="Arial" w:cs="Arial"/>
          <w:sz w:val="20"/>
        </w:rPr>
        <w:t>to provide and fund accommodation services, specialist support services, and adoption and permanent care to those children and adolescents in need.</w:t>
      </w:r>
    </w:p>
    <w:p w14:paraId="3EBD3935" w14:textId="77777777" w:rsidR="00A82435" w:rsidRPr="00E14F02" w:rsidRDefault="00A82435" w:rsidP="00A82435">
      <w:pPr>
        <w:pStyle w:val="NormalWeb"/>
        <w:spacing w:before="0" w:beforeAutospacing="0" w:after="0" w:afterAutospacing="0"/>
        <w:jc w:val="both"/>
        <w:rPr>
          <w:rFonts w:ascii="Arial" w:hAnsi="Arial" w:cs="Arial"/>
          <w:sz w:val="18"/>
          <w:szCs w:val="20"/>
        </w:rPr>
      </w:pPr>
    </w:p>
    <w:p w14:paraId="6ED05BA0" w14:textId="7F5AA65F" w:rsidR="006911B0" w:rsidRDefault="006911B0"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In </w:t>
      </w:r>
      <w:r w:rsidR="00B134ED">
        <w:rPr>
          <w:rFonts w:ascii="Arial" w:hAnsi="Arial" w:cs="Arial"/>
          <w:sz w:val="20"/>
          <w:szCs w:val="20"/>
        </w:rPr>
        <w:t xml:space="preserve">relation to point (5), </w:t>
      </w:r>
      <w:r>
        <w:rPr>
          <w:rFonts w:ascii="Arial" w:hAnsi="Arial" w:cs="Arial"/>
          <w:sz w:val="20"/>
          <w:szCs w:val="20"/>
        </w:rPr>
        <w:t xml:space="preserve">an independent report to Parliament on Kinship Care dated June 2022 </w:t>
      </w:r>
      <w:r w:rsidR="00B134ED">
        <w:rPr>
          <w:rFonts w:ascii="Arial" w:hAnsi="Arial" w:cs="Arial"/>
          <w:sz w:val="20"/>
          <w:szCs w:val="20"/>
        </w:rPr>
        <w:t xml:space="preserve">by </w:t>
      </w:r>
      <w:r>
        <w:rPr>
          <w:rFonts w:ascii="Arial" w:hAnsi="Arial" w:cs="Arial"/>
          <w:sz w:val="20"/>
          <w:szCs w:val="20"/>
        </w:rPr>
        <w:t xml:space="preserve">the Victorian Auditor-General’s Office </w:t>
      </w:r>
      <w:r w:rsidR="00B134ED">
        <w:rPr>
          <w:rFonts w:ascii="Arial" w:hAnsi="Arial" w:cs="Arial"/>
          <w:sz w:val="20"/>
          <w:szCs w:val="20"/>
        </w:rPr>
        <w:t xml:space="preserve">(the VAGO report) </w:t>
      </w:r>
      <w:r>
        <w:rPr>
          <w:rFonts w:ascii="Arial" w:hAnsi="Arial" w:cs="Arial"/>
          <w:sz w:val="20"/>
          <w:szCs w:val="20"/>
        </w:rPr>
        <w:t xml:space="preserve">summarised out of home care (OOHC) in Victoria </w:t>
      </w:r>
      <w:r w:rsidR="00B17320">
        <w:rPr>
          <w:rFonts w:ascii="Arial" w:hAnsi="Arial" w:cs="Arial"/>
          <w:sz w:val="20"/>
          <w:szCs w:val="20"/>
        </w:rPr>
        <w:t xml:space="preserve">at p.14 </w:t>
      </w:r>
      <w:r>
        <w:rPr>
          <w:rFonts w:ascii="Arial" w:hAnsi="Arial" w:cs="Arial"/>
          <w:sz w:val="20"/>
          <w:szCs w:val="20"/>
        </w:rPr>
        <w:t>as follows:</w:t>
      </w:r>
    </w:p>
    <w:p w14:paraId="281F2F25" w14:textId="032038B8" w:rsidR="006911B0" w:rsidRDefault="006911B0" w:rsidP="00FA1A78">
      <w:pPr>
        <w:spacing w:before="60"/>
        <w:ind w:left="454" w:right="454"/>
        <w:jc w:val="both"/>
        <w:rPr>
          <w:rFonts w:ascii="Arial" w:hAnsi="Arial" w:cs="Arial"/>
          <w:sz w:val="20"/>
        </w:rPr>
      </w:pPr>
      <w:r>
        <w:rPr>
          <w:rFonts w:ascii="Arial" w:hAnsi="Arial" w:cs="Arial"/>
          <w:sz w:val="20"/>
        </w:rPr>
        <w:t>“If parents are unable or unwilling to keep their children safe at home, the state’s OOHC system provides alternative care for them.  While some children are placed in this system for only a few days or weeks, others spend many years in it.</w:t>
      </w:r>
    </w:p>
    <w:p w14:paraId="062C8AB1" w14:textId="5B55DDAA" w:rsidR="006911B0" w:rsidRDefault="006911B0" w:rsidP="006911B0">
      <w:pPr>
        <w:spacing w:before="60"/>
        <w:ind w:left="454" w:right="454"/>
        <w:jc w:val="both"/>
        <w:rPr>
          <w:rFonts w:ascii="Arial" w:hAnsi="Arial" w:cs="Arial"/>
          <w:sz w:val="20"/>
        </w:rPr>
      </w:pPr>
      <w:r>
        <w:rPr>
          <w:rFonts w:ascii="Arial" w:hAnsi="Arial" w:cs="Arial"/>
          <w:sz w:val="20"/>
        </w:rPr>
        <w:t>There are 3 main types of placements:</w:t>
      </w:r>
    </w:p>
    <w:p w14:paraId="2D3FBAB7" w14:textId="6E8A766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foster care</w:t>
      </w:r>
      <w:r>
        <w:rPr>
          <w:rFonts w:ascii="Arial" w:hAnsi="Arial" w:cs="Arial"/>
          <w:sz w:val="20"/>
          <w:szCs w:val="20"/>
        </w:rPr>
        <w:t>, where trained carers provide care;</w:t>
      </w:r>
    </w:p>
    <w:p w14:paraId="36E94173" w14:textId="1FD287E7"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residential care</w:t>
      </w:r>
      <w:r>
        <w:rPr>
          <w:rFonts w:ascii="Arial" w:hAnsi="Arial" w:cs="Arial"/>
          <w:sz w:val="20"/>
          <w:szCs w:val="20"/>
        </w:rPr>
        <w:t>, where children live in community-based care homes;</w:t>
      </w:r>
    </w:p>
    <w:p w14:paraId="6AB459D8" w14:textId="38328009" w:rsidR="006911B0" w:rsidRDefault="006911B0">
      <w:pPr>
        <w:pStyle w:val="NormalWeb"/>
        <w:numPr>
          <w:ilvl w:val="0"/>
          <w:numId w:val="54"/>
        </w:numPr>
        <w:spacing w:before="0" w:beforeAutospacing="0" w:after="0" w:afterAutospacing="0"/>
        <w:ind w:left="811" w:right="454" w:hanging="357"/>
        <w:jc w:val="both"/>
        <w:rPr>
          <w:rFonts w:ascii="Arial" w:hAnsi="Arial" w:cs="Arial"/>
          <w:sz w:val="20"/>
          <w:szCs w:val="20"/>
        </w:rPr>
      </w:pPr>
      <w:r w:rsidRPr="006911B0">
        <w:rPr>
          <w:rFonts w:ascii="Arial" w:hAnsi="Arial" w:cs="Arial"/>
          <w:b/>
          <w:bCs/>
          <w:sz w:val="20"/>
          <w:szCs w:val="20"/>
        </w:rPr>
        <w:t>kinship care</w:t>
      </w:r>
      <w:r>
        <w:rPr>
          <w:rFonts w:ascii="Arial" w:hAnsi="Arial" w:cs="Arial"/>
          <w:sz w:val="20"/>
          <w:szCs w:val="20"/>
        </w:rPr>
        <w:t>, where relatives or other familiar people in a child’s life provide care.</w:t>
      </w:r>
    </w:p>
    <w:p w14:paraId="2F797BAE" w14:textId="26D8FB3C" w:rsidR="00995E86" w:rsidRDefault="006911B0" w:rsidP="00995E86">
      <w:pPr>
        <w:spacing w:before="80"/>
        <w:ind w:left="454" w:right="454"/>
        <w:jc w:val="both"/>
        <w:rPr>
          <w:rFonts w:ascii="Arial" w:hAnsi="Arial" w:cs="Arial"/>
          <w:sz w:val="20"/>
        </w:rPr>
      </w:pPr>
      <w:r>
        <w:rPr>
          <w:rFonts w:ascii="Arial" w:hAnsi="Arial" w:cs="Arial"/>
          <w:sz w:val="20"/>
          <w:szCs w:val="20"/>
        </w:rPr>
        <w:t>Kinship care is the fastest</w:t>
      </w:r>
      <w:r w:rsidR="00995E86">
        <w:rPr>
          <w:rFonts w:ascii="Arial" w:hAnsi="Arial" w:cs="Arial"/>
          <w:sz w:val="20"/>
          <w:szCs w:val="20"/>
        </w:rPr>
        <w:t>-growing placement type in Victoria.  Available information indicates that:</w:t>
      </w:r>
    </w:p>
    <w:p w14:paraId="243AA8F4" w14:textId="3EBDCFAB"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over 70% of all children in OOHC live with a kinship carer;</w:t>
      </w:r>
    </w:p>
    <w:p w14:paraId="12D4BA13" w14:textId="7A9AFCC7" w:rsidR="00995E86" w:rsidRDefault="00995E86">
      <w:pPr>
        <w:pStyle w:val="NormalWeb"/>
        <w:numPr>
          <w:ilvl w:val="0"/>
          <w:numId w:val="54"/>
        </w:numPr>
        <w:spacing w:before="0" w:beforeAutospacing="0" w:after="0" w:afterAutospacing="0"/>
        <w:ind w:left="811" w:hanging="357"/>
        <w:jc w:val="both"/>
        <w:rPr>
          <w:rFonts w:ascii="Arial" w:hAnsi="Arial" w:cs="Arial"/>
          <w:sz w:val="20"/>
          <w:szCs w:val="20"/>
        </w:rPr>
      </w:pPr>
      <w:r>
        <w:rPr>
          <w:rFonts w:ascii="Arial" w:hAnsi="Arial" w:cs="Arial"/>
          <w:sz w:val="20"/>
          <w:szCs w:val="20"/>
        </w:rPr>
        <w:t>between 2017 and 2021, the number of children in:</w:t>
      </w:r>
    </w:p>
    <w:p w14:paraId="538E3EDF" w14:textId="783E30B0" w:rsidR="006911B0"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OOHC grew by 25.2% from 7,571 to 9,498;</w:t>
      </w:r>
    </w:p>
    <w:p w14:paraId="04DEC9ED" w14:textId="649F445D" w:rsidR="00995E86" w:rsidRDefault="00995E86">
      <w:pPr>
        <w:pStyle w:val="NormalWeb"/>
        <w:numPr>
          <w:ilvl w:val="0"/>
          <w:numId w:val="55"/>
        </w:numPr>
        <w:spacing w:before="0" w:beforeAutospacing="0" w:after="0" w:afterAutospacing="0"/>
        <w:ind w:left="1168" w:hanging="357"/>
        <w:jc w:val="both"/>
        <w:rPr>
          <w:rFonts w:ascii="Arial" w:hAnsi="Arial" w:cs="Arial"/>
          <w:sz w:val="20"/>
          <w:szCs w:val="20"/>
        </w:rPr>
      </w:pPr>
      <w:r>
        <w:rPr>
          <w:rFonts w:ascii="Arial" w:hAnsi="Arial" w:cs="Arial"/>
          <w:sz w:val="20"/>
          <w:szCs w:val="20"/>
        </w:rPr>
        <w:t>Kinship care grew by 33.2% from 5,577 to 7,429.</w:t>
      </w:r>
    </w:p>
    <w:p w14:paraId="4171A3BA" w14:textId="6D05F52F" w:rsidR="00995E86" w:rsidRDefault="00995E86" w:rsidP="00B17320">
      <w:pPr>
        <w:pStyle w:val="NormalWeb"/>
        <w:spacing w:before="80" w:beforeAutospacing="0" w:after="0" w:afterAutospacing="0"/>
        <w:ind w:left="454" w:right="454"/>
        <w:jc w:val="both"/>
        <w:rPr>
          <w:rFonts w:ascii="Arial" w:hAnsi="Arial" w:cs="Arial"/>
          <w:sz w:val="20"/>
          <w:szCs w:val="20"/>
        </w:rPr>
      </w:pPr>
      <w:r>
        <w:rPr>
          <w:rFonts w:ascii="Arial" w:hAnsi="Arial" w:cs="Arial"/>
          <w:sz w:val="20"/>
          <w:szCs w:val="20"/>
        </w:rPr>
        <w:t>Aboriginal and Torres Strait Islander children are significantly over-represented in kinship care.  Aboriginal or Torres strait Islander children in Victoria are 20.1 times more likely to be in kinship care than non-Aboriginal or Torres Strait Islander children.”</w:t>
      </w:r>
    </w:p>
    <w:p w14:paraId="3ABDF7D2" w14:textId="77777777" w:rsidR="00995E86" w:rsidRDefault="00995E86" w:rsidP="00995E86">
      <w:pPr>
        <w:pStyle w:val="NormalWeb"/>
        <w:spacing w:before="0" w:beforeAutospacing="0" w:after="0" w:afterAutospacing="0"/>
        <w:jc w:val="both"/>
        <w:rPr>
          <w:rFonts w:ascii="Arial" w:hAnsi="Arial" w:cs="Arial"/>
          <w:sz w:val="20"/>
          <w:szCs w:val="20"/>
        </w:rPr>
      </w:pPr>
    </w:p>
    <w:p w14:paraId="24D9117A" w14:textId="7EAA0DCC" w:rsidR="00995E86" w:rsidRDefault="00995E86" w:rsidP="00995E86">
      <w:pPr>
        <w:pStyle w:val="NormalWeb"/>
        <w:spacing w:before="0" w:beforeAutospacing="0" w:after="0" w:afterAutospacing="0"/>
        <w:jc w:val="both"/>
        <w:rPr>
          <w:rFonts w:ascii="Arial" w:hAnsi="Arial" w:cs="Arial"/>
          <w:sz w:val="20"/>
          <w:szCs w:val="20"/>
        </w:rPr>
      </w:pPr>
      <w:r>
        <w:rPr>
          <w:rFonts w:ascii="Arial" w:hAnsi="Arial" w:cs="Arial"/>
          <w:sz w:val="20"/>
          <w:szCs w:val="20"/>
        </w:rPr>
        <w:t>The key characteristics</w:t>
      </w:r>
      <w:r w:rsidR="00B17320">
        <w:rPr>
          <w:rFonts w:ascii="Arial" w:hAnsi="Arial" w:cs="Arial"/>
          <w:sz w:val="20"/>
          <w:szCs w:val="20"/>
        </w:rPr>
        <w:t xml:space="preserve"> of kinship carers are summarised in the VAGO report at p.15 as follows:</w:t>
      </w:r>
    </w:p>
    <w:p w14:paraId="2199A620" w14:textId="68475147" w:rsidR="00B17320" w:rsidRDefault="00B17320">
      <w:pPr>
        <w:pStyle w:val="NormalWeb"/>
        <w:numPr>
          <w:ilvl w:val="0"/>
          <w:numId w:val="54"/>
        </w:numPr>
        <w:spacing w:before="60" w:beforeAutospacing="0" w:after="0" w:afterAutospacing="0"/>
        <w:ind w:left="811" w:right="454" w:hanging="357"/>
        <w:jc w:val="both"/>
        <w:rPr>
          <w:rFonts w:ascii="Arial" w:hAnsi="Arial" w:cs="Arial"/>
          <w:sz w:val="20"/>
          <w:szCs w:val="20"/>
        </w:rPr>
      </w:pPr>
      <w:r>
        <w:rPr>
          <w:rFonts w:ascii="Arial" w:hAnsi="Arial" w:cs="Arial"/>
          <w:sz w:val="20"/>
          <w:szCs w:val="20"/>
        </w:rPr>
        <w:t>94% are female;</w:t>
      </w:r>
    </w:p>
    <w:p w14:paraId="1305F74C" w14:textId="2CA88C07"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the average age is 54 with 59% being grandparents or great-grandparents, 16% being </w:t>
      </w:r>
      <w:r w:rsidR="004F7E15">
        <w:rPr>
          <w:rFonts w:ascii="Arial" w:hAnsi="Arial" w:cs="Arial"/>
          <w:sz w:val="20"/>
          <w:szCs w:val="20"/>
        </w:rPr>
        <w:t xml:space="preserve">an </w:t>
      </w:r>
      <w:r>
        <w:rPr>
          <w:rFonts w:ascii="Arial" w:hAnsi="Arial" w:cs="Arial"/>
          <w:sz w:val="20"/>
          <w:szCs w:val="20"/>
        </w:rPr>
        <w:t>aunt or uncle and 5% being another relative;</w:t>
      </w:r>
    </w:p>
    <w:p w14:paraId="79F426EB" w14:textId="63FEC65A"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22% are working part-time, 19% are looking after the home, 19% are working full time and 17% are retired;</w:t>
      </w:r>
    </w:p>
    <w:p w14:paraId="400C4E93" w14:textId="763F8F5C" w:rsidR="00B17320" w:rsidRDefault="00B17320">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31% have not completed VCE</w:t>
      </w:r>
      <w:r w:rsidR="007A44A4">
        <w:rPr>
          <w:rFonts w:ascii="Arial" w:hAnsi="Arial" w:cs="Arial"/>
          <w:sz w:val="20"/>
          <w:szCs w:val="20"/>
        </w:rPr>
        <w:t xml:space="preserve">, 10% have completed VCE and 58% have </w:t>
      </w:r>
      <w:r w:rsidR="00B134ED">
        <w:rPr>
          <w:rFonts w:ascii="Arial" w:hAnsi="Arial" w:cs="Arial"/>
          <w:sz w:val="20"/>
          <w:szCs w:val="20"/>
        </w:rPr>
        <w:t>been educated to a higher level</w:t>
      </w:r>
      <w:r w:rsidR="007A44A4">
        <w:rPr>
          <w:rFonts w:ascii="Arial" w:hAnsi="Arial" w:cs="Arial"/>
          <w:sz w:val="20"/>
          <w:szCs w:val="20"/>
        </w:rPr>
        <w:t xml:space="preserve"> than VCE;</w:t>
      </w:r>
    </w:p>
    <w:p w14:paraId="447D3341" w14:textId="3326ABE3"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40% have a household income of under $40,000, 23% of $40,000-$69,999, 12% of $70,000-$99,999 and 14% of $100,000 or more;</w:t>
      </w:r>
    </w:p>
    <w:p w14:paraId="6D9CF822" w14:textId="3440CB6D"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 xml:space="preserve">55% are in Melbourne and 45% </w:t>
      </w:r>
      <w:r w:rsidR="004F7E15">
        <w:rPr>
          <w:rFonts w:ascii="Arial" w:hAnsi="Arial" w:cs="Arial"/>
          <w:sz w:val="20"/>
          <w:szCs w:val="20"/>
        </w:rPr>
        <w:t xml:space="preserve">are </w:t>
      </w:r>
      <w:r>
        <w:rPr>
          <w:rFonts w:ascii="Arial" w:hAnsi="Arial" w:cs="Arial"/>
          <w:sz w:val="20"/>
          <w:szCs w:val="20"/>
        </w:rPr>
        <w:t>in the rest of Victoria; and</w:t>
      </w:r>
    </w:p>
    <w:p w14:paraId="2A53C166" w14:textId="0F8405FF" w:rsidR="007A44A4" w:rsidRDefault="007A44A4">
      <w:pPr>
        <w:pStyle w:val="NormalWeb"/>
        <w:numPr>
          <w:ilvl w:val="0"/>
          <w:numId w:val="54"/>
        </w:numPr>
        <w:spacing w:before="0" w:beforeAutospacing="0" w:after="0" w:afterAutospacing="0"/>
        <w:ind w:left="811" w:right="454" w:hanging="357"/>
        <w:jc w:val="both"/>
        <w:rPr>
          <w:rFonts w:ascii="Arial" w:hAnsi="Arial" w:cs="Arial"/>
          <w:sz w:val="20"/>
          <w:szCs w:val="20"/>
        </w:rPr>
      </w:pPr>
      <w:r>
        <w:rPr>
          <w:rFonts w:ascii="Arial" w:hAnsi="Arial" w:cs="Arial"/>
          <w:sz w:val="20"/>
          <w:szCs w:val="20"/>
        </w:rPr>
        <w:t>53% are caring for 1 child, 27% for 2 children, 17% for 3 or 4 children and 3% of 5 or more children.</w:t>
      </w:r>
    </w:p>
    <w:p w14:paraId="67D40A7D" w14:textId="3AF6861A" w:rsidR="00995E86" w:rsidRDefault="00995E86" w:rsidP="00A82435">
      <w:pPr>
        <w:pStyle w:val="NormalWeb"/>
        <w:spacing w:before="0" w:beforeAutospacing="0" w:after="0" w:afterAutospacing="0"/>
        <w:jc w:val="both"/>
        <w:rPr>
          <w:rFonts w:ascii="Arial" w:hAnsi="Arial" w:cs="Arial"/>
          <w:sz w:val="20"/>
          <w:szCs w:val="20"/>
        </w:rPr>
      </w:pPr>
    </w:p>
    <w:p w14:paraId="1E835679" w14:textId="242DF4AD" w:rsidR="007A44A4" w:rsidRDefault="007A44A4" w:rsidP="00A82435">
      <w:pPr>
        <w:pStyle w:val="NormalWeb"/>
        <w:spacing w:before="0" w:beforeAutospacing="0" w:after="0" w:afterAutospacing="0"/>
        <w:jc w:val="both"/>
        <w:rPr>
          <w:rFonts w:ascii="Arial" w:hAnsi="Arial" w:cs="Arial"/>
          <w:sz w:val="20"/>
          <w:szCs w:val="20"/>
        </w:rPr>
      </w:pPr>
      <w:r>
        <w:rPr>
          <w:rFonts w:ascii="Arial" w:hAnsi="Arial" w:cs="Arial"/>
          <w:sz w:val="20"/>
          <w:szCs w:val="20"/>
        </w:rPr>
        <w:t>At p.16 the VAGO report noted that DFFH is responsible for designing and delivering programs that provide safe homes for children who cannot live with their family, including kinship care.  DFFH also contracts 28 community service organisations and 13 Aboriginal community-controlled organisations to provide OOHC services across Victoria.</w:t>
      </w:r>
    </w:p>
    <w:p w14:paraId="1E6BBC6C" w14:textId="2AD6D455" w:rsidR="007A44A4" w:rsidRDefault="007A44A4" w:rsidP="00A82435">
      <w:pPr>
        <w:pStyle w:val="NormalWeb"/>
        <w:spacing w:before="0" w:beforeAutospacing="0" w:after="0" w:afterAutospacing="0"/>
        <w:jc w:val="both"/>
        <w:rPr>
          <w:rFonts w:ascii="Arial" w:hAnsi="Arial" w:cs="Arial"/>
          <w:sz w:val="20"/>
          <w:szCs w:val="20"/>
        </w:rPr>
      </w:pPr>
    </w:p>
    <w:p w14:paraId="10EDD101" w14:textId="77777777" w:rsidR="006911B0" w:rsidRDefault="006911B0" w:rsidP="006911B0">
      <w:pPr>
        <w:pStyle w:val="NormalWeb"/>
        <w:spacing w:before="0" w:beforeAutospacing="0" w:after="0" w:afterAutospacing="0"/>
        <w:jc w:val="both"/>
        <w:rPr>
          <w:rFonts w:ascii="Arial" w:hAnsi="Arial" w:cs="Arial"/>
          <w:sz w:val="20"/>
          <w:szCs w:val="20"/>
        </w:rPr>
      </w:pPr>
      <w:r>
        <w:rPr>
          <w:rFonts w:ascii="Arial" w:hAnsi="Arial" w:cs="Arial"/>
          <w:sz w:val="20"/>
          <w:szCs w:val="20"/>
        </w:rPr>
        <w:t>In a paper entitled “National comparison of child protection systems”, published by the Australian Institute of Family Studies as No.22 Autumn 2005, the authors Leah Bromfield and Daryl Higgins provided a national snapshot of Australian statutory child protection services and concluded that despite different legislative frameworks and some operational differences, Australian state and territory statutory child protection services are providing very similar models of intervention.</w:t>
      </w:r>
    </w:p>
    <w:p w14:paraId="0E77C7F7" w14:textId="77777777" w:rsidR="006911B0" w:rsidRDefault="006911B0" w:rsidP="006911B0">
      <w:pPr>
        <w:pStyle w:val="NormalWeb"/>
        <w:spacing w:before="0" w:beforeAutospacing="0" w:after="0" w:afterAutospacing="0"/>
        <w:jc w:val="both"/>
        <w:rPr>
          <w:rFonts w:ascii="Arial" w:hAnsi="Arial" w:cs="Arial"/>
          <w:sz w:val="20"/>
          <w:szCs w:val="20"/>
        </w:rPr>
      </w:pPr>
    </w:p>
    <w:p w14:paraId="30E40E8D" w14:textId="77777777" w:rsidR="00A82435" w:rsidRDefault="00A82435" w:rsidP="00497924">
      <w:pPr>
        <w:pStyle w:val="Heading3"/>
        <w:keepNext/>
        <w:keepLines/>
        <w:spacing w:line="240" w:lineRule="auto"/>
        <w:rPr>
          <w:rFonts w:ascii="Arial" w:hAnsi="Arial" w:cs="Arial"/>
          <w:b/>
          <w:bCs/>
          <w:sz w:val="20"/>
        </w:rPr>
      </w:pPr>
      <w:bookmarkStart w:id="138" w:name="_4.1.2_Duty_of"/>
      <w:bookmarkStart w:id="139" w:name="B41x2"/>
      <w:bookmarkEnd w:id="138"/>
      <w:bookmarkEnd w:id="139"/>
      <w:r>
        <w:rPr>
          <w:rFonts w:ascii="Arial" w:hAnsi="Arial" w:cs="Arial"/>
          <w:b/>
          <w:bCs/>
          <w:sz w:val="20"/>
        </w:rPr>
        <w:lastRenderedPageBreak/>
        <w:t>4.1.2</w:t>
      </w:r>
      <w:r>
        <w:rPr>
          <w:rFonts w:ascii="Arial" w:hAnsi="Arial" w:cs="Arial"/>
          <w:b/>
          <w:bCs/>
          <w:sz w:val="20"/>
        </w:rPr>
        <w:tab/>
        <w:t>Duty of care of the Child Protection Service</w:t>
      </w:r>
    </w:p>
    <w:p w14:paraId="380EF69D" w14:textId="77777777" w:rsidR="00A82435" w:rsidRDefault="00A82435" w:rsidP="00497924">
      <w:pPr>
        <w:pStyle w:val="Heading3"/>
        <w:keepNext/>
        <w:keepLines/>
        <w:spacing w:line="240" w:lineRule="auto"/>
        <w:rPr>
          <w:rFonts w:ascii="Arial" w:hAnsi="Arial" w:cs="Arial"/>
          <w:b/>
          <w:bCs/>
          <w:sz w:val="20"/>
        </w:rPr>
      </w:pPr>
    </w:p>
    <w:p w14:paraId="3117BDA4" w14:textId="77777777" w:rsidR="00693223" w:rsidRDefault="00693223" w:rsidP="00A338D2">
      <w:pPr>
        <w:pStyle w:val="NormalWeb"/>
        <w:keepNext/>
        <w:keepLines/>
        <w:spacing w:before="0" w:beforeAutospacing="0" w:after="0" w:afterAutospacing="0"/>
        <w:jc w:val="both"/>
        <w:rPr>
          <w:rFonts w:ascii="Arial" w:hAnsi="Arial" w:cs="Arial"/>
          <w:sz w:val="20"/>
        </w:rPr>
      </w:pPr>
      <w:r>
        <w:rPr>
          <w:rFonts w:ascii="Arial" w:hAnsi="Arial" w:cs="Arial"/>
          <w:sz w:val="20"/>
        </w:rPr>
        <w:t xml:space="preserve">In </w:t>
      </w:r>
      <w:r>
        <w:rPr>
          <w:rFonts w:ascii="Arial" w:hAnsi="Arial" w:cs="Arial"/>
          <w:i/>
          <w:iCs/>
          <w:sz w:val="20"/>
        </w:rPr>
        <w:t>Sullivan v Moody</w:t>
      </w:r>
      <w:r>
        <w:rPr>
          <w:rFonts w:ascii="Arial" w:hAnsi="Arial" w:cs="Arial"/>
          <w:sz w:val="20"/>
        </w:rPr>
        <w:t xml:space="preserve"> (2001) 207 CLR 562 and two associated cases the High Court emphasised that the primary duty of care of the South Australian equivalent of the Department was to the child.  Hence it did not owe any duty of care to a parent insofar as such duty would put it in the position of having incompatible duties to more than one person.  At p.582 the Court said:</w:t>
      </w:r>
    </w:p>
    <w:p w14:paraId="76D2FB37" w14:textId="77777777" w:rsidR="00693223" w:rsidRDefault="00693223" w:rsidP="00FA1A78">
      <w:pPr>
        <w:ind w:left="454" w:right="454"/>
        <w:jc w:val="both"/>
        <w:rPr>
          <w:rFonts w:ascii="Arial" w:hAnsi="Arial" w:cs="Arial"/>
          <w:sz w:val="20"/>
        </w:rPr>
      </w:pPr>
      <w:r>
        <w:rPr>
          <w:rFonts w:ascii="Arial" w:hAnsi="Arial" w:cs="Arial"/>
          <w:sz w:val="20"/>
        </w:rPr>
        <w:t>"[W]hen public authorities, or their officers are charged with the responsibility of conducting investigations, or exercising powers, in the public interest, or in the interests of a specified class of persons, the law would not ordinarily subject them to a duty to have regard to the interests of another class of persons where that would impose upon them conflicting claims or obligations.”</w:t>
      </w:r>
    </w:p>
    <w:p w14:paraId="16FC677E" w14:textId="77777777" w:rsidR="005B4417" w:rsidRDefault="005B4417" w:rsidP="005B4417">
      <w:pPr>
        <w:jc w:val="both"/>
        <w:rPr>
          <w:rFonts w:ascii="Arial" w:hAnsi="Arial" w:cs="Arial"/>
          <w:sz w:val="20"/>
        </w:rPr>
      </w:pPr>
    </w:p>
    <w:p w14:paraId="6C1AFFA6" w14:textId="77777777" w:rsidR="00693223" w:rsidRDefault="00693223" w:rsidP="00A56DB8">
      <w:pPr>
        <w:pStyle w:val="NormalWeb"/>
        <w:spacing w:before="0" w:beforeAutospacing="0" w:after="0" w:afterAutospacing="0"/>
        <w:jc w:val="both"/>
        <w:rPr>
          <w:rFonts w:ascii="Arial" w:hAnsi="Arial" w:cs="Arial"/>
          <w:sz w:val="16"/>
        </w:rPr>
      </w:pPr>
      <w:r>
        <w:rPr>
          <w:rFonts w:ascii="Arial" w:hAnsi="Arial" w:cs="Arial"/>
          <w:sz w:val="20"/>
        </w:rPr>
        <w:t xml:space="preserve">The High Court concluded </w:t>
      </w:r>
      <w:r>
        <w:rPr>
          <w:rFonts w:ascii="Arial" w:hAnsi="Arial" w:cs="Arial"/>
          <w:i/>
          <w:sz w:val="20"/>
        </w:rPr>
        <w:t>Sullivan v Moody</w:t>
      </w:r>
      <w:r>
        <w:rPr>
          <w:rFonts w:ascii="Arial" w:hAnsi="Arial" w:cs="Arial"/>
          <w:sz w:val="20"/>
        </w:rPr>
        <w:t xml:space="preserve"> by saying that inconsistency would arise if, in the proper discharge of its responsibilities a Government department was under a legal duty to protect person who were suspected or might be suspected of being the sources of the harm being investigated.  The principle in </w:t>
      </w:r>
      <w:r>
        <w:rPr>
          <w:rFonts w:ascii="Arial" w:hAnsi="Arial" w:cs="Arial"/>
          <w:i/>
          <w:iCs/>
          <w:sz w:val="20"/>
        </w:rPr>
        <w:t>Sullivan v Moody</w:t>
      </w:r>
      <w:r>
        <w:rPr>
          <w:rFonts w:ascii="Arial" w:hAnsi="Arial" w:cs="Arial"/>
          <w:sz w:val="20"/>
        </w:rPr>
        <w:t xml:space="preserve"> was followed in relation to the Victorian child protection authority in </w:t>
      </w:r>
      <w:r>
        <w:rPr>
          <w:rFonts w:ascii="Arial" w:hAnsi="Arial" w:cs="Arial"/>
          <w:i/>
          <w:iCs/>
          <w:sz w:val="20"/>
        </w:rPr>
        <w:t>Zunica v State of Victoria</w:t>
      </w:r>
      <w:r>
        <w:rPr>
          <w:rFonts w:ascii="Arial" w:hAnsi="Arial" w:cs="Arial"/>
          <w:sz w:val="20"/>
        </w:rPr>
        <w:t xml:space="preserve"> [2004] VSC 80 where Bongiorno J struck out a claim in negligence, malicious prosecution, abuse of process and misfeasance brought by a mother against the Department arising out of a family dispute and a subsequent Children's Court action.  See also </w:t>
      </w:r>
      <w:r>
        <w:rPr>
          <w:rFonts w:ascii="Arial" w:hAnsi="Arial" w:cs="Arial"/>
          <w:i/>
          <w:sz w:val="20"/>
        </w:rPr>
        <w:t xml:space="preserve">Cannon v Tahche </w:t>
      </w:r>
      <w:r>
        <w:rPr>
          <w:rFonts w:ascii="Arial" w:hAnsi="Arial" w:cs="Arial"/>
          <w:sz w:val="20"/>
        </w:rPr>
        <w:t>(2002) 5 VR 317.</w:t>
      </w:r>
    </w:p>
    <w:p w14:paraId="62CE69F4" w14:textId="77777777" w:rsidR="00693223" w:rsidRDefault="00693223">
      <w:pPr>
        <w:pStyle w:val="NormalWeb"/>
        <w:spacing w:before="0" w:beforeAutospacing="0" w:after="0" w:afterAutospacing="0"/>
        <w:jc w:val="both"/>
        <w:rPr>
          <w:rFonts w:ascii="Arial" w:hAnsi="Arial" w:cs="Arial"/>
          <w:sz w:val="20"/>
          <w:szCs w:val="20"/>
        </w:rPr>
      </w:pPr>
    </w:p>
    <w:p w14:paraId="23C3B027" w14:textId="77777777" w:rsidR="00007F00" w:rsidRDefault="00007F0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By contrast, in </w:t>
      </w:r>
      <w:r w:rsidRPr="00397BB2">
        <w:rPr>
          <w:rFonts w:ascii="Arial" w:hAnsi="Arial" w:cs="Arial"/>
          <w:i/>
          <w:sz w:val="20"/>
          <w:szCs w:val="20"/>
        </w:rPr>
        <w:t>SB v State of N</w:t>
      </w:r>
      <w:r w:rsidR="00397BB2">
        <w:rPr>
          <w:rFonts w:ascii="Arial" w:hAnsi="Arial" w:cs="Arial"/>
          <w:i/>
          <w:sz w:val="20"/>
          <w:szCs w:val="20"/>
        </w:rPr>
        <w:t>SW</w:t>
      </w:r>
      <w:r>
        <w:rPr>
          <w:rFonts w:ascii="Arial" w:hAnsi="Arial" w:cs="Arial"/>
          <w:sz w:val="20"/>
          <w:szCs w:val="20"/>
        </w:rPr>
        <w:t xml:space="preserve"> [2004] VSC 514 Redlich J </w:t>
      </w:r>
      <w:r w:rsidR="00512A88">
        <w:rPr>
          <w:rFonts w:ascii="Arial" w:hAnsi="Arial" w:cs="Arial"/>
          <w:sz w:val="20"/>
          <w:szCs w:val="20"/>
        </w:rPr>
        <w:t>held that the NSW child protection authority owed and was in breach of a duty of care to a ward who had been sexually abused by a foster parent and then restored to her natural father who, for the balance of the wardship, pursued an incestuous relationship from which resulted two children.</w:t>
      </w:r>
      <w:r w:rsidR="0082133C">
        <w:rPr>
          <w:rFonts w:ascii="Arial" w:hAnsi="Arial" w:cs="Arial"/>
          <w:sz w:val="20"/>
          <w:szCs w:val="20"/>
        </w:rPr>
        <w:t xml:space="preserve">  In an exhaustive judgment his Honour analysed a large number of cases in which the common law and statutory duties of child protection authorities were discussed and in so doing distinguished the English line of authority epitomized by </w:t>
      </w:r>
      <w:r w:rsidR="0082133C" w:rsidRPr="00D34610">
        <w:rPr>
          <w:rFonts w:ascii="Arial" w:hAnsi="Arial" w:cs="Arial"/>
          <w:i/>
          <w:sz w:val="20"/>
          <w:szCs w:val="20"/>
        </w:rPr>
        <w:t>X (Minors) v Bedfordshire County Council</w:t>
      </w:r>
      <w:r w:rsidR="0082133C">
        <w:rPr>
          <w:rFonts w:ascii="Arial" w:hAnsi="Arial" w:cs="Arial"/>
          <w:sz w:val="20"/>
          <w:szCs w:val="20"/>
        </w:rPr>
        <w:t xml:space="preserve"> </w:t>
      </w:r>
      <w:r w:rsidR="00F95054" w:rsidRPr="00F95054">
        <w:rPr>
          <w:rFonts w:ascii="Arial" w:hAnsi="Arial" w:cs="Arial"/>
          <w:sz w:val="20"/>
          <w:szCs w:val="20"/>
        </w:rPr>
        <w:t>[1995] 2 AC 633</w:t>
      </w:r>
      <w:r w:rsidR="0082133C" w:rsidRPr="00F95054">
        <w:rPr>
          <w:rFonts w:ascii="Arial" w:hAnsi="Arial" w:cs="Arial"/>
          <w:sz w:val="20"/>
          <w:szCs w:val="20"/>
        </w:rPr>
        <w:t xml:space="preserve">.  </w:t>
      </w:r>
      <w:r w:rsidR="0082133C">
        <w:rPr>
          <w:rFonts w:ascii="Arial" w:hAnsi="Arial" w:cs="Arial"/>
          <w:sz w:val="20"/>
          <w:szCs w:val="20"/>
        </w:rPr>
        <w:t>At [</w:t>
      </w:r>
      <w:r w:rsidR="00D45DD9">
        <w:rPr>
          <w:rFonts w:ascii="Arial" w:hAnsi="Arial" w:cs="Arial"/>
          <w:sz w:val="20"/>
          <w:szCs w:val="20"/>
        </w:rPr>
        <w:t>298</w:t>
      </w:r>
      <w:r w:rsidR="0082133C">
        <w:rPr>
          <w:rFonts w:ascii="Arial" w:hAnsi="Arial" w:cs="Arial"/>
          <w:sz w:val="20"/>
          <w:szCs w:val="20"/>
        </w:rPr>
        <w:t>]-[</w:t>
      </w:r>
      <w:r w:rsidR="00D45DD9">
        <w:rPr>
          <w:rFonts w:ascii="Arial" w:hAnsi="Arial" w:cs="Arial"/>
          <w:sz w:val="20"/>
          <w:szCs w:val="20"/>
        </w:rPr>
        <w:t>300</w:t>
      </w:r>
      <w:r w:rsidR="0082133C">
        <w:rPr>
          <w:rFonts w:ascii="Arial" w:hAnsi="Arial" w:cs="Arial"/>
          <w:sz w:val="20"/>
          <w:szCs w:val="20"/>
        </w:rPr>
        <w:t>] his Honour held:</w:t>
      </w:r>
    </w:p>
    <w:p w14:paraId="25497AF9" w14:textId="77777777" w:rsidR="00397BB2" w:rsidRDefault="008B516B" w:rsidP="00D34610">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[298] </w:t>
      </w:r>
      <w:r w:rsidR="00D34610" w:rsidRPr="00D34610">
        <w:rPr>
          <w:rFonts w:ascii="Arial" w:hAnsi="Arial" w:cs="Arial"/>
          <w:sz w:val="20"/>
          <w:szCs w:val="20"/>
        </w:rPr>
        <w:t xml:space="preserve">“The failure to intervene to protect the Plaintiff was not a policy matter for the Defendant.  The present case, unlike </w:t>
      </w:r>
      <w:r w:rsidR="00D34610" w:rsidRPr="00D34610">
        <w:rPr>
          <w:rFonts w:ascii="Arial" w:hAnsi="Arial" w:cs="Arial"/>
          <w:i/>
          <w:sz w:val="20"/>
          <w:szCs w:val="20"/>
        </w:rPr>
        <w:t>Brodie v Singleton Shire Council</w:t>
      </w:r>
      <w:r w:rsidR="00D34610" w:rsidRPr="00D34610">
        <w:rPr>
          <w:rFonts w:ascii="Arial" w:hAnsi="Arial" w:cs="Arial"/>
          <w:sz w:val="20"/>
          <w:szCs w:val="20"/>
        </w:rPr>
        <w:t xml:space="preserve"> </w:t>
      </w:r>
      <w:r w:rsidR="00D45DD9" w:rsidRPr="00D45DD9">
        <w:rPr>
          <w:rFonts w:ascii="Arial" w:hAnsi="Arial" w:cs="Arial"/>
          <w:sz w:val="20"/>
          <w:szCs w:val="20"/>
        </w:rPr>
        <w:t xml:space="preserve">(2001) 206 CLR 512 </w:t>
      </w:r>
      <w:r w:rsidR="00D34610" w:rsidRPr="00D34610">
        <w:rPr>
          <w:rFonts w:ascii="Arial" w:hAnsi="Arial" w:cs="Arial"/>
          <w:sz w:val="20"/>
          <w:szCs w:val="20"/>
        </w:rPr>
        <w:t xml:space="preserve">or </w:t>
      </w:r>
      <w:r w:rsidR="00D34610" w:rsidRPr="00D34610">
        <w:rPr>
          <w:rFonts w:ascii="Arial" w:hAnsi="Arial" w:cs="Arial"/>
          <w:i/>
          <w:sz w:val="20"/>
          <w:szCs w:val="20"/>
        </w:rPr>
        <w:t>Graham Barclay Oysters</w:t>
      </w:r>
      <w:r w:rsidR="00D45DD9">
        <w:rPr>
          <w:rFonts w:ascii="Arial" w:hAnsi="Arial" w:cs="Arial"/>
          <w:i/>
          <w:sz w:val="20"/>
          <w:szCs w:val="20"/>
        </w:rPr>
        <w:t xml:space="preserve"> v Ryan </w:t>
      </w:r>
      <w:r w:rsidR="00D45DD9" w:rsidRPr="00D45DD9">
        <w:rPr>
          <w:rFonts w:ascii="Arial" w:hAnsi="Arial" w:cs="Arial"/>
          <w:sz w:val="20"/>
          <w:szCs w:val="20"/>
        </w:rPr>
        <w:t>(2002) 211 CLR 540</w:t>
      </w:r>
      <w:r w:rsidR="00D45DD9">
        <w:rPr>
          <w:rFonts w:ascii="Arial" w:hAnsi="Arial" w:cs="Arial"/>
          <w:sz w:val="20"/>
          <w:szCs w:val="20"/>
        </w:rPr>
        <w:t xml:space="preserve">, </w:t>
      </w:r>
      <w:r w:rsidR="00D34610" w:rsidRPr="00D34610">
        <w:rPr>
          <w:rFonts w:ascii="Arial" w:hAnsi="Arial" w:cs="Arial"/>
          <w:sz w:val="20"/>
          <w:szCs w:val="20"/>
        </w:rPr>
        <w:t xml:space="preserve">does not involve an examination of the spending priorities of a statutory authority, or of the spending discretions of the Minister or the Department, even though, as </w:t>
      </w:r>
      <w:r w:rsidR="00D34610" w:rsidRPr="00D34610">
        <w:rPr>
          <w:rFonts w:ascii="Arial" w:hAnsi="Arial" w:cs="Arial"/>
          <w:i/>
          <w:sz w:val="20"/>
          <w:szCs w:val="20"/>
        </w:rPr>
        <w:t>Brodie</w:t>
      </w:r>
      <w:r w:rsidR="00D34610" w:rsidRPr="00D34610">
        <w:rPr>
          <w:rFonts w:ascii="Arial" w:hAnsi="Arial" w:cs="Arial"/>
          <w:sz w:val="20"/>
          <w:szCs w:val="20"/>
        </w:rPr>
        <w:t xml:space="preserve"> illustrates, it may be proper and necessary for a court to engage in such an examination in certain cases.  This case is not one concerning the conduct of the legislature or the executive in raising revenue or allocating resources and as such is not immune from judicial review on the ground that it is a political matter</w:t>
      </w:r>
      <w:r w:rsidR="00D45DD9">
        <w:rPr>
          <w:rFonts w:ascii="Arial" w:hAnsi="Arial" w:cs="Arial"/>
          <w:sz w:val="20"/>
          <w:szCs w:val="20"/>
        </w:rPr>
        <w:t xml:space="preserve">: </w:t>
      </w:r>
      <w:r w:rsidR="00D45DD9" w:rsidRPr="00D45DD9">
        <w:rPr>
          <w:rFonts w:ascii="Arial" w:hAnsi="Arial" w:cs="Arial"/>
          <w:sz w:val="20"/>
          <w:szCs w:val="20"/>
        </w:rPr>
        <w:t>see</w:t>
      </w:r>
      <w:r w:rsidR="00D45DD9">
        <w:rPr>
          <w:rFonts w:ascii="Arial" w:hAnsi="Arial" w:cs="Arial"/>
          <w:sz w:val="20"/>
          <w:szCs w:val="20"/>
        </w:rPr>
        <w:t xml:space="preserve"> </w:t>
      </w:r>
      <w:r w:rsidR="00D45DD9" w:rsidRPr="00D45DD9">
        <w:rPr>
          <w:rFonts w:ascii="Arial" w:hAnsi="Arial" w:cs="Arial"/>
          <w:i/>
          <w:sz w:val="20"/>
          <w:szCs w:val="20"/>
        </w:rPr>
        <w:t>Graham Barclay Oysters</w:t>
      </w:r>
      <w:r w:rsidR="00D45DD9" w:rsidRPr="00D45DD9">
        <w:rPr>
          <w:rFonts w:ascii="Arial" w:hAnsi="Arial" w:cs="Arial"/>
          <w:sz w:val="20"/>
          <w:szCs w:val="20"/>
        </w:rPr>
        <w:t xml:space="preserve"> per Gleeson CJ at 554-555 [7]-[9]</w:t>
      </w:r>
      <w:r w:rsidR="00D45DD9">
        <w:rPr>
          <w:rFonts w:ascii="Arial" w:hAnsi="Arial" w:cs="Arial"/>
          <w:sz w:val="20"/>
          <w:szCs w:val="20"/>
        </w:rPr>
        <w:t xml:space="preserve">. </w:t>
      </w:r>
      <w:r w:rsidR="00D34610" w:rsidRPr="00D34610">
        <w:rPr>
          <w:rFonts w:ascii="Arial" w:hAnsi="Arial" w:cs="Arial"/>
          <w:sz w:val="20"/>
          <w:szCs w:val="20"/>
        </w:rPr>
        <w:t>The Defendant’s decision not to exercise its powers to protect the Plaintiff is therefore justiciable.  Further, the Defendant’s failure to exercise of its powers to protect the Plaintiff was an operational matter, rather than one of policy, which was theoretically based upon expert or professional opinion and upon general standards of reasonableness.  As such, it is subject to a duty of care.</w:t>
      </w:r>
    </w:p>
    <w:p w14:paraId="0EFF5BC8" w14:textId="77777777" w:rsidR="00D34610" w:rsidRDefault="008B516B" w:rsidP="00FA1A7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[299] </w:t>
      </w:r>
      <w:r w:rsidR="00D34610" w:rsidRPr="00D34610">
        <w:rPr>
          <w:rFonts w:ascii="Arial" w:hAnsi="Arial" w:cs="Arial"/>
          <w:sz w:val="20"/>
          <w:szCs w:val="20"/>
        </w:rPr>
        <w:t xml:space="preserve">There is no incompatibility between the existence of such a duty and the Department’s statutory responsibilities.  The duty would serve to enhance the standards observed by the Department and its officers and will further the principal objectives of the legislation.  The imposition of a duty of care on the Defendant does not cut across the legislative intent of the Act, as was the case in </w:t>
      </w:r>
      <w:r w:rsidR="00D34610" w:rsidRPr="00D34610">
        <w:rPr>
          <w:rFonts w:ascii="Arial" w:hAnsi="Arial" w:cs="Arial"/>
          <w:i/>
          <w:sz w:val="20"/>
          <w:szCs w:val="20"/>
        </w:rPr>
        <w:t>Sullivan v Moody</w:t>
      </w:r>
      <w:r w:rsidR="00D34610" w:rsidRPr="00D34610">
        <w:rPr>
          <w:rFonts w:ascii="Arial" w:hAnsi="Arial" w:cs="Arial"/>
          <w:sz w:val="20"/>
          <w:szCs w:val="20"/>
        </w:rPr>
        <w:t>.  As the name of the Act indicates, the general legislative intent of the Act is the protection of child welfare.  The duty of care toward children injured by reason of the exercise or failure to exercise powers granted under the Act may clearly co-exist with, and be consistent with, the purposes of the Act.  Recognition of a duty would serve to emphasise the primary responsibility of the Department and its officers to promote the welfare of chi</w:t>
      </w:r>
      <w:r w:rsidR="00D34610">
        <w:rPr>
          <w:rFonts w:ascii="Arial" w:hAnsi="Arial" w:cs="Arial"/>
          <w:sz w:val="20"/>
          <w:szCs w:val="20"/>
        </w:rPr>
        <w:t>ldren generally and its wards.</w:t>
      </w:r>
    </w:p>
    <w:p w14:paraId="7570B968" w14:textId="77777777" w:rsidR="00D34610" w:rsidRPr="00D34610" w:rsidRDefault="008B516B" w:rsidP="00A56DB8">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[300] </w:t>
      </w:r>
      <w:r w:rsidR="00D34610" w:rsidRPr="00D34610">
        <w:rPr>
          <w:rFonts w:ascii="Arial" w:hAnsi="Arial" w:cs="Arial"/>
          <w:sz w:val="20"/>
          <w:szCs w:val="20"/>
        </w:rPr>
        <w:t xml:space="preserve">There is no policy reason to protect authorities exercising statutory powers in circumstances where the child is already a ward of the authority.  </w:t>
      </w:r>
      <w:r w:rsidR="00D34610" w:rsidRPr="00D34610">
        <w:rPr>
          <w:rFonts w:ascii="Arial" w:hAnsi="Arial" w:cs="Arial"/>
          <w:i/>
          <w:sz w:val="20"/>
          <w:szCs w:val="20"/>
        </w:rPr>
        <w:t>X v Bedfordshire C</w:t>
      </w:r>
      <w:r w:rsidR="00D34610">
        <w:rPr>
          <w:rFonts w:ascii="Arial" w:hAnsi="Arial" w:cs="Arial"/>
          <w:i/>
          <w:sz w:val="20"/>
          <w:szCs w:val="20"/>
        </w:rPr>
        <w:t xml:space="preserve">ounty </w:t>
      </w:r>
      <w:r w:rsidR="00D34610" w:rsidRPr="00D34610">
        <w:rPr>
          <w:rFonts w:ascii="Arial" w:hAnsi="Arial" w:cs="Arial"/>
          <w:i/>
          <w:sz w:val="20"/>
          <w:szCs w:val="20"/>
        </w:rPr>
        <w:t>C</w:t>
      </w:r>
      <w:r w:rsidR="00D34610">
        <w:rPr>
          <w:rFonts w:ascii="Arial" w:hAnsi="Arial" w:cs="Arial"/>
          <w:i/>
          <w:sz w:val="20"/>
          <w:szCs w:val="20"/>
        </w:rPr>
        <w:t>ouncil</w:t>
      </w:r>
      <w:r w:rsidR="00D34610" w:rsidRPr="00D34610">
        <w:rPr>
          <w:rFonts w:ascii="Arial" w:hAnsi="Arial" w:cs="Arial"/>
          <w:sz w:val="20"/>
          <w:szCs w:val="20"/>
        </w:rPr>
        <w:t xml:space="preserve"> is distinguishable as being concerned with an authority that refrains from removing a child from his or her parents in the first place. </w:t>
      </w:r>
      <w:r w:rsidR="00D45DD9">
        <w:rPr>
          <w:rFonts w:ascii="Arial" w:hAnsi="Arial" w:cs="Arial"/>
          <w:sz w:val="20"/>
          <w:szCs w:val="20"/>
        </w:rPr>
        <w:t xml:space="preserve">[Contrast the facts in </w:t>
      </w:r>
      <w:r w:rsidR="00D45DD9" w:rsidRPr="00D45DD9">
        <w:rPr>
          <w:rFonts w:ascii="Arial" w:hAnsi="Arial" w:cs="Arial"/>
          <w:i/>
          <w:sz w:val="20"/>
          <w:szCs w:val="20"/>
        </w:rPr>
        <w:t xml:space="preserve">Barrett v </w:t>
      </w:r>
      <w:smartTag w:uri="urn:schemas-microsoft-com:office:smarttags" w:element="City">
        <w:r w:rsidR="00D45DD9" w:rsidRPr="00D45DD9">
          <w:rPr>
            <w:rFonts w:ascii="Arial" w:hAnsi="Arial" w:cs="Arial"/>
            <w:i/>
            <w:sz w:val="20"/>
            <w:szCs w:val="20"/>
          </w:rPr>
          <w:t>Enfield</w:t>
        </w:r>
      </w:smartTag>
      <w:r w:rsidR="00D45DD9" w:rsidRPr="00D45DD9">
        <w:rPr>
          <w:rFonts w:ascii="Arial" w:hAnsi="Arial" w:cs="Arial"/>
          <w:i/>
          <w:sz w:val="20"/>
          <w:szCs w:val="20"/>
        </w:rPr>
        <w:t xml:space="preserve"> </w:t>
      </w:r>
      <w:smartTag w:uri="urn:schemas-microsoft-com:office:smarttags" w:element="City">
        <w:smartTag w:uri="urn:schemas-microsoft-com:office:smarttags" w:element="place">
          <w:r w:rsidR="00D45DD9" w:rsidRPr="00D45DD9">
            <w:rPr>
              <w:rFonts w:ascii="Arial" w:hAnsi="Arial" w:cs="Arial"/>
              <w:i/>
              <w:sz w:val="20"/>
              <w:szCs w:val="20"/>
            </w:rPr>
            <w:t>London</w:t>
          </w:r>
        </w:smartTag>
      </w:smartTag>
      <w:r w:rsidR="00D45DD9" w:rsidRPr="00D45DD9">
        <w:rPr>
          <w:rFonts w:ascii="Arial" w:hAnsi="Arial" w:cs="Arial"/>
          <w:i/>
          <w:sz w:val="20"/>
          <w:szCs w:val="20"/>
        </w:rPr>
        <w:t xml:space="preserve"> Borough</w:t>
      </w:r>
      <w:r w:rsidR="00D45DD9" w:rsidRPr="00D45DD9">
        <w:rPr>
          <w:rFonts w:ascii="Arial" w:hAnsi="Arial" w:cs="Arial"/>
          <w:sz w:val="20"/>
          <w:szCs w:val="20"/>
        </w:rPr>
        <w:t xml:space="preserve"> [2001] 2 AC 550</w:t>
      </w:r>
      <w:r w:rsidR="00D45DD9">
        <w:rPr>
          <w:rFonts w:ascii="Arial" w:hAnsi="Arial" w:cs="Arial"/>
          <w:sz w:val="20"/>
          <w:szCs w:val="20"/>
        </w:rPr>
        <w:t>.</w:t>
      </w:r>
      <w:r w:rsidR="00D45DD9" w:rsidRPr="00D45DD9">
        <w:rPr>
          <w:rFonts w:ascii="Arial" w:hAnsi="Arial" w:cs="Arial"/>
          <w:sz w:val="20"/>
          <w:szCs w:val="20"/>
        </w:rPr>
        <w:t>]</w:t>
      </w:r>
      <w:r w:rsidR="00D34610" w:rsidRPr="00D34610">
        <w:rPr>
          <w:rFonts w:ascii="Arial" w:hAnsi="Arial" w:cs="Arial"/>
          <w:sz w:val="20"/>
          <w:szCs w:val="20"/>
        </w:rPr>
        <w:t xml:space="preserve"> The policy considerations which explain that case have been called into question.  </w:t>
      </w:r>
      <w:r w:rsidR="00D34610" w:rsidRPr="00D34610">
        <w:rPr>
          <w:rFonts w:ascii="Arial" w:hAnsi="Arial" w:cs="Arial"/>
          <w:sz w:val="20"/>
          <w:szCs w:val="20"/>
        </w:rPr>
        <w:lastRenderedPageBreak/>
        <w:t>The concept that social workers will become defensive in the making of delicate or urgent decisions should not be accepted as valid.  Even if it were so, it should not constitute a sufficient reason to deny a duty which is imposed upon other professions making equally demanding judgments.  For the reasons expressed in the recent decisions to which I have referred, a duty is not to be denied on this ground.  The existence of a concurrent common law duty, is likely to encourage the maintenance of higher standards in pursuing the paramount objective of the welfare of the child.</w:t>
      </w:r>
      <w:r w:rsidR="00D34610">
        <w:rPr>
          <w:rFonts w:ascii="Arial" w:hAnsi="Arial" w:cs="Arial"/>
          <w:sz w:val="20"/>
          <w:szCs w:val="20"/>
        </w:rPr>
        <w:t>”</w:t>
      </w:r>
    </w:p>
    <w:p w14:paraId="0085BC01" w14:textId="77777777" w:rsidR="00397BB2" w:rsidRDefault="00397BB2">
      <w:pPr>
        <w:pStyle w:val="NormalWeb"/>
        <w:spacing w:before="0" w:beforeAutospacing="0" w:after="0" w:afterAutospacing="0"/>
        <w:jc w:val="both"/>
        <w:rPr>
          <w:rFonts w:ascii="Arial" w:hAnsi="Arial" w:cs="Arial"/>
          <w:sz w:val="20"/>
          <w:szCs w:val="20"/>
        </w:rPr>
      </w:pPr>
    </w:p>
    <w:p w14:paraId="258A1129" w14:textId="77777777" w:rsidR="00A24F8C" w:rsidRDefault="00066867" w:rsidP="00A24F8C">
      <w:pPr>
        <w:pStyle w:val="Heading3"/>
        <w:keepNext/>
        <w:keepLines/>
        <w:spacing w:line="240" w:lineRule="auto"/>
        <w:rPr>
          <w:rFonts w:ascii="Arial" w:hAnsi="Arial" w:cs="Arial"/>
          <w:b/>
          <w:bCs/>
          <w:sz w:val="20"/>
        </w:rPr>
      </w:pPr>
      <w:bookmarkStart w:id="140" w:name="_4.1.3_Principles_governing"/>
      <w:bookmarkStart w:id="141" w:name="B41x3"/>
      <w:bookmarkEnd w:id="140"/>
      <w:bookmarkEnd w:id="141"/>
      <w:r>
        <w:rPr>
          <w:rFonts w:ascii="Arial" w:hAnsi="Arial" w:cs="Arial"/>
          <w:b/>
          <w:bCs/>
          <w:sz w:val="20"/>
        </w:rPr>
        <w:t>4.1.3</w:t>
      </w:r>
      <w:r>
        <w:rPr>
          <w:rFonts w:ascii="Arial" w:hAnsi="Arial" w:cs="Arial"/>
          <w:b/>
          <w:bCs/>
          <w:sz w:val="20"/>
        </w:rPr>
        <w:tab/>
      </w:r>
      <w:r w:rsidR="006D081C">
        <w:rPr>
          <w:rFonts w:ascii="Arial" w:hAnsi="Arial" w:cs="Arial"/>
          <w:b/>
          <w:bCs/>
          <w:sz w:val="20"/>
        </w:rPr>
        <w:t>Principles governing d</w:t>
      </w:r>
      <w:r>
        <w:rPr>
          <w:rFonts w:ascii="Arial" w:hAnsi="Arial" w:cs="Arial"/>
          <w:b/>
          <w:bCs/>
          <w:sz w:val="20"/>
        </w:rPr>
        <w:t xml:space="preserve">ecision-making </w:t>
      </w:r>
      <w:r w:rsidR="006D081C">
        <w:rPr>
          <w:rFonts w:ascii="Arial" w:hAnsi="Arial" w:cs="Arial"/>
          <w:b/>
          <w:bCs/>
          <w:sz w:val="20"/>
        </w:rPr>
        <w:t xml:space="preserve">by the </w:t>
      </w:r>
      <w:r>
        <w:rPr>
          <w:rFonts w:ascii="Arial" w:hAnsi="Arial" w:cs="Arial"/>
          <w:b/>
          <w:bCs/>
          <w:sz w:val="20"/>
        </w:rPr>
        <w:t>Child Protection Service</w:t>
      </w:r>
    </w:p>
    <w:p w14:paraId="3CC11E79" w14:textId="77777777" w:rsidR="006D081C" w:rsidRDefault="006D081C" w:rsidP="006D081C">
      <w:pPr>
        <w:spacing w:before="120"/>
        <w:jc w:val="both"/>
        <w:rPr>
          <w:rFonts w:ascii="Arial" w:hAnsi="Arial" w:cs="Arial"/>
          <w:sz w:val="20"/>
        </w:rPr>
      </w:pPr>
      <w:r>
        <w:rPr>
          <w:rFonts w:ascii="Arial" w:hAnsi="Arial" w:cs="Arial"/>
          <w:sz w:val="20"/>
        </w:rPr>
        <w:t xml:space="preserve">Sections 8(2) of the CYFA requires the Secretary of </w:t>
      </w:r>
      <w:r w:rsidR="00785D2D">
        <w:rPr>
          <w:rFonts w:ascii="Arial" w:hAnsi="Arial" w:cs="Arial"/>
          <w:sz w:val="20"/>
        </w:rPr>
        <w:t>DFFH</w:t>
      </w:r>
      <w:r>
        <w:rPr>
          <w:rFonts w:ascii="Arial" w:hAnsi="Arial" w:cs="Arial"/>
          <w:sz w:val="20"/>
        </w:rPr>
        <w:t xml:space="preserve">, where relevant, to have regard to the principles set out in </w:t>
      </w:r>
    </w:p>
    <w:p w14:paraId="57BADF5C" w14:textId="77777777" w:rsidR="006D081C" w:rsidRDefault="006D081C" w:rsidP="00BA6FBE">
      <w:pPr>
        <w:numPr>
          <w:ilvl w:val="0"/>
          <w:numId w:val="11"/>
        </w:numPr>
        <w:jc w:val="both"/>
        <w:rPr>
          <w:rFonts w:ascii="Arial" w:hAnsi="Arial" w:cs="Arial"/>
          <w:sz w:val="20"/>
        </w:rPr>
      </w:pPr>
      <w:r>
        <w:rPr>
          <w:rFonts w:ascii="Arial" w:hAnsi="Arial" w:cs="Arial"/>
          <w:sz w:val="20"/>
        </w:rPr>
        <w:t>s.10 – the “best interests” principle; and</w:t>
      </w:r>
    </w:p>
    <w:p w14:paraId="3717B506" w14:textId="77777777" w:rsidR="006D081C" w:rsidRDefault="006D081C" w:rsidP="00BA6FBE">
      <w:pPr>
        <w:numPr>
          <w:ilvl w:val="0"/>
          <w:numId w:val="11"/>
        </w:numPr>
        <w:jc w:val="both"/>
        <w:rPr>
          <w:rFonts w:ascii="Arial" w:hAnsi="Arial" w:cs="Arial"/>
          <w:sz w:val="20"/>
        </w:rPr>
      </w:pPr>
      <w:r>
        <w:rPr>
          <w:rFonts w:ascii="Arial" w:hAnsi="Arial" w:cs="Arial"/>
          <w:sz w:val="20"/>
        </w:rPr>
        <w:t>s.11 – additional general decision-making principles; and</w:t>
      </w:r>
    </w:p>
    <w:p w14:paraId="23887089" w14:textId="77777777" w:rsidR="006D081C" w:rsidRDefault="006D081C" w:rsidP="00BA6FBE">
      <w:pPr>
        <w:numPr>
          <w:ilvl w:val="0"/>
          <w:numId w:val="11"/>
        </w:numPr>
        <w:jc w:val="both"/>
        <w:rPr>
          <w:rFonts w:ascii="Arial" w:hAnsi="Arial" w:cs="Arial"/>
          <w:sz w:val="20"/>
        </w:rPr>
      </w:pPr>
      <w:r>
        <w:rPr>
          <w:rFonts w:ascii="Arial" w:hAnsi="Arial" w:cs="Arial"/>
          <w:sz w:val="20"/>
        </w:rPr>
        <w:t>ss.12-14 – additional decision-making principles for Aboriginal children-</w:t>
      </w:r>
    </w:p>
    <w:p w14:paraId="44520AF1" w14:textId="77777777" w:rsidR="006D081C" w:rsidRDefault="006D081C" w:rsidP="006D081C">
      <w:pPr>
        <w:jc w:val="both"/>
        <w:rPr>
          <w:rFonts w:ascii="Arial" w:hAnsi="Arial" w:cs="Arial"/>
          <w:sz w:val="20"/>
        </w:rPr>
      </w:pPr>
      <w:r>
        <w:rPr>
          <w:rFonts w:ascii="Arial" w:hAnsi="Arial" w:cs="Arial"/>
          <w:sz w:val="20"/>
        </w:rPr>
        <w:t>in making any decision or taking any action under the CYFA or in providing any service under the CYFA to children and families.  However, s.8(2) does not apply in relation to any decision or action under Chapter 5 [Children and the Criminal Law] or Chapter 7 [The Children’s Court of Victoria] in relation to any matter under Chapter 5.</w:t>
      </w:r>
    </w:p>
    <w:p w14:paraId="1A7A8ADB" w14:textId="77777777" w:rsidR="006D081C" w:rsidRDefault="006D081C" w:rsidP="006D081C">
      <w:pPr>
        <w:jc w:val="both"/>
        <w:rPr>
          <w:rFonts w:ascii="Arial" w:hAnsi="Arial" w:cs="Arial"/>
          <w:sz w:val="20"/>
        </w:rPr>
      </w:pPr>
    </w:p>
    <w:p w14:paraId="6A2DBC16" w14:textId="77777777" w:rsidR="006D081C" w:rsidRDefault="006D081C" w:rsidP="006D081C">
      <w:pPr>
        <w:jc w:val="both"/>
        <w:rPr>
          <w:rFonts w:ascii="Arial" w:hAnsi="Arial" w:cs="Arial"/>
          <w:sz w:val="20"/>
        </w:rPr>
      </w:pPr>
      <w:r>
        <w:rPr>
          <w:rFonts w:ascii="Arial" w:hAnsi="Arial" w:cs="Arial"/>
          <w:sz w:val="20"/>
        </w:rPr>
        <w:t>Section 8(3) imposes a similar obligation on a community service established under s.44 or registered under s.46 of the CYFA.</w:t>
      </w:r>
    </w:p>
    <w:p w14:paraId="77959199" w14:textId="77777777" w:rsidR="006D081C" w:rsidRDefault="006D081C" w:rsidP="006D081C">
      <w:pPr>
        <w:jc w:val="both"/>
        <w:rPr>
          <w:rFonts w:ascii="Arial" w:hAnsi="Arial" w:cs="Arial"/>
          <w:sz w:val="20"/>
        </w:rPr>
      </w:pPr>
    </w:p>
    <w:p w14:paraId="3FFF9338" w14:textId="77777777" w:rsidR="006D081C" w:rsidRDefault="006D081C" w:rsidP="006D081C">
      <w:pPr>
        <w:jc w:val="both"/>
        <w:rPr>
          <w:rFonts w:ascii="Arial" w:hAnsi="Arial" w:cs="Arial"/>
          <w:sz w:val="20"/>
        </w:rPr>
      </w:pPr>
      <w:r>
        <w:rPr>
          <w:rFonts w:ascii="Arial" w:hAnsi="Arial" w:cs="Arial"/>
          <w:sz w:val="20"/>
        </w:rPr>
        <w:t>Section 10(1) of the CYFA provides that for the purposes of the CYFA the best interests of the child must always be paramount.</w:t>
      </w:r>
    </w:p>
    <w:p w14:paraId="4ABF8FE7" w14:textId="77777777" w:rsidR="006D081C" w:rsidRDefault="006D081C" w:rsidP="006D081C">
      <w:pPr>
        <w:jc w:val="both"/>
        <w:rPr>
          <w:rFonts w:ascii="Arial" w:hAnsi="Arial" w:cs="Arial"/>
          <w:sz w:val="20"/>
        </w:rPr>
      </w:pPr>
    </w:p>
    <w:p w14:paraId="3200727A" w14:textId="77777777" w:rsidR="006D081C" w:rsidRDefault="006D081C" w:rsidP="006D081C">
      <w:pPr>
        <w:jc w:val="both"/>
        <w:rPr>
          <w:rFonts w:ascii="Arial" w:hAnsi="Arial" w:cs="Arial"/>
          <w:sz w:val="20"/>
        </w:rPr>
      </w:pPr>
      <w:r>
        <w:rPr>
          <w:rFonts w:ascii="Arial" w:hAnsi="Arial" w:cs="Arial"/>
          <w:sz w:val="20"/>
        </w:rPr>
        <w:t>Section 10(2) 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w:t>
      </w:r>
    </w:p>
    <w:p w14:paraId="563478D4" w14:textId="77777777" w:rsidR="006D081C" w:rsidRDefault="006D081C" w:rsidP="006D081C">
      <w:pPr>
        <w:jc w:val="both"/>
        <w:rPr>
          <w:rFonts w:ascii="Arial" w:hAnsi="Arial" w:cs="Arial"/>
          <w:sz w:val="20"/>
        </w:rPr>
      </w:pPr>
    </w:p>
    <w:p w14:paraId="360C33EF" w14:textId="77777777" w:rsidR="006D081C" w:rsidRDefault="006D081C" w:rsidP="006D081C">
      <w:pPr>
        <w:jc w:val="both"/>
        <w:rPr>
          <w:rFonts w:ascii="Arial" w:hAnsi="Arial" w:cs="Arial"/>
          <w:sz w:val="20"/>
        </w:rPr>
      </w:pPr>
      <w:r>
        <w:rPr>
          <w:rFonts w:ascii="Arial" w:hAnsi="Arial" w:cs="Arial"/>
          <w:sz w:val="20"/>
        </w:rPr>
        <w:t xml:space="preserve">Section 10(3) lists 18 other matters to which consideration must also be given, where relevant, in determining what decision to make or action to take in </w:t>
      </w:r>
      <w:r w:rsidR="00D21449">
        <w:rPr>
          <w:rFonts w:ascii="Arial" w:hAnsi="Arial" w:cs="Arial"/>
          <w:sz w:val="20"/>
        </w:rPr>
        <w:t>the best interests of a child.</w:t>
      </w:r>
    </w:p>
    <w:p w14:paraId="0D312647" w14:textId="77777777" w:rsidR="006D081C" w:rsidRPr="001A3C5B" w:rsidRDefault="006D081C">
      <w:pPr>
        <w:pStyle w:val="NormalWeb"/>
        <w:spacing w:before="0" w:beforeAutospacing="0" w:after="0" w:afterAutospacing="0"/>
        <w:jc w:val="both"/>
        <w:rPr>
          <w:rFonts w:ascii="Arial" w:hAnsi="Arial" w:cs="Arial"/>
          <w:sz w:val="18"/>
          <w:szCs w:val="18"/>
        </w:rPr>
      </w:pPr>
    </w:p>
    <w:p w14:paraId="31962C17" w14:textId="77777777" w:rsidR="006D081C" w:rsidRDefault="006D081C" w:rsidP="006D081C">
      <w:pPr>
        <w:jc w:val="both"/>
        <w:rPr>
          <w:rFonts w:ascii="Arial" w:hAnsi="Arial" w:cs="Arial"/>
          <w:b/>
          <w:bCs/>
          <w:sz w:val="20"/>
        </w:rPr>
      </w:pPr>
      <w:r>
        <w:rPr>
          <w:rFonts w:ascii="Arial" w:hAnsi="Arial" w:cs="Arial"/>
          <w:sz w:val="20"/>
        </w:rPr>
        <w:t>Sections 11 &amp; 12 of the CYFA list 12 other principles to which consideration must also be given by the Secretary or a community service – expressly not by the Court - in making a decision or taking an action in relation to a child.</w:t>
      </w:r>
    </w:p>
    <w:p w14:paraId="69262DF8" w14:textId="77777777" w:rsidR="006D081C" w:rsidRPr="001A3C5B" w:rsidRDefault="006D081C" w:rsidP="006D081C">
      <w:pPr>
        <w:rPr>
          <w:rFonts w:ascii="Arial" w:hAnsi="Arial" w:cs="Arial"/>
          <w:b/>
          <w:bCs/>
          <w:sz w:val="18"/>
          <w:szCs w:val="22"/>
        </w:rPr>
      </w:pPr>
    </w:p>
    <w:p w14:paraId="78BE6519" w14:textId="77777777" w:rsidR="006D081C" w:rsidRPr="00D96BB7" w:rsidRDefault="006D081C" w:rsidP="006D081C">
      <w:pPr>
        <w:jc w:val="both"/>
        <w:rPr>
          <w:rFonts w:ascii="Arial" w:hAnsi="Arial" w:cs="Arial"/>
          <w:bCs/>
          <w:sz w:val="20"/>
        </w:rPr>
      </w:pPr>
      <w:r w:rsidRPr="00D96BB7">
        <w:rPr>
          <w:rFonts w:ascii="Arial" w:hAnsi="Arial" w:cs="Arial"/>
          <w:bCs/>
          <w:sz w:val="20"/>
        </w:rPr>
        <w:t xml:space="preserve">Section </w:t>
      </w:r>
      <w:r>
        <w:rPr>
          <w:rFonts w:ascii="Arial" w:hAnsi="Arial" w:cs="Arial"/>
          <w:bCs/>
          <w:sz w:val="20"/>
        </w:rPr>
        <w:t>13(1) of the CYFA provides that if it is in best interests of an Aboriginal child to be placed in out of home care, in making that placement regard must be had to-</w:t>
      </w:r>
    </w:p>
    <w:p w14:paraId="3B396066" w14:textId="77777777" w:rsidR="006D081C" w:rsidRDefault="006D081C" w:rsidP="006D081C">
      <w:pPr>
        <w:tabs>
          <w:tab w:val="left" w:pos="363"/>
        </w:tabs>
        <w:jc w:val="both"/>
        <w:rPr>
          <w:rFonts w:ascii="Arial" w:hAnsi="Arial" w:cs="Arial"/>
          <w:sz w:val="20"/>
        </w:rPr>
      </w:pPr>
      <w:r w:rsidRPr="00D96BB7">
        <w:rPr>
          <w:rFonts w:ascii="Arial" w:hAnsi="Arial" w:cs="Arial"/>
          <w:sz w:val="20"/>
        </w:rPr>
        <w:t>(a</w:t>
      </w:r>
      <w:r>
        <w:rPr>
          <w:rFonts w:ascii="Arial" w:hAnsi="Arial" w:cs="Arial"/>
          <w:sz w:val="20"/>
        </w:rPr>
        <w:t>)</w:t>
      </w:r>
      <w:r>
        <w:rPr>
          <w:rFonts w:ascii="Arial" w:hAnsi="Arial" w:cs="Arial"/>
          <w:sz w:val="20"/>
        </w:rPr>
        <w:tab/>
        <w:t>the advice of the relevant Aboriginal agency; and</w:t>
      </w:r>
    </w:p>
    <w:p w14:paraId="23340DAF" w14:textId="77777777" w:rsidR="006D081C" w:rsidRDefault="006D081C" w:rsidP="006D081C">
      <w:pPr>
        <w:tabs>
          <w:tab w:val="left" w:pos="363"/>
        </w:tabs>
        <w:jc w:val="both"/>
        <w:rPr>
          <w:rFonts w:ascii="Arial" w:hAnsi="Arial" w:cs="Arial"/>
          <w:sz w:val="20"/>
        </w:rPr>
      </w:pPr>
      <w:r>
        <w:rPr>
          <w:rFonts w:ascii="Arial" w:hAnsi="Arial" w:cs="Arial"/>
          <w:sz w:val="20"/>
        </w:rPr>
        <w:t>(b)</w:t>
      </w:r>
      <w:r>
        <w:rPr>
          <w:rFonts w:ascii="Arial" w:hAnsi="Arial" w:cs="Arial"/>
          <w:sz w:val="20"/>
        </w:rPr>
        <w:tab/>
        <w:t>the criteria in s.13(2); and</w:t>
      </w:r>
    </w:p>
    <w:p w14:paraId="1EFDCA3E" w14:textId="77777777" w:rsidR="006D081C" w:rsidRDefault="006D081C" w:rsidP="006D081C">
      <w:pPr>
        <w:tabs>
          <w:tab w:val="left" w:pos="363"/>
        </w:tabs>
        <w:jc w:val="both"/>
        <w:rPr>
          <w:rFonts w:ascii="Arial" w:hAnsi="Arial" w:cs="Arial"/>
          <w:sz w:val="20"/>
        </w:rPr>
      </w:pPr>
      <w:r>
        <w:rPr>
          <w:rFonts w:ascii="Arial" w:hAnsi="Arial" w:cs="Arial"/>
          <w:sz w:val="20"/>
        </w:rPr>
        <w:t>(c)</w:t>
      </w:r>
      <w:r>
        <w:rPr>
          <w:rFonts w:ascii="Arial" w:hAnsi="Arial" w:cs="Arial"/>
          <w:sz w:val="20"/>
        </w:rPr>
        <w:tab/>
        <w:t>the principles in s.14.</w:t>
      </w:r>
    </w:p>
    <w:p w14:paraId="094473EF" w14:textId="77777777" w:rsidR="006D081C" w:rsidRPr="001A3C5B" w:rsidRDefault="006D081C" w:rsidP="006D081C">
      <w:pPr>
        <w:rPr>
          <w:rFonts w:ascii="Arial" w:hAnsi="Arial" w:cs="Arial"/>
          <w:b/>
          <w:bCs/>
          <w:sz w:val="18"/>
          <w:szCs w:val="22"/>
        </w:rPr>
      </w:pPr>
    </w:p>
    <w:p w14:paraId="22204F46" w14:textId="7976A1A3" w:rsidR="007A7B63" w:rsidRDefault="006D081C">
      <w:pPr>
        <w:pStyle w:val="NormalWeb"/>
        <w:spacing w:before="0" w:beforeAutospacing="0" w:after="0" w:afterAutospacing="0"/>
        <w:jc w:val="both"/>
        <w:rPr>
          <w:rFonts w:ascii="Arial" w:hAnsi="Arial" w:cs="Arial"/>
          <w:sz w:val="20"/>
          <w:szCs w:val="20"/>
        </w:rPr>
      </w:pPr>
      <w:r>
        <w:rPr>
          <w:rFonts w:ascii="Arial" w:hAnsi="Arial" w:cs="Arial"/>
          <w:sz w:val="20"/>
          <w:szCs w:val="20"/>
        </w:rPr>
        <w:t>All of these principles are discussed in much greater d</w:t>
      </w:r>
      <w:r w:rsidR="00B05EC7">
        <w:rPr>
          <w:rFonts w:ascii="Arial" w:hAnsi="Arial" w:cs="Arial"/>
          <w:sz w:val="20"/>
          <w:szCs w:val="20"/>
        </w:rPr>
        <w:t xml:space="preserve">etail in these materials in </w:t>
      </w:r>
      <w:r w:rsidR="008E4A97">
        <w:rPr>
          <w:rFonts w:ascii="Arial" w:hAnsi="Arial" w:cs="Arial"/>
          <w:b/>
          <w:bCs/>
          <w:sz w:val="20"/>
          <w:szCs w:val="20"/>
          <w:shd w:val="clear" w:color="auto" w:fill="C5E0B3"/>
        </w:rPr>
        <w:t>P</w:t>
      </w:r>
      <w:r w:rsidR="005A4756" w:rsidRPr="00A40A28">
        <w:rPr>
          <w:rFonts w:ascii="Arial" w:hAnsi="Arial" w:cs="Arial"/>
          <w:b/>
          <w:bCs/>
          <w:sz w:val="20"/>
          <w:szCs w:val="20"/>
          <w:shd w:val="clear" w:color="auto" w:fill="C5E0B3"/>
        </w:rPr>
        <w:t>art</w:t>
      </w:r>
      <w:r w:rsidRPr="00A40A28">
        <w:rPr>
          <w:rFonts w:ascii="Arial" w:hAnsi="Arial" w:cs="Arial"/>
          <w:b/>
          <w:bCs/>
          <w:sz w:val="20"/>
          <w:szCs w:val="20"/>
          <w:shd w:val="clear" w:color="auto" w:fill="C5E0B3"/>
        </w:rPr>
        <w:t xml:space="preserve"> </w:t>
      </w:r>
      <w:r w:rsidR="00B05EC7" w:rsidRPr="00A40A28">
        <w:rPr>
          <w:rFonts w:ascii="Arial" w:hAnsi="Arial" w:cs="Arial"/>
          <w:b/>
          <w:bCs/>
          <w:sz w:val="20"/>
          <w:szCs w:val="20"/>
          <w:shd w:val="clear" w:color="auto" w:fill="C5E0B3"/>
        </w:rPr>
        <w:t>5.10</w:t>
      </w:r>
      <w:r w:rsidR="00B05EC7">
        <w:rPr>
          <w:rFonts w:ascii="Arial" w:hAnsi="Arial" w:cs="Arial"/>
          <w:sz w:val="20"/>
          <w:szCs w:val="20"/>
        </w:rPr>
        <w:t xml:space="preserve"> </w:t>
      </w:r>
      <w:r>
        <w:rPr>
          <w:rFonts w:ascii="Arial" w:hAnsi="Arial" w:cs="Arial"/>
          <w:sz w:val="20"/>
          <w:szCs w:val="20"/>
        </w:rPr>
        <w:t xml:space="preserve">entitled “Decision-making Principles for </w:t>
      </w:r>
      <w:r w:rsidR="00B05EC7">
        <w:rPr>
          <w:rFonts w:ascii="Arial" w:hAnsi="Arial" w:cs="Arial"/>
          <w:sz w:val="20"/>
          <w:szCs w:val="20"/>
        </w:rPr>
        <w:t xml:space="preserve">Family Division matters” in </w:t>
      </w:r>
      <w:r w:rsidR="008E4A97">
        <w:rPr>
          <w:rFonts w:ascii="Arial" w:hAnsi="Arial" w:cs="Arial"/>
          <w:b/>
          <w:bCs/>
          <w:sz w:val="20"/>
          <w:szCs w:val="20"/>
          <w:shd w:val="clear" w:color="auto" w:fill="C5E0B3"/>
        </w:rPr>
        <w:t>C</w:t>
      </w:r>
      <w:r w:rsidRPr="00A40A28">
        <w:rPr>
          <w:rFonts w:ascii="Arial" w:hAnsi="Arial" w:cs="Arial"/>
          <w:b/>
          <w:bCs/>
          <w:sz w:val="20"/>
          <w:szCs w:val="20"/>
          <w:shd w:val="clear" w:color="auto" w:fill="C5E0B3"/>
        </w:rPr>
        <w:t xml:space="preserve">hapter </w:t>
      </w:r>
      <w:r w:rsidR="00B05EC7" w:rsidRPr="00A40A28">
        <w:rPr>
          <w:rFonts w:ascii="Arial" w:hAnsi="Arial" w:cs="Arial"/>
          <w:b/>
          <w:bCs/>
          <w:sz w:val="20"/>
          <w:szCs w:val="20"/>
          <w:shd w:val="clear" w:color="auto" w:fill="C5E0B3"/>
        </w:rPr>
        <w:t>5</w:t>
      </w:r>
      <w:r w:rsidR="00B05EC7">
        <w:rPr>
          <w:rFonts w:ascii="Arial" w:hAnsi="Arial" w:cs="Arial"/>
          <w:sz w:val="20"/>
          <w:szCs w:val="20"/>
        </w:rPr>
        <w:t>:</w:t>
      </w:r>
      <w:r>
        <w:rPr>
          <w:rFonts w:ascii="Arial" w:hAnsi="Arial" w:cs="Arial"/>
          <w:sz w:val="20"/>
          <w:szCs w:val="20"/>
        </w:rPr>
        <w:t xml:space="preserve"> “Family Division – Child Protection”.</w:t>
      </w:r>
    </w:p>
    <w:p w14:paraId="4C8DF3CA" w14:textId="77777777" w:rsidR="00066867" w:rsidRPr="009371CA" w:rsidRDefault="00066867">
      <w:pPr>
        <w:pStyle w:val="NormalWeb"/>
        <w:spacing w:before="0" w:beforeAutospacing="0" w:after="0" w:afterAutospacing="0"/>
        <w:jc w:val="both"/>
        <w:rPr>
          <w:rFonts w:ascii="Arial" w:hAnsi="Arial" w:cs="Arial"/>
          <w:sz w:val="18"/>
          <w:szCs w:val="18"/>
        </w:rPr>
      </w:pPr>
    </w:p>
    <w:p w14:paraId="7CCE7188" w14:textId="77777777" w:rsidR="00693223" w:rsidRDefault="00693223">
      <w:pPr>
        <w:pStyle w:val="Heading3"/>
        <w:keepNext/>
        <w:keepLines/>
        <w:spacing w:line="240" w:lineRule="auto"/>
        <w:rPr>
          <w:rFonts w:ascii="Arial" w:hAnsi="Arial" w:cs="Arial"/>
          <w:b/>
          <w:bCs/>
          <w:sz w:val="20"/>
        </w:rPr>
      </w:pPr>
      <w:bookmarkStart w:id="142" w:name="_4.1.4_Voluntary_intervention"/>
      <w:bookmarkStart w:id="143" w:name="B41x4"/>
      <w:bookmarkStart w:id="144" w:name="_Toc30644236"/>
      <w:bookmarkStart w:id="145" w:name="_Toc30644639"/>
      <w:bookmarkStart w:id="146" w:name="_Toc30645189"/>
      <w:bookmarkStart w:id="147" w:name="_Toc30646400"/>
      <w:bookmarkStart w:id="148" w:name="_Toc30646695"/>
      <w:bookmarkStart w:id="149" w:name="_Toc30646806"/>
      <w:bookmarkStart w:id="150" w:name="_Toc30648163"/>
      <w:bookmarkStart w:id="151" w:name="_Toc30649061"/>
      <w:bookmarkStart w:id="152" w:name="_Toc30649137"/>
      <w:bookmarkStart w:id="153" w:name="_Toc30649398"/>
      <w:bookmarkStart w:id="154" w:name="_Toc30649723"/>
      <w:bookmarkStart w:id="155" w:name="_Toc30651663"/>
      <w:bookmarkStart w:id="156" w:name="_Toc30652653"/>
      <w:bookmarkStart w:id="157" w:name="_Toc30652749"/>
      <w:bookmarkStart w:id="158" w:name="_Toc30654094"/>
      <w:bookmarkStart w:id="159" w:name="_Toc30654445"/>
      <w:bookmarkStart w:id="160" w:name="_Toc30655064"/>
      <w:bookmarkStart w:id="161" w:name="_Toc30655321"/>
      <w:bookmarkStart w:id="162" w:name="_Toc30656999"/>
      <w:bookmarkStart w:id="163" w:name="_Toc30661748"/>
      <w:bookmarkStart w:id="164" w:name="_Toc30666436"/>
      <w:bookmarkStart w:id="165" w:name="_Toc30666666"/>
      <w:bookmarkStart w:id="166" w:name="_Toc30667841"/>
      <w:bookmarkStart w:id="167" w:name="_Toc30669219"/>
      <w:bookmarkStart w:id="168" w:name="_Toc30671435"/>
      <w:bookmarkStart w:id="169" w:name="_Toc30673962"/>
      <w:bookmarkStart w:id="170" w:name="_Toc30691184"/>
      <w:bookmarkStart w:id="171" w:name="_Toc30691557"/>
      <w:bookmarkStart w:id="172" w:name="_Toc30691937"/>
      <w:bookmarkStart w:id="173" w:name="_Toc30692696"/>
      <w:bookmarkStart w:id="174" w:name="_Toc30693075"/>
      <w:bookmarkStart w:id="175" w:name="_Toc30693453"/>
      <w:bookmarkStart w:id="176" w:name="_Toc30693831"/>
      <w:bookmarkStart w:id="177" w:name="_Toc30694212"/>
      <w:bookmarkStart w:id="178" w:name="_Toc30698801"/>
      <w:bookmarkStart w:id="179" w:name="_Toc30699179"/>
      <w:bookmarkStart w:id="180" w:name="_Toc30699564"/>
      <w:bookmarkStart w:id="181" w:name="_Toc30700719"/>
      <w:bookmarkStart w:id="182" w:name="_Toc30701106"/>
      <w:bookmarkStart w:id="183" w:name="_Toc30743715"/>
      <w:bookmarkStart w:id="184" w:name="_Toc30754538"/>
      <w:bookmarkStart w:id="185" w:name="_Toc30756978"/>
      <w:bookmarkStart w:id="186" w:name="_Toc30757527"/>
      <w:bookmarkStart w:id="187" w:name="_Toc30757927"/>
      <w:bookmarkStart w:id="188" w:name="_Toc30762688"/>
      <w:bookmarkStart w:id="189" w:name="_Toc30767342"/>
      <w:bookmarkStart w:id="190" w:name="_Toc34823358"/>
      <w:bookmarkEnd w:id="142"/>
      <w:bookmarkEnd w:id="143"/>
      <w:r>
        <w:rPr>
          <w:rFonts w:ascii="Arial" w:hAnsi="Arial" w:cs="Arial"/>
          <w:b/>
          <w:bCs/>
          <w:sz w:val="20"/>
        </w:rPr>
        <w:t>4.1.</w:t>
      </w:r>
      <w:r w:rsidR="00066867">
        <w:rPr>
          <w:rFonts w:ascii="Arial" w:hAnsi="Arial" w:cs="Arial"/>
          <w:b/>
          <w:bCs/>
          <w:sz w:val="20"/>
        </w:rPr>
        <w:t>4</w:t>
      </w:r>
      <w:r>
        <w:rPr>
          <w:rFonts w:ascii="Arial" w:hAnsi="Arial" w:cs="Arial"/>
          <w:b/>
          <w:bCs/>
          <w:sz w:val="20"/>
        </w:rPr>
        <w:tab/>
        <w:t>Voluntary intervention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E676DA" w14:textId="77777777" w:rsidR="00693223" w:rsidRPr="009371CA" w:rsidRDefault="00693223">
      <w:pPr>
        <w:pStyle w:val="Heading3"/>
        <w:keepNext/>
        <w:keepLines/>
        <w:spacing w:line="240" w:lineRule="auto"/>
        <w:rPr>
          <w:rFonts w:ascii="Arial" w:hAnsi="Arial" w:cs="Arial"/>
          <w:b/>
          <w:bCs/>
          <w:sz w:val="18"/>
          <w:szCs w:val="18"/>
        </w:rPr>
      </w:pPr>
    </w:p>
    <w:p w14:paraId="226A5A32" w14:textId="77777777" w:rsidR="00693223" w:rsidRDefault="00693223" w:rsidP="006D5863">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Frequently the Department will intervene with the consent of all family members and work voluntarily with the family to provide appropriate protection for a child.  In 1997-98 the Department substantiated 7,412 </w:t>
      </w:r>
      <w:r w:rsidR="006D5863">
        <w:rPr>
          <w:rFonts w:ascii="Arial" w:hAnsi="Arial" w:cs="Arial"/>
          <w:sz w:val="20"/>
          <w:szCs w:val="20"/>
        </w:rPr>
        <w:t>report</w:t>
      </w:r>
      <w:r>
        <w:rPr>
          <w:rFonts w:ascii="Arial" w:hAnsi="Arial" w:cs="Arial"/>
          <w:sz w:val="20"/>
          <w:szCs w:val="20"/>
        </w:rPr>
        <w:t xml:space="preserve">s but issued only 2,135 protection applications.  </w:t>
      </w:r>
      <w:r w:rsidR="006D5863">
        <w:rPr>
          <w:rFonts w:ascii="Arial" w:hAnsi="Arial" w:cs="Arial"/>
          <w:sz w:val="20"/>
          <w:szCs w:val="20"/>
        </w:rPr>
        <w:t xml:space="preserve">In </w:t>
      </w:r>
      <w:r w:rsidR="006D5863" w:rsidRPr="00B310F4">
        <w:rPr>
          <w:rFonts w:ascii="Arial" w:hAnsi="Arial" w:cs="Arial"/>
          <w:sz w:val="20"/>
          <w:szCs w:val="20"/>
        </w:rPr>
        <w:t xml:space="preserve">2006-07 </w:t>
      </w:r>
      <w:r w:rsidR="00231CCE" w:rsidRPr="00B310F4">
        <w:rPr>
          <w:rFonts w:ascii="Arial" w:hAnsi="Arial" w:cs="Arial"/>
          <w:sz w:val="20"/>
          <w:szCs w:val="20"/>
        </w:rPr>
        <w:t xml:space="preserve">it issued </w:t>
      </w:r>
      <w:r w:rsidR="006D5863" w:rsidRPr="00B310F4">
        <w:rPr>
          <w:rFonts w:ascii="Arial" w:hAnsi="Arial" w:cs="Arial"/>
          <w:sz w:val="20"/>
          <w:szCs w:val="20"/>
        </w:rPr>
        <w:t xml:space="preserve">a greater proportion of protection applications: </w:t>
      </w:r>
      <w:r w:rsidR="00231CCE" w:rsidRPr="00B310F4">
        <w:rPr>
          <w:rFonts w:ascii="Arial" w:hAnsi="Arial" w:cs="Arial"/>
          <w:sz w:val="20"/>
          <w:szCs w:val="20"/>
        </w:rPr>
        <w:t xml:space="preserve">3,077 out of 6,828 substantiations.  </w:t>
      </w:r>
      <w:r w:rsidR="00120B81" w:rsidRPr="00B310F4">
        <w:rPr>
          <w:rFonts w:ascii="Arial" w:hAnsi="Arial" w:cs="Arial"/>
          <w:sz w:val="20"/>
          <w:szCs w:val="20"/>
        </w:rPr>
        <w:t>The proportion fell slightly in</w:t>
      </w:r>
      <w:r w:rsidR="00B05EC7" w:rsidRPr="00B310F4">
        <w:rPr>
          <w:rFonts w:ascii="Arial" w:hAnsi="Arial" w:cs="Arial"/>
          <w:sz w:val="20"/>
          <w:szCs w:val="20"/>
        </w:rPr>
        <w:t xml:space="preserve"> 201</w:t>
      </w:r>
      <w:r w:rsidR="00377430">
        <w:rPr>
          <w:rFonts w:ascii="Arial" w:hAnsi="Arial" w:cs="Arial"/>
          <w:sz w:val="20"/>
          <w:szCs w:val="20"/>
        </w:rPr>
        <w:t>1</w:t>
      </w:r>
      <w:r w:rsidR="00B05EC7" w:rsidRPr="00B310F4">
        <w:rPr>
          <w:rFonts w:ascii="Arial" w:hAnsi="Arial" w:cs="Arial"/>
          <w:sz w:val="20"/>
          <w:szCs w:val="20"/>
        </w:rPr>
        <w:t>-1</w:t>
      </w:r>
      <w:r w:rsidR="00377430">
        <w:rPr>
          <w:rFonts w:ascii="Arial" w:hAnsi="Arial" w:cs="Arial"/>
          <w:sz w:val="20"/>
          <w:szCs w:val="20"/>
        </w:rPr>
        <w:t>2</w:t>
      </w:r>
      <w:r w:rsidR="00B05EC7" w:rsidRPr="00B310F4">
        <w:rPr>
          <w:rFonts w:ascii="Arial" w:hAnsi="Arial" w:cs="Arial"/>
          <w:sz w:val="20"/>
          <w:szCs w:val="20"/>
        </w:rPr>
        <w:t xml:space="preserve"> </w:t>
      </w:r>
      <w:r w:rsidR="00120B81" w:rsidRPr="00B310F4">
        <w:rPr>
          <w:rFonts w:ascii="Arial" w:hAnsi="Arial" w:cs="Arial"/>
          <w:sz w:val="20"/>
          <w:szCs w:val="20"/>
        </w:rPr>
        <w:t xml:space="preserve">when </w:t>
      </w:r>
      <w:r w:rsidR="00B05EC7" w:rsidRPr="00B310F4">
        <w:rPr>
          <w:rFonts w:ascii="Arial" w:hAnsi="Arial" w:cs="Arial"/>
          <w:sz w:val="20"/>
          <w:szCs w:val="20"/>
        </w:rPr>
        <w:t xml:space="preserve">it issued </w:t>
      </w:r>
      <w:r w:rsidR="00217229" w:rsidRPr="00B310F4">
        <w:rPr>
          <w:rFonts w:ascii="Arial" w:hAnsi="Arial" w:cs="Arial"/>
          <w:sz w:val="20"/>
          <w:szCs w:val="20"/>
        </w:rPr>
        <w:t>3,</w:t>
      </w:r>
      <w:r w:rsidR="00377430">
        <w:rPr>
          <w:rFonts w:ascii="Arial" w:hAnsi="Arial" w:cs="Arial"/>
          <w:sz w:val="20"/>
          <w:szCs w:val="20"/>
        </w:rPr>
        <w:t>920</w:t>
      </w:r>
      <w:r w:rsidR="00B05EC7" w:rsidRPr="00B310F4">
        <w:rPr>
          <w:rFonts w:ascii="Arial" w:hAnsi="Arial" w:cs="Arial"/>
          <w:sz w:val="20"/>
          <w:szCs w:val="20"/>
        </w:rPr>
        <w:t xml:space="preserve"> </w:t>
      </w:r>
      <w:r w:rsidR="00217229" w:rsidRPr="00B310F4">
        <w:rPr>
          <w:rFonts w:ascii="Arial" w:hAnsi="Arial" w:cs="Arial"/>
          <w:sz w:val="20"/>
          <w:szCs w:val="20"/>
        </w:rPr>
        <w:t xml:space="preserve">protection applications </w:t>
      </w:r>
      <w:r w:rsidR="00B05EC7" w:rsidRPr="00B310F4">
        <w:rPr>
          <w:rFonts w:ascii="Arial" w:hAnsi="Arial" w:cs="Arial"/>
          <w:sz w:val="20"/>
          <w:szCs w:val="20"/>
        </w:rPr>
        <w:t xml:space="preserve">out of </w:t>
      </w:r>
      <w:r w:rsidR="00217229" w:rsidRPr="00B310F4">
        <w:rPr>
          <w:rFonts w:ascii="Arial" w:hAnsi="Arial" w:cs="Arial"/>
          <w:sz w:val="20"/>
          <w:szCs w:val="20"/>
        </w:rPr>
        <w:t>9,075</w:t>
      </w:r>
      <w:r w:rsidR="00B05EC7" w:rsidRPr="00B310F4">
        <w:rPr>
          <w:rFonts w:ascii="Arial" w:hAnsi="Arial" w:cs="Arial"/>
          <w:sz w:val="20"/>
          <w:szCs w:val="20"/>
        </w:rPr>
        <w:t xml:space="preserve"> substantiations</w:t>
      </w:r>
      <w:r w:rsidR="00787E9B">
        <w:rPr>
          <w:rFonts w:ascii="Arial" w:hAnsi="Arial" w:cs="Arial"/>
          <w:sz w:val="20"/>
          <w:szCs w:val="20"/>
        </w:rPr>
        <w:t xml:space="preserve"> and fell again in 2012-13 when it issued 3,804 protection applications out of 10</w:t>
      </w:r>
      <w:r w:rsidR="00D533E2">
        <w:rPr>
          <w:rFonts w:ascii="Arial" w:hAnsi="Arial" w:cs="Arial"/>
          <w:sz w:val="20"/>
          <w:szCs w:val="20"/>
        </w:rPr>
        <w:t>,</w:t>
      </w:r>
      <w:r w:rsidR="00787E9B">
        <w:rPr>
          <w:rFonts w:ascii="Arial" w:hAnsi="Arial" w:cs="Arial"/>
          <w:sz w:val="20"/>
          <w:szCs w:val="20"/>
        </w:rPr>
        <w:t>489</w:t>
      </w:r>
      <w:r w:rsidR="00D533E2">
        <w:rPr>
          <w:rFonts w:ascii="Arial" w:hAnsi="Arial" w:cs="Arial"/>
          <w:sz w:val="20"/>
          <w:szCs w:val="20"/>
        </w:rPr>
        <w:t xml:space="preserve"> substantiations</w:t>
      </w:r>
      <w:r w:rsidR="00E30DD8">
        <w:rPr>
          <w:rFonts w:ascii="Arial" w:hAnsi="Arial" w:cs="Arial"/>
          <w:sz w:val="20"/>
          <w:szCs w:val="20"/>
        </w:rPr>
        <w:t xml:space="preserve"> but increased in 2013-2014</w:t>
      </w:r>
      <w:r w:rsidR="00D533E2">
        <w:rPr>
          <w:rFonts w:ascii="Arial" w:hAnsi="Arial" w:cs="Arial"/>
          <w:sz w:val="20"/>
          <w:szCs w:val="20"/>
        </w:rPr>
        <w:t xml:space="preserve">.  </w:t>
      </w:r>
      <w:r w:rsidRPr="00B310F4">
        <w:rPr>
          <w:rFonts w:ascii="Arial" w:hAnsi="Arial" w:cs="Arial"/>
          <w:sz w:val="20"/>
          <w:szCs w:val="20"/>
        </w:rPr>
        <w:t xml:space="preserve">One can infer that </w:t>
      </w:r>
      <w:r w:rsidR="00231CCE" w:rsidRPr="00B310F4">
        <w:rPr>
          <w:rFonts w:ascii="Arial" w:hAnsi="Arial" w:cs="Arial"/>
          <w:sz w:val="20"/>
          <w:szCs w:val="20"/>
        </w:rPr>
        <w:t>it</w:t>
      </w:r>
      <w:r w:rsidRPr="00B310F4">
        <w:rPr>
          <w:rFonts w:ascii="Arial" w:hAnsi="Arial" w:cs="Arial"/>
          <w:sz w:val="20"/>
          <w:szCs w:val="20"/>
        </w:rPr>
        <w:t xml:space="preserve"> dealt </w:t>
      </w:r>
      <w:r w:rsidR="001152F2" w:rsidRPr="00B310F4">
        <w:rPr>
          <w:rFonts w:ascii="Arial" w:hAnsi="Arial" w:cs="Arial"/>
          <w:sz w:val="20"/>
          <w:szCs w:val="20"/>
        </w:rPr>
        <w:t xml:space="preserve">on a voluntary basis </w:t>
      </w:r>
      <w:r w:rsidRPr="00B310F4">
        <w:rPr>
          <w:rFonts w:ascii="Arial" w:hAnsi="Arial" w:cs="Arial"/>
          <w:sz w:val="20"/>
          <w:szCs w:val="20"/>
        </w:rPr>
        <w:t>with</w:t>
      </w:r>
      <w:r>
        <w:rPr>
          <w:rFonts w:ascii="Arial" w:hAnsi="Arial" w:cs="Arial"/>
          <w:sz w:val="20"/>
          <w:szCs w:val="20"/>
        </w:rPr>
        <w:t xml:space="preserve"> </w:t>
      </w:r>
      <w:r w:rsidR="00F4004D">
        <w:rPr>
          <w:rFonts w:ascii="Arial" w:hAnsi="Arial" w:cs="Arial"/>
          <w:sz w:val="20"/>
          <w:szCs w:val="20"/>
        </w:rPr>
        <w:t xml:space="preserve">at least some of </w:t>
      </w:r>
      <w:r>
        <w:rPr>
          <w:rFonts w:ascii="Arial" w:hAnsi="Arial" w:cs="Arial"/>
          <w:sz w:val="20"/>
          <w:szCs w:val="20"/>
        </w:rPr>
        <w:t>th</w:t>
      </w:r>
      <w:r w:rsidR="001152F2">
        <w:rPr>
          <w:rFonts w:ascii="Arial" w:hAnsi="Arial" w:cs="Arial"/>
          <w:sz w:val="20"/>
          <w:szCs w:val="20"/>
        </w:rPr>
        <w:t>ose substantiations which were not breaches of existing orders.</w:t>
      </w:r>
    </w:p>
    <w:p w14:paraId="6512F133" w14:textId="77777777" w:rsidR="00787E9B" w:rsidRPr="009371CA" w:rsidRDefault="00787E9B">
      <w:pPr>
        <w:pStyle w:val="NormalWeb"/>
        <w:spacing w:before="0" w:beforeAutospacing="0" w:after="0" w:afterAutospacing="0"/>
        <w:jc w:val="both"/>
        <w:rPr>
          <w:rFonts w:ascii="Arial" w:hAnsi="Arial" w:cs="Arial"/>
          <w:sz w:val="18"/>
          <w:szCs w:val="18"/>
        </w:rPr>
      </w:pPr>
    </w:p>
    <w:p w14:paraId="22BC24D8" w14:textId="77777777" w:rsidR="00693223" w:rsidRDefault="00066867" w:rsidP="007A44A4">
      <w:pPr>
        <w:pStyle w:val="Heading3"/>
        <w:keepNext/>
        <w:keepLines/>
        <w:widowControl/>
        <w:spacing w:line="240" w:lineRule="auto"/>
        <w:rPr>
          <w:rFonts w:ascii="Arial" w:hAnsi="Arial" w:cs="Arial"/>
          <w:b/>
          <w:bCs/>
          <w:sz w:val="20"/>
        </w:rPr>
      </w:pPr>
      <w:bookmarkStart w:id="191" w:name="_4.1.5_Statutory_intervention"/>
      <w:bookmarkStart w:id="192" w:name="B41x5"/>
      <w:bookmarkStart w:id="193" w:name="_Toc30644237"/>
      <w:bookmarkStart w:id="194" w:name="_Toc30644640"/>
      <w:bookmarkStart w:id="195" w:name="_Toc30645190"/>
      <w:bookmarkStart w:id="196" w:name="_Toc30646401"/>
      <w:bookmarkStart w:id="197" w:name="_Toc30646696"/>
      <w:bookmarkStart w:id="198" w:name="_Toc30646807"/>
      <w:bookmarkStart w:id="199" w:name="_Toc30648164"/>
      <w:bookmarkStart w:id="200" w:name="_Toc30649062"/>
      <w:bookmarkStart w:id="201" w:name="_Toc30649138"/>
      <w:bookmarkStart w:id="202" w:name="_Toc30649399"/>
      <w:bookmarkStart w:id="203" w:name="_Toc30649724"/>
      <w:bookmarkStart w:id="204" w:name="_Toc30651664"/>
      <w:bookmarkStart w:id="205" w:name="_Toc30652654"/>
      <w:bookmarkStart w:id="206" w:name="_Toc30652750"/>
      <w:bookmarkStart w:id="207" w:name="_Toc30654095"/>
      <w:bookmarkStart w:id="208" w:name="_Toc30654446"/>
      <w:bookmarkStart w:id="209" w:name="_Toc30655065"/>
      <w:bookmarkStart w:id="210" w:name="_Toc30655322"/>
      <w:bookmarkStart w:id="211" w:name="_Toc30657000"/>
      <w:bookmarkStart w:id="212" w:name="_Toc30661749"/>
      <w:bookmarkStart w:id="213" w:name="_Toc30666437"/>
      <w:bookmarkStart w:id="214" w:name="_Toc30666667"/>
      <w:bookmarkStart w:id="215" w:name="_Toc30667842"/>
      <w:bookmarkStart w:id="216" w:name="_Toc30669220"/>
      <w:bookmarkStart w:id="217" w:name="_Toc30671436"/>
      <w:bookmarkStart w:id="218" w:name="_Toc30673963"/>
      <w:bookmarkStart w:id="219" w:name="_Toc30691185"/>
      <w:bookmarkStart w:id="220" w:name="_Toc30691558"/>
      <w:bookmarkStart w:id="221" w:name="_Toc30691938"/>
      <w:bookmarkStart w:id="222" w:name="_Toc30692697"/>
      <w:bookmarkStart w:id="223" w:name="_Toc30693076"/>
      <w:bookmarkStart w:id="224" w:name="_Toc30693454"/>
      <w:bookmarkStart w:id="225" w:name="_Toc30693832"/>
      <w:bookmarkStart w:id="226" w:name="_Toc30694213"/>
      <w:bookmarkStart w:id="227" w:name="_Toc30698802"/>
      <w:bookmarkStart w:id="228" w:name="_Toc30699180"/>
      <w:bookmarkStart w:id="229" w:name="_Toc30699565"/>
      <w:bookmarkStart w:id="230" w:name="_Toc30700720"/>
      <w:bookmarkStart w:id="231" w:name="_Toc30701107"/>
      <w:bookmarkStart w:id="232" w:name="_Toc30743716"/>
      <w:bookmarkStart w:id="233" w:name="_Toc30754539"/>
      <w:bookmarkStart w:id="234" w:name="_Toc30756979"/>
      <w:bookmarkStart w:id="235" w:name="_Toc30757528"/>
      <w:bookmarkStart w:id="236" w:name="_Toc30757928"/>
      <w:bookmarkStart w:id="237" w:name="_Toc30762689"/>
      <w:bookmarkStart w:id="238" w:name="_Toc30767343"/>
      <w:bookmarkStart w:id="239" w:name="_Toc34823359"/>
      <w:bookmarkEnd w:id="191"/>
      <w:bookmarkEnd w:id="192"/>
      <w:r>
        <w:rPr>
          <w:rFonts w:ascii="Arial" w:hAnsi="Arial" w:cs="Arial"/>
          <w:b/>
          <w:bCs/>
          <w:sz w:val="20"/>
        </w:rPr>
        <w:lastRenderedPageBreak/>
        <w:t>4.1.5</w:t>
      </w:r>
      <w:r w:rsidR="00693223">
        <w:rPr>
          <w:rFonts w:ascii="Arial" w:hAnsi="Arial" w:cs="Arial"/>
          <w:b/>
          <w:bCs/>
          <w:sz w:val="20"/>
        </w:rPr>
        <w:tab/>
        <w:t>Statutory intervention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6DE3ADA" w14:textId="77777777" w:rsidR="00693223" w:rsidRDefault="00693223" w:rsidP="007A44A4">
      <w:pPr>
        <w:pStyle w:val="Heading3"/>
        <w:keepNext/>
        <w:keepLines/>
        <w:widowControl/>
        <w:spacing w:line="240" w:lineRule="auto"/>
        <w:rPr>
          <w:rFonts w:ascii="Arial" w:hAnsi="Arial" w:cs="Arial"/>
          <w:b/>
          <w:bCs/>
          <w:sz w:val="20"/>
        </w:rPr>
      </w:pPr>
    </w:p>
    <w:p w14:paraId="36848281" w14:textId="77777777" w:rsidR="00693223" w:rsidRDefault="00693223" w:rsidP="007A44A4">
      <w:pPr>
        <w:keepNext/>
        <w:keepLines/>
        <w:jc w:val="both"/>
        <w:rPr>
          <w:rFonts w:ascii="Arial" w:hAnsi="Arial" w:cs="Arial"/>
          <w:sz w:val="20"/>
        </w:rPr>
      </w:pPr>
      <w:r>
        <w:rPr>
          <w:rFonts w:ascii="Arial" w:hAnsi="Arial" w:cs="Arial"/>
          <w:sz w:val="20"/>
        </w:rPr>
        <w:t xml:space="preserve">However, in </w:t>
      </w:r>
      <w:r w:rsidR="000D35D1">
        <w:rPr>
          <w:rFonts w:ascii="Arial" w:hAnsi="Arial" w:cs="Arial"/>
          <w:sz w:val="20"/>
        </w:rPr>
        <w:t>the</w:t>
      </w:r>
      <w:r>
        <w:rPr>
          <w:rFonts w:ascii="Arial" w:hAnsi="Arial" w:cs="Arial"/>
          <w:sz w:val="20"/>
        </w:rPr>
        <w:t xml:space="preserve"> smaller proportion of cases in which the risk to the child is regarded as serious and/or chronic, the Department will intervene by exercising its statutory powers under the </w:t>
      </w:r>
      <w:r>
        <w:rPr>
          <w:rFonts w:ascii="Arial" w:hAnsi="Arial" w:cs="Arial"/>
          <w:color w:val="000000"/>
          <w:sz w:val="20"/>
        </w:rPr>
        <w:t>CY</w:t>
      </w:r>
      <w:r w:rsidR="00EE46E4">
        <w:rPr>
          <w:rFonts w:ascii="Arial" w:hAnsi="Arial" w:cs="Arial"/>
          <w:color w:val="000000"/>
          <w:sz w:val="20"/>
        </w:rPr>
        <w:t>F</w:t>
      </w:r>
      <w:r>
        <w:rPr>
          <w:rFonts w:ascii="Arial" w:hAnsi="Arial" w:cs="Arial"/>
          <w:color w:val="000000"/>
          <w:sz w:val="20"/>
        </w:rPr>
        <w:t xml:space="preserve">A, powers described by Nathan J in </w:t>
      </w:r>
      <w:r>
        <w:rPr>
          <w:rFonts w:ascii="Arial" w:hAnsi="Arial" w:cs="Arial"/>
          <w:i/>
          <w:iCs/>
          <w:color w:val="000000"/>
          <w:sz w:val="20"/>
        </w:rPr>
        <w:t>BS v CGB &amp; DOHS</w:t>
      </w:r>
      <w:r>
        <w:rPr>
          <w:rFonts w:ascii="Arial" w:hAnsi="Arial" w:cs="Arial"/>
          <w:color w:val="000000"/>
          <w:sz w:val="20"/>
        </w:rPr>
        <w:t xml:space="preserve"> [2000] VSC 566 as "awesome".  </w:t>
      </w:r>
      <w:r>
        <w:rPr>
          <w:rFonts w:ascii="Arial" w:hAnsi="Arial" w:cs="Arial"/>
          <w:sz w:val="20"/>
        </w:rPr>
        <w:t>It is only in cases where a delegate of the Secretary has decided that parents or caregivers cannot care for a child safely that the Department causes the Children's Court to become involved.</w:t>
      </w:r>
    </w:p>
    <w:p w14:paraId="148F6961" w14:textId="77777777" w:rsidR="00CF2DFD" w:rsidRPr="00E14F02" w:rsidRDefault="00CF2DFD" w:rsidP="00CF2DFD">
      <w:pPr>
        <w:pStyle w:val="NormalWeb"/>
        <w:spacing w:before="0" w:beforeAutospacing="0" w:after="0" w:afterAutospacing="0"/>
        <w:jc w:val="both"/>
        <w:rPr>
          <w:rFonts w:ascii="Arial" w:hAnsi="Arial" w:cs="Arial"/>
          <w:sz w:val="18"/>
          <w:szCs w:val="20"/>
        </w:rPr>
      </w:pPr>
    </w:p>
    <w:p w14:paraId="5CCA71E6" w14:textId="77777777" w:rsidR="00CF2DFD" w:rsidRDefault="00CF2DFD" w:rsidP="00CF2DFD">
      <w:pPr>
        <w:pStyle w:val="Heading3"/>
        <w:spacing w:line="240" w:lineRule="auto"/>
        <w:rPr>
          <w:rFonts w:ascii="Arial" w:hAnsi="Arial" w:cs="Arial"/>
          <w:b/>
          <w:bCs/>
          <w:sz w:val="20"/>
        </w:rPr>
      </w:pPr>
      <w:bookmarkStart w:id="240" w:name="_4.1.6_The_Child"/>
      <w:bookmarkStart w:id="241" w:name="B41x6"/>
      <w:bookmarkEnd w:id="240"/>
      <w:bookmarkEnd w:id="241"/>
      <w:r>
        <w:rPr>
          <w:rFonts w:ascii="Arial" w:hAnsi="Arial" w:cs="Arial"/>
          <w:b/>
          <w:bCs/>
          <w:sz w:val="20"/>
        </w:rPr>
        <w:t>4.1.6</w:t>
      </w:r>
      <w:r>
        <w:rPr>
          <w:rFonts w:ascii="Arial" w:hAnsi="Arial" w:cs="Arial"/>
          <w:b/>
          <w:bCs/>
          <w:sz w:val="20"/>
        </w:rPr>
        <w:tab/>
        <w:t>The Child Protection Service as a model litigant</w:t>
      </w:r>
    </w:p>
    <w:p w14:paraId="5D805F37" w14:textId="77777777" w:rsidR="00CF2DFD" w:rsidRPr="00E14F02" w:rsidRDefault="00CF2DFD" w:rsidP="00CF2DFD">
      <w:pPr>
        <w:pStyle w:val="Heading3"/>
        <w:spacing w:line="240" w:lineRule="auto"/>
        <w:rPr>
          <w:rFonts w:ascii="Arial" w:hAnsi="Arial" w:cs="Arial"/>
          <w:b/>
          <w:bCs/>
          <w:sz w:val="18"/>
        </w:rPr>
      </w:pPr>
    </w:p>
    <w:p w14:paraId="20D1B8F1" w14:textId="77777777" w:rsidR="00CF2DFD" w:rsidRDefault="006C4934" w:rsidP="006C4934">
      <w:pPr>
        <w:jc w:val="both"/>
        <w:rPr>
          <w:rFonts w:ascii="Arial" w:hAnsi="Arial" w:cs="Arial"/>
          <w:sz w:val="20"/>
        </w:rPr>
      </w:pPr>
      <w:r>
        <w:rPr>
          <w:rFonts w:ascii="Arial" w:hAnsi="Arial" w:cs="Arial"/>
          <w:sz w:val="20"/>
        </w:rPr>
        <w:t xml:space="preserve">The Department of </w:t>
      </w:r>
      <w:r w:rsidR="002E0E92">
        <w:rPr>
          <w:rFonts w:ascii="Arial" w:hAnsi="Arial" w:cs="Arial"/>
          <w:sz w:val="20"/>
          <w:szCs w:val="20"/>
        </w:rPr>
        <w:t>Families, Fairness and Housing</w:t>
      </w:r>
      <w:r>
        <w:rPr>
          <w:rFonts w:ascii="Arial" w:hAnsi="Arial" w:cs="Arial"/>
          <w:sz w:val="20"/>
        </w:rPr>
        <w:t xml:space="preserve"> is a Victorian Government Department.  So far as is relevant to litigation in the Children’s Court, the “Guidelines 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’s Obligation to Act as a Model Litigant”, set out in Schedule 4 of the Legal Services to Government Panel contract, ha</w:t>
      </w:r>
      <w:r w:rsidR="00823729">
        <w:rPr>
          <w:rFonts w:ascii="Arial" w:hAnsi="Arial" w:cs="Arial"/>
          <w:sz w:val="20"/>
        </w:rPr>
        <w:t>ve</w:t>
      </w:r>
      <w:r>
        <w:rPr>
          <w:rFonts w:ascii="Arial" w:hAnsi="Arial" w:cs="Arial"/>
          <w:sz w:val="20"/>
        </w:rPr>
        <w:t xml:space="preserve"> provided since 2005</w:t>
      </w:r>
      <w:r w:rsidR="00531EA8">
        <w:rPr>
          <w:rFonts w:ascii="Arial" w:hAnsi="Arial" w:cs="Arial"/>
          <w:sz w:val="20"/>
        </w:rPr>
        <w:t>:</w:t>
      </w:r>
    </w:p>
    <w:p w14:paraId="28B0C7F9" w14:textId="77777777" w:rsidR="00CF2DFD" w:rsidRDefault="006C4934" w:rsidP="006C4934">
      <w:pPr>
        <w:spacing w:before="60"/>
        <w:ind w:left="284" w:hanging="284"/>
        <w:jc w:val="both"/>
        <w:rPr>
          <w:rFonts w:ascii="Arial" w:hAnsi="Arial" w:cs="Arial"/>
          <w:sz w:val="20"/>
        </w:rPr>
      </w:pPr>
      <w:r w:rsidRPr="006C4934">
        <w:rPr>
          <w:rFonts w:ascii="Arial" w:hAnsi="Arial" w:cs="Arial"/>
          <w:sz w:val="20"/>
        </w:rPr>
        <w:t>1.</w:t>
      </w:r>
      <w:r>
        <w:rPr>
          <w:rFonts w:ascii="Arial" w:hAnsi="Arial" w:cs="Arial"/>
          <w:sz w:val="20"/>
        </w:rPr>
        <w:tab/>
        <w:t xml:space="preserve">In order to maintain proper standards in litigation,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 behave as a model litigant in the conduct of litigation.</w:t>
      </w:r>
    </w:p>
    <w:p w14:paraId="20F46DCE" w14:textId="77777777" w:rsidR="006C4934" w:rsidRDefault="006C4934" w:rsidP="006C4934">
      <w:pPr>
        <w:spacing w:before="60"/>
        <w:ind w:left="284" w:hanging="284"/>
        <w:jc w:val="both"/>
        <w:rPr>
          <w:rFonts w:ascii="Arial" w:hAnsi="Arial" w:cs="Arial"/>
          <w:sz w:val="20"/>
        </w:rPr>
      </w:pPr>
      <w:r>
        <w:rPr>
          <w:rFonts w:ascii="Arial" w:hAnsi="Arial" w:cs="Arial"/>
          <w:sz w:val="20"/>
        </w:rPr>
        <w:t>2.</w:t>
      </w:r>
      <w:r>
        <w:rPr>
          <w:rFonts w:ascii="Arial" w:hAnsi="Arial" w:cs="Arial"/>
          <w:sz w:val="20"/>
        </w:rPr>
        <w:tab/>
        <w:t xml:space="preserve">That obligation requires that the State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its Departments and agencies:</w:t>
      </w:r>
    </w:p>
    <w:p w14:paraId="5C254336"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fairly in handling litigation brought by or against the State or an agency;</w:t>
      </w:r>
    </w:p>
    <w:p w14:paraId="1C90647B"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act consistently in the handling of litigation;</w:t>
      </w:r>
    </w:p>
    <w:p w14:paraId="6A6B91CE"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avoid litigation, wherever possible;</w:t>
      </w:r>
    </w:p>
    <w:p w14:paraId="3BC584D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keep the costs of litigation to a minimum, including by not requiring the other party to prove a matter which the State or the agency knows to be true;</w:t>
      </w:r>
    </w:p>
    <w:p w14:paraId="238639B9"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rely on technical defences unless the State’s or the agency’s interests would be prejudiced by the failure to comply with a particular requirement;</w:t>
      </w:r>
    </w:p>
    <w:p w14:paraId="6F612D38"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take advantage of a person who lacks the resources to litigate a legitimate claim;</w:t>
      </w:r>
    </w:p>
    <w:p w14:paraId="7E10B454" w14:textId="77777777" w:rsidR="00403196" w:rsidRDefault="00403196" w:rsidP="002239D1">
      <w:pPr>
        <w:numPr>
          <w:ilvl w:val="0"/>
          <w:numId w:val="1"/>
        </w:numPr>
        <w:tabs>
          <w:tab w:val="clear" w:pos="363"/>
          <w:tab w:val="num" w:pos="567"/>
        </w:tabs>
        <w:ind w:left="568" w:hanging="284"/>
        <w:jc w:val="both"/>
        <w:rPr>
          <w:rFonts w:ascii="Arial" w:hAnsi="Arial" w:cs="Arial"/>
          <w:sz w:val="20"/>
        </w:rPr>
      </w:pPr>
      <w:r>
        <w:rPr>
          <w:rFonts w:ascii="Arial" w:hAnsi="Arial" w:cs="Arial"/>
          <w:sz w:val="20"/>
        </w:rPr>
        <w:t>not pursue appeals unless the State or agency believes it has reasonable prospects of success or the appeal is otherwise justified in the public interest.</w:t>
      </w:r>
    </w:p>
    <w:p w14:paraId="61E2E570" w14:textId="77777777" w:rsidR="00823729" w:rsidRDefault="00823729" w:rsidP="00823729">
      <w:pPr>
        <w:spacing w:before="60"/>
        <w:ind w:left="284" w:hanging="284"/>
        <w:jc w:val="both"/>
        <w:rPr>
          <w:rFonts w:ascii="Arial" w:hAnsi="Arial" w:cs="Arial"/>
          <w:sz w:val="20"/>
        </w:rPr>
      </w:pPr>
      <w:r>
        <w:rPr>
          <w:rFonts w:ascii="Arial" w:hAnsi="Arial" w:cs="Arial"/>
          <w:sz w:val="20"/>
        </w:rPr>
        <w:t>3.</w:t>
      </w:r>
      <w:r>
        <w:rPr>
          <w:rFonts w:ascii="Arial" w:hAnsi="Arial" w:cs="Arial"/>
          <w:sz w:val="20"/>
        </w:rPr>
        <w:tab/>
        <w:t>In essence, being a model litigant requires that the State and its agencies, as parties to litigation, act with complete propriety, fairly and in accordance with the highest professional standards.  The expectation that the State will act as a model litigant has been recognized by the Courts</w:t>
      </w:r>
      <w:r w:rsidR="00531EA8">
        <w:rPr>
          <w:rFonts w:ascii="Arial" w:hAnsi="Arial" w:cs="Arial"/>
          <w:sz w:val="20"/>
        </w:rPr>
        <w:t>: s</w:t>
      </w:r>
      <w:r>
        <w:rPr>
          <w:rFonts w:ascii="Arial" w:hAnsi="Arial" w:cs="Arial"/>
          <w:sz w:val="20"/>
        </w:rPr>
        <w:t xml:space="preserve">ee, for example, </w:t>
      </w:r>
      <w:r w:rsidRPr="00823729">
        <w:rPr>
          <w:rFonts w:ascii="Arial" w:hAnsi="Arial" w:cs="Arial"/>
          <w:i/>
          <w:sz w:val="20"/>
        </w:rPr>
        <w:t xml:space="preserve">Melbourne Steamship Limited v Moorhead </w:t>
      </w:r>
      <w:r>
        <w:rPr>
          <w:rFonts w:ascii="Arial" w:hAnsi="Arial" w:cs="Arial"/>
          <w:sz w:val="20"/>
        </w:rPr>
        <w:t xml:space="preserve">(1912) 15 CLR 133 at 142; Kenny v State of South Australia (1987) 46 SASR 268 at 273; </w:t>
      </w:r>
      <w:r w:rsidRPr="00823729">
        <w:rPr>
          <w:rFonts w:ascii="Arial" w:hAnsi="Arial" w:cs="Arial"/>
          <w:i/>
          <w:sz w:val="20"/>
        </w:rPr>
        <w:t>Yong Jun Qin v The Minister for Immigration and Ethnic Affairs</w:t>
      </w:r>
      <w:r>
        <w:rPr>
          <w:rFonts w:ascii="Arial" w:hAnsi="Arial" w:cs="Arial"/>
          <w:sz w:val="20"/>
        </w:rPr>
        <w:t xml:space="preserve"> (1977) 75 FCR 155.</w:t>
      </w:r>
    </w:p>
    <w:p w14:paraId="5888DB51" w14:textId="77777777" w:rsidR="00823729" w:rsidRDefault="00823729" w:rsidP="00823729">
      <w:pPr>
        <w:spacing w:before="60"/>
        <w:ind w:left="284" w:hanging="284"/>
        <w:jc w:val="both"/>
        <w:rPr>
          <w:rFonts w:ascii="Arial" w:hAnsi="Arial" w:cs="Arial"/>
          <w:sz w:val="20"/>
        </w:rPr>
      </w:pPr>
      <w:r>
        <w:rPr>
          <w:rFonts w:ascii="Arial" w:hAnsi="Arial" w:cs="Arial"/>
          <w:sz w:val="20"/>
        </w:rPr>
        <w:t>4</w:t>
      </w:r>
      <w:r w:rsidRPr="00823729">
        <w:rPr>
          <w:rFonts w:ascii="Arial" w:hAnsi="Arial" w:cs="Arial"/>
          <w:sz w:val="20"/>
        </w:rPr>
        <w:t>.</w:t>
      </w:r>
      <w:r>
        <w:rPr>
          <w:rFonts w:ascii="Arial" w:hAnsi="Arial" w:cs="Arial"/>
          <w:sz w:val="20"/>
        </w:rPr>
        <w:tab/>
        <w:t>The obligation to act as a model litigant may require more than merely acting honestly and in accordance with the law and court rules.  It also goes beyond the requirement for lawyers to act in accordance with their ethical obligations.</w:t>
      </w:r>
    </w:p>
    <w:p w14:paraId="1552A645" w14:textId="77777777" w:rsidR="00823729" w:rsidRDefault="00823729" w:rsidP="00823729">
      <w:pPr>
        <w:spacing w:before="60"/>
        <w:ind w:left="284" w:hanging="284"/>
        <w:jc w:val="both"/>
        <w:rPr>
          <w:rFonts w:ascii="Arial" w:hAnsi="Arial" w:cs="Arial"/>
          <w:sz w:val="20"/>
        </w:rPr>
      </w:pPr>
      <w:r>
        <w:rPr>
          <w:rFonts w:ascii="Arial" w:hAnsi="Arial" w:cs="Arial"/>
          <w:sz w:val="20"/>
        </w:rPr>
        <w:t>5.</w:t>
      </w:r>
      <w:r>
        <w:rPr>
          <w:rFonts w:ascii="Arial" w:hAnsi="Arial" w:cs="Arial"/>
          <w:sz w:val="20"/>
        </w:rPr>
        <w:tab/>
        <w:t>The obligation does not prevent the State and its agencies from acting firmly and properly to protect their interests [including the interests of the children the subject of litigation].</w:t>
      </w:r>
    </w:p>
    <w:p w14:paraId="1EC15180" w14:textId="77777777" w:rsidR="00C30866" w:rsidRDefault="00C30866" w:rsidP="00823729">
      <w:pPr>
        <w:spacing w:before="60"/>
        <w:ind w:left="284" w:hanging="284"/>
        <w:jc w:val="both"/>
        <w:rPr>
          <w:rFonts w:ascii="Arial" w:hAnsi="Arial" w:cs="Arial"/>
          <w:sz w:val="20"/>
        </w:rPr>
      </w:pPr>
      <w:r>
        <w:rPr>
          <w:rFonts w:ascii="Arial" w:hAnsi="Arial" w:cs="Arial"/>
          <w:sz w:val="20"/>
        </w:rPr>
        <w:t>6.</w:t>
      </w:r>
      <w:r>
        <w:rPr>
          <w:rFonts w:ascii="Arial" w:hAnsi="Arial" w:cs="Arial"/>
          <w:sz w:val="20"/>
        </w:rPr>
        <w:tab/>
        <w:t>The obligation does not prevent the State from enforcing costs orders or seeking to recover its costs.</w:t>
      </w:r>
    </w:p>
    <w:p w14:paraId="29254CDB" w14:textId="77777777" w:rsidR="005A4756" w:rsidRDefault="005A4756">
      <w:pPr>
        <w:rPr>
          <w:rFonts w:ascii="Arial" w:hAnsi="Arial" w:cs="Arial"/>
          <w:sz w:val="20"/>
        </w:rPr>
      </w:pPr>
    </w:p>
    <w:p w14:paraId="79606A52" w14:textId="2D3C222A" w:rsidR="00823729" w:rsidRDefault="005A4756">
      <w:pPr>
        <w:rPr>
          <w:rFonts w:ascii="Arial" w:hAnsi="Arial" w:cs="Arial"/>
          <w:sz w:val="20"/>
        </w:rPr>
      </w:pPr>
      <w:r>
        <w:rPr>
          <w:rFonts w:ascii="Arial" w:hAnsi="Arial" w:cs="Arial"/>
          <w:sz w:val="20"/>
        </w:rPr>
        <w:t>Similar obligations are contained in the Victorian Public Service Code of Conduct.</w:t>
      </w:r>
    </w:p>
    <w:p w14:paraId="76F76CD0" w14:textId="77777777" w:rsidR="005A4756" w:rsidRDefault="005A4756">
      <w:pPr>
        <w:rPr>
          <w:rFonts w:ascii="Arial" w:hAnsi="Arial" w:cs="Arial"/>
          <w:sz w:val="20"/>
        </w:rPr>
      </w:pPr>
    </w:p>
    <w:p w14:paraId="454AA18E" w14:textId="4E981247" w:rsidR="00A12C55" w:rsidRDefault="00A12C55" w:rsidP="00390E49">
      <w:pPr>
        <w:keepNext/>
        <w:keepLines/>
        <w:jc w:val="both"/>
        <w:rPr>
          <w:rFonts w:ascii="Arial" w:hAnsi="Arial" w:cs="Arial"/>
          <w:sz w:val="20"/>
        </w:rPr>
      </w:pPr>
      <w:r>
        <w:rPr>
          <w:rFonts w:ascii="Arial" w:hAnsi="Arial" w:cs="Arial"/>
          <w:sz w:val="20"/>
        </w:rPr>
        <w:t xml:space="preserve">The special obligations of a model litigant are in addition to the general obligations of an advocate </w:t>
      </w:r>
      <w:r w:rsidR="004126CA">
        <w:rPr>
          <w:rFonts w:ascii="Arial" w:hAnsi="Arial" w:cs="Arial"/>
          <w:sz w:val="20"/>
        </w:rPr>
        <w:t xml:space="preserve">set out in the Legal Profession Uniform Conduct (Barristers) Rules 2015 (Vic) which in turn expand on the common law obligations </w:t>
      </w:r>
      <w:r>
        <w:rPr>
          <w:rFonts w:ascii="Arial" w:hAnsi="Arial" w:cs="Arial"/>
          <w:sz w:val="20"/>
        </w:rPr>
        <w:t xml:space="preserve">summarised by Lord Reid in </w:t>
      </w:r>
      <w:r w:rsidRPr="00FA6F7C">
        <w:rPr>
          <w:rFonts w:ascii="Arial" w:hAnsi="Arial" w:cs="Arial"/>
          <w:i/>
          <w:iCs/>
          <w:sz w:val="20"/>
        </w:rPr>
        <w:t>Rondel v Worsley</w:t>
      </w:r>
      <w:r>
        <w:rPr>
          <w:rFonts w:ascii="Arial" w:hAnsi="Arial" w:cs="Arial"/>
          <w:sz w:val="20"/>
        </w:rPr>
        <w:t xml:space="preserve"> [196</w:t>
      </w:r>
      <w:r w:rsidR="00FA6F7C">
        <w:rPr>
          <w:rFonts w:ascii="Arial" w:hAnsi="Arial" w:cs="Arial"/>
          <w:sz w:val="20"/>
        </w:rPr>
        <w:t>9] 1 AC 191 at 227:</w:t>
      </w:r>
    </w:p>
    <w:p w14:paraId="572FE325" w14:textId="50CDB831" w:rsidR="00FA6F7C" w:rsidRDefault="00FA6F7C" w:rsidP="00FA6F7C">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“Every counsel has a duty to his client fearlessly to raise every issue, advance every argument, and ask every question, however distasteful, which he thinks will help his client’s case.  But, as an officer of the court concerned in the administration of justice, he has an overriding duty to the court</w:t>
      </w:r>
      <w:r w:rsidR="002317B1">
        <w:rPr>
          <w:rFonts w:ascii="Arial" w:hAnsi="Arial" w:cs="Arial"/>
          <w:sz w:val="20"/>
          <w:szCs w:val="20"/>
        </w:rPr>
        <w:t>, to the standards of his profession, and to the public, which may and often does lead to a conflict with his client’s wishes or with what his client thinks are his personal interests.  Counsel must not mislead the court, he must not lend himself to casting aspersions on the other party or witnesses for which there is no sufficient basis in the information in his possession, he must not withhold authorities or documents which may tell against his clients but which the law or the standards of his profession require him to produce.”</w:t>
      </w:r>
    </w:p>
    <w:p w14:paraId="69807BBA" w14:textId="77777777" w:rsidR="00A12C55" w:rsidRDefault="00A12C55" w:rsidP="00A12C55">
      <w:pPr>
        <w:jc w:val="both"/>
        <w:rPr>
          <w:rFonts w:ascii="Arial" w:hAnsi="Arial" w:cs="Arial"/>
          <w:sz w:val="20"/>
        </w:rPr>
      </w:pPr>
    </w:p>
    <w:p w14:paraId="7FFC9773" w14:textId="42DE6975" w:rsidR="00D97C66" w:rsidRDefault="00D97C66" w:rsidP="007A44A4">
      <w:pPr>
        <w:keepNext/>
        <w:keepLines/>
        <w:jc w:val="both"/>
        <w:rPr>
          <w:rFonts w:ascii="Arial" w:hAnsi="Arial" w:cs="Arial"/>
          <w:sz w:val="20"/>
        </w:rPr>
      </w:pPr>
      <w:r>
        <w:rPr>
          <w:rFonts w:ascii="Arial" w:hAnsi="Arial" w:cs="Arial"/>
          <w:sz w:val="20"/>
        </w:rPr>
        <w:lastRenderedPageBreak/>
        <w:t>The special obligations of a model litigant-</w:t>
      </w:r>
    </w:p>
    <w:p w14:paraId="10C0CF56" w14:textId="4D402AD7" w:rsidR="00D97C66" w:rsidRDefault="00D97C66">
      <w:pPr>
        <w:numPr>
          <w:ilvl w:val="0"/>
          <w:numId w:val="52"/>
        </w:numPr>
        <w:ind w:left="357" w:hanging="357"/>
        <w:jc w:val="both"/>
        <w:rPr>
          <w:rFonts w:ascii="Arial" w:hAnsi="Arial" w:cs="Arial"/>
          <w:sz w:val="20"/>
        </w:rPr>
      </w:pPr>
      <w:r>
        <w:rPr>
          <w:rFonts w:ascii="Arial" w:hAnsi="Arial" w:cs="Arial"/>
          <w:sz w:val="20"/>
        </w:rPr>
        <w:t>are designed to address the substantial imbalance of power that is often present in litigation between the state and the individual citizen;</w:t>
      </w:r>
    </w:p>
    <w:p w14:paraId="31B86062" w14:textId="5889ED32" w:rsidR="00D97C66" w:rsidRDefault="00D97C66">
      <w:pPr>
        <w:numPr>
          <w:ilvl w:val="0"/>
          <w:numId w:val="52"/>
        </w:numPr>
        <w:ind w:left="357" w:hanging="357"/>
        <w:jc w:val="both"/>
        <w:rPr>
          <w:rFonts w:ascii="Arial" w:hAnsi="Arial" w:cs="Arial"/>
          <w:sz w:val="20"/>
        </w:rPr>
      </w:pPr>
      <w:r>
        <w:rPr>
          <w:rFonts w:ascii="Arial" w:hAnsi="Arial" w:cs="Arial"/>
          <w:sz w:val="20"/>
        </w:rPr>
        <w:t>are intended to provide the community with confidence that laws will be administered fairly and equitably;</w:t>
      </w:r>
    </w:p>
    <w:p w14:paraId="5D209718" w14:textId="77777777" w:rsidR="00FA6A60" w:rsidRDefault="00FA6A60">
      <w:pPr>
        <w:numPr>
          <w:ilvl w:val="0"/>
          <w:numId w:val="52"/>
        </w:numPr>
        <w:ind w:left="357" w:hanging="357"/>
        <w:jc w:val="both"/>
        <w:rPr>
          <w:rFonts w:ascii="Arial" w:hAnsi="Arial" w:cs="Arial"/>
          <w:sz w:val="20"/>
        </w:rPr>
      </w:pPr>
      <w:r>
        <w:rPr>
          <w:rFonts w:ascii="Arial" w:hAnsi="Arial" w:cs="Arial"/>
          <w:sz w:val="20"/>
        </w:rPr>
        <w:t>are based on an expectation that the State maintains the highest possible standards of probity and professionalism; and</w:t>
      </w:r>
    </w:p>
    <w:p w14:paraId="3E5D77BF" w14:textId="4651616A" w:rsidR="00D97C66" w:rsidRDefault="00FA6A60">
      <w:pPr>
        <w:numPr>
          <w:ilvl w:val="0"/>
          <w:numId w:val="52"/>
        </w:numPr>
        <w:ind w:left="357" w:hanging="357"/>
        <w:jc w:val="both"/>
        <w:rPr>
          <w:rFonts w:ascii="Arial" w:hAnsi="Arial" w:cs="Arial"/>
          <w:sz w:val="20"/>
        </w:rPr>
      </w:pPr>
      <w:r>
        <w:rPr>
          <w:rFonts w:ascii="Arial" w:hAnsi="Arial" w:cs="Arial"/>
          <w:sz w:val="20"/>
        </w:rPr>
        <w:t>reflect the common law view that a government official exercising a statutory function shares a common interest with the Court in cooperating to achieve the right result.</w:t>
      </w:r>
    </w:p>
    <w:p w14:paraId="25B9E1A2" w14:textId="6D877DA9" w:rsidR="00D97C66" w:rsidRPr="001A3C5B" w:rsidRDefault="00D97C66" w:rsidP="00BE7653">
      <w:pPr>
        <w:jc w:val="both"/>
        <w:rPr>
          <w:rFonts w:ascii="Arial" w:hAnsi="Arial" w:cs="Arial"/>
          <w:sz w:val="18"/>
          <w:szCs w:val="22"/>
        </w:rPr>
      </w:pPr>
    </w:p>
    <w:p w14:paraId="01EC9DE1" w14:textId="239E0A6B" w:rsidR="00510086" w:rsidRDefault="00510086" w:rsidP="00BE7653">
      <w:pPr>
        <w:jc w:val="both"/>
        <w:rPr>
          <w:rFonts w:ascii="Arial" w:hAnsi="Arial" w:cs="Arial"/>
          <w:sz w:val="20"/>
        </w:rPr>
      </w:pPr>
      <w:r>
        <w:rPr>
          <w:rFonts w:ascii="Arial" w:hAnsi="Arial" w:cs="Arial"/>
          <w:sz w:val="20"/>
        </w:rPr>
        <w:t xml:space="preserve">The </w:t>
      </w:r>
      <w:r w:rsidR="002237AE">
        <w:rPr>
          <w:rFonts w:ascii="Arial" w:hAnsi="Arial" w:cs="Arial"/>
          <w:sz w:val="20"/>
        </w:rPr>
        <w:t xml:space="preserve">special </w:t>
      </w:r>
      <w:r>
        <w:rPr>
          <w:rFonts w:ascii="Arial" w:hAnsi="Arial" w:cs="Arial"/>
          <w:sz w:val="20"/>
        </w:rPr>
        <w:t>obligation to act fairly</w:t>
      </w:r>
      <w:r w:rsidR="002237AE">
        <w:rPr>
          <w:rFonts w:ascii="Arial" w:hAnsi="Arial" w:cs="Arial"/>
          <w:sz w:val="20"/>
        </w:rPr>
        <w:t xml:space="preserve"> and consistently and to avoid litigation wherever possible</w:t>
      </w:r>
      <w:r>
        <w:rPr>
          <w:rFonts w:ascii="Arial" w:hAnsi="Arial" w:cs="Arial"/>
          <w:sz w:val="20"/>
        </w:rPr>
        <w:t xml:space="preserve"> means that a model litigant</w:t>
      </w:r>
      <w:r w:rsidR="002237AE">
        <w:rPr>
          <w:rFonts w:ascii="Arial" w:hAnsi="Arial" w:cs="Arial"/>
          <w:sz w:val="20"/>
        </w:rPr>
        <w:t xml:space="preserve"> and a legal practitioner conducting a case on behalf of a model litigant</w:t>
      </w:r>
      <w:r>
        <w:rPr>
          <w:rFonts w:ascii="Arial" w:hAnsi="Arial" w:cs="Arial"/>
          <w:sz w:val="20"/>
        </w:rPr>
        <w:t>-</w:t>
      </w:r>
    </w:p>
    <w:p w14:paraId="363B5639" w14:textId="4A769969" w:rsidR="00390E49" w:rsidRDefault="00390E49">
      <w:pPr>
        <w:numPr>
          <w:ilvl w:val="0"/>
          <w:numId w:val="52"/>
        </w:numPr>
        <w:ind w:left="357" w:hanging="357"/>
        <w:jc w:val="both"/>
        <w:rPr>
          <w:rFonts w:ascii="Arial" w:hAnsi="Arial" w:cs="Arial"/>
          <w:sz w:val="20"/>
        </w:rPr>
      </w:pPr>
      <w:r>
        <w:rPr>
          <w:rFonts w:ascii="Arial" w:hAnsi="Arial" w:cs="Arial"/>
          <w:sz w:val="20"/>
        </w:rPr>
        <w:t>must comply with time limits</w:t>
      </w:r>
      <w:r w:rsidR="00A25145">
        <w:rPr>
          <w:rFonts w:ascii="Arial" w:hAnsi="Arial" w:cs="Arial"/>
          <w:sz w:val="20"/>
        </w:rPr>
        <w:t>, including those relating to service of documents and provision of reports</w:t>
      </w:r>
      <w:r>
        <w:rPr>
          <w:rFonts w:ascii="Arial" w:hAnsi="Arial" w:cs="Arial"/>
          <w:sz w:val="20"/>
        </w:rPr>
        <w:t>;</w:t>
      </w:r>
    </w:p>
    <w:p w14:paraId="2D64A304" w14:textId="32113627" w:rsidR="00510086" w:rsidRDefault="002237AE">
      <w:pPr>
        <w:numPr>
          <w:ilvl w:val="0"/>
          <w:numId w:val="52"/>
        </w:numPr>
        <w:ind w:left="357" w:hanging="357"/>
        <w:jc w:val="both"/>
        <w:rPr>
          <w:rFonts w:ascii="Arial" w:hAnsi="Arial" w:cs="Arial"/>
          <w:sz w:val="20"/>
        </w:rPr>
      </w:pPr>
      <w:r>
        <w:rPr>
          <w:rFonts w:ascii="Arial" w:hAnsi="Arial" w:cs="Arial"/>
          <w:sz w:val="20"/>
        </w:rPr>
        <w:t>must be properly prepared, know and understand the case that is being run, make any appropriate concessions and ensure that the Court and the other parties have all relevant information;</w:t>
      </w:r>
    </w:p>
    <w:p w14:paraId="7B8AFF8D" w14:textId="401BCF15" w:rsidR="002237AE" w:rsidRDefault="002237AE">
      <w:pPr>
        <w:numPr>
          <w:ilvl w:val="0"/>
          <w:numId w:val="52"/>
        </w:numPr>
        <w:ind w:left="357" w:hanging="357"/>
        <w:jc w:val="both"/>
        <w:rPr>
          <w:rFonts w:ascii="Arial" w:hAnsi="Arial" w:cs="Arial"/>
          <w:sz w:val="20"/>
        </w:rPr>
      </w:pPr>
      <w:r>
        <w:rPr>
          <w:rFonts w:ascii="Arial" w:hAnsi="Arial" w:cs="Arial"/>
          <w:sz w:val="20"/>
        </w:rPr>
        <w:t>should bring to the Court’s attention facts or submissions that would assist another party’s case where it appears the Court may have overlooked them;</w:t>
      </w:r>
    </w:p>
    <w:p w14:paraId="7CFD12F2" w14:textId="77777777" w:rsidR="00A25145" w:rsidRDefault="006C0DC2">
      <w:pPr>
        <w:numPr>
          <w:ilvl w:val="0"/>
          <w:numId w:val="52"/>
        </w:numPr>
        <w:ind w:left="357" w:hanging="357"/>
        <w:jc w:val="both"/>
        <w:rPr>
          <w:rFonts w:ascii="Arial" w:hAnsi="Arial" w:cs="Arial"/>
          <w:sz w:val="20"/>
        </w:rPr>
      </w:pPr>
      <w:r>
        <w:rPr>
          <w:rFonts w:ascii="Arial" w:hAnsi="Arial" w:cs="Arial"/>
          <w:sz w:val="20"/>
        </w:rPr>
        <w:t>must not blindly pursue a particular outcome but rather assist the Court to arrive at the most informed outcome;</w:t>
      </w:r>
    </w:p>
    <w:p w14:paraId="05E4407C" w14:textId="7E542A06" w:rsidR="002237AE" w:rsidRDefault="00A25145">
      <w:pPr>
        <w:numPr>
          <w:ilvl w:val="0"/>
          <w:numId w:val="52"/>
        </w:numPr>
        <w:ind w:left="357" w:hanging="357"/>
        <w:jc w:val="both"/>
        <w:rPr>
          <w:rFonts w:ascii="Arial" w:hAnsi="Arial" w:cs="Arial"/>
          <w:sz w:val="20"/>
        </w:rPr>
      </w:pPr>
      <w:r>
        <w:rPr>
          <w:rFonts w:ascii="Arial" w:hAnsi="Arial" w:cs="Arial"/>
          <w:sz w:val="20"/>
        </w:rPr>
        <w:t>must respect and promote the Charter of Human Rights and Responsibilities Act</w:t>
      </w:r>
      <w:r w:rsidR="005A4756">
        <w:rPr>
          <w:rFonts w:ascii="Arial" w:hAnsi="Arial" w:cs="Arial"/>
          <w:sz w:val="20"/>
        </w:rPr>
        <w:t xml:space="preserve"> 2006</w:t>
      </w:r>
      <w:r>
        <w:rPr>
          <w:rFonts w:ascii="Arial" w:hAnsi="Arial" w:cs="Arial"/>
          <w:sz w:val="20"/>
        </w:rPr>
        <w:t>;</w:t>
      </w:r>
      <w:r w:rsidR="002237AE">
        <w:rPr>
          <w:rFonts w:ascii="Arial" w:hAnsi="Arial" w:cs="Arial"/>
          <w:sz w:val="20"/>
        </w:rPr>
        <w:t xml:space="preserve"> and</w:t>
      </w:r>
    </w:p>
    <w:p w14:paraId="073600C4" w14:textId="30AE07FF" w:rsidR="002237AE" w:rsidRDefault="00A25145">
      <w:pPr>
        <w:numPr>
          <w:ilvl w:val="0"/>
          <w:numId w:val="52"/>
        </w:numPr>
        <w:ind w:left="357" w:hanging="357"/>
        <w:jc w:val="both"/>
        <w:rPr>
          <w:rFonts w:ascii="Arial" w:hAnsi="Arial" w:cs="Arial"/>
          <w:sz w:val="20"/>
        </w:rPr>
      </w:pPr>
      <w:r>
        <w:rPr>
          <w:rFonts w:ascii="Arial" w:hAnsi="Arial" w:cs="Arial"/>
          <w:sz w:val="20"/>
        </w:rPr>
        <w:t xml:space="preserve">must </w:t>
      </w:r>
      <w:r w:rsidR="002237AE">
        <w:rPr>
          <w:rFonts w:ascii="Arial" w:hAnsi="Arial" w:cs="Arial"/>
          <w:sz w:val="20"/>
        </w:rPr>
        <w:t>be willing to resolve matters where reasonable.</w:t>
      </w:r>
    </w:p>
    <w:p w14:paraId="3655DEB4" w14:textId="77777777" w:rsidR="00510086" w:rsidRPr="001A3C5B" w:rsidRDefault="00510086" w:rsidP="00BE7653">
      <w:pPr>
        <w:jc w:val="both"/>
        <w:rPr>
          <w:rFonts w:ascii="Arial" w:hAnsi="Arial" w:cs="Arial"/>
          <w:sz w:val="18"/>
          <w:szCs w:val="22"/>
        </w:rPr>
      </w:pPr>
    </w:p>
    <w:p w14:paraId="02DBCF4B" w14:textId="30ED96AB" w:rsidR="00B51860" w:rsidRPr="00785E1A" w:rsidRDefault="00403196" w:rsidP="00BE7653">
      <w:pPr>
        <w:jc w:val="both"/>
        <w:rPr>
          <w:rFonts w:ascii="Arial" w:hAnsi="Arial" w:cs="Arial"/>
          <w:color w:val="000000"/>
          <w:sz w:val="20"/>
        </w:rPr>
      </w:pPr>
      <w:r>
        <w:rPr>
          <w:rFonts w:ascii="Arial" w:hAnsi="Arial" w:cs="Arial"/>
          <w:sz w:val="20"/>
        </w:rPr>
        <w:t xml:space="preserve">It is the writer’s view that these guidelines </w:t>
      </w:r>
      <w:r w:rsidR="00FF4FA5">
        <w:rPr>
          <w:rFonts w:ascii="Arial" w:hAnsi="Arial" w:cs="Arial"/>
          <w:sz w:val="20"/>
        </w:rPr>
        <w:t xml:space="preserve">apply both to </w:t>
      </w:r>
      <w:r w:rsidR="00785D2D">
        <w:rPr>
          <w:rFonts w:ascii="Arial" w:hAnsi="Arial" w:cs="Arial"/>
          <w:sz w:val="20"/>
        </w:rPr>
        <w:t>DFFH</w:t>
      </w:r>
      <w:r w:rsidR="00FF4FA5">
        <w:rPr>
          <w:rFonts w:ascii="Arial" w:hAnsi="Arial" w:cs="Arial"/>
          <w:sz w:val="20"/>
        </w:rPr>
        <w:t xml:space="preserve"> and to legal practitioners conducting cases on behalf of </w:t>
      </w:r>
      <w:r w:rsidR="00785D2D">
        <w:rPr>
          <w:rFonts w:ascii="Arial" w:hAnsi="Arial" w:cs="Arial"/>
          <w:sz w:val="20"/>
        </w:rPr>
        <w:t>DFFH</w:t>
      </w:r>
      <w:r w:rsidR="00FF4FA5">
        <w:rPr>
          <w:rFonts w:ascii="Arial" w:hAnsi="Arial" w:cs="Arial"/>
          <w:sz w:val="20"/>
        </w:rPr>
        <w:t xml:space="preserve"> but must of course be read subject to the CYFA or any other relevant legislation.</w:t>
      </w:r>
      <w:r w:rsidR="009D0675">
        <w:rPr>
          <w:rFonts w:ascii="Arial" w:hAnsi="Arial" w:cs="Arial"/>
          <w:sz w:val="20"/>
        </w:rPr>
        <w:t xml:space="preserve">  See e.g.</w:t>
      </w:r>
      <w:r w:rsidR="009D0675" w:rsidRPr="009D0675">
        <w:rPr>
          <w:rFonts w:ascii="Arial" w:hAnsi="Arial" w:cs="Arial"/>
          <w:i/>
          <w:sz w:val="20"/>
        </w:rPr>
        <w:t xml:space="preserve"> DOHS v Ms T &amp; Mr M</w:t>
      </w:r>
      <w:r w:rsidR="009D0675">
        <w:rPr>
          <w:rFonts w:ascii="Arial" w:hAnsi="Arial" w:cs="Arial"/>
          <w:sz w:val="20"/>
        </w:rPr>
        <w:t xml:space="preserve"> [</w:t>
      </w:r>
      <w:r w:rsidR="00F7789A">
        <w:rPr>
          <w:rFonts w:ascii="Arial" w:hAnsi="Arial" w:cs="Arial"/>
          <w:sz w:val="20"/>
        </w:rPr>
        <w:t>Children’s Court of Victoria-Power M, 12/10/2009] at p.</w:t>
      </w:r>
      <w:r w:rsidR="00880795">
        <w:rPr>
          <w:rFonts w:ascii="Arial" w:hAnsi="Arial" w:cs="Arial"/>
          <w:sz w:val="20"/>
        </w:rPr>
        <w:t>116</w:t>
      </w:r>
      <w:r w:rsidR="00F7789A">
        <w:rPr>
          <w:rFonts w:ascii="Arial" w:hAnsi="Arial" w:cs="Arial"/>
          <w:sz w:val="20"/>
        </w:rPr>
        <w:t xml:space="preserve">; </w:t>
      </w:r>
      <w:r w:rsidR="00F7789A" w:rsidRPr="00F7789A">
        <w:rPr>
          <w:rFonts w:ascii="Arial" w:hAnsi="Arial" w:cs="Arial"/>
          <w:i/>
          <w:sz w:val="20"/>
        </w:rPr>
        <w:t xml:space="preserve">DOHS v Ms </w:t>
      </w:r>
      <w:r w:rsidR="008306D1">
        <w:rPr>
          <w:rFonts w:ascii="Arial" w:hAnsi="Arial" w:cs="Arial"/>
          <w:i/>
          <w:sz w:val="20"/>
        </w:rPr>
        <w:t xml:space="preserve">D </w:t>
      </w:r>
      <w:r w:rsidR="00F7789A" w:rsidRPr="00F7789A">
        <w:rPr>
          <w:rFonts w:ascii="Arial" w:hAnsi="Arial" w:cs="Arial"/>
          <w:i/>
          <w:sz w:val="20"/>
        </w:rPr>
        <w:t>&amp; Mr</w:t>
      </w:r>
      <w:r w:rsidR="00F7789A">
        <w:rPr>
          <w:rFonts w:ascii="Arial" w:hAnsi="Arial" w:cs="Arial"/>
          <w:sz w:val="20"/>
        </w:rPr>
        <w:t xml:space="preserve"> </w:t>
      </w:r>
      <w:r w:rsidR="008306D1" w:rsidRPr="008306D1">
        <w:rPr>
          <w:rFonts w:ascii="Arial" w:hAnsi="Arial" w:cs="Arial"/>
          <w:i/>
          <w:sz w:val="20"/>
        </w:rPr>
        <w:t xml:space="preserve">K </w:t>
      </w:r>
      <w:r w:rsidR="00F7789A">
        <w:rPr>
          <w:rFonts w:ascii="Arial" w:hAnsi="Arial" w:cs="Arial"/>
          <w:sz w:val="20"/>
        </w:rPr>
        <w:t>[Children’s Court of Victoria-Power M, 1</w:t>
      </w:r>
      <w:r w:rsidR="008306D1">
        <w:rPr>
          <w:rFonts w:ascii="Arial" w:hAnsi="Arial" w:cs="Arial"/>
          <w:sz w:val="20"/>
        </w:rPr>
        <w:t>5</w:t>
      </w:r>
      <w:r w:rsidR="00F7789A">
        <w:rPr>
          <w:rFonts w:ascii="Arial" w:hAnsi="Arial" w:cs="Arial"/>
          <w:sz w:val="20"/>
        </w:rPr>
        <w:t>/</w:t>
      </w:r>
      <w:r w:rsidR="008306D1">
        <w:rPr>
          <w:rFonts w:ascii="Arial" w:hAnsi="Arial" w:cs="Arial"/>
          <w:sz w:val="20"/>
        </w:rPr>
        <w:t>06</w:t>
      </w:r>
      <w:r w:rsidR="00F7789A">
        <w:rPr>
          <w:rFonts w:ascii="Arial" w:hAnsi="Arial" w:cs="Arial"/>
          <w:sz w:val="20"/>
        </w:rPr>
        <w:t>/2009] at p</w:t>
      </w:r>
      <w:r w:rsidR="008306D1">
        <w:rPr>
          <w:rFonts w:ascii="Arial" w:hAnsi="Arial" w:cs="Arial"/>
          <w:sz w:val="20"/>
        </w:rPr>
        <w:t>p</w:t>
      </w:r>
      <w:r w:rsidR="00F7789A">
        <w:rPr>
          <w:rFonts w:ascii="Arial" w:hAnsi="Arial" w:cs="Arial"/>
          <w:sz w:val="20"/>
        </w:rPr>
        <w:t>.</w:t>
      </w:r>
      <w:r w:rsidR="008306D1">
        <w:rPr>
          <w:rFonts w:ascii="Arial" w:hAnsi="Arial" w:cs="Arial"/>
          <w:sz w:val="20"/>
        </w:rPr>
        <w:t xml:space="preserve">33-34; </w:t>
      </w:r>
      <w:r w:rsidR="008306D1" w:rsidRPr="008306D1">
        <w:rPr>
          <w:rFonts w:ascii="Arial" w:hAnsi="Arial" w:cs="Arial"/>
          <w:i/>
          <w:sz w:val="20"/>
        </w:rPr>
        <w:t>DOHS v Mr M &amp; Ms H</w:t>
      </w:r>
      <w:r w:rsidR="008306D1">
        <w:rPr>
          <w:rFonts w:ascii="Arial" w:hAnsi="Arial" w:cs="Arial"/>
          <w:sz w:val="20"/>
        </w:rPr>
        <w:t xml:space="preserve"> [Children’s Court of Victoria-Power M, </w:t>
      </w:r>
      <w:r w:rsidR="008306D1" w:rsidRPr="00785E1A">
        <w:rPr>
          <w:rFonts w:ascii="Arial" w:hAnsi="Arial" w:cs="Arial"/>
          <w:color w:val="000000"/>
          <w:sz w:val="20"/>
        </w:rPr>
        <w:t>11/05/2009] at p.30.</w:t>
      </w:r>
      <w:r w:rsidR="00733EAB" w:rsidRPr="00785E1A">
        <w:rPr>
          <w:rFonts w:ascii="Arial" w:hAnsi="Arial" w:cs="Arial"/>
          <w:color w:val="000000"/>
          <w:sz w:val="20"/>
        </w:rPr>
        <w:t xml:space="preserve">  See also the final report of the Victorian Law Reform Commission on “Protection Applications in the Children’s Court” [No.19, 30 June 2010] at pp.395-397.</w:t>
      </w:r>
    </w:p>
    <w:p w14:paraId="45AC1B54" w14:textId="77777777" w:rsidR="00B51860" w:rsidRPr="00377641" w:rsidRDefault="00B51860" w:rsidP="00BE7653">
      <w:pPr>
        <w:jc w:val="both"/>
        <w:rPr>
          <w:rFonts w:ascii="Arial" w:hAnsi="Arial" w:cs="Arial"/>
          <w:color w:val="000000"/>
          <w:sz w:val="18"/>
          <w:szCs w:val="22"/>
        </w:rPr>
      </w:pPr>
    </w:p>
    <w:p w14:paraId="76A1505D" w14:textId="77777777" w:rsidR="002D7628" w:rsidRPr="00785E1A" w:rsidRDefault="002D7628" w:rsidP="00A56DB8">
      <w:pPr>
        <w:jc w:val="both"/>
        <w:rPr>
          <w:rFonts w:ascii="Arial" w:hAnsi="Arial" w:cs="Arial"/>
          <w:color w:val="000000"/>
          <w:sz w:val="20"/>
        </w:rPr>
      </w:pPr>
      <w:r w:rsidRPr="00785E1A">
        <w:rPr>
          <w:rFonts w:ascii="Arial" w:hAnsi="Arial" w:cs="Arial"/>
          <w:color w:val="000000"/>
          <w:sz w:val="20"/>
        </w:rPr>
        <w:t xml:space="preserve">In </w:t>
      </w:r>
      <w:r w:rsidRPr="00785E1A">
        <w:rPr>
          <w:rFonts w:ascii="Arial" w:hAnsi="Arial" w:cs="Arial"/>
          <w:i/>
          <w:color w:val="000000"/>
          <w:sz w:val="20"/>
        </w:rPr>
        <w:t>Noone</w:t>
      </w:r>
      <w:r w:rsidRPr="00785E1A">
        <w:rPr>
          <w:rFonts w:ascii="Arial" w:hAnsi="Arial" w:cs="Arial"/>
          <w:color w:val="000000"/>
          <w:sz w:val="20"/>
        </w:rPr>
        <w:t xml:space="preserve">, </w:t>
      </w:r>
      <w:r w:rsidRPr="00785E1A">
        <w:rPr>
          <w:rFonts w:ascii="Arial" w:hAnsi="Arial" w:cs="Arial"/>
          <w:i/>
          <w:color w:val="000000"/>
          <w:sz w:val="20"/>
        </w:rPr>
        <w:t>Director of Consumer Affairs Victoria v Operation Smile (Australia) Inc &amp; Ors (No 2)</w:t>
      </w:r>
      <w:r w:rsidRPr="00785E1A">
        <w:rPr>
          <w:rFonts w:ascii="Arial" w:hAnsi="Arial" w:cs="Arial"/>
          <w:color w:val="000000"/>
          <w:sz w:val="16"/>
        </w:rPr>
        <w:t xml:space="preserve"> </w:t>
      </w:r>
      <w:r w:rsidRPr="00785E1A">
        <w:rPr>
          <w:rFonts w:ascii="Arial" w:hAnsi="Arial" w:cs="Arial"/>
          <w:color w:val="000000"/>
          <w:sz w:val="20"/>
        </w:rPr>
        <w:t>[2011] VSC 153 at [12] Pagone J referred to “the obligation of a public official to act as a model litigant” and added: “A government official exercising a statutory function or duty shares a common interest with the Court in co-operating to achieve the correct result.”  His</w:t>
      </w:r>
      <w:r w:rsidR="00BF7A03" w:rsidRPr="00785E1A">
        <w:rPr>
          <w:rFonts w:ascii="Arial" w:hAnsi="Arial" w:cs="Arial"/>
          <w:color w:val="000000"/>
          <w:sz w:val="20"/>
        </w:rPr>
        <w:t> </w:t>
      </w:r>
      <w:r w:rsidRPr="00785E1A">
        <w:rPr>
          <w:rFonts w:ascii="Arial" w:hAnsi="Arial" w:cs="Arial"/>
          <w:color w:val="000000"/>
          <w:sz w:val="20"/>
        </w:rPr>
        <w:t>Honour based this dicta on a large number of cases to which he referred in footnote 2</w:t>
      </w:r>
      <w:r w:rsidR="00926EE1" w:rsidRPr="00785E1A">
        <w:rPr>
          <w:rFonts w:ascii="Arial" w:hAnsi="Arial" w:cs="Arial"/>
          <w:color w:val="000000"/>
          <w:sz w:val="20"/>
        </w:rPr>
        <w:t>0</w:t>
      </w:r>
      <w:r w:rsidRPr="00785E1A">
        <w:rPr>
          <w:rFonts w:ascii="Arial" w:hAnsi="Arial" w:cs="Arial"/>
          <w:color w:val="000000"/>
          <w:sz w:val="20"/>
        </w:rPr>
        <w:t xml:space="preserve"> as well as the cases of </w:t>
      </w:r>
      <w:r w:rsidRPr="00785E1A">
        <w:rPr>
          <w:rFonts w:ascii="Arial" w:hAnsi="Arial" w:cs="Arial"/>
          <w:i/>
          <w:color w:val="000000"/>
          <w:sz w:val="20"/>
        </w:rPr>
        <w:t xml:space="preserve">E v Secretary of State for the Home Department </w:t>
      </w:r>
      <w:r w:rsidRPr="00785E1A">
        <w:rPr>
          <w:rFonts w:ascii="Arial" w:hAnsi="Arial" w:cs="Arial"/>
          <w:color w:val="000000"/>
          <w:sz w:val="20"/>
        </w:rPr>
        <w:t xml:space="preserve">[2004] QB 1044, 1070 and </w:t>
      </w:r>
      <w:r w:rsidRPr="00785E1A">
        <w:rPr>
          <w:rFonts w:ascii="Arial" w:hAnsi="Arial" w:cs="Arial"/>
          <w:i/>
          <w:color w:val="000000"/>
          <w:sz w:val="20"/>
        </w:rPr>
        <w:t xml:space="preserve">SH (Afghanistan) v Secretary of State for the Home Department </w:t>
      </w:r>
      <w:r w:rsidRPr="00785E1A">
        <w:rPr>
          <w:rFonts w:ascii="Arial" w:hAnsi="Arial" w:cs="Arial"/>
          <w:color w:val="000000"/>
          <w:sz w:val="20"/>
        </w:rPr>
        <w:t>[2007] EWCA Civ 1197.</w:t>
      </w:r>
      <w:r w:rsidR="00915A9E" w:rsidRPr="00785E1A">
        <w:rPr>
          <w:rFonts w:ascii="Arial" w:hAnsi="Arial" w:cs="Arial"/>
          <w:color w:val="000000"/>
          <w:sz w:val="20"/>
        </w:rPr>
        <w:t xml:space="preserve">  </w:t>
      </w:r>
      <w:r w:rsidR="00BF7A03" w:rsidRPr="00785E1A">
        <w:rPr>
          <w:rFonts w:ascii="Arial" w:hAnsi="Arial" w:cs="Arial"/>
          <w:color w:val="000000"/>
          <w:sz w:val="20"/>
        </w:rPr>
        <w:t>His Honour’s</w:t>
      </w:r>
      <w:r w:rsidR="00915A9E" w:rsidRPr="00785E1A">
        <w:rPr>
          <w:rFonts w:ascii="Arial" w:hAnsi="Arial" w:cs="Arial"/>
          <w:color w:val="000000"/>
          <w:sz w:val="20"/>
        </w:rPr>
        <w:t xml:space="preserve"> dicta applies equally to the Child Protection Service.</w:t>
      </w:r>
    </w:p>
    <w:p w14:paraId="2594F161" w14:textId="17756DD3" w:rsidR="002D7628" w:rsidRPr="00377641" w:rsidRDefault="002D7628" w:rsidP="00BE7653">
      <w:pPr>
        <w:jc w:val="both"/>
        <w:rPr>
          <w:rFonts w:ascii="Arial" w:hAnsi="Arial" w:cs="Arial"/>
          <w:color w:val="000000"/>
          <w:sz w:val="18"/>
          <w:szCs w:val="22"/>
        </w:rPr>
      </w:pPr>
    </w:p>
    <w:p w14:paraId="0F02F339" w14:textId="3408FED8" w:rsidR="001521E7" w:rsidRDefault="001521E7" w:rsidP="00BE7653">
      <w:pPr>
        <w:jc w:val="both"/>
        <w:rPr>
          <w:rFonts w:ascii="Arial" w:hAnsi="Arial" w:cs="Arial"/>
          <w:color w:val="000000"/>
          <w:sz w:val="20"/>
        </w:rPr>
      </w:pPr>
      <w:r>
        <w:rPr>
          <w:rFonts w:ascii="Arial" w:hAnsi="Arial" w:cs="Arial"/>
          <w:color w:val="000000"/>
          <w:sz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 11/05/2009]</w:t>
      </w:r>
      <w:r>
        <w:rPr>
          <w:rFonts w:ascii="Arial" w:hAnsi="Arial" w:cs="Arial"/>
          <w:sz w:val="20"/>
          <w:szCs w:val="20"/>
        </w:rPr>
        <w:t xml:space="preserve"> at p.</w:t>
      </w:r>
      <w:r w:rsidR="009371CA">
        <w:rPr>
          <w:rFonts w:ascii="Arial" w:hAnsi="Arial" w:cs="Arial"/>
          <w:sz w:val="20"/>
          <w:szCs w:val="20"/>
        </w:rPr>
        <w:t>30</w:t>
      </w:r>
      <w:r>
        <w:rPr>
          <w:rFonts w:ascii="Arial" w:hAnsi="Arial" w:cs="Arial"/>
          <w:sz w:val="20"/>
          <w:szCs w:val="20"/>
        </w:rPr>
        <w:t>, Magistrate Power said of the barrister who had represented the Department in the 13-day contested hearing:</w:t>
      </w:r>
    </w:p>
    <w:p w14:paraId="389B7440" w14:textId="636B26E4" w:rsidR="001521E7" w:rsidRDefault="001521E7" w:rsidP="001521E7">
      <w:pPr>
        <w:pStyle w:val="NormalWeb"/>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9371CA" w:rsidRPr="009371CA">
        <w:rPr>
          <w:rFonts w:ascii="Arial" w:hAnsi="Arial" w:cs="Arial"/>
          <w:bCs/>
          <w:sz w:val="20"/>
          <w:szCs w:val="20"/>
        </w:rPr>
        <w:t xml:space="preserve">If I may say so, the way in which </w:t>
      </w:r>
      <w:r w:rsidR="009371CA">
        <w:rPr>
          <w:rFonts w:ascii="Arial" w:hAnsi="Arial" w:cs="Arial"/>
          <w:bCs/>
          <w:sz w:val="20"/>
          <w:szCs w:val="20"/>
        </w:rPr>
        <w:t>[counsel]</w:t>
      </w:r>
      <w:r w:rsidR="009371CA" w:rsidRPr="009371CA">
        <w:rPr>
          <w:rFonts w:ascii="Arial" w:hAnsi="Arial" w:cs="Arial"/>
          <w:bCs/>
          <w:sz w:val="20"/>
          <w:szCs w:val="20"/>
        </w:rPr>
        <w:t xml:space="preserve"> prosecuted this case on behalf of the Department was exactly how a legal representative for a model litigant – as the Department is required to be – should behave, namely </w:t>
      </w:r>
      <w:r w:rsidR="009371CA">
        <w:rPr>
          <w:rFonts w:ascii="Arial" w:hAnsi="Arial" w:cs="Arial"/>
          <w:bCs/>
          <w:sz w:val="20"/>
          <w:szCs w:val="20"/>
        </w:rPr>
        <w:t>‘</w:t>
      </w:r>
      <w:r w:rsidR="009371CA" w:rsidRPr="009371CA">
        <w:rPr>
          <w:rFonts w:ascii="Arial" w:hAnsi="Arial" w:cs="Arial"/>
          <w:bCs/>
          <w:sz w:val="20"/>
          <w:szCs w:val="20"/>
        </w:rPr>
        <w:t>with complete propriety, fairly and in accordance with the highest professional standards</w:t>
      </w:r>
      <w:r w:rsidR="00464182">
        <w:rPr>
          <w:rFonts w:ascii="Arial" w:hAnsi="Arial" w:cs="Arial"/>
          <w:bCs/>
          <w:sz w:val="20"/>
          <w:szCs w:val="20"/>
        </w:rPr>
        <w:t>’</w:t>
      </w:r>
      <w:r w:rsidR="009371CA">
        <w:rPr>
          <w:rFonts w:ascii="Arial" w:hAnsi="Arial" w:cs="Arial"/>
          <w:bCs/>
          <w:sz w:val="20"/>
          <w:szCs w:val="20"/>
        </w:rPr>
        <w:t>.</w:t>
      </w:r>
      <w:r w:rsidR="009371CA" w:rsidRPr="009371CA">
        <w:rPr>
          <w:rFonts w:ascii="Arial" w:hAnsi="Arial" w:cs="Arial"/>
          <w:bCs/>
          <w:sz w:val="20"/>
          <w:szCs w:val="20"/>
        </w:rPr>
        <w:t>”</w:t>
      </w:r>
    </w:p>
    <w:p w14:paraId="5F0A32F9" w14:textId="15F11068" w:rsidR="001521E7" w:rsidRPr="00377641" w:rsidRDefault="001521E7" w:rsidP="00BE7653">
      <w:pPr>
        <w:jc w:val="both"/>
        <w:rPr>
          <w:rFonts w:ascii="Arial" w:hAnsi="Arial" w:cs="Arial"/>
          <w:color w:val="000000"/>
          <w:sz w:val="18"/>
          <w:szCs w:val="22"/>
        </w:rPr>
      </w:pPr>
    </w:p>
    <w:p w14:paraId="5DFCD7CD" w14:textId="77777777" w:rsidR="00BE7653" w:rsidRPr="00BE7653" w:rsidRDefault="00BE7653" w:rsidP="00BE7653">
      <w:pPr>
        <w:jc w:val="both"/>
        <w:rPr>
          <w:rFonts w:ascii="Arial" w:hAnsi="Arial" w:cs="Arial"/>
          <w:sz w:val="20"/>
        </w:rPr>
      </w:pPr>
      <w:r>
        <w:rPr>
          <w:rFonts w:ascii="Arial" w:hAnsi="Arial" w:cs="Arial"/>
          <w:sz w:val="20"/>
        </w:rPr>
        <w:t xml:space="preserve">For a related discussion of the Commonwealth’s obligation to act as a model litigant see </w:t>
      </w:r>
      <w:r w:rsidRPr="00BE7653">
        <w:rPr>
          <w:rFonts w:ascii="Arial" w:hAnsi="Arial" w:cs="Arial"/>
          <w:i/>
          <w:sz w:val="20"/>
        </w:rPr>
        <w:t>Law Institute of Victoria Ltd v Deputy Commissioner of Taxation</w:t>
      </w:r>
      <w:r>
        <w:rPr>
          <w:rFonts w:ascii="Arial" w:hAnsi="Arial" w:cs="Arial"/>
          <w:sz w:val="20"/>
        </w:rPr>
        <w:t xml:space="preserve"> [2009] VSC 55 at [19] and the cases cited in footnote 41 thereto.</w:t>
      </w:r>
    </w:p>
    <w:p w14:paraId="07C26531" w14:textId="77777777" w:rsidR="00540381" w:rsidRPr="00E14F02" w:rsidRDefault="00540381" w:rsidP="00540381">
      <w:pPr>
        <w:pStyle w:val="NormalWeb"/>
        <w:spacing w:before="0" w:beforeAutospacing="0" w:after="0" w:afterAutospacing="0"/>
        <w:jc w:val="both"/>
        <w:rPr>
          <w:rFonts w:ascii="Arial" w:hAnsi="Arial" w:cs="Arial"/>
          <w:sz w:val="18"/>
          <w:szCs w:val="20"/>
        </w:rPr>
      </w:pPr>
    </w:p>
    <w:p w14:paraId="47B0ABA4" w14:textId="50DE01E0" w:rsidR="00540381" w:rsidRDefault="00540381" w:rsidP="00540381">
      <w:pPr>
        <w:pStyle w:val="Heading3"/>
        <w:spacing w:line="240" w:lineRule="auto"/>
        <w:rPr>
          <w:rFonts w:ascii="Arial" w:hAnsi="Arial" w:cs="Arial"/>
          <w:b/>
          <w:bCs/>
          <w:sz w:val="20"/>
        </w:rPr>
      </w:pPr>
      <w:bookmarkStart w:id="242" w:name="_4.1.7_Authorisation_of"/>
      <w:bookmarkStart w:id="243" w:name="_4.1.7_Secretary_DFFH"/>
      <w:bookmarkStart w:id="244" w:name="_Hlk136932544"/>
      <w:bookmarkEnd w:id="242"/>
      <w:bookmarkEnd w:id="243"/>
      <w:r>
        <w:rPr>
          <w:rFonts w:ascii="Arial" w:hAnsi="Arial" w:cs="Arial"/>
          <w:b/>
          <w:bCs/>
          <w:sz w:val="20"/>
        </w:rPr>
        <w:t>4.1.7</w:t>
      </w:r>
      <w:r>
        <w:rPr>
          <w:rFonts w:ascii="Arial" w:hAnsi="Arial" w:cs="Arial"/>
          <w:b/>
          <w:bCs/>
          <w:sz w:val="20"/>
        </w:rPr>
        <w:tab/>
      </w:r>
      <w:r w:rsidR="0004455B">
        <w:rPr>
          <w:rStyle w:val="Hyperlink"/>
          <w:rFonts w:ascii="Arial" w:hAnsi="Arial" w:cs="Arial"/>
          <w:b/>
          <w:bCs/>
          <w:color w:val="000000" w:themeColor="text1"/>
          <w:sz w:val="20"/>
          <w:u w:val="none"/>
        </w:rPr>
        <w:t>DFFH may a</w:t>
      </w:r>
      <w:r w:rsidRPr="00540381">
        <w:rPr>
          <w:rStyle w:val="Hyperlink"/>
          <w:rFonts w:ascii="Arial" w:hAnsi="Arial" w:cs="Arial"/>
          <w:b/>
          <w:bCs/>
          <w:color w:val="000000" w:themeColor="text1"/>
          <w:sz w:val="20"/>
          <w:u w:val="none"/>
        </w:rPr>
        <w:t>uthoris</w:t>
      </w:r>
      <w:r w:rsidR="0004455B">
        <w:rPr>
          <w:rStyle w:val="Hyperlink"/>
          <w:rFonts w:ascii="Arial" w:hAnsi="Arial" w:cs="Arial"/>
          <w:b/>
          <w:bCs/>
          <w:color w:val="000000" w:themeColor="text1"/>
          <w:sz w:val="20"/>
          <w:u w:val="none"/>
        </w:rPr>
        <w:t>e</w:t>
      </w:r>
      <w:r w:rsidRPr="00540381">
        <w:rPr>
          <w:rStyle w:val="Hyperlink"/>
          <w:rFonts w:ascii="Arial" w:hAnsi="Arial" w:cs="Arial"/>
          <w:b/>
          <w:bCs/>
          <w:color w:val="000000" w:themeColor="text1"/>
          <w:sz w:val="20"/>
          <w:u w:val="none"/>
        </w:rPr>
        <w:t xml:space="preserve"> Aboriginal agency to carry out </w:t>
      </w:r>
      <w:r w:rsidR="0004455B">
        <w:rPr>
          <w:rStyle w:val="Hyperlink"/>
          <w:rFonts w:ascii="Arial" w:hAnsi="Arial" w:cs="Arial"/>
          <w:b/>
          <w:bCs/>
          <w:color w:val="000000" w:themeColor="text1"/>
          <w:sz w:val="20"/>
          <w:u w:val="none"/>
        </w:rPr>
        <w:t xml:space="preserve">DFFH </w:t>
      </w:r>
      <w:r w:rsidRPr="00540381">
        <w:rPr>
          <w:rStyle w:val="Hyperlink"/>
          <w:rFonts w:ascii="Arial" w:hAnsi="Arial" w:cs="Arial"/>
          <w:b/>
          <w:bCs/>
          <w:color w:val="000000" w:themeColor="text1"/>
          <w:sz w:val="20"/>
          <w:u w:val="none"/>
        </w:rPr>
        <w:t>functions</w:t>
      </w:r>
    </w:p>
    <w:p w14:paraId="5FB59E2C" w14:textId="78678090" w:rsidR="00540381" w:rsidRDefault="00540381" w:rsidP="00540381">
      <w:pPr>
        <w:pStyle w:val="Heading3"/>
        <w:spacing w:line="240" w:lineRule="auto"/>
        <w:rPr>
          <w:rFonts w:ascii="Arial" w:hAnsi="Arial" w:cs="Arial"/>
          <w:sz w:val="18"/>
        </w:rPr>
      </w:pPr>
    </w:p>
    <w:p w14:paraId="0AB8C765" w14:textId="79790BB0" w:rsidR="000B2E56" w:rsidRDefault="000A7BD0" w:rsidP="00B71853">
      <w:pPr>
        <w:pStyle w:val="Heading3"/>
        <w:spacing w:line="240" w:lineRule="auto"/>
        <w:rPr>
          <w:rFonts w:ascii="Arial" w:hAnsi="Arial" w:cs="Arial"/>
          <w:sz w:val="20"/>
          <w:szCs w:val="22"/>
        </w:rPr>
      </w:pPr>
      <w:r>
        <w:rPr>
          <w:rFonts w:ascii="Arial" w:hAnsi="Arial" w:cs="Arial"/>
          <w:sz w:val="20"/>
          <w:szCs w:val="22"/>
        </w:rPr>
        <w:t>There is – and has long been – a</w:t>
      </w:r>
      <w:r w:rsidR="0069705D">
        <w:rPr>
          <w:rFonts w:ascii="Arial" w:hAnsi="Arial" w:cs="Arial"/>
          <w:sz w:val="20"/>
          <w:szCs w:val="22"/>
        </w:rPr>
        <w:t xml:space="preserve">n </w:t>
      </w:r>
      <w:r>
        <w:rPr>
          <w:rFonts w:ascii="Arial" w:hAnsi="Arial" w:cs="Arial"/>
          <w:sz w:val="20"/>
          <w:szCs w:val="22"/>
        </w:rPr>
        <w:t>over-representation of Aboriginal and Torres Strait Islander children in the child protection system</w:t>
      </w:r>
      <w:r w:rsidR="00B71853">
        <w:rPr>
          <w:rFonts w:ascii="Arial" w:hAnsi="Arial" w:cs="Arial"/>
          <w:sz w:val="20"/>
          <w:szCs w:val="22"/>
        </w:rPr>
        <w:t xml:space="preserve"> both in Victoria and throughout Australia.  </w:t>
      </w:r>
      <w:r w:rsidR="000B2E56">
        <w:rPr>
          <w:rFonts w:ascii="Arial" w:hAnsi="Arial" w:cs="Arial"/>
          <w:sz w:val="20"/>
          <w:szCs w:val="22"/>
        </w:rPr>
        <w:t xml:space="preserve">Table 16A.9 in Part F, section 16 of the Australian Government’s Report on Government Services 2023 shows that the </w:t>
      </w:r>
      <w:r w:rsidR="00086A15">
        <w:rPr>
          <w:rFonts w:ascii="Arial" w:hAnsi="Arial" w:cs="Arial"/>
          <w:sz w:val="20"/>
          <w:szCs w:val="22"/>
        </w:rPr>
        <w:t>‘</w:t>
      </w:r>
      <w:r w:rsidR="000B2E56">
        <w:rPr>
          <w:rFonts w:ascii="Arial" w:hAnsi="Arial" w:cs="Arial"/>
          <w:sz w:val="20"/>
          <w:szCs w:val="22"/>
        </w:rPr>
        <w:t>disproportionality ratios</w:t>
      </w:r>
      <w:r w:rsidR="00086A15">
        <w:rPr>
          <w:rFonts w:ascii="Arial" w:hAnsi="Arial" w:cs="Arial"/>
          <w:sz w:val="20"/>
          <w:szCs w:val="22"/>
        </w:rPr>
        <w:t>’</w:t>
      </w:r>
      <w:r w:rsidR="000B2E56">
        <w:rPr>
          <w:rFonts w:ascii="Arial" w:hAnsi="Arial" w:cs="Arial"/>
          <w:sz w:val="20"/>
          <w:szCs w:val="22"/>
        </w:rPr>
        <w:t xml:space="preserve"> for Aboriginal and Torres Strait Islander children aged 0-17 years in </w:t>
      </w:r>
      <w:r w:rsidR="00295010">
        <w:rPr>
          <w:rFonts w:ascii="Arial" w:hAnsi="Arial" w:cs="Arial"/>
          <w:sz w:val="20"/>
          <w:szCs w:val="22"/>
        </w:rPr>
        <w:t xml:space="preserve">Victoria in </w:t>
      </w:r>
      <w:r w:rsidR="000B2E56">
        <w:rPr>
          <w:rFonts w:ascii="Arial" w:hAnsi="Arial" w:cs="Arial"/>
          <w:sz w:val="20"/>
          <w:szCs w:val="22"/>
        </w:rPr>
        <w:t>2021-22 were as follows:</w:t>
      </w:r>
    </w:p>
    <w:p w14:paraId="250091A8" w14:textId="14B26E0B" w:rsidR="000B2E56" w:rsidRDefault="00C40B73" w:rsidP="009A6707">
      <w:pPr>
        <w:pStyle w:val="Heading3"/>
        <w:pBdr>
          <w:top w:val="single" w:sz="4" w:space="1" w:color="auto"/>
          <w:left w:val="single" w:sz="4" w:space="4" w:color="auto"/>
          <w:bottom w:val="single" w:sz="4" w:space="1" w:color="auto"/>
          <w:right w:val="single" w:sz="4" w:space="4" w:color="auto"/>
        </w:pBdr>
        <w:shd w:val="clear" w:color="auto" w:fill="DDDDDD"/>
        <w:spacing w:before="60" w:line="240" w:lineRule="auto"/>
        <w:rPr>
          <w:rFonts w:ascii="Arial" w:hAnsi="Arial" w:cs="Arial"/>
          <w:sz w:val="20"/>
          <w:szCs w:val="22"/>
        </w:rPr>
      </w:pPr>
      <w:r>
        <w:rPr>
          <w:rFonts w:ascii="Arial" w:hAnsi="Arial" w:cs="Arial"/>
          <w:sz w:val="20"/>
          <w:szCs w:val="22"/>
        </w:rPr>
        <w:t>Notifications: 4.92</w:t>
      </w:r>
      <w:r w:rsidR="00295010">
        <w:rPr>
          <w:rFonts w:ascii="Arial" w:hAnsi="Arial" w:cs="Arial"/>
          <w:sz w:val="20"/>
          <w:szCs w:val="22"/>
        </w:rPr>
        <w:t xml:space="preserve"> – Substantiations 7.52 – Protection orders 13.66 – Out of home care 15.98.</w:t>
      </w:r>
    </w:p>
    <w:p w14:paraId="40A543FE" w14:textId="77777777" w:rsidR="00C40B73" w:rsidRPr="00655B9A" w:rsidRDefault="00C40B73" w:rsidP="00B71853">
      <w:pPr>
        <w:pStyle w:val="Heading3"/>
        <w:spacing w:line="240" w:lineRule="auto"/>
        <w:rPr>
          <w:rFonts w:ascii="Arial" w:hAnsi="Arial" w:cs="Arial"/>
          <w:sz w:val="20"/>
          <w:szCs w:val="22"/>
        </w:rPr>
      </w:pPr>
    </w:p>
    <w:p w14:paraId="62D49544" w14:textId="6BD12070" w:rsidR="000A7BD0" w:rsidRDefault="000A7BD0" w:rsidP="00540381">
      <w:pPr>
        <w:pStyle w:val="Heading3"/>
        <w:spacing w:line="240" w:lineRule="auto"/>
        <w:rPr>
          <w:rFonts w:ascii="Arial" w:hAnsi="Arial" w:cs="Arial"/>
          <w:color w:val="45494B"/>
          <w:sz w:val="20"/>
        </w:rPr>
      </w:pPr>
      <w:r w:rsidRPr="000A7BD0">
        <w:rPr>
          <w:rFonts w:ascii="Arial" w:hAnsi="Arial" w:cs="Arial"/>
          <w:sz w:val="20"/>
          <w:szCs w:val="22"/>
        </w:rPr>
        <w:t xml:space="preserve">The Australian Institute of Health and Welfare reported </w:t>
      </w:r>
      <w:r>
        <w:rPr>
          <w:rFonts w:ascii="Arial" w:hAnsi="Arial" w:cs="Arial"/>
          <w:sz w:val="20"/>
          <w:szCs w:val="22"/>
        </w:rPr>
        <w:t xml:space="preserve">that </w:t>
      </w:r>
      <w:r w:rsidRPr="000A7BD0">
        <w:rPr>
          <w:rFonts w:ascii="Arial" w:hAnsi="Arial" w:cs="Arial"/>
          <w:color w:val="45494B"/>
          <w:sz w:val="20"/>
        </w:rPr>
        <w:t>58,000 Aboriginal</w:t>
      </w:r>
      <w:r>
        <w:rPr>
          <w:rFonts w:ascii="Arial" w:hAnsi="Arial" w:cs="Arial"/>
          <w:color w:val="45494B"/>
          <w:sz w:val="20"/>
        </w:rPr>
        <w:t xml:space="preserve"> </w:t>
      </w:r>
      <w:r w:rsidRPr="000A7BD0">
        <w:rPr>
          <w:rFonts w:ascii="Arial" w:hAnsi="Arial" w:cs="Arial"/>
          <w:color w:val="45494B"/>
          <w:sz w:val="20"/>
        </w:rPr>
        <w:t>and Torres Strait Islander children received child protection services</w:t>
      </w:r>
      <w:r w:rsidR="009A6707">
        <w:rPr>
          <w:rFonts w:ascii="Arial" w:hAnsi="Arial" w:cs="Arial"/>
          <w:color w:val="45494B"/>
          <w:sz w:val="20"/>
        </w:rPr>
        <w:t xml:space="preserve"> </w:t>
      </w:r>
      <w:r w:rsidR="009A6707">
        <w:rPr>
          <w:rFonts w:ascii="Arial" w:hAnsi="Arial" w:cs="Arial"/>
          <w:sz w:val="20"/>
          <w:szCs w:val="22"/>
        </w:rPr>
        <w:t>i</w:t>
      </w:r>
      <w:r w:rsidR="009A6707" w:rsidRPr="000A7BD0">
        <w:rPr>
          <w:rFonts w:ascii="Arial" w:hAnsi="Arial" w:cs="Arial"/>
          <w:color w:val="45494B"/>
          <w:sz w:val="20"/>
        </w:rPr>
        <w:t>n 2020–21,</w:t>
      </w:r>
      <w:r w:rsidRPr="000A7BD0">
        <w:rPr>
          <w:rFonts w:ascii="Arial" w:hAnsi="Arial" w:cs="Arial"/>
          <w:color w:val="45494B"/>
          <w:sz w:val="20"/>
        </w:rPr>
        <w:t xml:space="preserve"> a rate of 172</w:t>
      </w:r>
      <w:r w:rsidR="00B71853">
        <w:rPr>
          <w:rFonts w:ascii="Arial" w:hAnsi="Arial" w:cs="Arial"/>
          <w:color w:val="45494B"/>
          <w:sz w:val="20"/>
        </w:rPr>
        <w:t xml:space="preserve"> </w:t>
      </w:r>
      <w:r w:rsidRPr="000A7BD0">
        <w:rPr>
          <w:rFonts w:ascii="Arial" w:hAnsi="Arial" w:cs="Arial"/>
          <w:color w:val="45494B"/>
          <w:sz w:val="20"/>
        </w:rPr>
        <w:t>per 1,000 children. In the same period, 112,400 non-</w:t>
      </w:r>
      <w:r w:rsidR="0097276A">
        <w:rPr>
          <w:rFonts w:ascii="Arial" w:hAnsi="Arial" w:cs="Arial"/>
          <w:color w:val="45494B"/>
          <w:sz w:val="20"/>
        </w:rPr>
        <w:t>First Peoples</w:t>
      </w:r>
      <w:r w:rsidRPr="000A7BD0">
        <w:rPr>
          <w:rFonts w:ascii="Arial" w:hAnsi="Arial" w:cs="Arial"/>
          <w:color w:val="45494B"/>
          <w:sz w:val="20"/>
        </w:rPr>
        <w:t xml:space="preserve"> children received child protection services, a rate of 21</w:t>
      </w:r>
      <w:r w:rsidR="009A6707">
        <w:rPr>
          <w:rFonts w:ascii="Arial" w:hAnsi="Arial" w:cs="Arial"/>
          <w:color w:val="45494B"/>
          <w:sz w:val="20"/>
        </w:rPr>
        <w:t xml:space="preserve"> </w:t>
      </w:r>
      <w:r w:rsidRPr="000A7BD0">
        <w:rPr>
          <w:rFonts w:ascii="Arial" w:hAnsi="Arial" w:cs="Arial"/>
          <w:color w:val="45494B"/>
          <w:sz w:val="20"/>
        </w:rPr>
        <w:t>per</w:t>
      </w:r>
      <w:r w:rsidR="009A6707">
        <w:rPr>
          <w:rFonts w:ascii="Arial" w:hAnsi="Arial" w:cs="Arial"/>
          <w:color w:val="45494B"/>
          <w:sz w:val="20"/>
        </w:rPr>
        <w:t xml:space="preserve"> </w:t>
      </w:r>
      <w:r w:rsidRPr="000A7BD0">
        <w:rPr>
          <w:rFonts w:ascii="Arial" w:hAnsi="Arial" w:cs="Arial"/>
          <w:color w:val="45494B"/>
          <w:sz w:val="20"/>
        </w:rPr>
        <w:t>1,000 children</w:t>
      </w:r>
      <w:r w:rsidR="00B71853">
        <w:rPr>
          <w:rFonts w:ascii="Arial" w:hAnsi="Arial" w:cs="Arial"/>
          <w:color w:val="45494B"/>
          <w:sz w:val="20"/>
        </w:rPr>
        <w:t xml:space="preserve">.  The chart below shows that Victoria has the highest rate of </w:t>
      </w:r>
      <w:r w:rsidR="0044288C">
        <w:rPr>
          <w:rFonts w:ascii="Arial" w:hAnsi="Arial" w:cs="Arial"/>
          <w:color w:val="45494B"/>
          <w:sz w:val="20"/>
        </w:rPr>
        <w:t xml:space="preserve">First </w:t>
      </w:r>
      <w:r w:rsidR="0097276A">
        <w:rPr>
          <w:rFonts w:ascii="Arial" w:hAnsi="Arial" w:cs="Arial"/>
          <w:color w:val="45494B"/>
          <w:sz w:val="20"/>
        </w:rPr>
        <w:t>Peoples</w:t>
      </w:r>
      <w:r w:rsidR="00B71853">
        <w:rPr>
          <w:rFonts w:ascii="Arial" w:hAnsi="Arial" w:cs="Arial"/>
          <w:color w:val="45494B"/>
          <w:sz w:val="20"/>
        </w:rPr>
        <w:t xml:space="preserve"> children receiving child protection services.</w:t>
      </w:r>
    </w:p>
    <w:p w14:paraId="0AEA2089" w14:textId="0EE7FC84" w:rsidR="00295010" w:rsidRPr="000A7BD0" w:rsidRDefault="00295010" w:rsidP="00540381">
      <w:pPr>
        <w:pStyle w:val="Heading3"/>
        <w:spacing w:line="240" w:lineRule="auto"/>
        <w:rPr>
          <w:rFonts w:ascii="Arial" w:hAnsi="Arial" w:cs="Arial"/>
          <w:sz w:val="20"/>
          <w:szCs w:val="22"/>
        </w:rPr>
      </w:pPr>
    </w:p>
    <w:bookmarkEnd w:id="244"/>
    <w:p w14:paraId="45D093C5" w14:textId="54A3F25D" w:rsidR="000A7BD0" w:rsidRPr="00B71853" w:rsidRDefault="000A7BD0" w:rsidP="004A5217">
      <w:pPr>
        <w:pStyle w:val="Heading4"/>
        <w:keepNext w:val="0"/>
        <w:keepLines w:val="0"/>
        <w:spacing w:before="0" w:after="120"/>
        <w:jc w:val="center"/>
        <w:rPr>
          <w:rFonts w:ascii="Arial" w:hAnsi="Arial" w:cs="Arial"/>
          <w:b/>
          <w:bCs/>
          <w:i w:val="0"/>
          <w:iCs w:val="0"/>
          <w:color w:val="45494B"/>
          <w:sz w:val="20"/>
          <w:szCs w:val="20"/>
        </w:rPr>
      </w:pPr>
      <w:r w:rsidRPr="00B71853">
        <w:rPr>
          <w:rFonts w:ascii="Arial" w:hAnsi="Arial" w:cs="Arial"/>
          <w:b/>
          <w:bCs/>
          <w:i w:val="0"/>
          <w:iCs w:val="0"/>
          <w:color w:val="45494B"/>
          <w:sz w:val="20"/>
          <w:szCs w:val="20"/>
        </w:rPr>
        <w:t xml:space="preserve">Children receiving child protection services, by </w:t>
      </w:r>
      <w:r w:rsidR="0097276A">
        <w:rPr>
          <w:rFonts w:ascii="Arial" w:hAnsi="Arial" w:cs="Arial"/>
          <w:b/>
          <w:bCs/>
          <w:i w:val="0"/>
          <w:iCs w:val="0"/>
          <w:color w:val="45494B"/>
          <w:sz w:val="20"/>
          <w:szCs w:val="20"/>
        </w:rPr>
        <w:t>First Peoples</w:t>
      </w:r>
      <w:r w:rsidRPr="00B71853">
        <w:rPr>
          <w:rFonts w:ascii="Arial" w:hAnsi="Arial" w:cs="Arial"/>
          <w:b/>
          <w:bCs/>
          <w:i w:val="0"/>
          <w:iCs w:val="0"/>
          <w:color w:val="45494B"/>
          <w:sz w:val="20"/>
          <w:szCs w:val="20"/>
        </w:rPr>
        <w:t xml:space="preserve"> status and state or territory, 2020–21</w:t>
      </w:r>
      <w:r w:rsidR="003D126A">
        <w:rPr>
          <w:rFonts w:ascii="Arial" w:hAnsi="Arial" w:cs="Arial"/>
          <w:b/>
          <w:bCs/>
          <w:i w:val="0"/>
          <w:iCs w:val="0"/>
          <w:color w:val="45494B"/>
          <w:sz w:val="20"/>
          <w:szCs w:val="20"/>
        </w:rPr>
        <w:t xml:space="preserve"> (rate)</w:t>
      </w:r>
    </w:p>
    <w:p w14:paraId="6DC1BCF6" w14:textId="36BA0522" w:rsidR="000A7BD0" w:rsidRDefault="003178FE" w:rsidP="00B71853">
      <w:pPr>
        <w:pStyle w:val="NormalWeb"/>
        <w:spacing w:before="0" w:beforeAutospacing="0" w:after="0" w:afterAutospacing="0"/>
        <w:rPr>
          <w:rFonts w:ascii="Open Sans" w:hAnsi="Open Sans" w:cs="Open Sans"/>
          <w:color w:val="45494B"/>
          <w:sz w:val="15"/>
          <w:szCs w:val="15"/>
        </w:rPr>
      </w:pPr>
      <w:r>
        <w:rPr>
          <w:noProof/>
        </w:rPr>
        <mc:AlternateContent>
          <mc:Choice Requires="wps">
            <w:drawing>
              <wp:anchor distT="45720" distB="45720" distL="114300" distR="114300" simplePos="0" relativeHeight="251715584" behindDoc="0" locked="0" layoutInCell="1" allowOverlap="1" wp14:anchorId="03C0882F" wp14:editId="3F86F035">
                <wp:simplePos x="0" y="0"/>
                <wp:positionH relativeFrom="column">
                  <wp:posOffset>2707005</wp:posOffset>
                </wp:positionH>
                <wp:positionV relativeFrom="paragraph">
                  <wp:posOffset>56515</wp:posOffset>
                </wp:positionV>
                <wp:extent cx="1227455" cy="198120"/>
                <wp:effectExtent l="9525" t="13970" r="10795" b="6985"/>
                <wp:wrapNone/>
                <wp:docPr id="5734189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8120"/>
                        </a:xfrm>
                        <a:prstGeom prst="rect">
                          <a:avLst/>
                        </a:prstGeom>
                        <a:solidFill>
                          <a:srgbClr val="FFFFFF"/>
                        </a:solidFill>
                        <a:ln w="9525">
                          <a:solidFill>
                            <a:srgbClr val="FFFFFF"/>
                          </a:solidFill>
                          <a:miter lim="800000"/>
                          <a:headEnd/>
                          <a:tailEnd/>
                        </a:ln>
                      </wps:spPr>
                      <wps:txb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C0882F" id="_x0000_t202" coordsize="21600,21600" o:spt="202" path="m,l,21600r21600,l21600,xe">
                <v:stroke joinstyle="miter"/>
                <v:path gradientshapeok="t" o:connecttype="rect"/>
              </v:shapetype>
              <v:shape id="Text Box 97" o:spid="_x0000_s1026" type="#_x0000_t202" style="position:absolute;margin-left:213.15pt;margin-top:4.45pt;width:96.65pt;height:1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" strokecolor="white">
                <v:textbox>
                  <w:txbxContent>
                    <w:p w14:paraId="18DF5560" w14:textId="3EFE24CA" w:rsidR="00CC2A85" w:rsidRPr="00CC2A85" w:rsidRDefault="00CC2A85" w:rsidP="00CC2A85">
                      <w:pPr>
                        <w:rPr>
                          <w:rFonts w:ascii="Arial" w:hAnsi="Arial" w:cs="Arial"/>
                          <w:b/>
                          <w:bCs/>
                          <w:sz w:val="12"/>
                          <w:szCs w:val="12"/>
                        </w:rPr>
                      </w:pPr>
                      <w:r w:rsidRPr="00CC2A85">
                        <w:rPr>
                          <w:rFonts w:ascii="Arial" w:hAnsi="Arial" w:cs="Arial"/>
                          <w:b/>
                          <w:bCs/>
                          <w:sz w:val="12"/>
                          <w:szCs w:val="12"/>
                        </w:rPr>
                        <w:t>Non-</w:t>
                      </w:r>
                      <w:r w:rsidR="0097276A">
                        <w:rPr>
                          <w:rFonts w:ascii="Arial" w:hAnsi="Arial" w:cs="Arial"/>
                          <w:b/>
                          <w:bCs/>
                          <w:sz w:val="12"/>
                          <w:szCs w:val="12"/>
                        </w:rPr>
                        <w:t>First Peoples</w:t>
                      </w:r>
                      <w:r w:rsidRPr="00CC2A85">
                        <w:rPr>
                          <w:rFonts w:ascii="Arial" w:hAnsi="Arial" w:cs="Arial"/>
                          <w:b/>
                          <w:bCs/>
                          <w:sz w:val="12"/>
                          <w:szCs w:val="12"/>
                        </w:rPr>
                        <w:t xml:space="preserve"> children</w:t>
                      </w:r>
                    </w:p>
                  </w:txbxContent>
                </v:textbox>
              </v:shape>
            </w:pict>
          </mc:Fallback>
        </mc:AlternateContent>
      </w:r>
      <w:r>
        <w:rPr>
          <w:noProof/>
        </w:rPr>
        <mc:AlternateContent>
          <mc:Choice Requires="wps">
            <w:drawing>
              <wp:anchor distT="45720" distB="45720" distL="114300" distR="114300" simplePos="0" relativeHeight="251714560" behindDoc="0" locked="0" layoutInCell="1" allowOverlap="1" wp14:anchorId="03C0882F" wp14:editId="1E4D5996">
                <wp:simplePos x="0" y="0"/>
                <wp:positionH relativeFrom="column">
                  <wp:posOffset>1602105</wp:posOffset>
                </wp:positionH>
                <wp:positionV relativeFrom="paragraph">
                  <wp:posOffset>58420</wp:posOffset>
                </wp:positionV>
                <wp:extent cx="1007745" cy="198120"/>
                <wp:effectExtent l="9525" t="6350" r="11430" b="5080"/>
                <wp:wrapNone/>
                <wp:docPr id="166412321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8120"/>
                        </a:xfrm>
                        <a:prstGeom prst="rect">
                          <a:avLst/>
                        </a:prstGeom>
                        <a:solidFill>
                          <a:srgbClr val="FFFFFF"/>
                        </a:solidFill>
                        <a:ln w="9525">
                          <a:solidFill>
                            <a:srgbClr val="FFFFFF"/>
                          </a:solidFill>
                          <a:miter lim="800000"/>
                          <a:headEnd/>
                          <a:tailEnd/>
                        </a:ln>
                      </wps:spPr>
                      <wps:txb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882F" id="Text Box 96" o:spid="_x0000_s1027" type="#_x0000_t202" style="position:absolute;margin-left:126.15pt;margin-top:4.6pt;width:79.35pt;height:15.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" strokecolor="white">
                <v:textbox>
                  <w:txbxContent>
                    <w:p w14:paraId="0738CBFA" w14:textId="7B5DA42E" w:rsidR="00CC2A85" w:rsidRPr="00CC2A85" w:rsidRDefault="0097276A">
                      <w:pPr>
                        <w:rPr>
                          <w:rFonts w:ascii="Arial" w:hAnsi="Arial" w:cs="Arial"/>
                          <w:b/>
                          <w:bCs/>
                          <w:sz w:val="12"/>
                          <w:szCs w:val="12"/>
                        </w:rPr>
                      </w:pPr>
                      <w:r>
                        <w:rPr>
                          <w:rFonts w:ascii="Arial" w:hAnsi="Arial" w:cs="Arial"/>
                          <w:b/>
                          <w:bCs/>
                          <w:sz w:val="12"/>
                          <w:szCs w:val="12"/>
                        </w:rPr>
                        <w:t>First Peoples</w:t>
                      </w:r>
                      <w:r w:rsidR="00CC2A85" w:rsidRPr="00CC2A85">
                        <w:rPr>
                          <w:rFonts w:ascii="Arial" w:hAnsi="Arial" w:cs="Arial"/>
                          <w:b/>
                          <w:bCs/>
                          <w:sz w:val="12"/>
                          <w:szCs w:val="12"/>
                        </w:rPr>
                        <w:t xml:space="preserve"> children</w:t>
                      </w:r>
                    </w:p>
                  </w:txbxContent>
                </v:textbox>
              </v:shape>
            </w:pict>
          </mc:Fallback>
        </mc:AlternateContent>
      </w:r>
      <w:r w:rsidR="000A7BD0">
        <w:rPr>
          <w:rFonts w:ascii="Open Sans" w:hAnsi="Open Sans" w:cs="Open Sans"/>
          <w:noProof/>
          <w:color w:val="45494B"/>
          <w:sz w:val="15"/>
          <w:szCs w:val="15"/>
        </w:rPr>
        <w:drawing>
          <wp:inline distT="0" distB="0" distL="0" distR="0" wp14:anchorId="4BE57D44" wp14:editId="43480EB2">
            <wp:extent cx="5278120" cy="2742565"/>
            <wp:effectExtent l="0" t="0" r="0" b="0"/>
            <wp:docPr id="1" name="Picture 1"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chart shows the rate of children receiving child protection services by Indigenous status. Indigenous children received child protection services at a rate of 172 per 1,000 children in 2020–21. During the same period, non-Indigenous children received child protection services at a rate of 21 per 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742565"/>
                    </a:xfrm>
                    <a:prstGeom prst="rect">
                      <a:avLst/>
                    </a:prstGeom>
                    <a:noFill/>
                    <a:ln>
                      <a:noFill/>
                    </a:ln>
                  </pic:spPr>
                </pic:pic>
              </a:graphicData>
            </a:graphic>
          </wp:inline>
        </w:drawing>
      </w:r>
    </w:p>
    <w:p w14:paraId="46A369F7" w14:textId="37D2B2B1" w:rsidR="00226C41" w:rsidRDefault="00226C41" w:rsidP="00540381">
      <w:pPr>
        <w:pStyle w:val="Heading3"/>
        <w:spacing w:line="240" w:lineRule="auto"/>
        <w:rPr>
          <w:rFonts w:ascii="Arial" w:hAnsi="Arial" w:cs="Arial"/>
          <w:sz w:val="18"/>
        </w:rPr>
      </w:pPr>
    </w:p>
    <w:p w14:paraId="291DFA1B" w14:textId="59B89E18" w:rsidR="00655B9A" w:rsidRPr="003E7A92" w:rsidRDefault="00655B9A" w:rsidP="00540381">
      <w:pPr>
        <w:pStyle w:val="Heading3"/>
        <w:spacing w:line="240" w:lineRule="auto"/>
        <w:rPr>
          <w:rFonts w:ascii="Arial" w:hAnsi="Arial" w:cs="Arial"/>
          <w:sz w:val="20"/>
        </w:rPr>
      </w:pPr>
      <w:r w:rsidRPr="003E7A92">
        <w:rPr>
          <w:rFonts w:ascii="Arial" w:hAnsi="Arial" w:cs="Arial"/>
          <w:sz w:val="20"/>
        </w:rPr>
        <w:t>The following chart in the Yoorrook Justice Commission second interim report</w:t>
      </w:r>
      <w:r w:rsidR="00B13FDB">
        <w:rPr>
          <w:rFonts w:ascii="Arial" w:hAnsi="Arial" w:cs="Arial"/>
          <w:sz w:val="20"/>
        </w:rPr>
        <w:t xml:space="preserve"> tabled on 04/09/2023</w:t>
      </w:r>
      <w:r w:rsidRPr="003E7A92">
        <w:rPr>
          <w:rFonts w:ascii="Arial" w:hAnsi="Arial" w:cs="Arial"/>
          <w:sz w:val="20"/>
        </w:rPr>
        <w:t xml:space="preserve"> – </w:t>
      </w:r>
      <w:hyperlink r:id="rId9" w:history="1">
        <w:r w:rsidRPr="003E7A92">
          <w:rPr>
            <w:rStyle w:val="Hyperlink"/>
            <w:rFonts w:ascii="Arial" w:hAnsi="Arial" w:cs="Arial"/>
            <w:sz w:val="20"/>
          </w:rPr>
          <w:t>Report into Victoria’s Child Protection and Criminal Justice Systems</w:t>
        </w:r>
      </w:hyperlink>
      <w:r w:rsidRPr="003E7A92">
        <w:rPr>
          <w:rFonts w:ascii="Arial" w:hAnsi="Arial" w:cs="Arial"/>
          <w:sz w:val="20"/>
        </w:rPr>
        <w:t xml:space="preserve"> – </w:t>
      </w:r>
      <w:r w:rsidR="00E7713E" w:rsidRPr="003E7A92">
        <w:rPr>
          <w:rFonts w:ascii="Arial" w:hAnsi="Arial" w:cs="Arial"/>
          <w:sz w:val="20"/>
        </w:rPr>
        <w:t>detail</w:t>
      </w:r>
      <w:r w:rsidRPr="003E7A92">
        <w:rPr>
          <w:rFonts w:ascii="Arial" w:hAnsi="Arial" w:cs="Arial"/>
          <w:sz w:val="20"/>
        </w:rPr>
        <w:t xml:space="preserve">s </w:t>
      </w:r>
      <w:r w:rsidR="00E7713E" w:rsidRPr="003E7A92">
        <w:rPr>
          <w:rFonts w:ascii="Arial" w:hAnsi="Arial" w:cs="Arial"/>
          <w:sz w:val="20"/>
        </w:rPr>
        <w:t>some</w:t>
      </w:r>
      <w:r w:rsidRPr="003E7A92">
        <w:rPr>
          <w:rFonts w:ascii="Arial" w:hAnsi="Arial" w:cs="Arial"/>
          <w:sz w:val="20"/>
        </w:rPr>
        <w:t xml:space="preserve"> </w:t>
      </w:r>
      <w:r w:rsidR="00131949" w:rsidRPr="003E7A92">
        <w:rPr>
          <w:rFonts w:ascii="Arial" w:hAnsi="Arial" w:cs="Arial"/>
          <w:sz w:val="20"/>
        </w:rPr>
        <w:t xml:space="preserve">comparative </w:t>
      </w:r>
      <w:r w:rsidR="00E7713E" w:rsidRPr="003E7A92">
        <w:rPr>
          <w:rFonts w:ascii="Arial" w:hAnsi="Arial" w:cs="Arial"/>
          <w:sz w:val="20"/>
        </w:rPr>
        <w:t>statistics</w:t>
      </w:r>
      <w:r w:rsidRPr="003E7A92">
        <w:rPr>
          <w:rFonts w:ascii="Arial" w:hAnsi="Arial" w:cs="Arial"/>
          <w:sz w:val="20"/>
        </w:rPr>
        <w:t xml:space="preserve"> </w:t>
      </w:r>
      <w:r w:rsidR="00E7713E" w:rsidRPr="003E7A92">
        <w:rPr>
          <w:rFonts w:ascii="Arial" w:hAnsi="Arial" w:cs="Arial"/>
          <w:sz w:val="20"/>
        </w:rPr>
        <w:t xml:space="preserve">in relation to </w:t>
      </w:r>
      <w:r w:rsidR="00131949" w:rsidRPr="003E7A92">
        <w:rPr>
          <w:rFonts w:ascii="Arial" w:hAnsi="Arial" w:cs="Arial"/>
          <w:sz w:val="20"/>
        </w:rPr>
        <w:t>First Peoples</w:t>
      </w:r>
      <w:r w:rsidR="00E7713E" w:rsidRPr="003E7A92">
        <w:rPr>
          <w:rFonts w:ascii="Arial" w:hAnsi="Arial" w:cs="Arial"/>
          <w:sz w:val="20"/>
        </w:rPr>
        <w:t xml:space="preserve"> children in the Victorian child protection system</w:t>
      </w:r>
      <w:r w:rsidRPr="003E7A92">
        <w:rPr>
          <w:rFonts w:ascii="Arial" w:hAnsi="Arial" w:cs="Arial"/>
          <w:sz w:val="20"/>
        </w:rPr>
        <w:t>.</w:t>
      </w:r>
    </w:p>
    <w:p w14:paraId="61E69289" w14:textId="77777777" w:rsidR="00655B9A" w:rsidRDefault="00655B9A" w:rsidP="00540381">
      <w:pPr>
        <w:pStyle w:val="Heading3"/>
        <w:spacing w:line="240" w:lineRule="auto"/>
        <w:rPr>
          <w:rFonts w:ascii="Arial" w:hAnsi="Arial" w:cs="Arial"/>
          <w:sz w:val="18"/>
        </w:rPr>
      </w:pPr>
    </w:p>
    <w:p w14:paraId="2D1A5A69" w14:textId="425A627F" w:rsidR="00655B9A" w:rsidRDefault="00655B9A" w:rsidP="00655B9A">
      <w:pPr>
        <w:pStyle w:val="Heading3"/>
        <w:spacing w:line="240" w:lineRule="auto"/>
        <w:jc w:val="center"/>
        <w:rPr>
          <w:rFonts w:ascii="Arial" w:hAnsi="Arial" w:cs="Arial"/>
          <w:sz w:val="18"/>
        </w:rPr>
      </w:pPr>
      <w:r w:rsidRPr="00E7713E">
        <w:rPr>
          <w:rFonts w:ascii="Arial" w:hAnsi="Arial" w:cs="Arial"/>
          <w:noProof/>
          <w:sz w:val="18"/>
          <w:bdr w:val="single" w:sz="8" w:space="0" w:color="auto"/>
          <w:lang w:val="en-AU"/>
        </w:rPr>
        <w:drawing>
          <wp:inline distT="0" distB="0" distL="0" distR="0" wp14:anchorId="2081789B" wp14:editId="4D194017">
            <wp:extent cx="3492000" cy="3747600"/>
            <wp:effectExtent l="0" t="0" r="0" b="0"/>
            <wp:docPr id="152579" name="Picture 1">
              <a:extLst xmlns:a="http://schemas.openxmlformats.org/drawingml/2006/main">
                <a:ext uri="{FF2B5EF4-FFF2-40B4-BE49-F238E27FC236}">
                  <a16:creationId xmlns:a16="http://schemas.microsoft.com/office/drawing/2014/main" id="{EDB04624-EAD2-8CA8-DA1C-A7B546B12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9" name="Picture 1">
                      <a:extLst>
                        <a:ext uri="{FF2B5EF4-FFF2-40B4-BE49-F238E27FC236}">
                          <a16:creationId xmlns:a16="http://schemas.microsoft.com/office/drawing/2014/main" id="{EDB04624-EAD2-8CA8-DA1C-A7B546B12F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000" cy="3747600"/>
                    </a:xfrm>
                    <a:prstGeom prst="rect">
                      <a:avLst/>
                    </a:prstGeom>
                    <a:noFill/>
                    <a:ln>
                      <a:noFill/>
                    </a:ln>
                  </pic:spPr>
                </pic:pic>
              </a:graphicData>
            </a:graphic>
          </wp:inline>
        </w:drawing>
      </w:r>
    </w:p>
    <w:p w14:paraId="565ACC68" w14:textId="77777777" w:rsidR="00655B9A" w:rsidRDefault="00655B9A" w:rsidP="00540381">
      <w:pPr>
        <w:pStyle w:val="Heading3"/>
        <w:spacing w:line="240" w:lineRule="auto"/>
        <w:rPr>
          <w:rFonts w:ascii="Arial" w:hAnsi="Arial" w:cs="Arial"/>
          <w:sz w:val="18"/>
        </w:rPr>
      </w:pPr>
    </w:p>
    <w:p w14:paraId="6656E317" w14:textId="674C5420" w:rsidR="00611CF6" w:rsidRPr="00611CF6" w:rsidRDefault="00611CF6" w:rsidP="00540381">
      <w:pPr>
        <w:pStyle w:val="Heading3"/>
        <w:spacing w:line="240" w:lineRule="auto"/>
        <w:rPr>
          <w:rFonts w:ascii="Arial" w:hAnsi="Arial" w:cs="Arial"/>
          <w:sz w:val="20"/>
          <w:szCs w:val="22"/>
        </w:rPr>
      </w:pPr>
      <w:r w:rsidRPr="00611CF6">
        <w:rPr>
          <w:rFonts w:ascii="Arial" w:hAnsi="Arial" w:cs="Arial"/>
          <w:sz w:val="20"/>
          <w:szCs w:val="22"/>
        </w:rPr>
        <w:t xml:space="preserve">See also the over-representation statistics detailed in </w:t>
      </w:r>
      <w:r w:rsidRPr="003B600E">
        <w:rPr>
          <w:rFonts w:ascii="Arial" w:hAnsi="Arial" w:cs="Arial"/>
          <w:b/>
          <w:bCs/>
          <w:sz w:val="20"/>
          <w:szCs w:val="22"/>
          <w:shd w:val="clear" w:color="auto" w:fill="C5E0B3"/>
        </w:rPr>
        <w:t>section 4.9.8</w:t>
      </w:r>
      <w:r w:rsidRPr="00611CF6">
        <w:rPr>
          <w:rFonts w:ascii="Arial" w:hAnsi="Arial" w:cs="Arial"/>
          <w:sz w:val="20"/>
          <w:szCs w:val="22"/>
        </w:rPr>
        <w:t xml:space="preserve"> below.</w:t>
      </w:r>
    </w:p>
    <w:p w14:paraId="5CF2F661" w14:textId="77777777" w:rsidR="00611CF6" w:rsidRDefault="00611CF6" w:rsidP="00540381">
      <w:pPr>
        <w:pStyle w:val="Heading3"/>
        <w:spacing w:line="240" w:lineRule="auto"/>
        <w:rPr>
          <w:rFonts w:ascii="Arial" w:hAnsi="Arial" w:cs="Arial"/>
          <w:sz w:val="18"/>
        </w:rPr>
      </w:pPr>
    </w:p>
    <w:p w14:paraId="3B2885A8" w14:textId="498626FA" w:rsidR="00CA50CF" w:rsidRDefault="00E915DB" w:rsidP="00E91FD2">
      <w:pPr>
        <w:jc w:val="both"/>
        <w:rPr>
          <w:rFonts w:ascii="Arial" w:hAnsi="Arial" w:cs="Arial"/>
          <w:color w:val="000000"/>
          <w:sz w:val="20"/>
        </w:rPr>
      </w:pPr>
      <w:r>
        <w:rPr>
          <w:rFonts w:ascii="Arial" w:hAnsi="Arial" w:cs="Arial"/>
          <w:color w:val="000000"/>
          <w:sz w:val="20"/>
          <w:szCs w:val="20"/>
        </w:rPr>
        <w:t>Assented to on 27/06/</w:t>
      </w:r>
      <w:r w:rsidR="00B800A0">
        <w:rPr>
          <w:rFonts w:ascii="Arial" w:hAnsi="Arial" w:cs="Arial"/>
          <w:color w:val="000000"/>
          <w:sz w:val="20"/>
          <w:szCs w:val="20"/>
        </w:rPr>
        <w:t>2023,</w:t>
      </w:r>
      <w:r w:rsidR="00CA50CF">
        <w:rPr>
          <w:rFonts w:ascii="Arial" w:hAnsi="Arial" w:cs="Arial"/>
          <w:color w:val="000000"/>
          <w:sz w:val="20"/>
          <w:szCs w:val="20"/>
        </w:rPr>
        <w:t xml:space="preserve"> the </w:t>
      </w:r>
      <w:r w:rsidR="00CA50CF" w:rsidRPr="0059077F">
        <w:rPr>
          <w:rFonts w:ascii="Arial" w:hAnsi="Arial" w:cs="Arial"/>
          <w:i/>
          <w:iCs/>
          <w:color w:val="000000"/>
          <w:sz w:val="20"/>
        </w:rPr>
        <w:t>Children</w:t>
      </w:r>
      <w:r w:rsidR="00CA50CF">
        <w:rPr>
          <w:rFonts w:ascii="Arial" w:hAnsi="Arial" w:cs="Arial"/>
          <w:i/>
          <w:iCs/>
          <w:color w:val="000000"/>
          <w:sz w:val="20"/>
        </w:rPr>
        <w:t xml:space="preserve"> and Health Legislation Amendment (Statement of Recognition, Aboriginal Self-determination and Other Matters) </w:t>
      </w:r>
      <w:r w:rsidR="00572906">
        <w:rPr>
          <w:rFonts w:ascii="Arial" w:hAnsi="Arial" w:cs="Arial"/>
          <w:i/>
          <w:iCs/>
          <w:color w:val="000000"/>
          <w:sz w:val="20"/>
        </w:rPr>
        <w:t>Act</w:t>
      </w:r>
      <w:r w:rsidR="00CA50CF">
        <w:rPr>
          <w:rFonts w:ascii="Arial" w:hAnsi="Arial" w:cs="Arial"/>
          <w:i/>
          <w:iCs/>
          <w:color w:val="000000"/>
          <w:sz w:val="20"/>
        </w:rPr>
        <w:t xml:space="preserve"> 2023</w:t>
      </w:r>
      <w:r w:rsidR="00CA50CF" w:rsidRPr="00032A18">
        <w:rPr>
          <w:rFonts w:ascii="Arial" w:hAnsi="Arial" w:cs="Arial"/>
          <w:color w:val="000000"/>
          <w:sz w:val="20"/>
        </w:rPr>
        <w:t xml:space="preserve"> </w:t>
      </w:r>
      <w:r w:rsidR="00CA50CF">
        <w:rPr>
          <w:rFonts w:ascii="Arial" w:hAnsi="Arial" w:cs="Arial"/>
          <w:color w:val="000000"/>
          <w:sz w:val="20"/>
        </w:rPr>
        <w:t>make</w:t>
      </w:r>
      <w:r w:rsidR="00572906">
        <w:rPr>
          <w:rFonts w:ascii="Arial" w:hAnsi="Arial" w:cs="Arial"/>
          <w:color w:val="000000"/>
          <w:sz w:val="20"/>
        </w:rPr>
        <w:t>s</w:t>
      </w:r>
      <w:r w:rsidR="00CA50CF">
        <w:rPr>
          <w:rFonts w:ascii="Arial" w:hAnsi="Arial" w:cs="Arial"/>
          <w:color w:val="000000"/>
          <w:sz w:val="20"/>
        </w:rPr>
        <w:t xml:space="preserve"> amendments to </w:t>
      </w:r>
      <w:r w:rsidR="00903B42">
        <w:rPr>
          <w:rFonts w:ascii="Arial" w:hAnsi="Arial" w:cs="Arial"/>
          <w:color w:val="000000"/>
          <w:sz w:val="20"/>
        </w:rPr>
        <w:t>multiple</w:t>
      </w:r>
      <w:r w:rsidR="00CA50CF">
        <w:rPr>
          <w:rFonts w:ascii="Arial" w:hAnsi="Arial" w:cs="Arial"/>
          <w:color w:val="000000"/>
          <w:sz w:val="20"/>
        </w:rPr>
        <w:t xml:space="preserve"> Acts, including the replacement detailed below for </w:t>
      </w:r>
      <w:r>
        <w:rPr>
          <w:rFonts w:ascii="Arial" w:hAnsi="Arial" w:cs="Arial"/>
          <w:color w:val="000000"/>
          <w:sz w:val="20"/>
        </w:rPr>
        <w:t>previous</w:t>
      </w:r>
      <w:r w:rsidR="00627859">
        <w:rPr>
          <w:rFonts w:ascii="Arial" w:hAnsi="Arial" w:cs="Arial"/>
          <w:color w:val="000000"/>
          <w:sz w:val="20"/>
        </w:rPr>
        <w:t xml:space="preserve"> </w:t>
      </w:r>
      <w:r w:rsidR="00CA50CF">
        <w:rPr>
          <w:rFonts w:ascii="Arial" w:hAnsi="Arial" w:cs="Arial"/>
          <w:color w:val="000000"/>
          <w:sz w:val="20"/>
        </w:rPr>
        <w:t>s.18 CYFA.</w:t>
      </w:r>
      <w:r w:rsidR="004F636A">
        <w:rPr>
          <w:rFonts w:ascii="Arial" w:hAnsi="Arial" w:cs="Arial"/>
          <w:color w:val="000000"/>
          <w:sz w:val="20"/>
        </w:rPr>
        <w:t xml:space="preserve">  </w:t>
      </w:r>
      <w:r w:rsidR="000B0333">
        <w:rPr>
          <w:rFonts w:ascii="Arial" w:hAnsi="Arial" w:cs="Arial"/>
          <w:color w:val="000000"/>
          <w:sz w:val="20"/>
        </w:rPr>
        <w:t xml:space="preserve">Commencement dates for various </w:t>
      </w:r>
      <w:r w:rsidR="00A3018B">
        <w:rPr>
          <w:rFonts w:ascii="Arial" w:hAnsi="Arial" w:cs="Arial"/>
          <w:color w:val="000000"/>
          <w:sz w:val="20"/>
        </w:rPr>
        <w:t>sections</w:t>
      </w:r>
      <w:r w:rsidR="000B0333">
        <w:rPr>
          <w:rFonts w:ascii="Arial" w:hAnsi="Arial" w:cs="Arial"/>
          <w:color w:val="000000"/>
          <w:sz w:val="20"/>
        </w:rPr>
        <w:t xml:space="preserve"> of th</w:t>
      </w:r>
      <w:r w:rsidR="00903B42">
        <w:rPr>
          <w:rFonts w:ascii="Arial" w:hAnsi="Arial" w:cs="Arial"/>
          <w:color w:val="000000"/>
          <w:sz w:val="20"/>
        </w:rPr>
        <w:t>e amending</w:t>
      </w:r>
      <w:r w:rsidR="00A3018B">
        <w:rPr>
          <w:rFonts w:ascii="Arial" w:hAnsi="Arial" w:cs="Arial"/>
          <w:color w:val="000000"/>
          <w:sz w:val="20"/>
        </w:rPr>
        <w:t xml:space="preserve"> Act are set out in s.2.</w:t>
      </w:r>
      <w:r>
        <w:rPr>
          <w:rFonts w:ascii="Arial" w:hAnsi="Arial" w:cs="Arial"/>
          <w:color w:val="000000"/>
          <w:sz w:val="20"/>
        </w:rPr>
        <w:t xml:space="preserve">  The</w:t>
      </w:r>
      <w:r w:rsidR="009A6707">
        <w:rPr>
          <w:rFonts w:ascii="Arial" w:hAnsi="Arial" w:cs="Arial"/>
          <w:color w:val="000000"/>
          <w:sz w:val="20"/>
        </w:rPr>
        <w:t xml:space="preserve"> </w:t>
      </w:r>
      <w:r w:rsidR="00A225C6">
        <w:rPr>
          <w:rFonts w:ascii="Arial" w:hAnsi="Arial" w:cs="Arial"/>
          <w:color w:val="000000"/>
          <w:sz w:val="20"/>
        </w:rPr>
        <w:t xml:space="preserve">new </w:t>
      </w:r>
      <w:r>
        <w:rPr>
          <w:rFonts w:ascii="Arial" w:hAnsi="Arial" w:cs="Arial"/>
          <w:color w:val="000000"/>
          <w:sz w:val="20"/>
        </w:rPr>
        <w:t>sections detailed below came into operation on 28/06/2023.</w:t>
      </w:r>
    </w:p>
    <w:p w14:paraId="0B63D3B0" w14:textId="77777777" w:rsidR="00CA50CF" w:rsidRPr="006F28D4" w:rsidRDefault="00CA50CF" w:rsidP="00572906">
      <w:pPr>
        <w:pStyle w:val="Heading3"/>
        <w:spacing w:line="240" w:lineRule="auto"/>
        <w:rPr>
          <w:rFonts w:ascii="Arial" w:hAnsi="Arial" w:cs="Arial"/>
          <w:sz w:val="18"/>
        </w:rPr>
      </w:pPr>
    </w:p>
    <w:p w14:paraId="586AB87D" w14:textId="64F4E280" w:rsidR="0004455B" w:rsidRDefault="00D3176A" w:rsidP="00572906">
      <w:pPr>
        <w:jc w:val="both"/>
        <w:rPr>
          <w:rFonts w:ascii="Arial" w:hAnsi="Arial" w:cs="Arial"/>
          <w:sz w:val="20"/>
          <w:szCs w:val="20"/>
        </w:rPr>
      </w:pPr>
      <w:r w:rsidRPr="00676E2A">
        <w:rPr>
          <w:rFonts w:ascii="Arial" w:hAnsi="Arial" w:cs="Arial"/>
          <w:b/>
          <w:bCs/>
          <w:sz w:val="20"/>
          <w:szCs w:val="20"/>
        </w:rPr>
        <w:t>Section 18</w:t>
      </w:r>
      <w:r w:rsidRPr="0004455B">
        <w:rPr>
          <w:rFonts w:ascii="Arial" w:hAnsi="Arial" w:cs="Arial"/>
          <w:sz w:val="20"/>
          <w:szCs w:val="20"/>
        </w:rPr>
        <w:t xml:space="preserve"> CYFA – in a form substituted by the </w:t>
      </w:r>
      <w:r w:rsidRPr="00623268">
        <w:rPr>
          <w:rFonts w:ascii="Arial" w:hAnsi="Arial" w:cs="Arial"/>
          <w:i/>
          <w:iCs/>
          <w:sz w:val="20"/>
          <w:szCs w:val="20"/>
        </w:rPr>
        <w:t>Children and Health Legislation Amendment (Statement of Recognition. Aboriginal Self-determination and Other Matters) Act 2023</w:t>
      </w:r>
      <w:r w:rsidRPr="0004455B">
        <w:rPr>
          <w:rFonts w:ascii="Arial" w:hAnsi="Arial" w:cs="Arial"/>
          <w:sz w:val="20"/>
          <w:szCs w:val="20"/>
        </w:rPr>
        <w:t xml:space="preserve"> – </w:t>
      </w:r>
      <w:r w:rsidR="008435FC">
        <w:rPr>
          <w:rFonts w:ascii="Arial" w:hAnsi="Arial" w:cs="Arial"/>
          <w:sz w:val="20"/>
          <w:szCs w:val="20"/>
        </w:rPr>
        <w:t>reflects</w:t>
      </w:r>
      <w:r w:rsidR="0004455B" w:rsidRPr="0004455B">
        <w:rPr>
          <w:rFonts w:ascii="Arial" w:hAnsi="Arial" w:cs="Arial"/>
          <w:sz w:val="20"/>
          <w:szCs w:val="20"/>
        </w:rPr>
        <w:t xml:space="preserve"> the self-determination provision of the </w:t>
      </w:r>
      <w:r w:rsidR="00376E25">
        <w:rPr>
          <w:rFonts w:ascii="Arial" w:hAnsi="Arial" w:cs="Arial"/>
          <w:sz w:val="20"/>
          <w:szCs w:val="20"/>
        </w:rPr>
        <w:t>T</w:t>
      </w:r>
      <w:r w:rsidR="0004455B" w:rsidRPr="0004455B">
        <w:rPr>
          <w:rFonts w:ascii="Arial" w:hAnsi="Arial" w:cs="Arial"/>
          <w:sz w:val="20"/>
          <w:szCs w:val="20"/>
        </w:rPr>
        <w:t>reaty process referred to in new s.7B(1)</w:t>
      </w:r>
      <w:r w:rsidR="0004455B">
        <w:rPr>
          <w:rFonts w:ascii="Arial" w:hAnsi="Arial" w:cs="Arial"/>
          <w:sz w:val="20"/>
          <w:szCs w:val="20"/>
        </w:rPr>
        <w:t xml:space="preserve"> </w:t>
      </w:r>
      <w:r w:rsidR="00623268">
        <w:rPr>
          <w:rFonts w:ascii="Arial" w:hAnsi="Arial" w:cs="Arial"/>
          <w:sz w:val="20"/>
          <w:szCs w:val="20"/>
        </w:rPr>
        <w:t xml:space="preserve">CYFA </w:t>
      </w:r>
      <w:r w:rsidR="0004455B">
        <w:rPr>
          <w:rFonts w:ascii="Arial" w:hAnsi="Arial" w:cs="Arial"/>
          <w:sz w:val="20"/>
          <w:szCs w:val="20"/>
        </w:rPr>
        <w:t xml:space="preserve">which is </w:t>
      </w:r>
      <w:r w:rsidR="009E47CF">
        <w:rPr>
          <w:rFonts w:ascii="Arial" w:hAnsi="Arial" w:cs="Arial"/>
          <w:sz w:val="20"/>
          <w:szCs w:val="20"/>
        </w:rPr>
        <w:t>referred to</w:t>
      </w:r>
      <w:r w:rsidR="0004455B">
        <w:rPr>
          <w:rFonts w:ascii="Arial" w:hAnsi="Arial" w:cs="Arial"/>
          <w:sz w:val="20"/>
          <w:szCs w:val="20"/>
        </w:rPr>
        <w:t xml:space="preserve"> in </w:t>
      </w:r>
      <w:r w:rsidR="008E4A97">
        <w:rPr>
          <w:rFonts w:ascii="Arial" w:hAnsi="Arial" w:cs="Arial"/>
          <w:b/>
          <w:bCs/>
          <w:sz w:val="20"/>
          <w:szCs w:val="20"/>
          <w:shd w:val="clear" w:color="auto" w:fill="C5E0B3"/>
        </w:rPr>
        <w:t>Part</w:t>
      </w:r>
      <w:r w:rsidR="0004455B" w:rsidRPr="003B600E">
        <w:rPr>
          <w:rFonts w:ascii="Arial" w:hAnsi="Arial" w:cs="Arial"/>
          <w:b/>
          <w:bCs/>
          <w:sz w:val="20"/>
          <w:szCs w:val="20"/>
          <w:shd w:val="clear" w:color="auto" w:fill="C5E0B3"/>
        </w:rPr>
        <w:t xml:space="preserve"> 5.3</w:t>
      </w:r>
      <w:r w:rsidR="009E47CF" w:rsidRPr="003B600E">
        <w:rPr>
          <w:rFonts w:ascii="Arial" w:hAnsi="Arial" w:cs="Arial"/>
          <w:b/>
          <w:bCs/>
          <w:sz w:val="20"/>
          <w:szCs w:val="20"/>
          <w:shd w:val="clear" w:color="auto" w:fill="C5E0B3"/>
        </w:rPr>
        <w:t>1</w:t>
      </w:r>
      <w:r w:rsidR="008E4A97">
        <w:rPr>
          <w:rFonts w:ascii="Arial" w:hAnsi="Arial" w:cs="Arial"/>
          <w:sz w:val="20"/>
          <w:szCs w:val="20"/>
        </w:rPr>
        <w:t xml:space="preserve"> of the Research Materials.</w:t>
      </w:r>
    </w:p>
    <w:p w14:paraId="2732952D" w14:textId="122CDA8F" w:rsidR="0004455B" w:rsidRDefault="0004455B" w:rsidP="00572906">
      <w:pPr>
        <w:jc w:val="both"/>
        <w:rPr>
          <w:rFonts w:ascii="Arial" w:hAnsi="Arial" w:cs="Arial"/>
          <w:sz w:val="20"/>
          <w:szCs w:val="20"/>
        </w:rPr>
      </w:pPr>
    </w:p>
    <w:p w14:paraId="5DC95466" w14:textId="4774868D" w:rsidR="00CE0DFA" w:rsidRDefault="00CE0DFA" w:rsidP="00572906">
      <w:pPr>
        <w:jc w:val="both"/>
        <w:rPr>
          <w:rFonts w:ascii="Arial" w:hAnsi="Arial" w:cs="Arial"/>
          <w:sz w:val="20"/>
          <w:szCs w:val="20"/>
        </w:rPr>
      </w:pPr>
      <w:r>
        <w:rPr>
          <w:rFonts w:ascii="Arial" w:hAnsi="Arial" w:cs="Arial"/>
          <w:sz w:val="20"/>
          <w:szCs w:val="20"/>
        </w:rPr>
        <w:t xml:space="preserve">In the Second Reading Speech in the Legislative Council on 09/03/2023 Minister Blandthorn explained the rationale for the Aboriginal </w:t>
      </w:r>
      <w:r w:rsidR="00D32E68">
        <w:rPr>
          <w:rFonts w:ascii="Arial" w:hAnsi="Arial" w:cs="Arial"/>
          <w:sz w:val="20"/>
          <w:szCs w:val="20"/>
        </w:rPr>
        <w:t>S</w:t>
      </w:r>
      <w:r>
        <w:rPr>
          <w:rFonts w:ascii="Arial" w:hAnsi="Arial" w:cs="Arial"/>
          <w:sz w:val="20"/>
          <w:szCs w:val="20"/>
        </w:rPr>
        <w:t xml:space="preserve">elf-determination </w:t>
      </w:r>
      <w:r w:rsidR="00D32E68">
        <w:rPr>
          <w:rFonts w:ascii="Arial" w:hAnsi="Arial" w:cs="Arial"/>
          <w:sz w:val="20"/>
          <w:szCs w:val="20"/>
        </w:rPr>
        <w:t xml:space="preserve">child protection </w:t>
      </w:r>
      <w:r>
        <w:rPr>
          <w:rFonts w:ascii="Arial" w:hAnsi="Arial" w:cs="Arial"/>
          <w:sz w:val="20"/>
          <w:szCs w:val="20"/>
        </w:rPr>
        <w:t>amendments as follows:</w:t>
      </w:r>
    </w:p>
    <w:p w14:paraId="3A8A4DAD" w14:textId="0F1330E4" w:rsidR="00CE0DFA" w:rsidRDefault="00CE0DFA" w:rsidP="00BA7CE5">
      <w:pPr>
        <w:spacing w:before="120"/>
        <w:ind w:left="454" w:right="454"/>
        <w:jc w:val="both"/>
        <w:rPr>
          <w:rFonts w:ascii="Arial" w:hAnsi="Arial" w:cs="Arial"/>
          <w:color w:val="000000"/>
          <w:sz w:val="20"/>
          <w:szCs w:val="20"/>
          <w:lang w:eastAsia="en-AU"/>
        </w:rPr>
      </w:pPr>
      <w:r>
        <w:rPr>
          <w:rFonts w:ascii="Arial" w:hAnsi="Arial" w:cs="Arial"/>
          <w:sz w:val="20"/>
          <w:szCs w:val="20"/>
        </w:rPr>
        <w:t>“</w:t>
      </w:r>
      <w:r w:rsidRPr="00CE0DFA">
        <w:rPr>
          <w:rFonts w:ascii="Arial" w:hAnsi="Arial" w:cs="Arial"/>
          <w:color w:val="000000"/>
          <w:sz w:val="20"/>
          <w:szCs w:val="20"/>
          <w:lang w:eastAsia="en-AU"/>
        </w:rPr>
        <w:t>Evidence given to the Yoorrook Justice Commission hearing in December 2022 brought into sharp focus the community’s concerns about the over-representation of Aboriginal children in the child protection system and the extent of children being removed from the care of their family. In an immediate response to this evidence, the Premier made a public commitment to work with the Minister and First Nations communities to devise a new child protection system to address these issues.</w:t>
      </w:r>
    </w:p>
    <w:p w14:paraId="6E475A4A" w14:textId="511FAF89"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includes proposals that represent very significant steps in progressing self-determination for Aboriginal communities. Steps that we can take now to improve the system as part of first stages of an overhaul to allow greater Aboriginal-led service delivery and improve outcomes for Aboriginal children, young people and communities, as we progress towards treaty.</w:t>
      </w:r>
    </w:p>
    <w:p w14:paraId="772DA493" w14:textId="00CC8B55"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Victoria is committed to meeting the National Agreement on Closing the Gap target to reduce the rate of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care by 45</w:t>
      </w:r>
      <w:r>
        <w:rPr>
          <w:rFonts w:ascii="Arial" w:hAnsi="Arial" w:cs="Arial"/>
          <w:color w:val="000000"/>
          <w:sz w:val="20"/>
          <w:szCs w:val="20"/>
          <w:lang w:eastAsia="en-AU"/>
        </w:rPr>
        <w:t xml:space="preserve">% </w:t>
      </w:r>
      <w:r w:rsidRPr="00CE0DFA">
        <w:rPr>
          <w:rFonts w:ascii="Arial" w:hAnsi="Arial" w:cs="Arial"/>
          <w:color w:val="000000"/>
          <w:sz w:val="20"/>
          <w:szCs w:val="20"/>
          <w:lang w:eastAsia="en-AU"/>
        </w:rPr>
        <w:t>by 2031. This commitment is underpinned by the 2018 Wungurilwil Gapgapduir: Aboriginal Children and Families Agreement that established a landmark partnership between the Aboriginal community, government and the child and family services sector to achieve better outcomes for Aboriginal children and young people. At the heart of Wungurilwil Gapgapduir is a commitment to the reduction of the over</w:t>
      </w:r>
      <w:r w:rsidRPr="00CE0DFA">
        <w:rPr>
          <w:rFonts w:ascii="Cambria Math" w:hAnsi="Cambria Math" w:cs="Cambria Math"/>
          <w:color w:val="000000"/>
          <w:sz w:val="20"/>
          <w:szCs w:val="20"/>
          <w:lang w:eastAsia="en-AU"/>
        </w:rPr>
        <w:t>‐</w:t>
      </w:r>
      <w:r w:rsidRPr="00CE0DFA">
        <w:rPr>
          <w:rFonts w:ascii="Arial" w:hAnsi="Arial" w:cs="Arial"/>
          <w:color w:val="000000"/>
          <w:sz w:val="20"/>
          <w:szCs w:val="20"/>
          <w:lang w:eastAsia="en-AU"/>
        </w:rPr>
        <w:t>representation of Aboriginal children in child protection and alternative care. This will be achieved by enabling the advancement of Aboriginal models of care and transferring decision making for Aboriginal children to Aboriginal community-controlled organisations. This Bill is an essential part of achieving that vision.</w:t>
      </w:r>
    </w:p>
    <w:p w14:paraId="3C4E40D4" w14:textId="1848FC0B" w:rsidR="00CE0DFA" w:rsidRDefault="00CE0DFA" w:rsidP="00BA7CE5">
      <w:pPr>
        <w:spacing w:before="120"/>
        <w:ind w:left="454" w:right="454"/>
        <w:jc w:val="both"/>
        <w:rPr>
          <w:rFonts w:ascii="Arial" w:hAnsi="Arial" w:cs="Arial"/>
          <w:color w:val="000000"/>
          <w:sz w:val="20"/>
          <w:szCs w:val="20"/>
          <w:lang w:eastAsia="en-AU"/>
        </w:rPr>
      </w:pPr>
      <w:r w:rsidRPr="00CE0DFA">
        <w:rPr>
          <w:rFonts w:ascii="Arial" w:hAnsi="Arial" w:cs="Arial"/>
          <w:color w:val="000000"/>
          <w:sz w:val="20"/>
          <w:szCs w:val="20"/>
          <w:lang w:eastAsia="en-AU"/>
        </w:rPr>
        <w:t>This Bill also supports the Victorian Aboriginal Affairs Framework, through the Government working in partnership with Aboriginal people to meet the goal that Aboriginal children are raised by Aboriginal families. In particular, the Bill advances the objectives of:</w:t>
      </w:r>
    </w:p>
    <w:p w14:paraId="42F9F9A1" w14:textId="78A2DAFE"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Eliminating the over</w:t>
      </w:r>
      <w:r w:rsidRPr="00CE0DFA">
        <w:rPr>
          <w:rFonts w:ascii="Cambria Math" w:hAnsi="Cambria Math" w:cs="Cambria Math"/>
          <w:color w:val="000000"/>
          <w:sz w:val="20"/>
          <w:lang w:eastAsia="en-AU"/>
        </w:rPr>
        <w:t>‐</w:t>
      </w:r>
      <w:r w:rsidRPr="00CE0DFA">
        <w:rPr>
          <w:rFonts w:ascii="Arial" w:hAnsi="Arial" w:cs="Arial"/>
          <w:color w:val="000000"/>
          <w:sz w:val="20"/>
          <w:lang w:eastAsia="en-AU"/>
        </w:rPr>
        <w:t>representation of Aboriginal children and young people in care,</w:t>
      </w:r>
    </w:p>
    <w:p w14:paraId="1AB8367D" w14:textId="5448E83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Aboriginal care, guardianship and management of Aboriginal children and young people in care, and</w:t>
      </w:r>
    </w:p>
    <w:p w14:paraId="0C01D9A8" w14:textId="486F407A" w:rsidR="00CE0DFA" w:rsidRPr="00CE0DFA" w:rsidRDefault="00CE0DFA">
      <w:pPr>
        <w:pStyle w:val="ListParagraph"/>
        <w:numPr>
          <w:ilvl w:val="0"/>
          <w:numId w:val="86"/>
        </w:numPr>
        <w:spacing w:before="20"/>
        <w:ind w:left="811" w:right="454" w:hanging="357"/>
        <w:jc w:val="both"/>
        <w:rPr>
          <w:rFonts w:ascii="Arial" w:hAnsi="Arial" w:cs="Arial"/>
          <w:sz w:val="20"/>
        </w:rPr>
      </w:pPr>
      <w:r w:rsidRPr="00CE0DFA">
        <w:rPr>
          <w:rFonts w:ascii="Arial" w:hAnsi="Arial" w:cs="Arial"/>
          <w:color w:val="000000"/>
          <w:sz w:val="20"/>
          <w:lang w:eastAsia="en-AU"/>
        </w:rPr>
        <w:t>Increasing family reunification for Aboriginal children and young people in care.</w:t>
      </w:r>
      <w:r>
        <w:rPr>
          <w:rFonts w:ascii="Arial" w:hAnsi="Arial" w:cs="Arial"/>
          <w:color w:val="000000"/>
          <w:sz w:val="20"/>
          <w:lang w:eastAsia="en-AU"/>
        </w:rPr>
        <w:t>”</w:t>
      </w:r>
    </w:p>
    <w:p w14:paraId="1BC103D5" w14:textId="77777777" w:rsidR="00AD2CF9" w:rsidRPr="008732E5" w:rsidRDefault="00AD2CF9" w:rsidP="00AD2CF9">
      <w:pPr>
        <w:jc w:val="both"/>
        <w:rPr>
          <w:rFonts w:ascii="Arial" w:hAnsi="Arial" w:cs="Arial"/>
          <w:sz w:val="18"/>
          <w:szCs w:val="18"/>
        </w:rPr>
      </w:pPr>
    </w:p>
    <w:p w14:paraId="56BCCC8F" w14:textId="77777777" w:rsidR="00AD2CF9" w:rsidRDefault="00AD2CF9" w:rsidP="00AD2CF9">
      <w:pPr>
        <w:jc w:val="both"/>
        <w:rPr>
          <w:rFonts w:ascii="Arial" w:hAnsi="Arial" w:cs="Arial"/>
          <w:sz w:val="20"/>
          <w:szCs w:val="20"/>
        </w:rPr>
      </w:pPr>
      <w:r>
        <w:rPr>
          <w:rFonts w:ascii="Arial" w:hAnsi="Arial" w:cs="Arial"/>
          <w:sz w:val="20"/>
          <w:szCs w:val="20"/>
        </w:rPr>
        <w:t xml:space="preserve">The purpose of </w:t>
      </w:r>
      <w:r w:rsidRPr="004941FA">
        <w:rPr>
          <w:rFonts w:ascii="Arial" w:hAnsi="Arial" w:cs="Arial"/>
          <w:b/>
          <w:bCs/>
          <w:sz w:val="20"/>
          <w:szCs w:val="20"/>
        </w:rPr>
        <w:t>new s.18</w:t>
      </w:r>
      <w:r>
        <w:rPr>
          <w:rFonts w:ascii="Arial" w:hAnsi="Arial" w:cs="Arial"/>
          <w:sz w:val="20"/>
          <w:szCs w:val="20"/>
        </w:rPr>
        <w:t xml:space="preserve"> is described in the Explanatory Memorandum at p.9 as follows:</w:t>
      </w:r>
    </w:p>
    <w:p w14:paraId="24005D0C" w14:textId="77777777" w:rsidR="00AD2CF9" w:rsidRDefault="00AD2CF9" w:rsidP="00AD2CF9">
      <w:pPr>
        <w:spacing w:before="60"/>
        <w:ind w:left="454" w:right="454"/>
        <w:jc w:val="both"/>
        <w:rPr>
          <w:rFonts w:ascii="Arial" w:hAnsi="Arial" w:cs="Arial"/>
          <w:sz w:val="20"/>
          <w:szCs w:val="20"/>
        </w:rPr>
      </w:pPr>
      <w:r>
        <w:rPr>
          <w:rFonts w:ascii="Arial" w:hAnsi="Arial" w:cs="Arial"/>
          <w:sz w:val="20"/>
          <w:szCs w:val="20"/>
        </w:rPr>
        <w:t xml:space="preserve">“New s.18 provides for seamless authorisation of the functions and powers of the Secretary from protective intervention through to protection orders and other relevant orders to provide for consistency of </w:t>
      </w:r>
      <w:r w:rsidRPr="00256A35">
        <w:rPr>
          <w:rFonts w:ascii="Arial" w:hAnsi="Arial" w:cs="Arial"/>
          <w:sz w:val="20"/>
          <w:szCs w:val="20"/>
        </w:rPr>
        <w:t>culturally appropriate service delivery</w:t>
      </w:r>
      <w:r>
        <w:rPr>
          <w:rFonts w:ascii="Arial" w:hAnsi="Arial" w:cs="Arial"/>
          <w:sz w:val="20"/>
          <w:szCs w:val="20"/>
        </w:rPr>
        <w:t xml:space="preserve"> to Aboriginal children and their families.  This will also be an expansion of the Secretary’s existing authorisation power as it enables an Aboriginal agency to be </w:t>
      </w:r>
      <w:r w:rsidRPr="00256A35">
        <w:rPr>
          <w:rFonts w:ascii="Arial" w:hAnsi="Arial" w:cs="Arial"/>
          <w:sz w:val="20"/>
          <w:szCs w:val="20"/>
        </w:rPr>
        <w:t>authorised to manage a child</w:t>
      </w:r>
      <w:r>
        <w:rPr>
          <w:rFonts w:ascii="Arial" w:hAnsi="Arial" w:cs="Arial"/>
          <w:sz w:val="20"/>
          <w:szCs w:val="20"/>
        </w:rPr>
        <w:t xml:space="preserve"> who is subject to relevant orders, in addition to protection orders.  Further it enables an authorisation to be made with respect to classes of Aboriginal children and their siblings, in addition to a specific Aboriginal child and their sibling.”</w:t>
      </w:r>
    </w:p>
    <w:p w14:paraId="3A8858BC" w14:textId="77777777" w:rsidR="00AD2CF9" w:rsidRPr="008732E5" w:rsidRDefault="00AD2CF9" w:rsidP="004F636A">
      <w:pPr>
        <w:jc w:val="both"/>
        <w:rPr>
          <w:rFonts w:ascii="Arial" w:hAnsi="Arial" w:cs="Arial"/>
          <w:sz w:val="18"/>
          <w:szCs w:val="22"/>
        </w:rPr>
      </w:pPr>
    </w:p>
    <w:p w14:paraId="132C8AF4" w14:textId="6E15B9A1" w:rsidR="0040471F" w:rsidRPr="0040471F" w:rsidRDefault="0040471F" w:rsidP="004F636A">
      <w:pPr>
        <w:jc w:val="both"/>
        <w:rPr>
          <w:rFonts w:ascii="Arial" w:hAnsi="Arial" w:cs="Arial"/>
          <w:sz w:val="22"/>
          <w:szCs w:val="28"/>
        </w:rPr>
      </w:pPr>
      <w:r w:rsidRPr="0040471F">
        <w:rPr>
          <w:rFonts w:ascii="Arial" w:hAnsi="Arial" w:cs="Arial"/>
          <w:b/>
          <w:bCs/>
          <w:sz w:val="20"/>
          <w:szCs w:val="20"/>
        </w:rPr>
        <w:lastRenderedPageBreak/>
        <w:t>New s.18(1)</w:t>
      </w:r>
      <w:r w:rsidRPr="0040471F">
        <w:rPr>
          <w:rFonts w:ascii="Arial" w:hAnsi="Arial" w:cs="Arial"/>
          <w:sz w:val="20"/>
          <w:szCs w:val="20"/>
        </w:rPr>
        <w:t xml:space="preserve"> empower</w:t>
      </w:r>
      <w:r w:rsidR="00BA7CE5">
        <w:rPr>
          <w:rFonts w:ascii="Arial" w:hAnsi="Arial" w:cs="Arial"/>
          <w:sz w:val="20"/>
          <w:szCs w:val="20"/>
        </w:rPr>
        <w:t>s</w:t>
      </w:r>
      <w:r w:rsidRPr="0040471F">
        <w:rPr>
          <w:rFonts w:ascii="Arial" w:hAnsi="Arial" w:cs="Arial"/>
          <w:sz w:val="20"/>
          <w:szCs w:val="20"/>
        </w:rPr>
        <w:t xml:space="preserve"> the Secretary DFFH to authorise the principal officer of an Aboriginal agency – who must be an Aboriginal person [see </w:t>
      </w:r>
      <w:r w:rsidRPr="0040471F">
        <w:rPr>
          <w:rFonts w:ascii="Arial" w:hAnsi="Arial" w:cs="Arial"/>
          <w:b/>
          <w:bCs/>
          <w:sz w:val="20"/>
          <w:szCs w:val="20"/>
        </w:rPr>
        <w:t>s.18(5)</w:t>
      </w:r>
      <w:r w:rsidRPr="0040471F">
        <w:rPr>
          <w:rFonts w:ascii="Arial" w:hAnsi="Arial" w:cs="Arial"/>
          <w:sz w:val="20"/>
          <w:szCs w:val="20"/>
        </w:rPr>
        <w:t xml:space="preserve">] – to perform the specific functions and exercise the specific powers detailed in </w:t>
      </w:r>
      <w:r w:rsidRPr="00CE0DFA">
        <w:rPr>
          <w:rFonts w:ascii="Arial" w:hAnsi="Arial" w:cs="Arial"/>
          <w:b/>
          <w:bCs/>
          <w:sz w:val="20"/>
          <w:szCs w:val="20"/>
        </w:rPr>
        <w:t>s.18(2)</w:t>
      </w:r>
      <w:r w:rsidRPr="0040471F">
        <w:rPr>
          <w:rFonts w:ascii="Arial" w:hAnsi="Arial" w:cs="Arial"/>
          <w:sz w:val="20"/>
          <w:szCs w:val="20"/>
        </w:rPr>
        <w:t xml:space="preserve"> in respect of the protection of-</w:t>
      </w:r>
    </w:p>
    <w:p w14:paraId="719D218E" w14:textId="77777777" w:rsidR="0040471F" w:rsidRPr="0040471F" w:rsidRDefault="0040471F">
      <w:pPr>
        <w:pStyle w:val="ListParagraph"/>
        <w:numPr>
          <w:ilvl w:val="0"/>
          <w:numId w:val="82"/>
        </w:numPr>
        <w:ind w:left="357" w:hanging="357"/>
        <w:contextualSpacing/>
        <w:jc w:val="both"/>
        <w:rPr>
          <w:rFonts w:ascii="Arial" w:hAnsi="Arial" w:cs="Arial"/>
          <w:sz w:val="20"/>
        </w:rPr>
      </w:pPr>
      <w:r w:rsidRPr="0040471F">
        <w:rPr>
          <w:rFonts w:ascii="Arial" w:hAnsi="Arial" w:cs="Arial"/>
          <w:sz w:val="20"/>
        </w:rPr>
        <w:t>an Aboriginal child;</w:t>
      </w:r>
    </w:p>
    <w:p w14:paraId="341D373A" w14:textId="77777777" w:rsidR="0040471F" w:rsidRPr="0040471F" w:rsidRDefault="0040471F">
      <w:pPr>
        <w:pStyle w:val="ListParagraph"/>
        <w:numPr>
          <w:ilvl w:val="0"/>
          <w:numId w:val="83"/>
        </w:numPr>
        <w:ind w:left="357" w:hanging="357"/>
        <w:contextualSpacing/>
        <w:jc w:val="both"/>
        <w:rPr>
          <w:rFonts w:ascii="Arial" w:hAnsi="Arial" w:cs="Arial"/>
          <w:sz w:val="20"/>
        </w:rPr>
      </w:pPr>
      <w:r w:rsidRPr="0040471F">
        <w:rPr>
          <w:rFonts w:ascii="Arial" w:hAnsi="Arial" w:cs="Arial"/>
          <w:sz w:val="20"/>
        </w:rPr>
        <w:t>any non-Aboriginal sibling of an Aboriginal child for whom an authorisation has been made;</w:t>
      </w:r>
    </w:p>
    <w:p w14:paraId="5FDC829C" w14:textId="77777777" w:rsidR="0040471F" w:rsidRPr="0040471F" w:rsidRDefault="0040471F">
      <w:pPr>
        <w:pStyle w:val="ListParagraph"/>
        <w:numPr>
          <w:ilvl w:val="0"/>
          <w:numId w:val="84"/>
        </w:numPr>
        <w:ind w:left="357" w:hanging="357"/>
        <w:contextualSpacing/>
        <w:jc w:val="both"/>
        <w:rPr>
          <w:rFonts w:ascii="Arial" w:hAnsi="Arial" w:cs="Arial"/>
          <w:sz w:val="20"/>
        </w:rPr>
      </w:pPr>
      <w:r w:rsidRPr="0040471F">
        <w:rPr>
          <w:rFonts w:ascii="Arial" w:hAnsi="Arial" w:cs="Arial"/>
          <w:sz w:val="20"/>
        </w:rPr>
        <w:t>a child or class of children whom the Secretary believes to be Aboriginal;</w:t>
      </w:r>
    </w:p>
    <w:p w14:paraId="298B9302" w14:textId="77777777" w:rsidR="0040471F" w:rsidRPr="0040471F" w:rsidRDefault="0040471F">
      <w:pPr>
        <w:pStyle w:val="ListParagraph"/>
        <w:numPr>
          <w:ilvl w:val="0"/>
          <w:numId w:val="85"/>
        </w:numPr>
        <w:ind w:left="357" w:hanging="357"/>
        <w:contextualSpacing/>
        <w:jc w:val="both"/>
        <w:rPr>
          <w:rFonts w:ascii="Arial" w:hAnsi="Arial" w:cs="Arial"/>
          <w:sz w:val="20"/>
        </w:rPr>
      </w:pPr>
      <w:r w:rsidRPr="0040471F">
        <w:rPr>
          <w:rFonts w:ascii="Arial" w:hAnsi="Arial" w:cs="Arial"/>
          <w:sz w:val="20"/>
        </w:rPr>
        <w:t>any non-Aboriginal sibling of an Aboriginal child or class of children for whom an authorisation has been made.</w:t>
      </w:r>
    </w:p>
    <w:p w14:paraId="3DA95F51" w14:textId="77777777" w:rsidR="00903B42" w:rsidRPr="008732E5" w:rsidRDefault="00903B42" w:rsidP="00903B42">
      <w:pPr>
        <w:jc w:val="both"/>
        <w:rPr>
          <w:rFonts w:ascii="Arial" w:hAnsi="Arial" w:cs="Arial"/>
          <w:sz w:val="18"/>
          <w:szCs w:val="18"/>
        </w:rPr>
      </w:pPr>
    </w:p>
    <w:p w14:paraId="25BA6A8A" w14:textId="77777777" w:rsidR="00903B42" w:rsidRPr="0040471F" w:rsidRDefault="00903B42" w:rsidP="00903B42">
      <w:pPr>
        <w:spacing w:before="20"/>
        <w:jc w:val="both"/>
        <w:rPr>
          <w:rFonts w:ascii="Arial" w:hAnsi="Arial" w:cs="Arial"/>
          <w:sz w:val="20"/>
          <w:szCs w:val="20"/>
        </w:rPr>
      </w:pPr>
      <w:r w:rsidRPr="0040471F">
        <w:rPr>
          <w:rFonts w:ascii="Arial" w:hAnsi="Arial" w:cs="Arial"/>
          <w:b/>
          <w:bCs/>
          <w:sz w:val="20"/>
          <w:szCs w:val="20"/>
        </w:rPr>
        <w:t>New s.18(2)</w:t>
      </w:r>
      <w:r w:rsidRPr="0040471F">
        <w:rPr>
          <w:rFonts w:ascii="Arial" w:hAnsi="Arial" w:cs="Arial"/>
          <w:sz w:val="20"/>
          <w:szCs w:val="20"/>
        </w:rPr>
        <w:t xml:space="preserve"> provide</w:t>
      </w:r>
      <w:r>
        <w:rPr>
          <w:rFonts w:ascii="Arial" w:hAnsi="Arial" w:cs="Arial"/>
          <w:sz w:val="20"/>
          <w:szCs w:val="20"/>
        </w:rPr>
        <w:t>s</w:t>
      </w:r>
      <w:r w:rsidRPr="0040471F">
        <w:rPr>
          <w:rFonts w:ascii="Arial" w:hAnsi="Arial" w:cs="Arial"/>
          <w:sz w:val="20"/>
          <w:szCs w:val="20"/>
        </w:rPr>
        <w:t xml:space="preserve"> that the functions and powers that may be specified are those conferred by or under the CYFA on the Secretary DFFH-</w:t>
      </w:r>
    </w:p>
    <w:p w14:paraId="7B95E7E0"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as a protective intervener; and</w:t>
      </w:r>
    </w:p>
    <w:p w14:paraId="40ED81F9"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to receive reports under s.185 and to investigate those reports; and</w:t>
      </w:r>
    </w:p>
    <w:p w14:paraId="72A00233" w14:textId="77777777" w:rsidR="00903B42" w:rsidRPr="0040471F" w:rsidRDefault="00903B42">
      <w:pPr>
        <w:pStyle w:val="ListParagraph"/>
        <w:numPr>
          <w:ilvl w:val="0"/>
          <w:numId w:val="81"/>
        </w:numPr>
        <w:ind w:left="357" w:hanging="357"/>
        <w:contextualSpacing/>
        <w:jc w:val="both"/>
        <w:rPr>
          <w:rFonts w:ascii="Arial" w:hAnsi="Arial" w:cs="Arial"/>
          <w:sz w:val="20"/>
        </w:rPr>
      </w:pPr>
      <w:r w:rsidRPr="0040471F">
        <w:rPr>
          <w:rFonts w:ascii="Arial" w:hAnsi="Arial" w:cs="Arial"/>
          <w:sz w:val="20"/>
        </w:rPr>
        <w:t xml:space="preserve">in relation to a protection order, a temporary assessment order, an interim accommodation order, a therapeutic treatment order, a therapeutic treatment (placement) order </w:t>
      </w:r>
      <w:r>
        <w:rPr>
          <w:rFonts w:ascii="Arial" w:hAnsi="Arial" w:cs="Arial"/>
          <w:sz w:val="20"/>
        </w:rPr>
        <w:t>and</w:t>
      </w:r>
      <w:r w:rsidRPr="0040471F">
        <w:rPr>
          <w:rFonts w:ascii="Arial" w:hAnsi="Arial" w:cs="Arial"/>
          <w:sz w:val="20"/>
        </w:rPr>
        <w:t xml:space="preserve"> a permanent care order.</w:t>
      </w:r>
    </w:p>
    <w:p w14:paraId="640ADDF9" w14:textId="40347D13" w:rsidR="00903B42" w:rsidRDefault="00903B42" w:rsidP="004F636A">
      <w:pPr>
        <w:jc w:val="both"/>
        <w:rPr>
          <w:rFonts w:ascii="Arial" w:hAnsi="Arial" w:cs="Arial"/>
          <w:sz w:val="20"/>
          <w:szCs w:val="20"/>
        </w:rPr>
      </w:pPr>
    </w:p>
    <w:p w14:paraId="38AF100E" w14:textId="1B260A3E" w:rsidR="00903B42" w:rsidRDefault="00903B42" w:rsidP="004F636A">
      <w:pPr>
        <w:jc w:val="both"/>
        <w:rPr>
          <w:rFonts w:ascii="Arial" w:hAnsi="Arial" w:cs="Arial"/>
          <w:sz w:val="20"/>
          <w:szCs w:val="20"/>
        </w:rPr>
      </w:pPr>
      <w:r w:rsidRPr="0040471F">
        <w:rPr>
          <w:rFonts w:ascii="Arial" w:hAnsi="Arial" w:cs="Arial"/>
          <w:b/>
          <w:bCs/>
          <w:sz w:val="20"/>
          <w:szCs w:val="20"/>
        </w:rPr>
        <w:t>New s.18(</w:t>
      </w:r>
      <w:r>
        <w:rPr>
          <w:rFonts w:ascii="Arial" w:hAnsi="Arial" w:cs="Arial"/>
          <w:b/>
          <w:bCs/>
          <w:sz w:val="20"/>
          <w:szCs w:val="20"/>
        </w:rPr>
        <w:t>3</w:t>
      </w:r>
      <w:r w:rsidRPr="0040471F">
        <w:rPr>
          <w:rFonts w:ascii="Arial" w:hAnsi="Arial" w:cs="Arial"/>
          <w:b/>
          <w:bCs/>
          <w:sz w:val="20"/>
          <w:szCs w:val="20"/>
        </w:rPr>
        <w:t>)</w:t>
      </w:r>
      <w:r>
        <w:rPr>
          <w:rFonts w:ascii="Arial" w:hAnsi="Arial" w:cs="Arial"/>
          <w:b/>
          <w:bCs/>
          <w:sz w:val="20"/>
          <w:szCs w:val="20"/>
        </w:rPr>
        <w:t xml:space="preserve"> </w:t>
      </w:r>
      <w:r w:rsidRPr="0040471F">
        <w:rPr>
          <w:rFonts w:ascii="Arial" w:hAnsi="Arial" w:cs="Arial"/>
          <w:sz w:val="20"/>
          <w:szCs w:val="20"/>
        </w:rPr>
        <w:t>provide</w:t>
      </w:r>
      <w:r>
        <w:rPr>
          <w:rFonts w:ascii="Arial" w:hAnsi="Arial" w:cs="Arial"/>
          <w:sz w:val="20"/>
          <w:szCs w:val="20"/>
        </w:rPr>
        <w:t>s</w:t>
      </w:r>
      <w:r w:rsidRPr="0040471F">
        <w:rPr>
          <w:rFonts w:ascii="Arial" w:hAnsi="Arial" w:cs="Arial"/>
          <w:sz w:val="20"/>
          <w:szCs w:val="20"/>
        </w:rPr>
        <w:t xml:space="preserve"> that</w:t>
      </w:r>
      <w:r>
        <w:rPr>
          <w:rFonts w:ascii="Arial" w:hAnsi="Arial" w:cs="Arial"/>
          <w:sz w:val="20"/>
          <w:szCs w:val="20"/>
        </w:rPr>
        <w:t xml:space="preserve"> such authorisation may only be made with the agreement of the Aboriginal agency and the principal officer.  </w:t>
      </w:r>
      <w:r w:rsidRPr="00903B42">
        <w:rPr>
          <w:rFonts w:ascii="Arial" w:hAnsi="Arial" w:cs="Arial"/>
          <w:b/>
          <w:bCs/>
          <w:sz w:val="20"/>
          <w:szCs w:val="20"/>
        </w:rPr>
        <w:t>New s.18(4)</w:t>
      </w:r>
      <w:r>
        <w:rPr>
          <w:rFonts w:ascii="Arial" w:hAnsi="Arial" w:cs="Arial"/>
          <w:sz w:val="20"/>
          <w:szCs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025E56AF" w14:textId="77777777" w:rsidR="00903B42" w:rsidRPr="00903B42" w:rsidRDefault="00903B42" w:rsidP="004F636A">
      <w:pPr>
        <w:jc w:val="both"/>
        <w:rPr>
          <w:rFonts w:ascii="Arial" w:hAnsi="Arial" w:cs="Arial"/>
          <w:sz w:val="20"/>
          <w:szCs w:val="20"/>
        </w:rPr>
      </w:pPr>
    </w:p>
    <w:p w14:paraId="6F506C65" w14:textId="1539C36D" w:rsidR="0004455B" w:rsidRDefault="0040471F" w:rsidP="004F636A">
      <w:pPr>
        <w:jc w:val="both"/>
        <w:rPr>
          <w:rFonts w:ascii="Arial" w:hAnsi="Arial" w:cs="Arial"/>
          <w:sz w:val="20"/>
          <w:szCs w:val="20"/>
        </w:rPr>
      </w:pPr>
      <w:r w:rsidRPr="0040471F">
        <w:rPr>
          <w:rFonts w:ascii="Arial" w:hAnsi="Arial" w:cs="Arial"/>
          <w:b/>
          <w:bCs/>
          <w:sz w:val="20"/>
          <w:szCs w:val="20"/>
        </w:rPr>
        <w:t>New s.18(6)</w:t>
      </w:r>
      <w:r w:rsidRPr="0040471F">
        <w:rPr>
          <w:rFonts w:ascii="Arial" w:hAnsi="Arial" w:cs="Arial"/>
          <w:sz w:val="20"/>
          <w:szCs w:val="20"/>
        </w:rPr>
        <w:t xml:space="preserve"> provid</w:t>
      </w:r>
      <w:r w:rsidR="00E91FD2">
        <w:rPr>
          <w:rFonts w:ascii="Arial" w:hAnsi="Arial" w:cs="Arial"/>
          <w:sz w:val="20"/>
          <w:szCs w:val="20"/>
        </w:rPr>
        <w:t>es</w:t>
      </w:r>
      <w:r w:rsidRPr="0040471F">
        <w:rPr>
          <w:rFonts w:ascii="Arial" w:hAnsi="Arial" w:cs="Arial"/>
          <w:sz w:val="20"/>
          <w:szCs w:val="20"/>
        </w:rPr>
        <w:t xml:space="preserve"> that before giving an authorisation under paragraphs (a) or (c), the Secretary DFFH must have regard to any view expressed by the child and the parent of the child if those views can be reasonably obtained.</w:t>
      </w:r>
    </w:p>
    <w:p w14:paraId="5C1C606A" w14:textId="77777777" w:rsidR="00CE0DFA" w:rsidRPr="008732E5" w:rsidRDefault="00CE0DFA" w:rsidP="004F636A">
      <w:pPr>
        <w:jc w:val="both"/>
        <w:rPr>
          <w:rFonts w:ascii="Arial" w:hAnsi="Arial" w:cs="Arial"/>
          <w:sz w:val="18"/>
          <w:szCs w:val="18"/>
        </w:rPr>
      </w:pPr>
    </w:p>
    <w:p w14:paraId="1F7F9E26" w14:textId="188B0E8B" w:rsidR="00CE0DFA" w:rsidRPr="0004455B" w:rsidRDefault="00CE0DFA" w:rsidP="002B288C">
      <w:pPr>
        <w:jc w:val="both"/>
        <w:rPr>
          <w:rFonts w:ascii="Arial" w:hAnsi="Arial" w:cs="Arial"/>
          <w:sz w:val="20"/>
        </w:rPr>
      </w:pPr>
      <w:r w:rsidRPr="0004455B">
        <w:rPr>
          <w:rFonts w:ascii="Arial" w:hAnsi="Arial" w:cs="Arial"/>
          <w:b/>
          <w:bCs/>
          <w:sz w:val="20"/>
          <w:szCs w:val="20"/>
        </w:rPr>
        <w:t>New s.18(7)</w:t>
      </w:r>
      <w:r w:rsidRPr="0004455B">
        <w:rPr>
          <w:rFonts w:ascii="Arial" w:hAnsi="Arial" w:cs="Arial"/>
          <w:sz w:val="20"/>
          <w:szCs w:val="20"/>
        </w:rPr>
        <w:t xml:space="preserve"> provide</w:t>
      </w:r>
      <w:r w:rsidR="00E91FD2">
        <w:rPr>
          <w:rFonts w:ascii="Arial" w:hAnsi="Arial" w:cs="Arial"/>
          <w:sz w:val="20"/>
          <w:szCs w:val="20"/>
        </w:rPr>
        <w:t>s</w:t>
      </w:r>
      <w:r w:rsidRPr="0004455B">
        <w:rPr>
          <w:rFonts w:ascii="Arial" w:hAnsi="Arial" w:cs="Arial"/>
          <w:sz w:val="20"/>
          <w:szCs w:val="20"/>
        </w:rPr>
        <w:t xml:space="preserve"> that on an authorisation being given, the CYFA applies in relation to the </w:t>
      </w:r>
      <w:r w:rsidRPr="00DC652B">
        <w:rPr>
          <w:rFonts w:ascii="Arial" w:hAnsi="Arial" w:cs="Arial"/>
          <w:sz w:val="20"/>
          <w:szCs w:val="20"/>
        </w:rPr>
        <w:t>performance</w:t>
      </w:r>
      <w:r w:rsidRPr="0004455B">
        <w:rPr>
          <w:rFonts w:ascii="Arial" w:hAnsi="Arial" w:cs="Arial"/>
          <w:sz w:val="20"/>
          <w:szCs w:val="20"/>
        </w:rPr>
        <w:t xml:space="preserve"> of the specified functions or the exercise of the specified powers referred to in </w:t>
      </w:r>
      <w:r w:rsidRPr="0004455B">
        <w:rPr>
          <w:rFonts w:ascii="Arial" w:hAnsi="Arial" w:cs="Arial"/>
          <w:b/>
          <w:bCs/>
          <w:sz w:val="20"/>
          <w:szCs w:val="20"/>
        </w:rPr>
        <w:t>s.18(2)</w:t>
      </w:r>
      <w:r w:rsidRPr="0004455B">
        <w:rPr>
          <w:rFonts w:ascii="Arial" w:hAnsi="Arial" w:cs="Arial"/>
          <w:sz w:val="20"/>
          <w:szCs w:val="20"/>
        </w:rPr>
        <w:t xml:space="preserve"> for the specified child(ren) as if the authorised principal officer were the Secretary.</w:t>
      </w:r>
    </w:p>
    <w:p w14:paraId="59DB156C" w14:textId="77777777" w:rsidR="00F025A7" w:rsidRPr="008732E5" w:rsidRDefault="00F025A7" w:rsidP="00F025A7">
      <w:pPr>
        <w:jc w:val="both"/>
        <w:rPr>
          <w:rFonts w:ascii="Arial" w:hAnsi="Arial" w:cs="Arial"/>
          <w:sz w:val="18"/>
          <w:szCs w:val="18"/>
        </w:rPr>
      </w:pPr>
    </w:p>
    <w:p w14:paraId="2E2FB184" w14:textId="77777777" w:rsidR="00504AD4" w:rsidRPr="00504AD4" w:rsidRDefault="00504AD4" w:rsidP="00504AD4">
      <w:pPr>
        <w:jc w:val="both"/>
        <w:rPr>
          <w:rFonts w:ascii="Arial" w:hAnsi="Arial" w:cs="Arial"/>
          <w:sz w:val="20"/>
          <w:szCs w:val="20"/>
        </w:rPr>
      </w:pPr>
      <w:r w:rsidRPr="00504AD4">
        <w:rPr>
          <w:rFonts w:ascii="Arial" w:hAnsi="Arial" w:cs="Arial"/>
          <w:b/>
          <w:bCs/>
          <w:sz w:val="20"/>
          <w:szCs w:val="20"/>
        </w:rPr>
        <w:t>Existing ss.181(a) &amp; (b)</w:t>
      </w:r>
      <w:r w:rsidRPr="00504AD4">
        <w:rPr>
          <w:rFonts w:ascii="Arial" w:hAnsi="Arial" w:cs="Arial"/>
          <w:sz w:val="20"/>
          <w:szCs w:val="20"/>
        </w:rPr>
        <w:t xml:space="preserve"> provide that for the purposes of the CYFA the following persons are protective interveners:</w:t>
      </w:r>
    </w:p>
    <w:p w14:paraId="76B9E8B8"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Secretary DFFH; and</w:t>
      </w:r>
    </w:p>
    <w:p w14:paraId="5521DDE4" w14:textId="2241D81D"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all police officers.</w:t>
      </w:r>
    </w:p>
    <w:p w14:paraId="0F4A6832" w14:textId="77777777" w:rsidR="00504AD4" w:rsidRPr="00504AD4" w:rsidRDefault="00504AD4" w:rsidP="00377641">
      <w:pPr>
        <w:spacing w:before="20"/>
        <w:jc w:val="both"/>
        <w:rPr>
          <w:rFonts w:ascii="Arial" w:hAnsi="Arial" w:cs="Arial"/>
          <w:sz w:val="20"/>
          <w:szCs w:val="20"/>
        </w:rPr>
      </w:pPr>
      <w:r w:rsidRPr="00504AD4">
        <w:rPr>
          <w:rFonts w:ascii="Arial" w:hAnsi="Arial" w:cs="Arial"/>
          <w:b/>
          <w:bCs/>
          <w:sz w:val="20"/>
          <w:szCs w:val="20"/>
        </w:rPr>
        <w:t>New s.181(c)</w:t>
      </w:r>
      <w:r w:rsidRPr="00504AD4">
        <w:rPr>
          <w:rFonts w:ascii="Arial" w:hAnsi="Arial" w:cs="Arial"/>
          <w:sz w:val="20"/>
          <w:szCs w:val="20"/>
        </w:rPr>
        <w:t xml:space="preserve"> complements new s.18 by adding to s.181:</w:t>
      </w:r>
    </w:p>
    <w:p w14:paraId="44A31E82" w14:textId="77777777" w:rsidR="00504AD4" w:rsidRPr="00504AD4" w:rsidRDefault="00504AD4">
      <w:pPr>
        <w:pStyle w:val="ListParagraph"/>
        <w:numPr>
          <w:ilvl w:val="0"/>
          <w:numId w:val="88"/>
        </w:numPr>
        <w:ind w:left="357" w:hanging="357"/>
        <w:contextualSpacing/>
        <w:jc w:val="both"/>
        <w:rPr>
          <w:rFonts w:ascii="Arial" w:hAnsi="Arial" w:cs="Arial"/>
          <w:sz w:val="20"/>
        </w:rPr>
      </w:pPr>
      <w:r w:rsidRPr="00504AD4">
        <w:rPr>
          <w:rFonts w:ascii="Arial" w:hAnsi="Arial" w:cs="Arial"/>
          <w:sz w:val="20"/>
        </w:rPr>
        <w:t>the principal officer of an Aboriginal agency authorised under s.18 to perform functions and exercise powers of a protective intervener, to the extent that the principal officer performs those functions and exercises those powers in relation to a child who is the subject of the authorisation.</w:t>
      </w:r>
    </w:p>
    <w:p w14:paraId="632C1BB4" w14:textId="77777777" w:rsidR="00504AD4" w:rsidRPr="00BC4471" w:rsidRDefault="00504AD4" w:rsidP="004F636A">
      <w:pPr>
        <w:jc w:val="both"/>
        <w:rPr>
          <w:rFonts w:ascii="Arial" w:hAnsi="Arial" w:cs="Arial"/>
          <w:sz w:val="20"/>
          <w:szCs w:val="20"/>
        </w:rPr>
      </w:pPr>
    </w:p>
    <w:p w14:paraId="603D1076" w14:textId="21C9E984" w:rsidR="00D153F6" w:rsidRPr="00122549" w:rsidRDefault="00D153F6" w:rsidP="004F636A">
      <w:pPr>
        <w:spacing w:before="20"/>
        <w:jc w:val="both"/>
        <w:rPr>
          <w:rFonts w:ascii="Arial" w:hAnsi="Arial" w:cs="Arial"/>
          <w:sz w:val="20"/>
          <w:szCs w:val="20"/>
        </w:rPr>
      </w:pPr>
      <w:r w:rsidRPr="00BC5A01">
        <w:rPr>
          <w:rFonts w:ascii="Arial" w:hAnsi="Arial" w:cs="Arial"/>
          <w:b/>
          <w:bCs/>
          <w:sz w:val="20"/>
          <w:szCs w:val="20"/>
        </w:rPr>
        <w:t xml:space="preserve">New </w:t>
      </w:r>
      <w:r w:rsidRPr="00122549">
        <w:rPr>
          <w:rFonts w:ascii="Arial" w:hAnsi="Arial" w:cs="Arial"/>
          <w:b/>
          <w:bCs/>
          <w:sz w:val="20"/>
          <w:szCs w:val="20"/>
        </w:rPr>
        <w:t>s.18AAA</w:t>
      </w:r>
      <w:r w:rsidRPr="00122549">
        <w:rPr>
          <w:rFonts w:ascii="Arial" w:hAnsi="Arial" w:cs="Arial"/>
          <w:sz w:val="20"/>
          <w:szCs w:val="20"/>
        </w:rPr>
        <w:t xml:space="preserve"> empower</w:t>
      </w:r>
      <w:r w:rsidR="00E127DD">
        <w:rPr>
          <w:rFonts w:ascii="Arial" w:hAnsi="Arial" w:cs="Arial"/>
          <w:sz w:val="20"/>
          <w:szCs w:val="20"/>
        </w:rPr>
        <w:t>s</w:t>
      </w:r>
      <w:r w:rsidRPr="00122549">
        <w:rPr>
          <w:rFonts w:ascii="Arial" w:hAnsi="Arial" w:cs="Arial"/>
          <w:sz w:val="20"/>
          <w:szCs w:val="20"/>
        </w:rPr>
        <w:t xml:space="preserve"> the Secretary DFFH to revoke an authorisation under s.18(1) </w:t>
      </w:r>
      <w:r w:rsidR="00887AA4">
        <w:rPr>
          <w:rFonts w:ascii="Arial" w:hAnsi="Arial" w:cs="Arial"/>
          <w:sz w:val="20"/>
          <w:szCs w:val="20"/>
        </w:rPr>
        <w:t xml:space="preserve">in writing </w:t>
      </w:r>
      <w:r w:rsidRPr="00122549">
        <w:rPr>
          <w:rFonts w:ascii="Arial" w:hAnsi="Arial" w:cs="Arial"/>
          <w:sz w:val="20"/>
          <w:szCs w:val="20"/>
        </w:rPr>
        <w:t>at any time and requires the principal officer upon such revocation to provide the Secretary DFFH with all records created by or on behalf of or provided to the Aboriginal agency in respect of the child as a result of the authorisation.</w:t>
      </w:r>
      <w:r>
        <w:rPr>
          <w:rFonts w:ascii="Arial" w:hAnsi="Arial" w:cs="Arial"/>
          <w:sz w:val="20"/>
          <w:szCs w:val="20"/>
        </w:rPr>
        <w:t xml:space="preserve">  </w:t>
      </w:r>
      <w:r w:rsidRPr="00887AA4">
        <w:rPr>
          <w:rFonts w:ascii="Arial" w:hAnsi="Arial" w:cs="Arial"/>
          <w:b/>
          <w:bCs/>
          <w:sz w:val="20"/>
          <w:szCs w:val="20"/>
        </w:rPr>
        <w:t>S</w:t>
      </w:r>
      <w:r w:rsidR="00927530" w:rsidRPr="00887AA4">
        <w:rPr>
          <w:rFonts w:ascii="Arial" w:hAnsi="Arial" w:cs="Arial"/>
          <w:b/>
          <w:bCs/>
          <w:sz w:val="20"/>
          <w:szCs w:val="20"/>
        </w:rPr>
        <w:t>ection</w:t>
      </w:r>
      <w:r w:rsidR="00D21009" w:rsidRPr="00887AA4">
        <w:rPr>
          <w:rFonts w:ascii="Arial" w:hAnsi="Arial" w:cs="Arial"/>
          <w:b/>
          <w:bCs/>
          <w:sz w:val="20"/>
          <w:szCs w:val="20"/>
        </w:rPr>
        <w:t xml:space="preserve"> </w:t>
      </w:r>
      <w:r w:rsidRPr="00887AA4">
        <w:rPr>
          <w:rFonts w:ascii="Arial" w:hAnsi="Arial" w:cs="Arial"/>
          <w:b/>
          <w:bCs/>
          <w:sz w:val="20"/>
          <w:szCs w:val="20"/>
        </w:rPr>
        <w:t>18AAA(4)</w:t>
      </w:r>
      <w:r w:rsidRPr="00122549">
        <w:rPr>
          <w:rFonts w:ascii="Arial" w:hAnsi="Arial" w:cs="Arial"/>
          <w:sz w:val="20"/>
          <w:szCs w:val="20"/>
        </w:rPr>
        <w:t xml:space="preserve"> provides that despite the revocation of an authorisation in respect of an Aboriginal child or a child or class of children who the Secretary believes to be Aboriginal, an authorisation under ss.18(1)(c) or 18(1)(d) of a non-Aboriginal sibling of the Aboriginal child(ren) continues to have effect until revoked.</w:t>
      </w:r>
    </w:p>
    <w:p w14:paraId="21AD6D50" w14:textId="77777777" w:rsidR="00D153F6" w:rsidRDefault="00D153F6" w:rsidP="004F636A">
      <w:pPr>
        <w:jc w:val="both"/>
        <w:rPr>
          <w:rFonts w:ascii="Arial" w:hAnsi="Arial" w:cs="Arial"/>
          <w:sz w:val="20"/>
          <w:szCs w:val="20"/>
        </w:rPr>
      </w:pPr>
    </w:p>
    <w:p w14:paraId="154765DD" w14:textId="0DC9A6A5" w:rsidR="00D153F6" w:rsidRPr="00BC5A01" w:rsidRDefault="00D153F6" w:rsidP="004F636A">
      <w:pPr>
        <w:jc w:val="both"/>
        <w:rPr>
          <w:rFonts w:ascii="Arial" w:hAnsi="Arial" w:cs="Arial"/>
          <w:sz w:val="20"/>
          <w:szCs w:val="20"/>
        </w:rPr>
      </w:pPr>
      <w:r w:rsidRPr="00BC5A01">
        <w:rPr>
          <w:rFonts w:ascii="Arial" w:hAnsi="Arial" w:cs="Arial"/>
          <w:b/>
          <w:bCs/>
          <w:sz w:val="20"/>
          <w:szCs w:val="20"/>
        </w:rPr>
        <w:t>New s.18AAB</w:t>
      </w:r>
      <w:r w:rsidRPr="00BC5A01">
        <w:rPr>
          <w:rFonts w:ascii="Arial" w:hAnsi="Arial" w:cs="Arial"/>
          <w:sz w:val="20"/>
          <w:szCs w:val="20"/>
        </w:rPr>
        <w:t xml:space="preserve"> require</w:t>
      </w:r>
      <w:r w:rsidR="00E127DD">
        <w:rPr>
          <w:rFonts w:ascii="Arial" w:hAnsi="Arial" w:cs="Arial"/>
          <w:sz w:val="20"/>
          <w:szCs w:val="20"/>
        </w:rPr>
        <w:t>s</w:t>
      </w:r>
      <w:r w:rsidRPr="00BC5A01">
        <w:rPr>
          <w:rFonts w:ascii="Arial" w:hAnsi="Arial" w:cs="Arial"/>
          <w:sz w:val="20"/>
          <w:szCs w:val="20"/>
        </w:rPr>
        <w:t xml:space="preserve">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w:t>
      </w:r>
      <w:r w:rsidR="00887AA4">
        <w:rPr>
          <w:rFonts w:ascii="Arial" w:hAnsi="Arial" w:cs="Arial"/>
          <w:sz w:val="20"/>
          <w:szCs w:val="20"/>
        </w:rPr>
        <w:t>,</w:t>
      </w:r>
      <w:r w:rsidRPr="00BC5A01">
        <w:rPr>
          <w:rFonts w:ascii="Arial" w:hAnsi="Arial" w:cs="Arial"/>
          <w:sz w:val="20"/>
          <w:szCs w:val="20"/>
        </w:rPr>
        <w:t xml:space="preserve"> the Secretary DFFH may revoke the authorisation in accordance with s.18AAA.</w:t>
      </w:r>
      <w:r w:rsidR="00887AA4">
        <w:rPr>
          <w:rFonts w:ascii="Arial" w:hAnsi="Arial" w:cs="Arial"/>
          <w:sz w:val="20"/>
          <w:szCs w:val="20"/>
        </w:rPr>
        <w:t xml:space="preserve">  However, nothing in this section affects the Secretary’s power under s.18AAA to otherwise revoke an authorisation.</w:t>
      </w:r>
    </w:p>
    <w:p w14:paraId="6F1B93EB" w14:textId="77777777" w:rsidR="00D153F6" w:rsidRDefault="00D153F6" w:rsidP="004F636A">
      <w:pPr>
        <w:jc w:val="both"/>
        <w:rPr>
          <w:rFonts w:ascii="Arial" w:hAnsi="Arial" w:cs="Arial"/>
          <w:sz w:val="20"/>
          <w:szCs w:val="20"/>
        </w:rPr>
      </w:pPr>
    </w:p>
    <w:p w14:paraId="100686E6" w14:textId="59166A58" w:rsidR="00D153F6" w:rsidRDefault="00A225C6" w:rsidP="004F636A">
      <w:pPr>
        <w:jc w:val="both"/>
        <w:rPr>
          <w:rFonts w:ascii="Arial" w:hAnsi="Arial" w:cs="Arial"/>
          <w:sz w:val="20"/>
          <w:szCs w:val="20"/>
        </w:rPr>
      </w:pPr>
      <w:r>
        <w:rPr>
          <w:rFonts w:ascii="Arial" w:hAnsi="Arial" w:cs="Arial"/>
          <w:b/>
          <w:bCs/>
          <w:sz w:val="20"/>
          <w:szCs w:val="20"/>
        </w:rPr>
        <w:t>Existing s</w:t>
      </w:r>
      <w:r w:rsidR="00D153F6" w:rsidRPr="00D500B0">
        <w:rPr>
          <w:rFonts w:ascii="Arial" w:hAnsi="Arial" w:cs="Arial"/>
          <w:b/>
          <w:bCs/>
          <w:sz w:val="20"/>
          <w:szCs w:val="20"/>
        </w:rPr>
        <w:t>ection 1</w:t>
      </w:r>
      <w:r w:rsidR="00D153F6" w:rsidRPr="004657D0">
        <w:rPr>
          <w:rFonts w:ascii="Arial" w:hAnsi="Arial" w:cs="Arial"/>
          <w:b/>
          <w:bCs/>
          <w:sz w:val="20"/>
          <w:szCs w:val="20"/>
        </w:rPr>
        <w:t>8B</w:t>
      </w:r>
      <w:r w:rsidR="00D153F6">
        <w:rPr>
          <w:rFonts w:ascii="Arial" w:hAnsi="Arial" w:cs="Arial"/>
          <w:sz w:val="20"/>
          <w:szCs w:val="20"/>
        </w:rPr>
        <w:t xml:space="preserve"> empowers the principal officer of an Aboriginal agency to delegate to any person or class of persons employed by the Aboriginal agency any function or power of the Secretary under the CYFA except for “this power of delegation”.</w:t>
      </w:r>
    </w:p>
    <w:p w14:paraId="27D68E0E" w14:textId="77777777" w:rsidR="00D153F6" w:rsidRPr="00D153F6" w:rsidRDefault="00D153F6" w:rsidP="004F636A">
      <w:pPr>
        <w:jc w:val="both"/>
        <w:rPr>
          <w:rFonts w:ascii="Arial" w:hAnsi="Arial" w:cs="Arial"/>
          <w:sz w:val="20"/>
        </w:rPr>
      </w:pPr>
    </w:p>
    <w:p w14:paraId="65E993E3" w14:textId="776B2FB5" w:rsidR="00887AA4" w:rsidRDefault="00A225C6" w:rsidP="004F636A">
      <w:pPr>
        <w:jc w:val="both"/>
        <w:rPr>
          <w:rFonts w:ascii="Arial" w:hAnsi="Arial" w:cs="Arial"/>
          <w:sz w:val="20"/>
        </w:rPr>
      </w:pPr>
      <w:r>
        <w:rPr>
          <w:rFonts w:ascii="Arial" w:hAnsi="Arial" w:cs="Arial"/>
          <w:b/>
          <w:bCs/>
          <w:sz w:val="20"/>
        </w:rPr>
        <w:lastRenderedPageBreak/>
        <w:t>Existing s.</w:t>
      </w:r>
      <w:r w:rsidR="00676E2A" w:rsidRPr="00676E2A">
        <w:rPr>
          <w:rFonts w:ascii="Arial" w:hAnsi="Arial" w:cs="Arial"/>
          <w:b/>
          <w:bCs/>
          <w:sz w:val="20"/>
        </w:rPr>
        <w:t>18C</w:t>
      </w:r>
      <w:r w:rsidR="00676E2A">
        <w:rPr>
          <w:rFonts w:ascii="Arial" w:hAnsi="Arial" w:cs="Arial"/>
          <w:sz w:val="20"/>
        </w:rPr>
        <w:t xml:space="preserve"> governs the disclosure of information by the Secretary DFFH to the principal officer of an Aboriginal agency.  </w:t>
      </w:r>
      <w:r>
        <w:rPr>
          <w:rFonts w:ascii="Arial" w:hAnsi="Arial" w:cs="Arial"/>
          <w:b/>
          <w:bCs/>
          <w:sz w:val="20"/>
        </w:rPr>
        <w:t>Existing s.</w:t>
      </w:r>
      <w:r w:rsidR="00676E2A" w:rsidRPr="00676E2A">
        <w:rPr>
          <w:rFonts w:ascii="Arial" w:hAnsi="Arial" w:cs="Arial"/>
          <w:b/>
          <w:bCs/>
          <w:sz w:val="20"/>
        </w:rPr>
        <w:t>18D</w:t>
      </w:r>
      <w:r w:rsidR="00676E2A">
        <w:rPr>
          <w:rFonts w:ascii="Arial" w:hAnsi="Arial" w:cs="Arial"/>
          <w:sz w:val="20"/>
        </w:rPr>
        <w:t xml:space="preserve"> governs the use of information disclosed by the Secretary DFFH to an Aboriginal agency or by its principal officer to any other person under s.18(4).</w:t>
      </w:r>
      <w:r w:rsidR="009E0C33">
        <w:rPr>
          <w:rFonts w:ascii="Arial" w:hAnsi="Arial" w:cs="Arial"/>
          <w:sz w:val="20"/>
        </w:rPr>
        <w:t xml:space="preserve"> </w:t>
      </w:r>
    </w:p>
    <w:p w14:paraId="1856D574" w14:textId="77777777" w:rsidR="00887AA4" w:rsidRDefault="00887AA4" w:rsidP="004F636A">
      <w:pPr>
        <w:jc w:val="both"/>
        <w:rPr>
          <w:rFonts w:ascii="Arial" w:hAnsi="Arial" w:cs="Arial"/>
          <w:sz w:val="20"/>
        </w:rPr>
      </w:pPr>
    </w:p>
    <w:p w14:paraId="31E49B15" w14:textId="2E5812E3" w:rsidR="00175178" w:rsidRDefault="00ED07FC" w:rsidP="00175178">
      <w:pPr>
        <w:spacing w:before="20"/>
        <w:jc w:val="both"/>
        <w:rPr>
          <w:rFonts w:ascii="Arial" w:hAnsi="Arial" w:cs="Arial"/>
          <w:sz w:val="18"/>
          <w:szCs w:val="18"/>
        </w:rPr>
      </w:pPr>
      <w:r>
        <w:rPr>
          <w:rFonts w:ascii="Arial" w:hAnsi="Arial" w:cs="Arial"/>
          <w:b/>
          <w:bCs/>
          <w:sz w:val="20"/>
        </w:rPr>
        <w:t>New s.</w:t>
      </w:r>
      <w:r w:rsidR="009E0C33" w:rsidRPr="009E0C33">
        <w:rPr>
          <w:rFonts w:ascii="Arial" w:hAnsi="Arial" w:cs="Arial"/>
          <w:b/>
          <w:bCs/>
          <w:sz w:val="20"/>
        </w:rPr>
        <w:t>19</w:t>
      </w:r>
      <w:r w:rsidR="00E915DB">
        <w:rPr>
          <w:rFonts w:ascii="Arial" w:hAnsi="Arial" w:cs="Arial"/>
          <w:b/>
          <w:bCs/>
          <w:sz w:val="20"/>
        </w:rPr>
        <w:t>A</w:t>
      </w:r>
      <w:r w:rsidR="009E0C33">
        <w:rPr>
          <w:rFonts w:ascii="Arial" w:hAnsi="Arial" w:cs="Arial"/>
          <w:sz w:val="20"/>
        </w:rPr>
        <w:t xml:space="preserve"> </w:t>
      </w:r>
      <w:r w:rsidR="00887AA4" w:rsidRPr="00887AA4">
        <w:rPr>
          <w:rFonts w:ascii="Arial" w:hAnsi="Arial" w:cs="Arial"/>
          <w:b/>
          <w:bCs/>
          <w:sz w:val="20"/>
        </w:rPr>
        <w:t>&amp; s.192</w:t>
      </w:r>
      <w:r w:rsidR="00887AA4">
        <w:rPr>
          <w:rFonts w:ascii="Arial" w:hAnsi="Arial" w:cs="Arial"/>
          <w:sz w:val="20"/>
        </w:rPr>
        <w:t xml:space="preserve"> </w:t>
      </w:r>
      <w:r w:rsidR="009E0C33">
        <w:rPr>
          <w:rFonts w:ascii="Arial" w:hAnsi="Arial" w:cs="Arial"/>
          <w:sz w:val="20"/>
        </w:rPr>
        <w:t>govern the use and disclosure of information for the purposes of authorised functions and powers.</w:t>
      </w:r>
      <w:r w:rsidR="00175178">
        <w:rPr>
          <w:rFonts w:ascii="Arial" w:hAnsi="Arial" w:cs="Arial"/>
          <w:sz w:val="20"/>
        </w:rPr>
        <w:t xml:space="preserve">  </w:t>
      </w:r>
      <w:r w:rsidR="00175178" w:rsidRPr="00175178">
        <w:rPr>
          <w:rFonts w:ascii="Arial" w:hAnsi="Arial" w:cs="Arial"/>
          <w:b/>
          <w:bCs/>
          <w:sz w:val="20"/>
        </w:rPr>
        <w:t>New s.192(4)</w:t>
      </w:r>
      <w:r w:rsidR="00175178">
        <w:rPr>
          <w:rFonts w:ascii="Arial" w:hAnsi="Arial" w:cs="Arial"/>
          <w:sz w:val="20"/>
        </w:rPr>
        <w:t xml:space="preserve"> provides that–</w:t>
      </w:r>
    </w:p>
    <w:p w14:paraId="2A1E3764" w14:textId="03D96084"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the Secretary includes a reference to a principal officer performing functions or exercising powers of the Secretary under a section 18 or 19 authorisation; and</w:t>
      </w:r>
    </w:p>
    <w:p w14:paraId="45585775" w14:textId="5FB39EF2" w:rsidR="00175178" w:rsidRPr="00175178" w:rsidRDefault="00175178">
      <w:pPr>
        <w:pStyle w:val="ListParagraph"/>
        <w:numPr>
          <w:ilvl w:val="0"/>
          <w:numId w:val="87"/>
        </w:numPr>
        <w:ind w:left="357" w:hanging="357"/>
        <w:contextualSpacing/>
        <w:jc w:val="both"/>
        <w:rPr>
          <w:rFonts w:ascii="Arial" w:hAnsi="Arial" w:cs="Arial"/>
          <w:sz w:val="20"/>
        </w:rPr>
      </w:pPr>
      <w:r w:rsidRPr="00175178">
        <w:rPr>
          <w:rFonts w:ascii="Arial" w:hAnsi="Arial" w:cs="Arial"/>
          <w:sz w:val="20"/>
        </w:rPr>
        <w:t>a reference to a protective intervener includes a reference to a principal officer performing functions or exercising powers of a protective intervener under an authorisation made under section 18.</w:t>
      </w:r>
    </w:p>
    <w:p w14:paraId="78A20D86" w14:textId="50E26910" w:rsidR="00D32E68" w:rsidRDefault="00D32E68" w:rsidP="00D32E68">
      <w:pPr>
        <w:rPr>
          <w:rFonts w:ascii="Arial" w:hAnsi="Arial" w:cs="Arial"/>
          <w:sz w:val="20"/>
        </w:rPr>
      </w:pPr>
      <w:bookmarkStart w:id="245" w:name="_4.2_Role_of"/>
      <w:bookmarkStart w:id="246" w:name="B42"/>
      <w:bookmarkEnd w:id="245"/>
      <w:bookmarkEnd w:id="246"/>
    </w:p>
    <w:p w14:paraId="68CF9C67" w14:textId="2BCB0AB2" w:rsidR="00AC5C89" w:rsidRPr="00C85978" w:rsidRDefault="00AC5C89" w:rsidP="00AC5C89">
      <w:pPr>
        <w:jc w:val="both"/>
        <w:rPr>
          <w:rFonts w:ascii="Arial" w:hAnsi="Arial" w:cs="Arial"/>
          <w:sz w:val="20"/>
        </w:rPr>
      </w:pPr>
      <w:r>
        <w:rPr>
          <w:rFonts w:ascii="Arial" w:hAnsi="Arial" w:cs="Arial"/>
          <w:sz w:val="20"/>
        </w:rPr>
        <w:t xml:space="preserve">Recommendation 1c of the Yoorrook Justice Commission second interim report – </w:t>
      </w:r>
      <w:hyperlink r:id="rId11"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requires that the Victorian Government n</w:t>
      </w:r>
      <w:r w:rsidRPr="00C85978">
        <w:rPr>
          <w:rFonts w:ascii="Arial" w:hAnsi="Arial" w:cs="Arial"/>
          <w:sz w:val="20"/>
        </w:rPr>
        <w:t>egotiat</w:t>
      </w:r>
      <w:r>
        <w:rPr>
          <w:rFonts w:ascii="Arial" w:hAnsi="Arial" w:cs="Arial"/>
          <w:sz w:val="20"/>
        </w:rPr>
        <w:t>e</w:t>
      </w:r>
      <w:r w:rsidRPr="00C85978">
        <w:rPr>
          <w:rFonts w:ascii="Arial" w:hAnsi="Arial" w:cs="Arial"/>
          <w:sz w:val="20"/>
        </w:rPr>
        <w:t xml:space="preserve"> through</w:t>
      </w:r>
      <w:r>
        <w:rPr>
          <w:rFonts w:ascii="Arial" w:hAnsi="Arial" w:cs="Arial"/>
          <w:sz w:val="20"/>
        </w:rPr>
        <w:t xml:space="preserve"> T</w:t>
      </w:r>
      <w:r w:rsidRPr="00C85978">
        <w:rPr>
          <w:rFonts w:ascii="Arial" w:hAnsi="Arial" w:cs="Arial"/>
          <w:sz w:val="20"/>
        </w:rPr>
        <w:t>reaty new, dedicated legislation, developed by First Peoples, for the safety, wellbeing and protection of First Peoples children and young people</w:t>
      </w:r>
      <w:r>
        <w:rPr>
          <w:rFonts w:ascii="Arial" w:hAnsi="Arial" w:cs="Arial"/>
          <w:sz w:val="20"/>
        </w:rPr>
        <w:t xml:space="preserve">.  This new legislation is described </w:t>
      </w:r>
      <w:r w:rsidR="009A6707">
        <w:rPr>
          <w:rFonts w:ascii="Arial" w:hAnsi="Arial" w:cs="Arial"/>
          <w:sz w:val="20"/>
        </w:rPr>
        <w:t xml:space="preserve">by Yoorrook </w:t>
      </w:r>
      <w:r>
        <w:rPr>
          <w:rFonts w:ascii="Arial" w:hAnsi="Arial" w:cs="Arial"/>
          <w:sz w:val="20"/>
        </w:rPr>
        <w:t>as going “beyond the transfer of existing powers and functions under [s.18] CYFA”</w:t>
      </w:r>
      <w:r w:rsidRPr="00C85978">
        <w:rPr>
          <w:rFonts w:ascii="Arial" w:hAnsi="Arial" w:cs="Arial"/>
          <w:sz w:val="20"/>
        </w:rPr>
        <w:t>.</w:t>
      </w:r>
    </w:p>
    <w:p w14:paraId="79145DCB" w14:textId="77777777" w:rsidR="00AC5C89" w:rsidRDefault="00AC5C89" w:rsidP="00D32E68">
      <w:pPr>
        <w:rPr>
          <w:rFonts w:ascii="Arial" w:hAnsi="Arial" w:cs="Arial"/>
          <w:sz w:val="20"/>
        </w:rPr>
      </w:pPr>
    </w:p>
    <w:p w14:paraId="7BEDC184" w14:textId="77777777" w:rsidR="00D32E68" w:rsidRPr="005836D1" w:rsidRDefault="00D32E68" w:rsidP="00D32E68">
      <w:pPr>
        <w:jc w:val="center"/>
        <w:rPr>
          <w:rFonts w:ascii="Arial" w:hAnsi="Arial" w:cs="Arial"/>
          <w:b/>
          <w:bCs/>
          <w:szCs w:val="32"/>
        </w:rPr>
      </w:pPr>
      <w:r w:rsidRPr="005836D1">
        <w:rPr>
          <w:rFonts w:ascii="Arial" w:hAnsi="Arial" w:cs="Arial"/>
          <w:b/>
          <w:bCs/>
          <w:szCs w:val="32"/>
        </w:rPr>
        <w:t>THE REST OF THIS PAGE IS BLANK</w:t>
      </w:r>
    </w:p>
    <w:p w14:paraId="6B25DE42" w14:textId="77777777" w:rsidR="00D32E68" w:rsidRPr="00FF7ABA" w:rsidRDefault="00D32E68" w:rsidP="00D32E68">
      <w:pPr>
        <w:jc w:val="both"/>
        <w:rPr>
          <w:rFonts w:ascii="Arial" w:hAnsi="Arial" w:cs="Arial"/>
          <w:sz w:val="20"/>
        </w:rPr>
      </w:pPr>
    </w:p>
    <w:p w14:paraId="5A127C06" w14:textId="53CE3C50" w:rsidR="00CE0DFA" w:rsidRDefault="00CE0DFA">
      <w:pPr>
        <w:rPr>
          <w:rFonts w:ascii="Arial" w:hAnsi="Arial" w:cs="Arial"/>
          <w:b/>
          <w:bCs/>
          <w:kern w:val="28"/>
          <w:szCs w:val="20"/>
          <w:lang w:val="en-GB"/>
        </w:rPr>
      </w:pPr>
      <w:r>
        <w:rPr>
          <w:rFonts w:ascii="Arial" w:hAnsi="Arial" w:cs="Arial"/>
          <w:b/>
          <w:bCs/>
        </w:rPr>
        <w:br w:type="page"/>
      </w:r>
    </w:p>
    <w:p w14:paraId="5079CC00" w14:textId="713003E6" w:rsidR="00940D74" w:rsidRDefault="00940D74" w:rsidP="00497343">
      <w:pPr>
        <w:pStyle w:val="Heading2"/>
        <w:keepNext/>
        <w:keepLines/>
        <w:pageBreakBefore/>
        <w:tabs>
          <w:tab w:val="left" w:pos="567"/>
        </w:tabs>
        <w:spacing w:line="240" w:lineRule="auto"/>
        <w:rPr>
          <w:rFonts w:ascii="Arial" w:hAnsi="Arial" w:cs="Arial"/>
          <w:b/>
          <w:bCs/>
        </w:rPr>
      </w:pPr>
      <w:bookmarkStart w:id="247" w:name="_4.2_Role_of_1"/>
      <w:bookmarkEnd w:id="247"/>
      <w:r>
        <w:rPr>
          <w:rFonts w:ascii="Arial" w:hAnsi="Arial" w:cs="Arial"/>
          <w:b/>
          <w:bCs/>
        </w:rPr>
        <w:lastRenderedPageBreak/>
        <w:t>4.2</w:t>
      </w:r>
      <w:r>
        <w:rPr>
          <w:rFonts w:ascii="Arial" w:hAnsi="Arial" w:cs="Arial"/>
          <w:b/>
          <w:bCs/>
        </w:rPr>
        <w:tab/>
        <w:t>Role of the Children’s Court in Child Protection in Victoria</w:t>
      </w:r>
    </w:p>
    <w:p w14:paraId="6B940A4B" w14:textId="77777777" w:rsidR="00940D74" w:rsidRDefault="00940D74" w:rsidP="00F034D2">
      <w:pPr>
        <w:keepNext/>
        <w:keepLines/>
        <w:jc w:val="both"/>
        <w:rPr>
          <w:rFonts w:ascii="Arial" w:hAnsi="Arial" w:cs="Arial"/>
          <w:sz w:val="20"/>
        </w:rPr>
      </w:pPr>
    </w:p>
    <w:p w14:paraId="295BC779" w14:textId="77777777" w:rsidR="00940D74" w:rsidRDefault="00B05EC7" w:rsidP="00940D74">
      <w:pPr>
        <w:jc w:val="both"/>
        <w:rPr>
          <w:rFonts w:ascii="Arial" w:hAnsi="Arial" w:cs="Arial"/>
          <w:sz w:val="20"/>
        </w:rPr>
      </w:pPr>
      <w:r>
        <w:rPr>
          <w:rFonts w:ascii="Arial" w:hAnsi="Arial" w:cs="Arial"/>
          <w:sz w:val="20"/>
        </w:rPr>
        <w:t>The following thumbnail sketch</w:t>
      </w:r>
      <w:r w:rsidR="00940D74">
        <w:rPr>
          <w:rFonts w:ascii="Arial" w:hAnsi="Arial" w:cs="Arial"/>
          <w:sz w:val="20"/>
        </w:rPr>
        <w:t xml:space="preserve"> of the role of the Children’s Court in child protection in Victoria </w:t>
      </w:r>
      <w:r w:rsidR="00716B54" w:rsidRPr="00B310F4">
        <w:rPr>
          <w:rFonts w:ascii="Arial" w:hAnsi="Arial" w:cs="Arial"/>
          <w:color w:val="000000"/>
          <w:sz w:val="20"/>
        </w:rPr>
        <w:t xml:space="preserve">is taken from a paper </w:t>
      </w:r>
      <w:r w:rsidR="00940D74" w:rsidRPr="00B310F4">
        <w:rPr>
          <w:rFonts w:ascii="Arial" w:hAnsi="Arial" w:cs="Arial"/>
          <w:color w:val="000000"/>
          <w:sz w:val="20"/>
        </w:rPr>
        <w:t xml:space="preserve">prepared by Judge Paul Grant, </w:t>
      </w:r>
      <w:r w:rsidRPr="00B310F4">
        <w:rPr>
          <w:rFonts w:ascii="Arial" w:hAnsi="Arial" w:cs="Arial"/>
          <w:color w:val="000000"/>
          <w:sz w:val="20"/>
        </w:rPr>
        <w:t xml:space="preserve">then </w:t>
      </w:r>
      <w:r w:rsidR="00940D74" w:rsidRPr="00B310F4">
        <w:rPr>
          <w:rFonts w:ascii="Arial" w:hAnsi="Arial" w:cs="Arial"/>
          <w:color w:val="000000"/>
          <w:sz w:val="20"/>
        </w:rPr>
        <w:t>President of the Children’s Court of</w:t>
      </w:r>
      <w:r w:rsidR="00940D74">
        <w:rPr>
          <w:rFonts w:ascii="Arial" w:hAnsi="Arial" w:cs="Arial"/>
          <w:sz w:val="20"/>
        </w:rPr>
        <w:t xml:space="preserve"> Victoria, in June 2009</w:t>
      </w:r>
      <w:r w:rsidR="004E4F26">
        <w:rPr>
          <w:rFonts w:ascii="Arial" w:hAnsi="Arial" w:cs="Arial"/>
          <w:sz w:val="20"/>
        </w:rPr>
        <w:t xml:space="preserve"> and </w:t>
      </w:r>
      <w:r w:rsidR="008253F5">
        <w:rPr>
          <w:rFonts w:ascii="Arial" w:hAnsi="Arial" w:cs="Arial"/>
          <w:sz w:val="20"/>
        </w:rPr>
        <w:t xml:space="preserve">was </w:t>
      </w:r>
      <w:r w:rsidR="004E4F26">
        <w:rPr>
          <w:rFonts w:ascii="Arial" w:hAnsi="Arial" w:cs="Arial"/>
          <w:sz w:val="20"/>
        </w:rPr>
        <w:t>updated by the writer subsequent to the 2016 amendments</w:t>
      </w:r>
      <w:r w:rsidR="003F1FC2">
        <w:rPr>
          <w:rFonts w:ascii="Arial" w:hAnsi="Arial" w:cs="Arial"/>
          <w:sz w:val="20"/>
        </w:rPr>
        <w:t>.</w:t>
      </w:r>
    </w:p>
    <w:p w14:paraId="410039E9" w14:textId="77777777" w:rsidR="00940D74" w:rsidRDefault="00940D74" w:rsidP="00940D74">
      <w:pPr>
        <w:jc w:val="both"/>
        <w:rPr>
          <w:rFonts w:ascii="Arial" w:hAnsi="Arial" w:cs="Arial"/>
          <w:sz w:val="20"/>
        </w:rPr>
      </w:pPr>
    </w:p>
    <w:p w14:paraId="40BA6807" w14:textId="77777777" w:rsidR="001B05E1"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Children’s Court is a court of law. It is not a government agency. It is not an ombudsman or commissioner for children. It is not a stakeholder in any other organisation nor is any other organization a stakeholder in it. It does not have any general power to review the operation of the child protection system. Decisions of the Court can involve some general comments on system failures or system strengths but that is not the same as having overall or continuous supervision of the child protection system generally. The Court does not have an investigative arm like the Coroner’s Court. The Court engages in judicial decision making with respect to those applications that come before it. It does not </w:t>
      </w:r>
      <w:r w:rsidR="003F1FC2">
        <w:rPr>
          <w:rFonts w:ascii="Arial" w:hAnsi="Arial" w:cs="Arial"/>
          <w:sz w:val="20"/>
          <w:szCs w:val="20"/>
        </w:rPr>
        <w:t xml:space="preserve">generally </w:t>
      </w:r>
      <w:r w:rsidRPr="002B758B">
        <w:rPr>
          <w:rFonts w:ascii="Arial" w:hAnsi="Arial" w:cs="Arial"/>
          <w:sz w:val="20"/>
          <w:szCs w:val="20"/>
        </w:rPr>
        <w:t>have the power to collect evidence or conduct an investigation independent of the parties involved in the case.</w:t>
      </w:r>
    </w:p>
    <w:p w14:paraId="4A3599DA" w14:textId="77777777" w:rsidR="000D682D" w:rsidRDefault="000D682D"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55C1AB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The Family Division of the Children’s Court becomes involved in the life of a child when the Child Protection authority decides to invoke the Court’s jurisdiction. It may do this by issuing a notice for a future hearing or alternatively, by </w:t>
      </w:r>
      <w:r w:rsidR="003F1FC2">
        <w:rPr>
          <w:rFonts w:ascii="Arial" w:hAnsi="Arial" w:cs="Arial"/>
          <w:sz w:val="20"/>
          <w:szCs w:val="20"/>
        </w:rPr>
        <w:t xml:space="preserve">placing the child into emergency care </w:t>
      </w:r>
      <w:r w:rsidRPr="002B758B">
        <w:rPr>
          <w:rFonts w:ascii="Arial" w:hAnsi="Arial" w:cs="Arial"/>
          <w:sz w:val="20"/>
          <w:szCs w:val="20"/>
        </w:rPr>
        <w:t xml:space="preserve">and seeking immediate orders from the Court in relation to the child’s placement.  On an </w:t>
      </w:r>
      <w:r w:rsidR="003F1FC2">
        <w:rPr>
          <w:rFonts w:ascii="Arial" w:hAnsi="Arial" w:cs="Arial"/>
          <w:sz w:val="20"/>
          <w:szCs w:val="20"/>
        </w:rPr>
        <w:t>emergency care application</w:t>
      </w:r>
      <w:r w:rsidRPr="002B758B">
        <w:rPr>
          <w:rFonts w:ascii="Arial" w:hAnsi="Arial" w:cs="Arial"/>
          <w:sz w:val="20"/>
          <w:szCs w:val="20"/>
        </w:rPr>
        <w:t>, the Court will determine whether the child remains with the parents or be placed in some type of out of home placement pending the determination of the application. Interim placement of children is by way of an Interim Accommodation Order (IAO).  These orders commonly have conditions attached. Determining interim placement is a significant part of the Court’s workload.</w:t>
      </w:r>
    </w:p>
    <w:p w14:paraId="39797BC7" w14:textId="77777777" w:rsidR="001B05E1" w:rsidRDefault="001B05E1"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48E5BF6"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The Court also hears secondary applications. These are applications to extend, vary, revoke, extend or breach existing orders.</w:t>
      </w:r>
    </w:p>
    <w:p w14:paraId="646A9799"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6846C15D" w14:textId="77777777" w:rsidR="002B758B" w:rsidRDefault="002B758B" w:rsidP="00A56DB8">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In making decisions about placement of children, “the best interests of the child must always be paramount”</w:t>
      </w:r>
      <w:r>
        <w:rPr>
          <w:rFonts w:ascii="Arial" w:hAnsi="Arial" w:cs="Arial"/>
          <w:sz w:val="20"/>
          <w:szCs w:val="20"/>
        </w:rPr>
        <w:t>:</w:t>
      </w:r>
      <w:r>
        <w:rPr>
          <w:rStyle w:val="FootnoteReference"/>
          <w:rFonts w:ascii="Arial" w:hAnsi="Arial" w:cs="Arial"/>
          <w:sz w:val="20"/>
          <w:szCs w:val="20"/>
        </w:rPr>
        <w:t xml:space="preserve"> </w:t>
      </w:r>
      <w:r w:rsidRPr="002B758B">
        <w:rPr>
          <w:rFonts w:ascii="Arial" w:hAnsi="Arial" w:cs="Arial"/>
          <w:sz w:val="20"/>
          <w:szCs w:val="20"/>
        </w:rPr>
        <w:t>see section 10 of the Children, Youth and Families Act 2005. The Act lists 21 factors for the Court to consider in determining what decision or action is in the best interests of the child.</w:t>
      </w:r>
    </w:p>
    <w:p w14:paraId="7D75057E"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D60A485" w14:textId="7B57360B"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2B758B">
        <w:rPr>
          <w:rFonts w:ascii="Arial" w:hAnsi="Arial" w:cs="Arial"/>
          <w:sz w:val="20"/>
          <w:szCs w:val="20"/>
        </w:rPr>
        <w:t xml:space="preserve">Once interim placement is determined, a case is managed through a mention process. Not all cases require a contested hearing. Indeed, the great bulk of cases are resolved by negotiation, with the Court endorsing particular orders. The Court refers potential contests to a </w:t>
      </w:r>
      <w:r w:rsidR="00B0242D">
        <w:rPr>
          <w:rFonts w:ascii="Arial" w:hAnsi="Arial" w:cs="Arial"/>
          <w:sz w:val="20"/>
          <w:szCs w:val="20"/>
        </w:rPr>
        <w:t>Readiness Hearing</w:t>
      </w:r>
      <w:r w:rsidRPr="002B758B">
        <w:rPr>
          <w:rFonts w:ascii="Arial" w:hAnsi="Arial" w:cs="Arial"/>
          <w:sz w:val="20"/>
          <w:szCs w:val="20"/>
        </w:rPr>
        <w:t xml:space="preserve"> </w:t>
      </w:r>
      <w:r w:rsidR="00B0242D">
        <w:rPr>
          <w:rFonts w:ascii="Arial" w:hAnsi="Arial" w:cs="Arial"/>
          <w:sz w:val="20"/>
          <w:szCs w:val="20"/>
        </w:rPr>
        <w:t xml:space="preserve">which </w:t>
      </w:r>
      <w:r w:rsidRPr="002B758B">
        <w:rPr>
          <w:rFonts w:ascii="Arial" w:hAnsi="Arial" w:cs="Arial"/>
          <w:sz w:val="20"/>
          <w:szCs w:val="20"/>
        </w:rPr>
        <w:t xml:space="preserve">resolves about </w:t>
      </w:r>
      <w:r w:rsidR="00B0242D">
        <w:rPr>
          <w:rFonts w:ascii="Arial" w:hAnsi="Arial" w:cs="Arial"/>
          <w:sz w:val="20"/>
          <w:szCs w:val="20"/>
        </w:rPr>
        <w:t>6</w:t>
      </w:r>
      <w:r w:rsidRPr="002B758B">
        <w:rPr>
          <w:rFonts w:ascii="Arial" w:hAnsi="Arial" w:cs="Arial"/>
          <w:sz w:val="20"/>
          <w:szCs w:val="20"/>
        </w:rPr>
        <w:t>0% of the cases referred to it. A</w:t>
      </w:r>
      <w:r w:rsidR="00B0242D">
        <w:rPr>
          <w:rFonts w:ascii="Arial" w:hAnsi="Arial" w:cs="Arial"/>
          <w:sz w:val="20"/>
          <w:szCs w:val="20"/>
        </w:rPr>
        <w:t> </w:t>
      </w:r>
      <w:r w:rsidRPr="002B758B">
        <w:rPr>
          <w:rFonts w:ascii="Arial" w:hAnsi="Arial" w:cs="Arial"/>
          <w:sz w:val="20"/>
          <w:szCs w:val="20"/>
        </w:rPr>
        <w:t>small percentage of cases end up being listed for a contested hearing and a significant percentage of these resolve on the doorstep of the court or during the hearing of evidence.</w:t>
      </w:r>
    </w:p>
    <w:p w14:paraId="4F942B9A" w14:textId="77777777" w:rsidR="002B758B" w:rsidRDefault="002B758B"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2599003" w14:textId="77777777" w:rsidR="002B758B" w:rsidRDefault="00BC4C99" w:rsidP="000D682D">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A young person can be subject to a protection application in the Family Division if he or she is under 17. If a young person is already on a protection order that order can last until the young person’s 18</w:t>
      </w:r>
      <w:r w:rsidRPr="00BC4C99">
        <w:rPr>
          <w:rFonts w:ascii="Arial" w:hAnsi="Arial" w:cs="Arial"/>
          <w:sz w:val="20"/>
          <w:szCs w:val="20"/>
          <w:vertAlign w:val="superscript"/>
        </w:rPr>
        <w:t>th</w:t>
      </w:r>
      <w:r w:rsidRPr="00BC4C99">
        <w:rPr>
          <w:rFonts w:ascii="Arial" w:hAnsi="Arial" w:cs="Arial"/>
          <w:sz w:val="20"/>
          <w:szCs w:val="20"/>
        </w:rPr>
        <w:t xml:space="preserve"> birthday.</w:t>
      </w:r>
      <w:r>
        <w:rPr>
          <w:rFonts w:ascii="Arial" w:hAnsi="Arial" w:cs="Arial"/>
          <w:sz w:val="20"/>
          <w:szCs w:val="20"/>
        </w:rPr>
        <w:t xml:space="preserve">  </w:t>
      </w:r>
      <w:r w:rsidRPr="00BC4C99">
        <w:rPr>
          <w:rFonts w:ascii="Arial" w:hAnsi="Arial" w:cs="Arial"/>
          <w:sz w:val="20"/>
          <w:szCs w:val="20"/>
        </w:rPr>
        <w:t>For a protection application to be proved, the Court must be satisfied on the balance of probabilities that the child or young person</w:t>
      </w:r>
      <w:r>
        <w:rPr>
          <w:rFonts w:ascii="Arial" w:hAnsi="Arial" w:cs="Arial"/>
          <w:sz w:val="20"/>
          <w:szCs w:val="20"/>
        </w:rPr>
        <w:t>-</w:t>
      </w:r>
    </w:p>
    <w:p w14:paraId="40F66721" w14:textId="77777777" w:rsidR="002B758B" w:rsidRPr="00BC4C99" w:rsidRDefault="00BC4C99">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Pr>
          <w:rFonts w:ascii="Arial" w:hAnsi="Arial" w:cs="Arial"/>
          <w:sz w:val="20"/>
          <w:szCs w:val="20"/>
        </w:rPr>
        <w:t xml:space="preserve">has been </w:t>
      </w:r>
      <w:r w:rsidRPr="00BC4C99">
        <w:rPr>
          <w:rFonts w:ascii="Arial" w:hAnsi="Arial" w:cs="Arial"/>
          <w:sz w:val="20"/>
          <w:szCs w:val="20"/>
        </w:rPr>
        <w:t xml:space="preserve">orphaned or abandoned without anyone to care for him or her; or  </w:t>
      </w:r>
    </w:p>
    <w:p w14:paraId="47DF44FE" w14:textId="77777777" w:rsidR="00BC4C99" w:rsidRDefault="00BC4C99" w:rsidP="00B0242D">
      <w:pPr>
        <w:numPr>
          <w:ilvl w:val="0"/>
          <w:numId w:val="19"/>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rPr>
      </w:pPr>
      <w:r w:rsidRPr="00BC4C99">
        <w:rPr>
          <w:rFonts w:ascii="Arial" w:hAnsi="Arial" w:cs="Arial"/>
          <w:sz w:val="20"/>
          <w:szCs w:val="20"/>
        </w:rPr>
        <w:t>has suffered, or is likely to suffer, significant harm as a result of physical abuse, emotional abuse, sexual abuse or neglect and the parents have not protected (or are unlikely to protect) the child or young person.</w:t>
      </w:r>
    </w:p>
    <w:p w14:paraId="5B66933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092BC2F7" w14:textId="28B76518"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Nearly all of the protection applications that come before the Court involve the second category of case.  The Court finds the vast majority of such applications proved, mostly on the ground of likelihood of future harm.  The Victorian legislation is proactive and intervention by </w:t>
      </w:r>
      <w:r w:rsidR="00785D2D">
        <w:rPr>
          <w:rFonts w:ascii="Arial" w:hAnsi="Arial" w:cs="Arial"/>
          <w:sz w:val="20"/>
          <w:szCs w:val="20"/>
        </w:rPr>
        <w:t>DFFH</w:t>
      </w:r>
      <w:r w:rsidRPr="00BC4C99">
        <w:rPr>
          <w:rFonts w:ascii="Arial" w:hAnsi="Arial" w:cs="Arial"/>
          <w:sz w:val="20"/>
          <w:szCs w:val="20"/>
        </w:rPr>
        <w:t xml:space="preserve"> </w:t>
      </w:r>
      <w:r w:rsidR="00FA1A78">
        <w:rPr>
          <w:rFonts w:ascii="Arial" w:hAnsi="Arial" w:cs="Arial"/>
          <w:sz w:val="20"/>
          <w:szCs w:val="20"/>
        </w:rPr>
        <w:t xml:space="preserve">or an authorised Aboriginal agency </w:t>
      </w:r>
      <w:r w:rsidRPr="00BC4C99">
        <w:rPr>
          <w:rFonts w:ascii="Arial" w:hAnsi="Arial" w:cs="Arial"/>
          <w:sz w:val="20"/>
          <w:szCs w:val="20"/>
        </w:rPr>
        <w:t>is usually timely.  In only a small number of cases has a child already suffered harm.</w:t>
      </w:r>
    </w:p>
    <w:p w14:paraId="6EE3207F"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p>
    <w:p w14:paraId="1A628CC5" w14:textId="77777777" w:rsidR="00BC4C99" w:rsidRDefault="00BC4C99" w:rsidP="00BC4C99">
      <w:pPr>
        <w:pBdr>
          <w:top w:val="single" w:sz="4" w:space="1" w:color="auto"/>
          <w:left w:val="single" w:sz="4" w:space="4" w:color="auto"/>
          <w:bottom w:val="single" w:sz="4" w:space="1" w:color="auto"/>
          <w:right w:val="single" w:sz="4" w:space="4" w:color="auto"/>
        </w:pBdr>
        <w:ind w:left="284" w:right="284"/>
        <w:jc w:val="both"/>
        <w:rPr>
          <w:rFonts w:ascii="Arial" w:hAnsi="Arial" w:cs="Arial"/>
          <w:sz w:val="20"/>
        </w:rPr>
      </w:pPr>
      <w:r w:rsidRPr="00BC4C99">
        <w:rPr>
          <w:rFonts w:ascii="Arial" w:hAnsi="Arial" w:cs="Arial"/>
          <w:sz w:val="20"/>
          <w:szCs w:val="20"/>
        </w:rPr>
        <w:t xml:space="preserve">The first decision for the Court is whether, on the balance of probabilities, the child is in need of protection. If the Court is satisfied of that, it must then determine the order to be made in the child’s best interests.  The orders the Court can make </w:t>
      </w:r>
      <w:r w:rsidR="009104CC">
        <w:rPr>
          <w:rFonts w:ascii="Arial" w:hAnsi="Arial" w:cs="Arial"/>
          <w:sz w:val="20"/>
          <w:szCs w:val="20"/>
        </w:rPr>
        <w:t>are</w:t>
      </w:r>
      <w:r w:rsidRPr="00BC4C99">
        <w:rPr>
          <w:rFonts w:ascii="Arial" w:hAnsi="Arial" w:cs="Arial"/>
          <w:sz w:val="20"/>
          <w:szCs w:val="20"/>
        </w:rPr>
        <w:t xml:space="preserve"> those which-</w:t>
      </w:r>
    </w:p>
    <w:p w14:paraId="51BF12F2"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lastRenderedPageBreak/>
        <w:t xml:space="preserve">Require modest intervention in the life of the family. These are cases where the family have responded positively to supports and the protective concerns have been significantly addressed (Undertakings given by </w:t>
      </w:r>
      <w:r w:rsidR="004E4F26">
        <w:rPr>
          <w:rFonts w:ascii="Arial" w:hAnsi="Arial" w:cs="Arial"/>
          <w:sz w:val="20"/>
          <w:szCs w:val="20"/>
        </w:rPr>
        <w:t>one or more family members</w:t>
      </w:r>
      <w:r w:rsidRPr="00084EDE">
        <w:rPr>
          <w:rFonts w:ascii="Arial" w:hAnsi="Arial" w:cs="Arial"/>
          <w:sz w:val="20"/>
          <w:szCs w:val="20"/>
        </w:rPr>
        <w:t>).</w:t>
      </w:r>
    </w:p>
    <w:p w14:paraId="2A469C4A" w14:textId="77777777" w:rsidR="00084EDE"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084EDE">
        <w:rPr>
          <w:rFonts w:ascii="Arial" w:hAnsi="Arial" w:cs="Arial"/>
          <w:sz w:val="20"/>
          <w:szCs w:val="20"/>
        </w:rPr>
        <w:t xml:space="preserve">Keep the child within parental care subject to supervision by the Department of </w:t>
      </w:r>
      <w:r w:rsidR="002E0E92">
        <w:rPr>
          <w:rFonts w:ascii="Arial" w:hAnsi="Arial" w:cs="Arial"/>
          <w:sz w:val="20"/>
          <w:szCs w:val="20"/>
        </w:rPr>
        <w:t>Families, Fairness and Housing</w:t>
      </w:r>
      <w:r w:rsidRPr="00084EDE">
        <w:rPr>
          <w:rFonts w:ascii="Arial" w:hAnsi="Arial" w:cs="Arial"/>
          <w:sz w:val="20"/>
          <w:szCs w:val="20"/>
        </w:rPr>
        <w:t xml:space="preserve">.  In these cases the family is willing to work with the Department and the Court is satisfied the child will be safe while that occurs.  The Court may attach conditions to such order requiring family members to, for example, attend counselling for drug and alcohol abuse, undergo drug testing, take the child to medical appointments, undertake family violence counselling, attend a parenting course, etc. These orders </w:t>
      </w:r>
      <w:r w:rsidR="004E4F26">
        <w:rPr>
          <w:rFonts w:ascii="Arial" w:hAnsi="Arial" w:cs="Arial"/>
          <w:sz w:val="20"/>
          <w:szCs w:val="20"/>
        </w:rPr>
        <w:t>are</w:t>
      </w:r>
      <w:r w:rsidRPr="00084EDE">
        <w:rPr>
          <w:rFonts w:ascii="Arial" w:hAnsi="Arial" w:cs="Arial"/>
          <w:sz w:val="20"/>
          <w:szCs w:val="20"/>
        </w:rPr>
        <w:t xml:space="preserve"> called </w:t>
      </w:r>
      <w:r w:rsidR="004E4F26">
        <w:rPr>
          <w:rFonts w:ascii="Arial" w:hAnsi="Arial" w:cs="Arial"/>
          <w:sz w:val="20"/>
          <w:szCs w:val="20"/>
        </w:rPr>
        <w:t xml:space="preserve">family preservation </w:t>
      </w:r>
      <w:r>
        <w:rPr>
          <w:rFonts w:ascii="Arial" w:hAnsi="Arial" w:cs="Arial"/>
          <w:sz w:val="20"/>
          <w:szCs w:val="20"/>
        </w:rPr>
        <w:t>o</w:t>
      </w:r>
      <w:r w:rsidRPr="00084EDE">
        <w:rPr>
          <w:rFonts w:ascii="Arial" w:hAnsi="Arial" w:cs="Arial"/>
          <w:sz w:val="20"/>
          <w:szCs w:val="20"/>
        </w:rPr>
        <w:t xml:space="preserve">rders </w:t>
      </w:r>
      <w:r w:rsidR="004E4F26">
        <w:rPr>
          <w:rFonts w:ascii="Arial" w:hAnsi="Arial" w:cs="Arial"/>
          <w:sz w:val="20"/>
          <w:szCs w:val="20"/>
        </w:rPr>
        <w:t xml:space="preserve">and are </w:t>
      </w:r>
      <w:r w:rsidRPr="00084EDE">
        <w:rPr>
          <w:rFonts w:ascii="Arial" w:hAnsi="Arial" w:cs="Arial"/>
          <w:sz w:val="20"/>
          <w:szCs w:val="20"/>
        </w:rPr>
        <w:t xml:space="preserve">usually </w:t>
      </w:r>
      <w:r w:rsidR="004E4F26">
        <w:rPr>
          <w:rFonts w:ascii="Arial" w:hAnsi="Arial" w:cs="Arial"/>
          <w:sz w:val="20"/>
          <w:szCs w:val="20"/>
        </w:rPr>
        <w:t xml:space="preserve">of </w:t>
      </w:r>
      <w:r w:rsidRPr="00084EDE">
        <w:rPr>
          <w:rFonts w:ascii="Arial" w:hAnsi="Arial" w:cs="Arial"/>
          <w:sz w:val="20"/>
          <w:szCs w:val="20"/>
        </w:rPr>
        <w:t>six to twelve months</w:t>
      </w:r>
      <w:r w:rsidR="004E4F26">
        <w:rPr>
          <w:rFonts w:ascii="Arial" w:hAnsi="Arial" w:cs="Arial"/>
          <w:sz w:val="20"/>
          <w:szCs w:val="20"/>
        </w:rPr>
        <w:t>’ duration</w:t>
      </w:r>
      <w:r w:rsidRPr="00084EDE">
        <w:rPr>
          <w:rFonts w:ascii="Arial" w:hAnsi="Arial" w:cs="Arial"/>
          <w:sz w:val="20"/>
          <w:szCs w:val="20"/>
        </w:rPr>
        <w:t>.</w:t>
      </w:r>
    </w:p>
    <w:p w14:paraId="71E69C92" w14:textId="77777777" w:rsidR="004E4F26" w:rsidRDefault="00084EDE">
      <w:pPr>
        <w:numPr>
          <w:ilvl w:val="0"/>
          <w:numId w:val="18"/>
        </w:numPr>
        <w:pBdr>
          <w:top w:val="single" w:sz="4" w:space="1" w:color="auto"/>
          <w:left w:val="single" w:sz="4" w:space="4" w:color="auto"/>
          <w:bottom w:val="single" w:sz="4" w:space="1" w:color="auto"/>
          <w:right w:val="single" w:sz="4" w:space="4" w:color="auto"/>
        </w:pBdr>
        <w:ind w:left="641" w:right="284" w:hanging="357"/>
        <w:jc w:val="both"/>
        <w:rPr>
          <w:rFonts w:ascii="Arial" w:hAnsi="Arial" w:cs="Arial"/>
          <w:sz w:val="20"/>
          <w:szCs w:val="20"/>
        </w:rPr>
      </w:pPr>
      <w:r w:rsidRPr="004E4F26">
        <w:rPr>
          <w:rFonts w:ascii="Arial" w:hAnsi="Arial" w:cs="Arial"/>
          <w:sz w:val="20"/>
          <w:szCs w:val="20"/>
        </w:rPr>
        <w:t xml:space="preserve">Allow Child Protection to decide where the child or young person </w:t>
      </w:r>
      <w:r w:rsidR="004E4F26" w:rsidRPr="004E4F26">
        <w:rPr>
          <w:rFonts w:ascii="Arial" w:hAnsi="Arial" w:cs="Arial"/>
          <w:sz w:val="20"/>
          <w:szCs w:val="20"/>
        </w:rPr>
        <w:t>is to</w:t>
      </w:r>
      <w:r w:rsidRPr="004E4F26">
        <w:rPr>
          <w:rFonts w:ascii="Arial" w:hAnsi="Arial" w:cs="Arial"/>
          <w:sz w:val="20"/>
          <w:szCs w:val="20"/>
        </w:rPr>
        <w:t xml:space="preserve"> be placed. This is generally in out of home care, for example, with a relative, family friend, foster carer or at a residential unit.  </w:t>
      </w:r>
      <w:r w:rsidR="004E4F26" w:rsidRPr="004E4F26">
        <w:rPr>
          <w:rFonts w:ascii="Arial" w:hAnsi="Arial" w:cs="Arial"/>
          <w:sz w:val="20"/>
          <w:szCs w:val="20"/>
        </w:rPr>
        <w:t xml:space="preserve">With family reunification orders, the plan will usually be re-unification with the parents and the order will have conditions to assist that to occur.  </w:t>
      </w:r>
      <w:r w:rsidRPr="004E4F26">
        <w:rPr>
          <w:rFonts w:ascii="Arial" w:hAnsi="Arial" w:cs="Arial"/>
          <w:sz w:val="20"/>
          <w:szCs w:val="20"/>
        </w:rPr>
        <w:t xml:space="preserve">In some cases, a child on a </w:t>
      </w:r>
      <w:r w:rsidR="004E4F26" w:rsidRPr="004E4F26">
        <w:rPr>
          <w:rFonts w:ascii="Arial" w:hAnsi="Arial" w:cs="Arial"/>
          <w:sz w:val="20"/>
          <w:szCs w:val="20"/>
        </w:rPr>
        <w:t>family reunification order</w:t>
      </w:r>
      <w:r w:rsidRPr="004E4F26">
        <w:rPr>
          <w:rFonts w:ascii="Arial" w:hAnsi="Arial" w:cs="Arial"/>
          <w:sz w:val="20"/>
          <w:szCs w:val="20"/>
        </w:rPr>
        <w:t xml:space="preserve"> may be placed in the care of a parent but this is relatively uncommon, at least early in the life of such order. </w:t>
      </w:r>
      <w:r w:rsidR="004E4F26">
        <w:rPr>
          <w:rFonts w:ascii="Arial" w:hAnsi="Arial" w:cs="Arial"/>
          <w:sz w:val="20"/>
          <w:szCs w:val="20"/>
        </w:rPr>
        <w:t>I</w:t>
      </w:r>
      <w:r w:rsidRPr="004E4F26">
        <w:rPr>
          <w:rFonts w:ascii="Arial" w:hAnsi="Arial" w:cs="Arial"/>
          <w:sz w:val="20"/>
          <w:szCs w:val="20"/>
        </w:rPr>
        <w:t xml:space="preserve">n cases where reunification is not in the best interests of the child, the Court may make a </w:t>
      </w:r>
      <w:r w:rsidR="004E4F26">
        <w:rPr>
          <w:rFonts w:ascii="Arial" w:hAnsi="Arial" w:cs="Arial"/>
          <w:sz w:val="20"/>
          <w:szCs w:val="20"/>
        </w:rPr>
        <w:t>care by</w:t>
      </w:r>
      <w:r w:rsidRPr="004E4F26">
        <w:rPr>
          <w:rFonts w:ascii="Arial" w:hAnsi="Arial" w:cs="Arial"/>
          <w:sz w:val="20"/>
          <w:szCs w:val="20"/>
        </w:rPr>
        <w:t xml:space="preserve"> Secretary order or</w:t>
      </w:r>
      <w:r w:rsidR="004E4F26">
        <w:rPr>
          <w:rFonts w:ascii="Arial" w:hAnsi="Arial" w:cs="Arial"/>
          <w:sz w:val="20"/>
          <w:szCs w:val="20"/>
        </w:rPr>
        <w:t xml:space="preserve"> a long-term care order, neither or which can contain conditions</w:t>
      </w:r>
      <w:r w:rsidRPr="004E4F26">
        <w:rPr>
          <w:rFonts w:ascii="Arial" w:hAnsi="Arial" w:cs="Arial"/>
          <w:sz w:val="20"/>
          <w:szCs w:val="20"/>
        </w:rPr>
        <w:t>.</w:t>
      </w:r>
    </w:p>
    <w:p w14:paraId="37117723" w14:textId="77777777" w:rsidR="009104CC" w:rsidRDefault="009104CC"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p>
    <w:p w14:paraId="34145B59" w14:textId="77777777" w:rsidR="00084EDE" w:rsidRPr="004E4F26" w:rsidRDefault="00084EDE" w:rsidP="009104CC">
      <w:pPr>
        <w:pBdr>
          <w:top w:val="single" w:sz="4" w:space="1" w:color="auto"/>
          <w:left w:val="single" w:sz="4" w:space="4" w:color="auto"/>
          <w:bottom w:val="single" w:sz="4" w:space="1" w:color="auto"/>
          <w:right w:val="single" w:sz="4" w:space="4" w:color="auto"/>
        </w:pBdr>
        <w:ind w:left="284" w:right="284"/>
        <w:jc w:val="both"/>
        <w:rPr>
          <w:rFonts w:ascii="Arial" w:hAnsi="Arial" w:cs="Arial"/>
          <w:sz w:val="20"/>
          <w:szCs w:val="20"/>
        </w:rPr>
      </w:pPr>
      <w:r w:rsidRPr="004E4F26">
        <w:rPr>
          <w:rFonts w:ascii="Arial" w:hAnsi="Arial" w:cs="Arial"/>
          <w:sz w:val="20"/>
          <w:szCs w:val="20"/>
        </w:rPr>
        <w:t>The Court also hears applications for Permanent Care Orders and may make such orders if the child has been out of parental care for at least 6 months of the previous 12 months and if satisfied that reunification with a parent is not in the best interests of the child.</w:t>
      </w:r>
    </w:p>
    <w:p w14:paraId="0C0132D0" w14:textId="77777777" w:rsidR="002B758B" w:rsidRPr="00DA334D" w:rsidRDefault="002B758B">
      <w:pPr>
        <w:rPr>
          <w:rFonts w:ascii="Arial" w:hAnsi="Arial" w:cs="Arial"/>
          <w:sz w:val="20"/>
        </w:rPr>
      </w:pPr>
    </w:p>
    <w:p w14:paraId="250701FF" w14:textId="77777777" w:rsidR="00693223" w:rsidRDefault="00693223">
      <w:pPr>
        <w:pStyle w:val="Heading2"/>
        <w:keepNext/>
        <w:keepLines/>
        <w:tabs>
          <w:tab w:val="left" w:pos="567"/>
        </w:tabs>
        <w:spacing w:line="240" w:lineRule="auto"/>
        <w:rPr>
          <w:rFonts w:ascii="Arial" w:hAnsi="Arial" w:cs="Arial"/>
          <w:b/>
          <w:bCs/>
        </w:rPr>
      </w:pPr>
      <w:bookmarkStart w:id="248" w:name="_4.3_Jurisdiction_of"/>
      <w:bookmarkStart w:id="249" w:name="B43"/>
      <w:bookmarkStart w:id="250" w:name="_Toc30607526"/>
      <w:bookmarkStart w:id="251" w:name="_Toc30607655"/>
      <w:bookmarkStart w:id="252" w:name="_Toc30607980"/>
      <w:bookmarkStart w:id="253" w:name="_Toc30608813"/>
      <w:bookmarkStart w:id="254" w:name="_Toc30610027"/>
      <w:bookmarkStart w:id="255" w:name="_Toc30610271"/>
      <w:bookmarkStart w:id="256" w:name="_Toc30638425"/>
      <w:bookmarkStart w:id="257" w:name="_Toc30644238"/>
      <w:bookmarkStart w:id="258" w:name="_Toc30644641"/>
      <w:bookmarkStart w:id="259" w:name="_Toc30645191"/>
      <w:bookmarkStart w:id="260" w:name="_Toc30646402"/>
      <w:bookmarkStart w:id="261" w:name="_Toc30646697"/>
      <w:bookmarkStart w:id="262" w:name="_Toc30646808"/>
      <w:bookmarkStart w:id="263" w:name="_Toc30648165"/>
      <w:bookmarkStart w:id="264" w:name="_Toc30649063"/>
      <w:bookmarkStart w:id="265" w:name="_Toc30649139"/>
      <w:bookmarkStart w:id="266" w:name="_Toc30649400"/>
      <w:bookmarkStart w:id="267" w:name="_Toc30649725"/>
      <w:bookmarkStart w:id="268" w:name="_Toc30651665"/>
      <w:bookmarkStart w:id="269" w:name="_Toc30652655"/>
      <w:bookmarkStart w:id="270" w:name="_Toc30652751"/>
      <w:bookmarkStart w:id="271" w:name="_Toc30654096"/>
      <w:bookmarkStart w:id="272" w:name="_Toc30654447"/>
      <w:bookmarkStart w:id="273" w:name="_Toc30655066"/>
      <w:bookmarkStart w:id="274" w:name="_Toc30655323"/>
      <w:bookmarkStart w:id="275" w:name="_Toc30657001"/>
      <w:bookmarkStart w:id="276" w:name="_Toc30661750"/>
      <w:bookmarkStart w:id="277" w:name="_Toc30666438"/>
      <w:bookmarkStart w:id="278" w:name="_Toc30666668"/>
      <w:bookmarkStart w:id="279" w:name="_Toc30667843"/>
      <w:bookmarkStart w:id="280" w:name="_Toc30669221"/>
      <w:bookmarkStart w:id="281" w:name="_Toc30671437"/>
      <w:bookmarkStart w:id="282" w:name="_Toc30673964"/>
      <w:bookmarkStart w:id="283" w:name="_Toc30691186"/>
      <w:bookmarkStart w:id="284" w:name="_Toc30691559"/>
      <w:bookmarkStart w:id="285" w:name="_Toc30691939"/>
      <w:bookmarkStart w:id="286" w:name="_Toc30692698"/>
      <w:bookmarkStart w:id="287" w:name="_Toc30693077"/>
      <w:bookmarkStart w:id="288" w:name="_Toc30693455"/>
      <w:bookmarkStart w:id="289" w:name="_Toc30693833"/>
      <w:bookmarkStart w:id="290" w:name="_Toc30694214"/>
      <w:bookmarkStart w:id="291" w:name="_Toc30698803"/>
      <w:bookmarkStart w:id="292" w:name="_Toc30699181"/>
      <w:bookmarkStart w:id="293" w:name="_Toc30699566"/>
      <w:bookmarkStart w:id="294" w:name="_Toc30700721"/>
      <w:bookmarkStart w:id="295" w:name="_Toc30701108"/>
      <w:bookmarkStart w:id="296" w:name="_Toc30743717"/>
      <w:bookmarkStart w:id="297" w:name="_Toc30754540"/>
      <w:bookmarkStart w:id="298" w:name="_Toc30756980"/>
      <w:bookmarkStart w:id="299" w:name="_Toc30757529"/>
      <w:bookmarkStart w:id="300" w:name="_Toc30757929"/>
      <w:bookmarkStart w:id="301" w:name="_Toc30762690"/>
      <w:bookmarkStart w:id="302" w:name="_Toc30767344"/>
      <w:bookmarkStart w:id="303" w:name="_Toc34823360"/>
      <w:bookmarkStart w:id="304" w:name="_Toc60399993"/>
      <w:bookmarkStart w:id="305" w:name="_Toc30607528"/>
      <w:bookmarkStart w:id="306" w:name="_Toc30607657"/>
      <w:bookmarkStart w:id="307" w:name="_Toc30607982"/>
      <w:bookmarkStart w:id="308" w:name="_Toc30608815"/>
      <w:bookmarkStart w:id="309" w:name="_Toc30610029"/>
      <w:bookmarkStart w:id="310" w:name="_Toc30610273"/>
      <w:bookmarkStart w:id="311" w:name="_Toc30638427"/>
      <w:bookmarkStart w:id="312" w:name="_Toc30644240"/>
      <w:bookmarkStart w:id="313" w:name="_Toc30644643"/>
      <w:bookmarkStart w:id="314" w:name="_Toc30645193"/>
      <w:bookmarkStart w:id="315" w:name="_Toc30646404"/>
      <w:bookmarkStart w:id="316" w:name="_Toc30646699"/>
      <w:bookmarkStart w:id="317" w:name="_Toc30646810"/>
      <w:bookmarkStart w:id="318" w:name="_Toc30648167"/>
      <w:bookmarkStart w:id="319" w:name="_Toc30649065"/>
      <w:bookmarkStart w:id="320" w:name="_Toc30649141"/>
      <w:bookmarkStart w:id="321" w:name="_Toc30649402"/>
      <w:bookmarkStart w:id="322" w:name="_Toc30649727"/>
      <w:bookmarkStart w:id="323" w:name="_Toc30651667"/>
      <w:bookmarkStart w:id="324" w:name="_Toc30652657"/>
      <w:bookmarkStart w:id="325" w:name="_Toc30652753"/>
      <w:bookmarkStart w:id="326" w:name="_Toc30654098"/>
      <w:bookmarkStart w:id="327" w:name="_Toc30654449"/>
      <w:bookmarkStart w:id="328" w:name="_Toc30655068"/>
      <w:bookmarkStart w:id="329" w:name="_Toc30655325"/>
      <w:bookmarkStart w:id="330" w:name="_Toc30657003"/>
      <w:bookmarkStart w:id="331" w:name="_Toc30661752"/>
      <w:bookmarkStart w:id="332" w:name="_Toc30666440"/>
      <w:bookmarkStart w:id="333" w:name="_Toc30666670"/>
      <w:bookmarkStart w:id="334" w:name="_Toc30667845"/>
      <w:bookmarkStart w:id="335" w:name="_Toc30669223"/>
      <w:bookmarkStart w:id="336" w:name="_Toc30671439"/>
      <w:bookmarkStart w:id="337" w:name="_Toc30673966"/>
      <w:bookmarkStart w:id="338" w:name="_Toc30691188"/>
      <w:bookmarkStart w:id="339" w:name="_Toc30691561"/>
      <w:bookmarkStart w:id="340" w:name="_Toc30691941"/>
      <w:bookmarkStart w:id="341" w:name="_Toc30692700"/>
      <w:bookmarkStart w:id="342" w:name="_Toc30693079"/>
      <w:bookmarkStart w:id="343" w:name="_Toc30693457"/>
      <w:bookmarkStart w:id="344" w:name="_Toc30693835"/>
      <w:bookmarkStart w:id="345" w:name="_Toc30694216"/>
      <w:bookmarkStart w:id="346" w:name="_Toc30698805"/>
      <w:bookmarkStart w:id="347" w:name="_Toc30699183"/>
      <w:bookmarkStart w:id="348" w:name="_Toc30699568"/>
      <w:bookmarkStart w:id="349" w:name="_Toc30700723"/>
      <w:bookmarkStart w:id="350" w:name="_Toc30701110"/>
      <w:bookmarkStart w:id="351" w:name="_Toc30743719"/>
      <w:bookmarkStart w:id="352" w:name="_Toc30754542"/>
      <w:bookmarkStart w:id="353" w:name="_Toc30756982"/>
      <w:bookmarkStart w:id="354" w:name="_Toc30757531"/>
      <w:bookmarkStart w:id="355" w:name="_Toc30757931"/>
      <w:bookmarkStart w:id="356" w:name="_Toc30762692"/>
      <w:bookmarkStart w:id="357" w:name="_Toc30767346"/>
      <w:bookmarkStart w:id="358" w:name="_Toc34823362"/>
      <w:bookmarkEnd w:id="248"/>
      <w:bookmarkEnd w:id="249"/>
      <w:r>
        <w:rPr>
          <w:rFonts w:ascii="Arial" w:hAnsi="Arial" w:cs="Arial"/>
          <w:b/>
          <w:bCs/>
        </w:rPr>
        <w:t>4.</w:t>
      </w:r>
      <w:r w:rsidR="00940D74">
        <w:rPr>
          <w:rFonts w:ascii="Arial" w:hAnsi="Arial" w:cs="Arial"/>
          <w:b/>
          <w:bCs/>
        </w:rPr>
        <w:t>3</w:t>
      </w:r>
      <w:r>
        <w:rPr>
          <w:rFonts w:ascii="Arial" w:hAnsi="Arial" w:cs="Arial"/>
          <w:b/>
          <w:bCs/>
        </w:rPr>
        <w:tab/>
        <w:t>Jurisdiction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Arial" w:hAnsi="Arial" w:cs="Arial"/>
          <w:b/>
          <w:bCs/>
        </w:rPr>
        <w:t xml:space="preserve"> of Family Division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8E46277" w14:textId="77777777" w:rsidR="00693223" w:rsidRDefault="00693223">
      <w:pPr>
        <w:keepNext/>
        <w:keepLines/>
        <w:jc w:val="both"/>
        <w:rPr>
          <w:rFonts w:ascii="Arial" w:hAnsi="Arial" w:cs="Arial"/>
          <w:sz w:val="20"/>
        </w:rPr>
      </w:pPr>
    </w:p>
    <w:p w14:paraId="0CA22602" w14:textId="77777777" w:rsidR="00693223" w:rsidRDefault="00693223">
      <w:pPr>
        <w:keepNext/>
        <w:keepLines/>
        <w:jc w:val="both"/>
        <w:rPr>
          <w:rFonts w:ascii="Arial" w:hAnsi="Arial" w:cs="Arial"/>
          <w:sz w:val="20"/>
        </w:rPr>
      </w:pPr>
      <w:r>
        <w:rPr>
          <w:rFonts w:ascii="Arial" w:hAnsi="Arial" w:cs="Arial"/>
          <w:sz w:val="20"/>
        </w:rPr>
        <w:t>When we refer to the jurisdiction of a court we are talking about its legal power to hear and determine a matter.  The CY</w:t>
      </w:r>
      <w:r w:rsidR="00497924">
        <w:rPr>
          <w:rFonts w:ascii="Arial" w:hAnsi="Arial" w:cs="Arial"/>
          <w:sz w:val="20"/>
        </w:rPr>
        <w:t>F</w:t>
      </w:r>
      <w:r>
        <w:rPr>
          <w:rFonts w:ascii="Arial" w:hAnsi="Arial" w:cs="Arial"/>
          <w:sz w:val="20"/>
        </w:rPr>
        <w:t>A is the primary source of the jurisdiction of the Family Division of t</w:t>
      </w:r>
      <w:r w:rsidR="006D081C">
        <w:rPr>
          <w:rFonts w:ascii="Arial" w:hAnsi="Arial" w:cs="Arial"/>
          <w:sz w:val="20"/>
        </w:rPr>
        <w:t>he Children's Court of Victoria</w:t>
      </w:r>
      <w:r w:rsidR="00AF5500">
        <w:rPr>
          <w:rFonts w:ascii="Arial" w:hAnsi="Arial" w:cs="Arial"/>
          <w:sz w:val="20"/>
        </w:rPr>
        <w:t>, having entirely rep</w:t>
      </w:r>
      <w:r w:rsidR="00450E55">
        <w:rPr>
          <w:rFonts w:ascii="Arial" w:hAnsi="Arial" w:cs="Arial"/>
          <w:sz w:val="20"/>
        </w:rPr>
        <w:t>lace</w:t>
      </w:r>
      <w:r w:rsidR="00AF5500">
        <w:rPr>
          <w:rFonts w:ascii="Arial" w:hAnsi="Arial" w:cs="Arial"/>
          <w:sz w:val="20"/>
        </w:rPr>
        <w:t xml:space="preserve">d the </w:t>
      </w:r>
      <w:r w:rsidR="006D081C">
        <w:rPr>
          <w:rFonts w:ascii="Arial" w:hAnsi="Arial" w:cs="Arial"/>
          <w:sz w:val="20"/>
        </w:rPr>
        <w:t xml:space="preserve">Children and Young Persons Act 1989 (Vic) [‘the CYPA’] </w:t>
      </w:r>
      <w:r w:rsidR="00AF5500">
        <w:rPr>
          <w:rFonts w:ascii="Arial" w:hAnsi="Arial" w:cs="Arial"/>
          <w:sz w:val="20"/>
        </w:rPr>
        <w:t>on 01/10/2007</w:t>
      </w:r>
      <w:r w:rsidR="006D081C">
        <w:rPr>
          <w:rFonts w:ascii="Arial" w:hAnsi="Arial" w:cs="Arial"/>
          <w:sz w:val="20"/>
        </w:rPr>
        <w:t>.</w:t>
      </w:r>
    </w:p>
    <w:p w14:paraId="4398C5BC" w14:textId="77777777" w:rsidR="00693223" w:rsidRDefault="00693223">
      <w:pPr>
        <w:pStyle w:val="Heading3"/>
        <w:spacing w:line="240" w:lineRule="auto"/>
        <w:rPr>
          <w:rFonts w:ascii="Arial" w:hAnsi="Arial" w:cs="Arial"/>
          <w:b/>
          <w:bCs/>
          <w:sz w:val="20"/>
        </w:rPr>
      </w:pPr>
      <w:bookmarkStart w:id="359" w:name="_Toc60399994"/>
    </w:p>
    <w:p w14:paraId="56E6A12D" w14:textId="77777777" w:rsidR="00693223" w:rsidRDefault="00693223">
      <w:pPr>
        <w:pStyle w:val="Heading3"/>
        <w:keepNext/>
        <w:keepLines/>
        <w:spacing w:line="240" w:lineRule="auto"/>
        <w:rPr>
          <w:rFonts w:ascii="Arial" w:hAnsi="Arial" w:cs="Arial"/>
          <w:b/>
          <w:bCs/>
          <w:sz w:val="20"/>
        </w:rPr>
      </w:pPr>
      <w:bookmarkStart w:id="360" w:name="_4.3.1_Jurisdiction_under"/>
      <w:bookmarkStart w:id="361" w:name="B431"/>
      <w:bookmarkEnd w:id="360"/>
      <w:bookmarkEnd w:id="361"/>
      <w:r>
        <w:rPr>
          <w:rFonts w:ascii="Arial" w:hAnsi="Arial" w:cs="Arial"/>
          <w:b/>
          <w:bCs/>
          <w:sz w:val="20"/>
        </w:rPr>
        <w:t>4.</w:t>
      </w:r>
      <w:r w:rsidR="00940D74">
        <w:rPr>
          <w:rFonts w:ascii="Arial" w:hAnsi="Arial" w:cs="Arial"/>
          <w:b/>
          <w:bCs/>
          <w:sz w:val="20"/>
        </w:rPr>
        <w:t>3</w:t>
      </w:r>
      <w:r>
        <w:rPr>
          <w:rFonts w:ascii="Arial" w:hAnsi="Arial" w:cs="Arial"/>
          <w:b/>
          <w:bCs/>
          <w:sz w:val="20"/>
        </w:rPr>
        <w:t>.1</w:t>
      </w:r>
      <w:r>
        <w:rPr>
          <w:rFonts w:ascii="Arial" w:hAnsi="Arial" w:cs="Arial"/>
          <w:b/>
          <w:bCs/>
          <w:sz w:val="20"/>
        </w:rPr>
        <w:tab/>
        <w:t>Jurisdiction under the CY</w:t>
      </w:r>
      <w:r w:rsidR="005F100D">
        <w:rPr>
          <w:rFonts w:ascii="Arial" w:hAnsi="Arial" w:cs="Arial"/>
          <w:b/>
          <w:bCs/>
          <w:sz w:val="20"/>
        </w:rPr>
        <w:t>F</w:t>
      </w:r>
      <w:r>
        <w:rPr>
          <w:rFonts w:ascii="Arial" w:hAnsi="Arial" w:cs="Arial"/>
          <w:b/>
          <w:bCs/>
          <w:sz w:val="20"/>
        </w:rPr>
        <w:t>A</w:t>
      </w:r>
      <w:bookmarkEnd w:id="359"/>
    </w:p>
    <w:p w14:paraId="68C21A0E" w14:textId="77777777" w:rsidR="00693223" w:rsidRDefault="00693223" w:rsidP="00B51860">
      <w:pPr>
        <w:pStyle w:val="Heading3"/>
        <w:keepNext/>
        <w:keepLines/>
        <w:spacing w:line="240" w:lineRule="auto"/>
        <w:rPr>
          <w:rFonts w:ascii="Arial" w:hAnsi="Arial" w:cs="Arial"/>
          <w:b/>
          <w:bCs/>
          <w:sz w:val="20"/>
        </w:rPr>
      </w:pPr>
    </w:p>
    <w:p w14:paraId="796E7BB3" w14:textId="71A9A96B" w:rsidR="00693223" w:rsidRDefault="00693223">
      <w:pPr>
        <w:jc w:val="both"/>
        <w:rPr>
          <w:rFonts w:ascii="Arial" w:hAnsi="Arial" w:cs="Arial"/>
          <w:sz w:val="20"/>
        </w:rPr>
      </w:pPr>
      <w:r>
        <w:rPr>
          <w:rFonts w:ascii="Arial" w:hAnsi="Arial" w:cs="Arial"/>
          <w:sz w:val="20"/>
        </w:rPr>
        <w:t>Under s.</w:t>
      </w:r>
      <w:r w:rsidR="00497924">
        <w:rPr>
          <w:rFonts w:ascii="Arial" w:hAnsi="Arial" w:cs="Arial"/>
          <w:sz w:val="20"/>
        </w:rPr>
        <w:t>5</w:t>
      </w:r>
      <w:r>
        <w:rPr>
          <w:rFonts w:ascii="Arial" w:hAnsi="Arial" w:cs="Arial"/>
          <w:sz w:val="20"/>
        </w:rPr>
        <w:t>15(1) of the CY</w:t>
      </w:r>
      <w:r w:rsidR="00497924">
        <w:rPr>
          <w:rFonts w:ascii="Arial" w:hAnsi="Arial" w:cs="Arial"/>
          <w:sz w:val="20"/>
        </w:rPr>
        <w:t>F</w:t>
      </w:r>
      <w:r>
        <w:rPr>
          <w:rFonts w:ascii="Arial" w:hAnsi="Arial" w:cs="Arial"/>
          <w:sz w:val="20"/>
        </w:rPr>
        <w:t xml:space="preserve">A, the Family Division has jurisdiction to hear and determine a number of Primary Applications &amp; Secondary Applications for orders relating to the protection of children and young persons.  </w:t>
      </w:r>
      <w:r w:rsidR="006A312B">
        <w:rPr>
          <w:rFonts w:ascii="Arial" w:hAnsi="Arial" w:cs="Arial"/>
          <w:sz w:val="20"/>
        </w:rPr>
        <w:t xml:space="preserve">These applications are detailed in </w:t>
      </w:r>
      <w:r w:rsidR="00A40A28" w:rsidRPr="00A40A28">
        <w:rPr>
          <w:rFonts w:ascii="Arial" w:hAnsi="Arial" w:cs="Arial"/>
          <w:b/>
          <w:bCs/>
          <w:sz w:val="20"/>
          <w:shd w:val="clear" w:color="auto" w:fill="C5E0B3"/>
        </w:rPr>
        <w:t>C</w:t>
      </w:r>
      <w:r w:rsidR="006A312B" w:rsidRPr="00A40A28">
        <w:rPr>
          <w:rFonts w:ascii="Arial" w:hAnsi="Arial" w:cs="Arial"/>
          <w:b/>
          <w:bCs/>
          <w:sz w:val="20"/>
          <w:shd w:val="clear" w:color="auto" w:fill="C5E0B3"/>
        </w:rPr>
        <w:t>hapter 5</w:t>
      </w:r>
      <w:r w:rsidR="00211E08">
        <w:rPr>
          <w:rFonts w:ascii="Arial" w:hAnsi="Arial" w:cs="Arial"/>
          <w:sz w:val="20"/>
        </w:rPr>
        <w:t xml:space="preserve"> of these Research Materials.  </w:t>
      </w:r>
      <w:r>
        <w:rPr>
          <w:rFonts w:ascii="Arial" w:hAnsi="Arial" w:cs="Arial"/>
          <w:sz w:val="20"/>
        </w:rPr>
        <w:t>That this is a main purpose of the Court appears from s</w:t>
      </w:r>
      <w:r w:rsidR="00497924">
        <w:rPr>
          <w:rFonts w:ascii="Arial" w:hAnsi="Arial" w:cs="Arial"/>
          <w:sz w:val="20"/>
        </w:rPr>
        <w:t>s</w:t>
      </w:r>
      <w:r>
        <w:rPr>
          <w:rFonts w:ascii="Arial" w:hAnsi="Arial" w:cs="Arial"/>
          <w:sz w:val="20"/>
        </w:rPr>
        <w:t xml:space="preserve">.1(b) </w:t>
      </w:r>
      <w:r w:rsidR="00497924">
        <w:rPr>
          <w:rFonts w:ascii="Arial" w:hAnsi="Arial" w:cs="Arial"/>
          <w:sz w:val="20"/>
        </w:rPr>
        <w:t xml:space="preserve">&amp; 1(d) </w:t>
      </w:r>
      <w:r>
        <w:rPr>
          <w:rFonts w:ascii="Arial" w:hAnsi="Arial" w:cs="Arial"/>
          <w:sz w:val="20"/>
        </w:rPr>
        <w:t>of the Act.</w:t>
      </w:r>
    </w:p>
    <w:p w14:paraId="1E8C8275" w14:textId="77777777" w:rsidR="00693223" w:rsidRDefault="00693223">
      <w:pPr>
        <w:jc w:val="both"/>
        <w:rPr>
          <w:rFonts w:ascii="Arial" w:hAnsi="Arial" w:cs="Arial"/>
          <w:sz w:val="20"/>
        </w:rPr>
      </w:pPr>
    </w:p>
    <w:p w14:paraId="0F7582DF" w14:textId="77777777" w:rsidR="00693223" w:rsidRDefault="00693223" w:rsidP="00390E49">
      <w:pPr>
        <w:jc w:val="both"/>
        <w:rPr>
          <w:rFonts w:ascii="Arial" w:hAnsi="Arial" w:cs="Arial"/>
          <w:sz w:val="20"/>
        </w:rPr>
      </w:pPr>
      <w:r>
        <w:rPr>
          <w:rFonts w:ascii="Arial" w:hAnsi="Arial" w:cs="Arial"/>
          <w:sz w:val="20"/>
        </w:rPr>
        <w:t>Under s.</w:t>
      </w:r>
      <w:r w:rsidR="005F100D">
        <w:rPr>
          <w:rFonts w:ascii="Arial" w:hAnsi="Arial" w:cs="Arial"/>
          <w:sz w:val="20"/>
        </w:rPr>
        <w:t>5</w:t>
      </w:r>
      <w:r>
        <w:rPr>
          <w:rFonts w:ascii="Arial" w:hAnsi="Arial" w:cs="Arial"/>
          <w:sz w:val="20"/>
        </w:rPr>
        <w:t>15(2) of the CY</w:t>
      </w:r>
      <w:r w:rsidR="005F100D">
        <w:rPr>
          <w:rFonts w:ascii="Arial" w:hAnsi="Arial" w:cs="Arial"/>
          <w:sz w:val="20"/>
        </w:rPr>
        <w:t>F</w:t>
      </w:r>
      <w:r>
        <w:rPr>
          <w:rFonts w:ascii="Arial" w:hAnsi="Arial" w:cs="Arial"/>
          <w:sz w:val="20"/>
        </w:rPr>
        <w:t>A, the Family Division also has jurisdiction:</w:t>
      </w:r>
    </w:p>
    <w:p w14:paraId="2A2A599D" w14:textId="77777777" w:rsidR="00693223" w:rsidRDefault="003B47AB">
      <w:pPr>
        <w:numPr>
          <w:ilvl w:val="0"/>
          <w:numId w:val="1"/>
        </w:numPr>
        <w:tabs>
          <w:tab w:val="num" w:pos="423"/>
          <w:tab w:val="num" w:pos="723"/>
        </w:tabs>
        <w:jc w:val="both"/>
        <w:rPr>
          <w:rFonts w:ascii="Arial" w:hAnsi="Arial" w:cs="Arial"/>
          <w:sz w:val="20"/>
        </w:rPr>
      </w:pPr>
      <w:r>
        <w:rPr>
          <w:rFonts w:ascii="Arial" w:hAnsi="Arial" w:cs="Arial"/>
          <w:sz w:val="20"/>
        </w:rPr>
        <w:t>in relation to the t</w:t>
      </w:r>
      <w:r w:rsidR="00693223">
        <w:rPr>
          <w:rFonts w:ascii="Arial" w:hAnsi="Arial" w:cs="Arial"/>
          <w:sz w:val="20"/>
        </w:rPr>
        <w:t xml:space="preserve">ransfer of child protection orders and proceedings between Victoria and another Australian State or Territory or between Victoria and New Zealand [Schedule </w:t>
      </w:r>
      <w:r w:rsidR="005F100D">
        <w:rPr>
          <w:rFonts w:ascii="Arial" w:hAnsi="Arial" w:cs="Arial"/>
          <w:sz w:val="20"/>
        </w:rPr>
        <w:t>1</w:t>
      </w:r>
      <w:r w:rsidR="00693223">
        <w:rPr>
          <w:rFonts w:ascii="Arial" w:hAnsi="Arial" w:cs="Arial"/>
          <w:sz w:val="20"/>
        </w:rPr>
        <w:t>]; and</w:t>
      </w:r>
    </w:p>
    <w:p w14:paraId="35BCA325" w14:textId="77777777" w:rsidR="00E22166" w:rsidRPr="00B310F4" w:rsidRDefault="00693223">
      <w:pPr>
        <w:numPr>
          <w:ilvl w:val="0"/>
          <w:numId w:val="1"/>
        </w:numPr>
        <w:tabs>
          <w:tab w:val="num" w:pos="423"/>
          <w:tab w:val="num" w:pos="723"/>
        </w:tabs>
        <w:jc w:val="both"/>
        <w:rPr>
          <w:rFonts w:ascii="Arial" w:hAnsi="Arial" w:cs="Arial"/>
          <w:color w:val="000000"/>
          <w:sz w:val="20"/>
        </w:rPr>
      </w:pPr>
      <w:r>
        <w:rPr>
          <w:rFonts w:ascii="Arial" w:hAnsi="Arial" w:cs="Arial"/>
          <w:sz w:val="20"/>
        </w:rPr>
        <w:t xml:space="preserve">to hear and determine applications to make, vary, revoke or extend an intervention order </w:t>
      </w:r>
      <w:r w:rsidRPr="00B310F4">
        <w:rPr>
          <w:rFonts w:ascii="Arial" w:hAnsi="Arial" w:cs="Arial"/>
          <w:color w:val="000000"/>
          <w:sz w:val="20"/>
        </w:rPr>
        <w:t xml:space="preserve">when either the </w:t>
      </w:r>
      <w:r w:rsidR="00E22166" w:rsidRPr="00B310F4">
        <w:rPr>
          <w:rFonts w:ascii="Arial" w:hAnsi="Arial" w:cs="Arial"/>
          <w:color w:val="000000"/>
          <w:sz w:val="20"/>
        </w:rPr>
        <w:t>respondent</w:t>
      </w:r>
      <w:r w:rsidRPr="00B310F4">
        <w:rPr>
          <w:rFonts w:ascii="Arial" w:hAnsi="Arial" w:cs="Arial"/>
          <w:color w:val="000000"/>
          <w:sz w:val="20"/>
        </w:rPr>
        <w:t xml:space="preserve"> or </w:t>
      </w:r>
      <w:r w:rsidR="00E22166" w:rsidRPr="00B310F4">
        <w:rPr>
          <w:rFonts w:ascii="Arial" w:hAnsi="Arial" w:cs="Arial"/>
          <w:color w:val="000000"/>
          <w:sz w:val="20"/>
        </w:rPr>
        <w:t>an affected person</w:t>
      </w:r>
      <w:r w:rsidRPr="00B310F4">
        <w:rPr>
          <w:rFonts w:ascii="Arial" w:hAnsi="Arial" w:cs="Arial"/>
          <w:color w:val="000000"/>
          <w:sz w:val="20"/>
        </w:rPr>
        <w:t xml:space="preserve"> is a child: see </w:t>
      </w:r>
      <w:r w:rsidR="00E22166" w:rsidRPr="00B310F4">
        <w:rPr>
          <w:rFonts w:ascii="Arial" w:hAnsi="Arial" w:cs="Arial"/>
          <w:color w:val="000000"/>
          <w:sz w:val="20"/>
        </w:rPr>
        <w:t xml:space="preserve">ss.146-149 of the </w:t>
      </w:r>
      <w:r w:rsidR="00E22166" w:rsidRPr="00B310F4">
        <w:rPr>
          <w:rFonts w:ascii="Arial" w:hAnsi="Arial" w:cs="Arial"/>
          <w:color w:val="000000"/>
          <w:sz w:val="20"/>
          <w:u w:val="single"/>
        </w:rPr>
        <w:t>Family Violence Protection Act 2008</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[No.52/2008] (‘the FVPA’) </w:t>
      </w:r>
      <w:r w:rsidR="00E22166" w:rsidRPr="00B310F4">
        <w:rPr>
          <w:rFonts w:ascii="Arial" w:hAnsi="Arial" w:cs="Arial"/>
          <w:color w:val="000000"/>
          <w:sz w:val="20"/>
        </w:rPr>
        <w:t>and s</w:t>
      </w:r>
      <w:r w:rsidR="00120B81" w:rsidRPr="00B310F4">
        <w:rPr>
          <w:rFonts w:ascii="Arial" w:hAnsi="Arial" w:cs="Arial"/>
          <w:color w:val="000000"/>
          <w:sz w:val="20"/>
        </w:rPr>
        <w:t>s</w:t>
      </w:r>
      <w:r w:rsidR="00E22166" w:rsidRPr="00B310F4">
        <w:rPr>
          <w:rFonts w:ascii="Arial" w:hAnsi="Arial" w:cs="Arial"/>
          <w:color w:val="000000"/>
          <w:sz w:val="20"/>
        </w:rPr>
        <w:t>.</w:t>
      </w:r>
      <w:r w:rsidR="00120B81" w:rsidRPr="00B310F4">
        <w:rPr>
          <w:rFonts w:ascii="Arial" w:hAnsi="Arial" w:cs="Arial"/>
          <w:color w:val="000000"/>
          <w:sz w:val="20"/>
        </w:rPr>
        <w:t>103-106</w:t>
      </w:r>
      <w:r w:rsidR="00E22166" w:rsidRPr="00B310F4">
        <w:rPr>
          <w:rFonts w:ascii="Arial" w:hAnsi="Arial" w:cs="Arial"/>
          <w:color w:val="000000"/>
          <w:sz w:val="20"/>
        </w:rPr>
        <w:t xml:space="preserve"> of the </w:t>
      </w:r>
      <w:r w:rsidR="00120B81" w:rsidRPr="00B310F4">
        <w:rPr>
          <w:rFonts w:ascii="Arial" w:hAnsi="Arial" w:cs="Arial"/>
          <w:color w:val="000000"/>
          <w:sz w:val="20"/>
          <w:u w:val="single"/>
        </w:rPr>
        <w:t>Personal Safety I</w:t>
      </w:r>
      <w:r w:rsidR="00E22166" w:rsidRPr="00B310F4">
        <w:rPr>
          <w:rFonts w:ascii="Arial" w:hAnsi="Arial" w:cs="Arial"/>
          <w:color w:val="000000"/>
          <w:sz w:val="20"/>
          <w:u w:val="single"/>
        </w:rPr>
        <w:t>ntervention Orders Act 20</w:t>
      </w:r>
      <w:r w:rsidR="00120B81" w:rsidRPr="00B310F4">
        <w:rPr>
          <w:rFonts w:ascii="Arial" w:hAnsi="Arial" w:cs="Arial"/>
          <w:color w:val="000000"/>
          <w:sz w:val="20"/>
          <w:u w:val="single"/>
        </w:rPr>
        <w:t>10</w:t>
      </w:r>
      <w:r w:rsidR="00617055" w:rsidRPr="00B310F4">
        <w:rPr>
          <w:rFonts w:ascii="Arial" w:hAnsi="Arial" w:cs="Arial"/>
          <w:color w:val="000000"/>
          <w:sz w:val="20"/>
          <w:u w:val="single"/>
        </w:rPr>
        <w:t xml:space="preserve"> (Vic)</w:t>
      </w:r>
      <w:r w:rsidR="00617055" w:rsidRPr="00B310F4">
        <w:rPr>
          <w:rFonts w:ascii="Arial" w:hAnsi="Arial" w:cs="Arial"/>
          <w:color w:val="000000"/>
          <w:sz w:val="20"/>
        </w:rPr>
        <w:t xml:space="preserve"> [No.</w:t>
      </w:r>
      <w:r w:rsidR="00120B81" w:rsidRPr="00B310F4">
        <w:rPr>
          <w:rFonts w:ascii="Arial" w:hAnsi="Arial" w:cs="Arial"/>
          <w:color w:val="000000"/>
          <w:sz w:val="20"/>
        </w:rPr>
        <w:t>53</w:t>
      </w:r>
      <w:r w:rsidR="00617055" w:rsidRPr="00B310F4">
        <w:rPr>
          <w:rFonts w:ascii="Arial" w:hAnsi="Arial" w:cs="Arial"/>
          <w:color w:val="000000"/>
          <w:sz w:val="20"/>
        </w:rPr>
        <w:t>/20</w:t>
      </w:r>
      <w:r w:rsidR="00120B81" w:rsidRPr="00B310F4">
        <w:rPr>
          <w:rFonts w:ascii="Arial" w:hAnsi="Arial" w:cs="Arial"/>
          <w:color w:val="000000"/>
          <w:sz w:val="20"/>
        </w:rPr>
        <w:t>10</w:t>
      </w:r>
      <w:r w:rsidR="00617055" w:rsidRPr="00B310F4">
        <w:rPr>
          <w:rFonts w:ascii="Arial" w:hAnsi="Arial" w:cs="Arial"/>
          <w:color w:val="000000"/>
          <w:sz w:val="20"/>
        </w:rPr>
        <w:t>]</w:t>
      </w:r>
      <w:r w:rsidR="00E22166" w:rsidRPr="00B310F4">
        <w:rPr>
          <w:rFonts w:ascii="Arial" w:hAnsi="Arial" w:cs="Arial"/>
          <w:color w:val="000000"/>
          <w:sz w:val="20"/>
        </w:rPr>
        <w:t>.</w:t>
      </w:r>
    </w:p>
    <w:p w14:paraId="20CB8461" w14:textId="77777777" w:rsidR="00693223" w:rsidRDefault="00693223">
      <w:pPr>
        <w:jc w:val="both"/>
        <w:rPr>
          <w:rFonts w:ascii="Arial" w:hAnsi="Arial" w:cs="Arial"/>
          <w:sz w:val="20"/>
        </w:rPr>
      </w:pPr>
    </w:p>
    <w:p w14:paraId="3AA25115" w14:textId="77777777" w:rsidR="001D0D1F" w:rsidRDefault="001D0D1F">
      <w:pPr>
        <w:jc w:val="both"/>
        <w:rPr>
          <w:rFonts w:ascii="Arial" w:hAnsi="Arial" w:cs="Arial"/>
          <w:sz w:val="20"/>
        </w:rPr>
      </w:pPr>
      <w:r>
        <w:rPr>
          <w:rFonts w:ascii="Arial" w:hAnsi="Arial" w:cs="Arial"/>
          <w:sz w:val="20"/>
        </w:rPr>
        <w:t>Section 17 of the CYPA provided that the jurisdiction of the Children's Court in relation to any matter over which it has jurisdiction is exclusive, despite anything to the contrary in any other Act.  There is no equivalent provision in the CYFA.</w:t>
      </w:r>
    </w:p>
    <w:p w14:paraId="000D764A" w14:textId="77777777" w:rsidR="004809F9" w:rsidRDefault="004809F9">
      <w:pPr>
        <w:jc w:val="both"/>
        <w:rPr>
          <w:rFonts w:ascii="Arial" w:hAnsi="Arial" w:cs="Arial"/>
          <w:sz w:val="20"/>
        </w:rPr>
      </w:pPr>
    </w:p>
    <w:p w14:paraId="1F7F9854" w14:textId="77777777" w:rsidR="00693223" w:rsidRDefault="00693223" w:rsidP="009D5447">
      <w:pPr>
        <w:pStyle w:val="Heading3"/>
        <w:keepNext/>
        <w:keepLines/>
        <w:spacing w:line="240" w:lineRule="auto"/>
        <w:rPr>
          <w:rFonts w:ascii="Arial" w:hAnsi="Arial" w:cs="Arial"/>
          <w:b/>
          <w:bCs/>
          <w:sz w:val="20"/>
        </w:rPr>
      </w:pPr>
      <w:bookmarkStart w:id="362" w:name="_4.3.2_Whether_jurisdiction"/>
      <w:bookmarkStart w:id="363" w:name="B432"/>
      <w:bookmarkStart w:id="364" w:name="_Toc60399995"/>
      <w:bookmarkStart w:id="365" w:name="_Toc30607527"/>
      <w:bookmarkStart w:id="366" w:name="_Toc30607656"/>
      <w:bookmarkStart w:id="367" w:name="_Toc30607981"/>
      <w:bookmarkStart w:id="368" w:name="_Toc30608814"/>
      <w:bookmarkStart w:id="369" w:name="_Toc30610028"/>
      <w:bookmarkStart w:id="370" w:name="_Toc30610272"/>
      <w:bookmarkStart w:id="371" w:name="_Toc30638426"/>
      <w:bookmarkEnd w:id="362"/>
      <w:bookmarkEnd w:id="363"/>
      <w:r>
        <w:rPr>
          <w:rFonts w:ascii="Arial" w:hAnsi="Arial" w:cs="Arial"/>
          <w:b/>
          <w:bCs/>
          <w:sz w:val="20"/>
        </w:rPr>
        <w:t>4.</w:t>
      </w:r>
      <w:r w:rsidR="00940D74">
        <w:rPr>
          <w:rFonts w:ascii="Arial" w:hAnsi="Arial" w:cs="Arial"/>
          <w:b/>
          <w:bCs/>
          <w:sz w:val="20"/>
        </w:rPr>
        <w:t>3</w:t>
      </w:r>
      <w:r>
        <w:rPr>
          <w:rFonts w:ascii="Arial" w:hAnsi="Arial" w:cs="Arial"/>
          <w:b/>
          <w:bCs/>
          <w:sz w:val="20"/>
        </w:rPr>
        <w:t>.2</w:t>
      </w:r>
      <w:r>
        <w:rPr>
          <w:rFonts w:ascii="Arial" w:hAnsi="Arial" w:cs="Arial"/>
          <w:b/>
          <w:bCs/>
          <w:sz w:val="20"/>
        </w:rPr>
        <w:tab/>
      </w:r>
      <w:r w:rsidR="008708AB">
        <w:rPr>
          <w:rFonts w:ascii="Arial" w:hAnsi="Arial" w:cs="Arial"/>
          <w:b/>
          <w:bCs/>
          <w:sz w:val="20"/>
        </w:rPr>
        <w:t>J</w:t>
      </w:r>
      <w:r>
        <w:rPr>
          <w:rFonts w:ascii="Arial" w:hAnsi="Arial" w:cs="Arial"/>
          <w:b/>
          <w:bCs/>
          <w:sz w:val="20"/>
        </w:rPr>
        <w:t>urisdiction under the Family Law Act 1975 (Cth) [as amended]</w:t>
      </w:r>
      <w:bookmarkEnd w:id="364"/>
    </w:p>
    <w:p w14:paraId="7D037EC4" w14:textId="77777777" w:rsidR="00693223" w:rsidRPr="00DA4E28" w:rsidRDefault="00693223" w:rsidP="00CF2DFD">
      <w:pPr>
        <w:pStyle w:val="Heading3"/>
        <w:keepNext/>
        <w:keepLines/>
        <w:spacing w:line="240" w:lineRule="auto"/>
        <w:rPr>
          <w:rFonts w:ascii="Arial" w:hAnsi="Arial" w:cs="Arial"/>
          <w:sz w:val="20"/>
        </w:rPr>
      </w:pPr>
    </w:p>
    <w:p w14:paraId="0A233226" w14:textId="77777777" w:rsidR="000B702A" w:rsidRDefault="000B702A">
      <w:pPr>
        <w:jc w:val="both"/>
        <w:rPr>
          <w:rFonts w:ascii="Arial" w:hAnsi="Arial" w:cs="Arial"/>
          <w:color w:val="000000"/>
          <w:sz w:val="20"/>
        </w:rPr>
      </w:pPr>
      <w:r>
        <w:rPr>
          <w:rFonts w:ascii="Arial" w:hAnsi="Arial" w:cs="Arial"/>
          <w:color w:val="000000"/>
          <w:sz w:val="20"/>
        </w:rPr>
        <w:t xml:space="preserve">Part VII </w:t>
      </w:r>
      <w:r>
        <w:rPr>
          <w:rFonts w:ascii="Arial" w:hAnsi="Arial" w:cs="Arial"/>
          <w:sz w:val="20"/>
        </w:rPr>
        <w:t xml:space="preserve">of the </w:t>
      </w:r>
      <w:r>
        <w:rPr>
          <w:rFonts w:ascii="Arial" w:hAnsi="Arial" w:cs="Arial"/>
          <w:sz w:val="20"/>
          <w:u w:val="single"/>
        </w:rPr>
        <w:t>Family Law Act 1975 (Cth)</w:t>
      </w:r>
      <w:r>
        <w:rPr>
          <w:rFonts w:ascii="Arial" w:hAnsi="Arial" w:cs="Arial"/>
          <w:sz w:val="20"/>
        </w:rPr>
        <w:t xml:space="preserve"> [as amended] ['the FLA'] </w:t>
      </w:r>
      <w:r w:rsidR="00EB2569">
        <w:rPr>
          <w:rFonts w:ascii="Arial" w:hAnsi="Arial" w:cs="Arial"/>
          <w:sz w:val="20"/>
        </w:rPr>
        <w:t xml:space="preserve">– enacted pursuant to the power under s.51(xxii) of the Commonwealth Constitution to make federal laws with respect to “Divorce and matrimonial causes; and in relation thereto, parental rights, and the custody and guardianship of infants” – invests </w:t>
      </w:r>
      <w:r w:rsidR="00B52BB7">
        <w:rPr>
          <w:rFonts w:ascii="Arial" w:hAnsi="Arial" w:cs="Arial"/>
          <w:sz w:val="20"/>
        </w:rPr>
        <w:t xml:space="preserve">certain </w:t>
      </w:r>
      <w:r>
        <w:rPr>
          <w:rFonts w:ascii="Arial" w:hAnsi="Arial" w:cs="Arial"/>
          <w:sz w:val="20"/>
        </w:rPr>
        <w:t xml:space="preserve">federal </w:t>
      </w:r>
      <w:r w:rsidR="009D5447">
        <w:rPr>
          <w:rFonts w:ascii="Arial" w:hAnsi="Arial" w:cs="Arial"/>
          <w:sz w:val="20"/>
        </w:rPr>
        <w:t xml:space="preserve">and state </w:t>
      </w:r>
      <w:r>
        <w:rPr>
          <w:rFonts w:ascii="Arial" w:hAnsi="Arial" w:cs="Arial"/>
          <w:sz w:val="20"/>
        </w:rPr>
        <w:t xml:space="preserve">courts with jurisdiction to hear and determine </w:t>
      </w:r>
      <w:r w:rsidR="00EB2569">
        <w:rPr>
          <w:rFonts w:ascii="Arial" w:hAnsi="Arial" w:cs="Arial"/>
          <w:sz w:val="20"/>
        </w:rPr>
        <w:t>specific</w:t>
      </w:r>
      <w:r w:rsidR="003A4C43">
        <w:rPr>
          <w:rFonts w:ascii="Arial" w:hAnsi="Arial" w:cs="Arial"/>
          <w:sz w:val="20"/>
        </w:rPr>
        <w:t xml:space="preserve"> </w:t>
      </w:r>
      <w:r w:rsidR="00B52BB7">
        <w:rPr>
          <w:rFonts w:ascii="Arial" w:hAnsi="Arial" w:cs="Arial"/>
          <w:sz w:val="20"/>
        </w:rPr>
        <w:t>matters relating to children</w:t>
      </w:r>
      <w:r w:rsidR="00EB2569">
        <w:rPr>
          <w:rFonts w:ascii="Arial" w:hAnsi="Arial" w:cs="Arial"/>
          <w:sz w:val="20"/>
        </w:rPr>
        <w:t>.</w:t>
      </w:r>
    </w:p>
    <w:p w14:paraId="0347828C" w14:textId="77777777" w:rsidR="000B702A" w:rsidRDefault="000B702A">
      <w:pPr>
        <w:jc w:val="both"/>
        <w:rPr>
          <w:rFonts w:ascii="Arial" w:hAnsi="Arial" w:cs="Arial"/>
          <w:color w:val="000000"/>
          <w:sz w:val="20"/>
        </w:rPr>
      </w:pPr>
    </w:p>
    <w:p w14:paraId="6967E4D0" w14:textId="77777777" w:rsidR="00693223" w:rsidRPr="00B310F4" w:rsidRDefault="009D5447" w:rsidP="00FE5007">
      <w:pPr>
        <w:keepNext/>
        <w:keepLines/>
        <w:jc w:val="both"/>
        <w:rPr>
          <w:rFonts w:ascii="Arial" w:hAnsi="Arial" w:cs="Arial"/>
          <w:color w:val="000000"/>
          <w:sz w:val="20"/>
        </w:rPr>
      </w:pPr>
      <w:r>
        <w:rPr>
          <w:rFonts w:ascii="Arial" w:hAnsi="Arial" w:cs="Arial"/>
          <w:color w:val="000000"/>
          <w:sz w:val="20"/>
        </w:rPr>
        <w:lastRenderedPageBreak/>
        <w:t>Until recently i</w:t>
      </w:r>
      <w:r w:rsidR="00693223" w:rsidRPr="00B310F4">
        <w:rPr>
          <w:rFonts w:ascii="Arial" w:hAnsi="Arial" w:cs="Arial"/>
          <w:color w:val="000000"/>
          <w:sz w:val="20"/>
        </w:rPr>
        <w:t xml:space="preserve">t </w:t>
      </w:r>
      <w:r>
        <w:rPr>
          <w:rFonts w:ascii="Arial" w:hAnsi="Arial" w:cs="Arial"/>
          <w:color w:val="000000"/>
          <w:sz w:val="20"/>
        </w:rPr>
        <w:t xml:space="preserve">was </w:t>
      </w:r>
      <w:r w:rsidR="00693223" w:rsidRPr="00B310F4">
        <w:rPr>
          <w:rFonts w:ascii="Arial" w:hAnsi="Arial" w:cs="Arial"/>
          <w:color w:val="000000"/>
          <w:sz w:val="20"/>
        </w:rPr>
        <w:t>accepted in Victoria as a matter of general practice that</w:t>
      </w:r>
      <w:r w:rsidR="00120B81" w:rsidRPr="00B310F4">
        <w:rPr>
          <w:rFonts w:ascii="Arial" w:hAnsi="Arial" w:cs="Arial"/>
          <w:color w:val="000000"/>
          <w:sz w:val="20"/>
        </w:rPr>
        <w:t xml:space="preserve"> paradoxically</w:t>
      </w:r>
      <w:r w:rsidR="00693223" w:rsidRPr="00B310F4">
        <w:rPr>
          <w:rFonts w:ascii="Arial" w:hAnsi="Arial" w:cs="Arial"/>
          <w:color w:val="000000"/>
          <w:sz w:val="20"/>
        </w:rPr>
        <w:t>:</w:t>
      </w:r>
    </w:p>
    <w:p w14:paraId="51C1E2FE" w14:textId="77777777"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Magistrates' Court of Victoria</w:t>
      </w:r>
      <w:r>
        <w:rPr>
          <w:rFonts w:ascii="Arial" w:hAnsi="Arial" w:cs="Arial"/>
          <w:sz w:val="20"/>
        </w:rPr>
        <w:t xml:space="preserve"> </w:t>
      </w:r>
      <w:r w:rsidR="00A57E37">
        <w:rPr>
          <w:rFonts w:ascii="Arial" w:hAnsi="Arial" w:cs="Arial"/>
          <w:sz w:val="20"/>
        </w:rPr>
        <w:t xml:space="preserve">[‘the MCV’] </w:t>
      </w:r>
      <w:r>
        <w:rPr>
          <w:rFonts w:ascii="Arial" w:hAnsi="Arial" w:cs="Arial"/>
          <w:sz w:val="20"/>
        </w:rPr>
        <w:t xml:space="preserve">has jurisdiction to hear and determine </w:t>
      </w:r>
      <w:r w:rsidR="00EB2569">
        <w:rPr>
          <w:rFonts w:ascii="Arial" w:hAnsi="Arial" w:cs="Arial"/>
          <w:sz w:val="20"/>
        </w:rPr>
        <w:t xml:space="preserve">a number of </w:t>
      </w:r>
      <w:r>
        <w:rPr>
          <w:rFonts w:ascii="Arial" w:hAnsi="Arial" w:cs="Arial"/>
          <w:sz w:val="20"/>
        </w:rPr>
        <w:t xml:space="preserve">matters relating to children pursuant to Part VII, including applications for </w:t>
      </w:r>
      <w:r w:rsidR="000B702A">
        <w:rPr>
          <w:rFonts w:ascii="Arial" w:hAnsi="Arial" w:cs="Arial"/>
          <w:sz w:val="20"/>
        </w:rPr>
        <w:t xml:space="preserve">consent </w:t>
      </w:r>
      <w:r>
        <w:rPr>
          <w:rFonts w:ascii="Arial" w:hAnsi="Arial" w:cs="Arial"/>
          <w:sz w:val="20"/>
        </w:rPr>
        <w:t>parenting orders in certain circumstances; but</w:t>
      </w:r>
    </w:p>
    <w:p w14:paraId="162E1C8B" w14:textId="5EC6300C" w:rsidR="00693223" w:rsidRDefault="00693223">
      <w:pPr>
        <w:numPr>
          <w:ilvl w:val="0"/>
          <w:numId w:val="15"/>
        </w:numPr>
        <w:tabs>
          <w:tab w:val="num" w:pos="363"/>
        </w:tabs>
        <w:jc w:val="both"/>
        <w:rPr>
          <w:rFonts w:ascii="Arial" w:hAnsi="Arial" w:cs="Arial"/>
          <w:sz w:val="20"/>
        </w:rPr>
      </w:pPr>
      <w:r>
        <w:rPr>
          <w:rFonts w:ascii="Arial" w:hAnsi="Arial" w:cs="Arial"/>
          <w:sz w:val="20"/>
        </w:rPr>
        <w:t xml:space="preserve">the </w:t>
      </w:r>
      <w:r>
        <w:rPr>
          <w:rFonts w:ascii="Arial" w:hAnsi="Arial" w:cs="Arial"/>
          <w:b/>
          <w:bCs/>
          <w:sz w:val="20"/>
        </w:rPr>
        <w:t>Children's Court of Victoria</w:t>
      </w:r>
      <w:r>
        <w:rPr>
          <w:rFonts w:ascii="Arial" w:hAnsi="Arial" w:cs="Arial"/>
          <w:sz w:val="20"/>
        </w:rPr>
        <w:t xml:space="preserve"> </w:t>
      </w:r>
      <w:r w:rsidR="00A57E37">
        <w:rPr>
          <w:rFonts w:ascii="Arial" w:hAnsi="Arial" w:cs="Arial"/>
          <w:sz w:val="20"/>
        </w:rPr>
        <w:t>[‘the C</w:t>
      </w:r>
      <w:r w:rsidR="001202C2">
        <w:rPr>
          <w:rFonts w:ascii="Arial" w:hAnsi="Arial" w:cs="Arial"/>
          <w:sz w:val="20"/>
        </w:rPr>
        <w:t>h</w:t>
      </w:r>
      <w:r w:rsidR="00A57E37">
        <w:rPr>
          <w:rFonts w:ascii="Arial" w:hAnsi="Arial" w:cs="Arial"/>
          <w:sz w:val="20"/>
        </w:rPr>
        <w:t xml:space="preserve">CV’] </w:t>
      </w:r>
      <w:r>
        <w:rPr>
          <w:rFonts w:ascii="Arial" w:hAnsi="Arial" w:cs="Arial"/>
          <w:sz w:val="20"/>
        </w:rPr>
        <w:t>does not have jurisdiction under the FLA.</w:t>
      </w:r>
    </w:p>
    <w:p w14:paraId="0209B40D" w14:textId="77777777" w:rsidR="00693223" w:rsidRDefault="00693223">
      <w:pPr>
        <w:jc w:val="both"/>
        <w:rPr>
          <w:rFonts w:ascii="Arial" w:hAnsi="Arial" w:cs="Arial"/>
          <w:sz w:val="20"/>
        </w:rPr>
      </w:pPr>
    </w:p>
    <w:p w14:paraId="494D0900" w14:textId="77777777" w:rsidR="00693223" w:rsidRDefault="00693223">
      <w:pPr>
        <w:tabs>
          <w:tab w:val="num" w:pos="720"/>
        </w:tabs>
        <w:jc w:val="both"/>
        <w:rPr>
          <w:rFonts w:ascii="Arial" w:hAnsi="Arial" w:cs="Arial"/>
          <w:sz w:val="20"/>
        </w:rPr>
      </w:pPr>
      <w:r>
        <w:rPr>
          <w:rFonts w:ascii="Arial" w:hAnsi="Arial" w:cs="Arial"/>
          <w:sz w:val="20"/>
        </w:rPr>
        <w:t>The Family Law Council agree</w:t>
      </w:r>
      <w:r w:rsidR="001F173D">
        <w:rPr>
          <w:rFonts w:ascii="Arial" w:hAnsi="Arial" w:cs="Arial"/>
          <w:sz w:val="20"/>
        </w:rPr>
        <w:t>d</w:t>
      </w:r>
      <w:r>
        <w:rPr>
          <w:rFonts w:ascii="Arial" w:hAnsi="Arial" w:cs="Arial"/>
          <w:sz w:val="20"/>
        </w:rPr>
        <w:t>, stating baldly in its Final Report on Family Law and Child Protection (September 2002) at p.82:</w:t>
      </w:r>
    </w:p>
    <w:p w14:paraId="2B5F1A46" w14:textId="77777777" w:rsidR="00693223" w:rsidRDefault="00693223">
      <w:pPr>
        <w:ind w:left="454" w:right="454"/>
        <w:jc w:val="both"/>
        <w:rPr>
          <w:rFonts w:ascii="Arial" w:hAnsi="Arial" w:cs="Arial"/>
          <w:sz w:val="20"/>
        </w:rPr>
      </w:pPr>
      <w:r>
        <w:rPr>
          <w:rFonts w:ascii="Arial" w:hAnsi="Arial" w:cs="Arial"/>
          <w:sz w:val="20"/>
        </w:rPr>
        <w:t>"At present, Children's Courts and Youth Courts, which have an independent statutory existence from the State or Territory Magistrates' Courts, do not have jurisdiction which Magistrates' Courts have to make consent orders under the FLA."</w:t>
      </w:r>
    </w:p>
    <w:p w14:paraId="7A7FAEAA" w14:textId="77777777" w:rsidR="00693223" w:rsidRDefault="00693223">
      <w:pPr>
        <w:tabs>
          <w:tab w:val="num" w:pos="720"/>
        </w:tabs>
        <w:jc w:val="both"/>
        <w:rPr>
          <w:rFonts w:ascii="Arial" w:hAnsi="Arial" w:cs="Arial"/>
          <w:sz w:val="20"/>
        </w:rPr>
      </w:pPr>
    </w:p>
    <w:p w14:paraId="0F5CBBA7" w14:textId="77777777" w:rsidR="001400C9" w:rsidRDefault="001400C9">
      <w:pPr>
        <w:tabs>
          <w:tab w:val="num" w:pos="720"/>
        </w:tabs>
        <w:jc w:val="both"/>
        <w:rPr>
          <w:rFonts w:ascii="Arial" w:hAnsi="Arial" w:cs="Arial"/>
          <w:sz w:val="20"/>
        </w:rPr>
      </w:pPr>
      <w:r>
        <w:rPr>
          <w:rFonts w:ascii="Arial" w:hAnsi="Arial" w:cs="Arial"/>
          <w:sz w:val="20"/>
        </w:rPr>
        <w:t xml:space="preserve">In mid-2006 eminent senior and junior counsel were </w:t>
      </w:r>
      <w:r w:rsidR="00380FA8">
        <w:rPr>
          <w:rFonts w:ascii="Arial" w:hAnsi="Arial" w:cs="Arial"/>
          <w:sz w:val="20"/>
        </w:rPr>
        <w:t>briefed</w:t>
      </w:r>
      <w:r>
        <w:rPr>
          <w:rFonts w:ascii="Arial" w:hAnsi="Arial" w:cs="Arial"/>
          <w:sz w:val="20"/>
        </w:rPr>
        <w:t xml:space="preserve"> </w:t>
      </w:r>
      <w:r w:rsidR="00E92C45">
        <w:rPr>
          <w:rFonts w:ascii="Arial" w:hAnsi="Arial" w:cs="Arial"/>
          <w:sz w:val="20"/>
        </w:rPr>
        <w:t xml:space="preserve">by the </w:t>
      </w:r>
      <w:r w:rsidR="00EB2569">
        <w:rPr>
          <w:rFonts w:ascii="Arial" w:hAnsi="Arial" w:cs="Arial"/>
          <w:sz w:val="20"/>
        </w:rPr>
        <w:t xml:space="preserve">Victorian </w:t>
      </w:r>
      <w:r w:rsidR="00E92C45">
        <w:rPr>
          <w:rFonts w:ascii="Arial" w:hAnsi="Arial" w:cs="Arial"/>
          <w:sz w:val="20"/>
        </w:rPr>
        <w:t xml:space="preserve">Department of Justice </w:t>
      </w:r>
      <w:r>
        <w:rPr>
          <w:rFonts w:ascii="Arial" w:hAnsi="Arial" w:cs="Arial"/>
          <w:sz w:val="20"/>
        </w:rPr>
        <w:t>for advice on a related question: “</w:t>
      </w:r>
      <w:r w:rsidR="00E92C45">
        <w:rPr>
          <w:rFonts w:ascii="Arial" w:hAnsi="Arial" w:cs="Arial"/>
          <w:sz w:val="20"/>
        </w:rPr>
        <w:t xml:space="preserve">Does the Children’s Court have jurisdiction to vary Family Court orders that conflict with intervention orders made under the </w:t>
      </w:r>
      <w:r w:rsidR="00E92C45" w:rsidRPr="00617055">
        <w:rPr>
          <w:rFonts w:ascii="Arial" w:hAnsi="Arial" w:cs="Arial"/>
          <w:sz w:val="20"/>
          <w:u w:val="single"/>
        </w:rPr>
        <w:t>Crimes (Family Violence) Act 1987 (Vic)</w:t>
      </w:r>
      <w:r w:rsidR="00E92C45">
        <w:rPr>
          <w:rFonts w:ascii="Arial" w:hAnsi="Arial" w:cs="Arial"/>
          <w:sz w:val="20"/>
        </w:rPr>
        <w:t xml:space="preserve"> </w:t>
      </w:r>
      <w:r w:rsidR="00026E60">
        <w:rPr>
          <w:rFonts w:ascii="Arial" w:hAnsi="Arial" w:cs="Arial"/>
          <w:sz w:val="20"/>
        </w:rPr>
        <w:t>[</w:t>
      </w:r>
      <w:r w:rsidR="00E92C45">
        <w:rPr>
          <w:rFonts w:ascii="Arial" w:hAnsi="Arial" w:cs="Arial"/>
          <w:sz w:val="20"/>
        </w:rPr>
        <w:t>‘the CFVA’</w:t>
      </w:r>
      <w:r w:rsidR="00026E60">
        <w:rPr>
          <w:rFonts w:ascii="Arial" w:hAnsi="Arial" w:cs="Arial"/>
          <w:sz w:val="20"/>
        </w:rPr>
        <w:t>]</w:t>
      </w:r>
      <w:r w:rsidR="00E92C45">
        <w:rPr>
          <w:rFonts w:ascii="Arial" w:hAnsi="Arial" w:cs="Arial"/>
          <w:sz w:val="20"/>
        </w:rPr>
        <w:t>?” [The same question is relevant to the FVPA which replaced the CFVA on 08/12/2008.]  In</w:t>
      </w:r>
      <w:r w:rsidR="00380FA8">
        <w:rPr>
          <w:rFonts w:ascii="Arial" w:hAnsi="Arial" w:cs="Arial"/>
          <w:sz w:val="20"/>
        </w:rPr>
        <w:t xml:space="preserve"> </w:t>
      </w:r>
      <w:r w:rsidR="00E92C45">
        <w:rPr>
          <w:rFonts w:ascii="Arial" w:hAnsi="Arial" w:cs="Arial"/>
          <w:sz w:val="20"/>
        </w:rPr>
        <w:t xml:space="preserve">their detailed </w:t>
      </w:r>
      <w:r>
        <w:rPr>
          <w:rFonts w:ascii="Arial" w:hAnsi="Arial" w:cs="Arial"/>
          <w:sz w:val="20"/>
        </w:rPr>
        <w:t xml:space="preserve">Memorandum of Advice dated 03/07/2006 </w:t>
      </w:r>
      <w:r w:rsidR="00E92C45">
        <w:rPr>
          <w:rFonts w:ascii="Arial" w:hAnsi="Arial" w:cs="Arial"/>
          <w:sz w:val="20"/>
        </w:rPr>
        <w:t>counsel’s conclusion was: “The Children’s Court does have jurisdiction to vary Family Court orders that conflict with intervention orders made under the CFVA, provided that the jurisdiction is exercised by a magistrate rather than by the President of the Court.”</w:t>
      </w:r>
    </w:p>
    <w:p w14:paraId="7397ADF0" w14:textId="77777777" w:rsidR="001400C9" w:rsidRDefault="001400C9">
      <w:pPr>
        <w:tabs>
          <w:tab w:val="num" w:pos="720"/>
        </w:tabs>
        <w:jc w:val="both"/>
        <w:rPr>
          <w:rFonts w:ascii="Arial" w:hAnsi="Arial" w:cs="Arial"/>
          <w:sz w:val="20"/>
        </w:rPr>
      </w:pPr>
    </w:p>
    <w:p w14:paraId="1CF8B9D7" w14:textId="742E35D1" w:rsidR="00380FA8" w:rsidRDefault="00380FA8" w:rsidP="00380FA8">
      <w:pPr>
        <w:tabs>
          <w:tab w:val="num" w:pos="720"/>
        </w:tabs>
        <w:jc w:val="both"/>
        <w:rPr>
          <w:rFonts w:ascii="Arial" w:hAnsi="Arial" w:cs="Arial"/>
          <w:sz w:val="20"/>
        </w:rPr>
      </w:pPr>
      <w:r>
        <w:rPr>
          <w:rFonts w:ascii="Arial" w:hAnsi="Arial" w:cs="Arial"/>
          <w:sz w:val="20"/>
        </w:rPr>
        <w:t xml:space="preserve">In an earlier version of </w:t>
      </w:r>
      <w:r w:rsidRPr="003B600E">
        <w:rPr>
          <w:rFonts w:ascii="Arial" w:hAnsi="Arial" w:cs="Arial"/>
          <w:b/>
          <w:bCs/>
          <w:sz w:val="20"/>
          <w:shd w:val="clear" w:color="auto" w:fill="C5E0B3"/>
        </w:rPr>
        <w:t>section 4.3.2</w:t>
      </w:r>
      <w:r>
        <w:rPr>
          <w:rFonts w:ascii="Arial" w:hAnsi="Arial" w:cs="Arial"/>
          <w:sz w:val="20"/>
        </w:rPr>
        <w:t xml:space="preserve"> the writer had summarised counsel’s </w:t>
      </w:r>
      <w:r w:rsidR="001F173D">
        <w:rPr>
          <w:rFonts w:ascii="Arial" w:hAnsi="Arial" w:cs="Arial"/>
          <w:sz w:val="20"/>
        </w:rPr>
        <w:t>detailed</w:t>
      </w:r>
      <w:r>
        <w:rPr>
          <w:rFonts w:ascii="Arial" w:hAnsi="Arial" w:cs="Arial"/>
          <w:sz w:val="20"/>
        </w:rPr>
        <w:t xml:space="preserve"> </w:t>
      </w:r>
      <w:r w:rsidR="00642457">
        <w:rPr>
          <w:rFonts w:ascii="Arial" w:hAnsi="Arial" w:cs="Arial"/>
          <w:sz w:val="20"/>
        </w:rPr>
        <w:t>reasoning</w:t>
      </w:r>
      <w:r>
        <w:rPr>
          <w:rFonts w:ascii="Arial" w:hAnsi="Arial" w:cs="Arial"/>
          <w:sz w:val="20"/>
        </w:rPr>
        <w:t xml:space="preserve">, noting that, if correct, it leads to highly unattractive consequences for the operation of the Children’s Court.  It is an intolerable position that the judicial head of a court should have less power than the puisne judicial members of the court.  Section 508(8) of the CYFA [previously s.12(8) of the CYPA] provides that the President may exercise any power conferred on a magistrate by or under this or any other Act.  But this provision of State legislation cannot by itself vest federal judicial power on the President.  The writer had concluded that “legislative amendment is necessary to invest </w:t>
      </w:r>
      <w:r w:rsidRPr="00022424">
        <w:rPr>
          <w:rFonts w:ascii="Arial" w:hAnsi="Arial" w:cs="Arial"/>
          <w:sz w:val="20"/>
          <w:u w:val="single"/>
        </w:rPr>
        <w:t>all</w:t>
      </w:r>
      <w:r>
        <w:rPr>
          <w:rFonts w:ascii="Arial" w:hAnsi="Arial" w:cs="Arial"/>
          <w:sz w:val="20"/>
        </w:rPr>
        <w:t xml:space="preserve"> judicial members of the Children’s Court of Victoria </w:t>
      </w:r>
      <w:r w:rsidRPr="00022424">
        <w:rPr>
          <w:rFonts w:ascii="Arial" w:hAnsi="Arial" w:cs="Arial"/>
          <w:sz w:val="20"/>
          <w:u w:val="single"/>
        </w:rPr>
        <w:t>unambiguously</w:t>
      </w:r>
      <w:r w:rsidRPr="00241AE0">
        <w:rPr>
          <w:rFonts w:ascii="Arial" w:hAnsi="Arial" w:cs="Arial"/>
          <w:sz w:val="20"/>
        </w:rPr>
        <w:t xml:space="preserve"> </w:t>
      </w:r>
      <w:r>
        <w:rPr>
          <w:rFonts w:ascii="Arial" w:hAnsi="Arial" w:cs="Arial"/>
          <w:sz w:val="20"/>
        </w:rPr>
        <w:t xml:space="preserve">with federal jurisdiction in relation to matters under Part VII of the FLA as is currently invested in the </w:t>
      </w:r>
      <w:r w:rsidR="00A57E37">
        <w:rPr>
          <w:rFonts w:ascii="Arial" w:hAnsi="Arial" w:cs="Arial"/>
          <w:sz w:val="20"/>
        </w:rPr>
        <w:t>MCV</w:t>
      </w:r>
      <w:r>
        <w:rPr>
          <w:rFonts w:ascii="Arial" w:hAnsi="Arial" w:cs="Arial"/>
          <w:sz w:val="20"/>
        </w:rPr>
        <w:t xml:space="preserve">.  After all, the </w:t>
      </w:r>
      <w:r w:rsidR="00A57E37">
        <w:rPr>
          <w:rFonts w:ascii="Arial" w:hAnsi="Arial" w:cs="Arial"/>
          <w:sz w:val="20"/>
        </w:rPr>
        <w:t>C</w:t>
      </w:r>
      <w:r w:rsidR="001202C2">
        <w:rPr>
          <w:rFonts w:ascii="Arial" w:hAnsi="Arial" w:cs="Arial"/>
          <w:sz w:val="20"/>
        </w:rPr>
        <w:t>h</w:t>
      </w:r>
      <w:r w:rsidR="00A57E37">
        <w:rPr>
          <w:rFonts w:ascii="Arial" w:hAnsi="Arial" w:cs="Arial"/>
          <w:sz w:val="20"/>
        </w:rPr>
        <w:t>CV</w:t>
      </w:r>
      <w:r>
        <w:rPr>
          <w:rFonts w:ascii="Arial" w:hAnsi="Arial" w:cs="Arial"/>
          <w:sz w:val="20"/>
        </w:rPr>
        <w:t xml:space="preserve"> has been described by State parliament in s.1(d) of the CYFA as ‘a specialist court dealing with matters relating to children’.”</w:t>
      </w:r>
    </w:p>
    <w:p w14:paraId="0CFE2515" w14:textId="77777777" w:rsidR="00380FA8" w:rsidRDefault="00380FA8">
      <w:pPr>
        <w:tabs>
          <w:tab w:val="num" w:pos="720"/>
        </w:tabs>
        <w:jc w:val="both"/>
        <w:rPr>
          <w:rFonts w:ascii="Arial" w:hAnsi="Arial" w:cs="Arial"/>
          <w:sz w:val="20"/>
        </w:rPr>
      </w:pPr>
    </w:p>
    <w:p w14:paraId="0CE13E0B" w14:textId="2BD37DA0" w:rsidR="00BC3BD1" w:rsidRDefault="005B71BA" w:rsidP="001A70CF">
      <w:pPr>
        <w:tabs>
          <w:tab w:val="num" w:pos="720"/>
        </w:tabs>
        <w:jc w:val="both"/>
        <w:rPr>
          <w:rFonts w:ascii="Arial" w:hAnsi="Arial" w:cs="Arial"/>
          <w:sz w:val="20"/>
        </w:rPr>
      </w:pPr>
      <w:r>
        <w:rPr>
          <w:rFonts w:ascii="Arial" w:hAnsi="Arial" w:cs="Arial"/>
          <w:sz w:val="20"/>
        </w:rPr>
        <w:t>O</w:t>
      </w:r>
      <w:r w:rsidR="00026E60">
        <w:rPr>
          <w:rFonts w:ascii="Arial" w:hAnsi="Arial" w:cs="Arial"/>
          <w:sz w:val="20"/>
        </w:rPr>
        <w:t>ver the years numerous bodies, including the Family Law Council and the Victorian Royal Commission into Family Violence [‘VRCFV’]</w:t>
      </w:r>
      <w:r w:rsidR="00211E08">
        <w:rPr>
          <w:rFonts w:ascii="Arial" w:hAnsi="Arial" w:cs="Arial"/>
          <w:sz w:val="20"/>
        </w:rPr>
        <w:t>,</w:t>
      </w:r>
      <w:r w:rsidR="00026E60">
        <w:rPr>
          <w:rFonts w:ascii="Arial" w:hAnsi="Arial" w:cs="Arial"/>
          <w:sz w:val="20"/>
        </w:rPr>
        <w:t xml:space="preserve"> </w:t>
      </w:r>
      <w:r w:rsidR="006A1884">
        <w:rPr>
          <w:rFonts w:ascii="Arial" w:hAnsi="Arial" w:cs="Arial"/>
          <w:sz w:val="20"/>
        </w:rPr>
        <w:t xml:space="preserve">had </w:t>
      </w:r>
      <w:r w:rsidR="00E61125">
        <w:rPr>
          <w:rFonts w:ascii="Arial" w:hAnsi="Arial" w:cs="Arial"/>
          <w:sz w:val="20"/>
        </w:rPr>
        <w:t xml:space="preserve">also </w:t>
      </w:r>
      <w:r w:rsidR="00026E60">
        <w:rPr>
          <w:rFonts w:ascii="Arial" w:hAnsi="Arial" w:cs="Arial"/>
          <w:sz w:val="20"/>
        </w:rPr>
        <w:t xml:space="preserve">recommended </w:t>
      </w:r>
      <w:r w:rsidR="006A1884">
        <w:rPr>
          <w:rFonts w:ascii="Arial" w:hAnsi="Arial" w:cs="Arial"/>
          <w:sz w:val="20"/>
        </w:rPr>
        <w:t xml:space="preserve">legislative clarification of </w:t>
      </w:r>
      <w:r w:rsidR="00026E60">
        <w:rPr>
          <w:rFonts w:ascii="Arial" w:hAnsi="Arial" w:cs="Arial"/>
          <w:sz w:val="20"/>
        </w:rPr>
        <w:t>the historical uncertainty as to whether the C</w:t>
      </w:r>
      <w:r w:rsidR="001202C2">
        <w:rPr>
          <w:rFonts w:ascii="Arial" w:hAnsi="Arial" w:cs="Arial"/>
          <w:sz w:val="20"/>
        </w:rPr>
        <w:t>h</w:t>
      </w:r>
      <w:r w:rsidR="00026E60">
        <w:rPr>
          <w:rFonts w:ascii="Arial" w:hAnsi="Arial" w:cs="Arial"/>
          <w:sz w:val="20"/>
        </w:rPr>
        <w:t xml:space="preserve">CV </w:t>
      </w:r>
      <w:r w:rsidR="00CA797A">
        <w:rPr>
          <w:rFonts w:ascii="Arial" w:hAnsi="Arial" w:cs="Arial"/>
          <w:sz w:val="20"/>
        </w:rPr>
        <w:t xml:space="preserve">has jurisdiction </w:t>
      </w:r>
      <w:r w:rsidR="009D5447">
        <w:rPr>
          <w:rFonts w:ascii="Arial" w:hAnsi="Arial" w:cs="Arial"/>
          <w:sz w:val="20"/>
        </w:rPr>
        <w:t>pursuant to</w:t>
      </w:r>
      <w:r w:rsidR="00026E60">
        <w:rPr>
          <w:rFonts w:ascii="Arial" w:hAnsi="Arial" w:cs="Arial"/>
          <w:sz w:val="20"/>
        </w:rPr>
        <w:t xml:space="preserve"> Part VII of</w:t>
      </w:r>
      <w:r w:rsidR="006A1884">
        <w:rPr>
          <w:rFonts w:ascii="Arial" w:hAnsi="Arial" w:cs="Arial"/>
          <w:sz w:val="20"/>
        </w:rPr>
        <w:t xml:space="preserve"> </w:t>
      </w:r>
      <w:r w:rsidR="00026E60">
        <w:rPr>
          <w:rFonts w:ascii="Arial" w:hAnsi="Arial" w:cs="Arial"/>
          <w:sz w:val="20"/>
        </w:rPr>
        <w:t>the FLA</w:t>
      </w:r>
      <w:r w:rsidR="006A1884">
        <w:rPr>
          <w:rFonts w:ascii="Arial" w:hAnsi="Arial" w:cs="Arial"/>
          <w:sz w:val="20"/>
        </w:rPr>
        <w:t>.  Two relevant recommendations of the VRCFV are:</w:t>
      </w:r>
    </w:p>
    <w:p w14:paraId="3815F44D" w14:textId="6B872FC6" w:rsidR="00A57E37" w:rsidRDefault="00A57E37" w:rsidP="00B601FA">
      <w:pPr>
        <w:spacing w:before="80"/>
        <w:ind w:left="454" w:right="454"/>
        <w:jc w:val="both"/>
        <w:rPr>
          <w:rFonts w:ascii="Arial" w:hAnsi="Arial" w:cs="Arial"/>
          <w:sz w:val="20"/>
        </w:rPr>
      </w:pPr>
      <w:r>
        <w:rPr>
          <w:rFonts w:ascii="Arial" w:hAnsi="Arial" w:cs="Arial"/>
          <w:sz w:val="20"/>
        </w:rPr>
        <w:t>“[131] The Victorian Government, through the Council of Australian Governments Law, Crime and Community Safety Council, pursue amendments to the FLA to…make it clear that the C</w:t>
      </w:r>
      <w:r w:rsidR="001202C2">
        <w:rPr>
          <w:rFonts w:ascii="Arial" w:hAnsi="Arial" w:cs="Arial"/>
          <w:sz w:val="20"/>
        </w:rPr>
        <w:t>h</w:t>
      </w:r>
      <w:r>
        <w:rPr>
          <w:rFonts w:ascii="Arial" w:hAnsi="Arial" w:cs="Arial"/>
          <w:sz w:val="20"/>
        </w:rPr>
        <w:t xml:space="preserve">CV can make orders under Part VII of the FLA in the same circumstances as the </w:t>
      </w:r>
      <w:r w:rsidR="00DD7D4F">
        <w:rPr>
          <w:rFonts w:ascii="Arial" w:hAnsi="Arial" w:cs="Arial"/>
          <w:sz w:val="20"/>
        </w:rPr>
        <w:t>MCV (sections 69J and 69N).”</w:t>
      </w:r>
    </w:p>
    <w:p w14:paraId="3D4A12AD" w14:textId="3C40B82A" w:rsidR="00DD7D4F" w:rsidRDefault="00DD7D4F" w:rsidP="00B601FA">
      <w:pPr>
        <w:spacing w:before="80"/>
        <w:ind w:left="454" w:right="454"/>
        <w:jc w:val="both"/>
        <w:rPr>
          <w:rFonts w:ascii="Arial" w:hAnsi="Arial" w:cs="Arial"/>
          <w:sz w:val="20"/>
        </w:rPr>
      </w:pPr>
      <w:r>
        <w:rPr>
          <w:rFonts w:ascii="Arial" w:hAnsi="Arial" w:cs="Arial"/>
          <w:sz w:val="20"/>
        </w:rPr>
        <w:t>“[133] The Victorian Government amend the CYFA to clarify that the C</w:t>
      </w:r>
      <w:r w:rsidR="001202C2">
        <w:rPr>
          <w:rFonts w:ascii="Arial" w:hAnsi="Arial" w:cs="Arial"/>
          <w:sz w:val="20"/>
        </w:rPr>
        <w:t>h</w:t>
      </w:r>
      <w:r>
        <w:rPr>
          <w:rFonts w:ascii="Arial" w:hAnsi="Arial" w:cs="Arial"/>
          <w:sz w:val="20"/>
        </w:rPr>
        <w:t>CV has the same jurisdiction to make FLA parenting orders as the MCV.”</w:t>
      </w:r>
    </w:p>
    <w:p w14:paraId="5DBB557B" w14:textId="77777777" w:rsidR="006A1884" w:rsidRDefault="006A1884" w:rsidP="001A70CF">
      <w:pPr>
        <w:tabs>
          <w:tab w:val="num" w:pos="720"/>
        </w:tabs>
        <w:jc w:val="both"/>
        <w:rPr>
          <w:rFonts w:ascii="Arial" w:hAnsi="Arial" w:cs="Arial"/>
          <w:sz w:val="20"/>
        </w:rPr>
      </w:pPr>
    </w:p>
    <w:p w14:paraId="76CB3954" w14:textId="77777777" w:rsidR="006A1884" w:rsidRDefault="0054646E" w:rsidP="001A70CF">
      <w:pPr>
        <w:tabs>
          <w:tab w:val="num" w:pos="720"/>
        </w:tabs>
        <w:jc w:val="both"/>
        <w:rPr>
          <w:rFonts w:ascii="Arial" w:hAnsi="Arial" w:cs="Arial"/>
          <w:sz w:val="20"/>
        </w:rPr>
      </w:pPr>
      <w:r>
        <w:rPr>
          <w:rFonts w:ascii="Arial" w:hAnsi="Arial" w:cs="Arial"/>
          <w:sz w:val="20"/>
          <w:szCs w:val="20"/>
        </w:rPr>
        <w:t>In order to set the ground for legislative clarification</w:t>
      </w:r>
      <w:r w:rsidR="00A8236A">
        <w:rPr>
          <w:rFonts w:ascii="Arial" w:hAnsi="Arial" w:cs="Arial"/>
          <w:sz w:val="20"/>
          <w:szCs w:val="20"/>
        </w:rPr>
        <w:t xml:space="preserve"> of this complex issue</w:t>
      </w:r>
      <w:r>
        <w:rPr>
          <w:rFonts w:ascii="Arial" w:hAnsi="Arial" w:cs="Arial"/>
          <w:sz w:val="20"/>
          <w:szCs w:val="20"/>
        </w:rPr>
        <w:t xml:space="preserve">, </w:t>
      </w:r>
      <w:r w:rsidR="00B601FA">
        <w:rPr>
          <w:rFonts w:ascii="Arial" w:hAnsi="Arial" w:cs="Arial"/>
          <w:sz w:val="20"/>
        </w:rPr>
        <w:t xml:space="preserve">the </w:t>
      </w:r>
      <w:r w:rsidR="00B601FA" w:rsidRPr="00B601FA">
        <w:rPr>
          <w:rFonts w:ascii="Arial" w:hAnsi="Arial" w:cs="Arial"/>
          <w:sz w:val="20"/>
          <w:u w:val="single"/>
        </w:rPr>
        <w:t>Family Law Amendment (Family Violence and Other Measures) Act 2018 (Cth)</w:t>
      </w:r>
      <w:r w:rsidR="00B601FA">
        <w:rPr>
          <w:rFonts w:ascii="Arial" w:hAnsi="Arial" w:cs="Arial"/>
          <w:sz w:val="20"/>
        </w:rPr>
        <w:t xml:space="preserve"> – implementing a Family Law Council recommendation and partially implementing recommendation 131 of the VRCFV –</w:t>
      </w:r>
      <w:r w:rsidR="00E54052">
        <w:rPr>
          <w:rFonts w:ascii="Arial" w:hAnsi="Arial" w:cs="Arial"/>
          <w:sz w:val="20"/>
        </w:rPr>
        <w:t xml:space="preserve"> </w:t>
      </w:r>
      <w:r w:rsidR="00B601FA">
        <w:rPr>
          <w:rFonts w:ascii="Arial" w:hAnsi="Arial" w:cs="Arial"/>
          <w:sz w:val="20"/>
        </w:rPr>
        <w:t>amend</w:t>
      </w:r>
      <w:r w:rsidR="00A90242">
        <w:rPr>
          <w:rFonts w:ascii="Arial" w:hAnsi="Arial" w:cs="Arial"/>
          <w:sz w:val="20"/>
        </w:rPr>
        <w:t>ed</w:t>
      </w:r>
      <w:r w:rsidR="00B601FA">
        <w:rPr>
          <w:rFonts w:ascii="Arial" w:hAnsi="Arial" w:cs="Arial"/>
          <w:sz w:val="20"/>
        </w:rPr>
        <w:t xml:space="preserve"> ss.69J &amp; 69N</w:t>
      </w:r>
      <w:r w:rsidR="00E54052">
        <w:rPr>
          <w:rFonts w:ascii="Arial" w:hAnsi="Arial" w:cs="Arial"/>
          <w:sz w:val="20"/>
        </w:rPr>
        <w:t xml:space="preserve"> of the FLA and inserted s.69GA</w:t>
      </w:r>
      <w:r w:rsidR="00A90242">
        <w:rPr>
          <w:rFonts w:ascii="Arial" w:hAnsi="Arial" w:cs="Arial"/>
          <w:sz w:val="20"/>
        </w:rPr>
        <w:t xml:space="preserve"> as and from 01/09/2018</w:t>
      </w:r>
      <w:r w:rsidR="00E54052">
        <w:rPr>
          <w:rFonts w:ascii="Arial" w:hAnsi="Arial" w:cs="Arial"/>
          <w:sz w:val="20"/>
        </w:rPr>
        <w:t>.</w:t>
      </w:r>
    </w:p>
    <w:p w14:paraId="6D635010" w14:textId="77777777" w:rsidR="00BC3BD1" w:rsidRDefault="00BC3BD1" w:rsidP="001A70CF">
      <w:pPr>
        <w:tabs>
          <w:tab w:val="num" w:pos="720"/>
        </w:tabs>
        <w:jc w:val="both"/>
        <w:rPr>
          <w:rFonts w:ascii="Arial" w:hAnsi="Arial" w:cs="Arial"/>
          <w:sz w:val="20"/>
        </w:rPr>
      </w:pPr>
    </w:p>
    <w:p w14:paraId="16035C18" w14:textId="77777777" w:rsidR="00A8236A" w:rsidRDefault="00E54052" w:rsidP="001A70CF">
      <w:pPr>
        <w:tabs>
          <w:tab w:val="num" w:pos="720"/>
        </w:tabs>
        <w:jc w:val="both"/>
        <w:rPr>
          <w:rFonts w:ascii="Arial" w:hAnsi="Arial" w:cs="Arial"/>
          <w:sz w:val="20"/>
        </w:rPr>
      </w:pPr>
      <w:r>
        <w:rPr>
          <w:rFonts w:ascii="Arial" w:hAnsi="Arial" w:cs="Arial"/>
          <w:sz w:val="20"/>
        </w:rPr>
        <w:t>Section 69J(1) of the FLA now provides</w:t>
      </w:r>
      <w:r w:rsidR="00D06B37">
        <w:rPr>
          <w:rFonts w:ascii="Arial" w:hAnsi="Arial" w:cs="Arial"/>
          <w:sz w:val="20"/>
        </w:rPr>
        <w:t xml:space="preserve"> that s</w:t>
      </w:r>
      <w:r>
        <w:rPr>
          <w:rFonts w:ascii="Arial" w:hAnsi="Arial" w:cs="Arial"/>
          <w:sz w:val="20"/>
        </w:rPr>
        <w:t>ubject to subsection (5), each court of summary jurisdiction of each State is invested with federal jurisdiction in relation to matters arising under Part VII (other than proceedings for leave in certain adoption matters under s.60G).</w:t>
      </w:r>
      <w:r w:rsidR="00A8236A">
        <w:rPr>
          <w:rFonts w:ascii="Arial" w:hAnsi="Arial" w:cs="Arial"/>
          <w:sz w:val="20"/>
        </w:rPr>
        <w:t xml:space="preserve">  Subsection (5) – read in conjunction with ss.69J(3) &amp; 69J(4) – prevents a court of summary jurisdiction hearing and determining proceedings under Part VII FLA contrary to a Proclamation of the Governor-General.  </w:t>
      </w:r>
      <w:r w:rsidR="00D06B37">
        <w:rPr>
          <w:rFonts w:ascii="Arial" w:hAnsi="Arial" w:cs="Arial"/>
          <w:sz w:val="20"/>
        </w:rPr>
        <w:t>However, t</w:t>
      </w:r>
      <w:r w:rsidR="00A8236A">
        <w:rPr>
          <w:rFonts w:ascii="Arial" w:hAnsi="Arial" w:cs="Arial"/>
          <w:sz w:val="20"/>
        </w:rPr>
        <w:t>o date there have been no such Proclamations rel</w:t>
      </w:r>
      <w:r w:rsidR="00642457">
        <w:rPr>
          <w:rFonts w:ascii="Arial" w:hAnsi="Arial" w:cs="Arial"/>
          <w:sz w:val="20"/>
        </w:rPr>
        <w:t>ating</w:t>
      </w:r>
      <w:r w:rsidR="00A8236A">
        <w:rPr>
          <w:rFonts w:ascii="Arial" w:hAnsi="Arial" w:cs="Arial"/>
          <w:sz w:val="20"/>
        </w:rPr>
        <w:t xml:space="preserve"> to Victorian courts.</w:t>
      </w:r>
    </w:p>
    <w:p w14:paraId="19F0B5F3" w14:textId="77777777" w:rsidR="00A8236A" w:rsidRDefault="00A8236A" w:rsidP="001A70CF">
      <w:pPr>
        <w:tabs>
          <w:tab w:val="num" w:pos="720"/>
        </w:tabs>
        <w:jc w:val="both"/>
        <w:rPr>
          <w:rFonts w:ascii="Arial" w:hAnsi="Arial" w:cs="Arial"/>
          <w:sz w:val="20"/>
        </w:rPr>
      </w:pPr>
    </w:p>
    <w:p w14:paraId="4280EBB7" w14:textId="77777777" w:rsidR="00D06B37" w:rsidRDefault="00D06B37" w:rsidP="001A70CF">
      <w:pPr>
        <w:tabs>
          <w:tab w:val="num" w:pos="720"/>
        </w:tabs>
        <w:jc w:val="both"/>
        <w:rPr>
          <w:rFonts w:ascii="Arial" w:hAnsi="Arial" w:cs="Arial"/>
          <w:sz w:val="20"/>
        </w:rPr>
      </w:pPr>
      <w:r>
        <w:rPr>
          <w:rFonts w:ascii="Arial" w:hAnsi="Arial" w:cs="Arial"/>
          <w:sz w:val="20"/>
        </w:rPr>
        <w:t>Section 69GA of the FLA enables a prescribed state or territory court to hear proceedings (or</w:t>
      </w:r>
      <w:r w:rsidR="00E61125">
        <w:rPr>
          <w:rFonts w:ascii="Arial" w:hAnsi="Arial" w:cs="Arial"/>
          <w:sz w:val="20"/>
        </w:rPr>
        <w:t xml:space="preserve"> </w:t>
      </w:r>
      <w:r>
        <w:rPr>
          <w:rFonts w:ascii="Arial" w:hAnsi="Arial" w:cs="Arial"/>
          <w:sz w:val="20"/>
        </w:rPr>
        <w:t xml:space="preserve">specified classes of proceedings) under the FLA as if </w:t>
      </w:r>
      <w:r w:rsidR="00E61125">
        <w:rPr>
          <w:rFonts w:ascii="Arial" w:hAnsi="Arial" w:cs="Arial"/>
          <w:sz w:val="20"/>
        </w:rPr>
        <w:t>it was a court</w:t>
      </w:r>
      <w:r>
        <w:rPr>
          <w:rFonts w:ascii="Arial" w:hAnsi="Arial" w:cs="Arial"/>
          <w:sz w:val="20"/>
        </w:rPr>
        <w:t xml:space="preserve"> of summary jurisdiction.  Hence </w:t>
      </w:r>
      <w:r w:rsidR="00A414E1">
        <w:rPr>
          <w:rFonts w:ascii="Arial" w:hAnsi="Arial" w:cs="Arial"/>
          <w:sz w:val="20"/>
        </w:rPr>
        <w:t>the</w:t>
      </w:r>
      <w:r w:rsidR="0054646E">
        <w:rPr>
          <w:rFonts w:ascii="Arial" w:hAnsi="Arial" w:cs="Arial"/>
          <w:sz w:val="20"/>
        </w:rPr>
        <w:t xml:space="preserve"> note to s.69J(1) </w:t>
      </w:r>
      <w:r w:rsidR="00A414E1">
        <w:rPr>
          <w:rFonts w:ascii="Arial" w:hAnsi="Arial" w:cs="Arial"/>
          <w:sz w:val="20"/>
        </w:rPr>
        <w:t xml:space="preserve">which </w:t>
      </w:r>
      <w:r w:rsidR="0054646E">
        <w:rPr>
          <w:rFonts w:ascii="Arial" w:hAnsi="Arial" w:cs="Arial"/>
          <w:sz w:val="20"/>
        </w:rPr>
        <w:t xml:space="preserve">provides: “This section may apply to proceedings heard in a </w:t>
      </w:r>
      <w:r w:rsidR="0054646E">
        <w:rPr>
          <w:rFonts w:ascii="Arial" w:hAnsi="Arial" w:cs="Arial"/>
          <w:sz w:val="20"/>
        </w:rPr>
        <w:lastRenderedPageBreak/>
        <w:t xml:space="preserve">court prescribed by the regulations for the purposes of s.69GA in the same way as </w:t>
      </w:r>
      <w:r w:rsidR="00A8236A">
        <w:rPr>
          <w:rFonts w:ascii="Arial" w:hAnsi="Arial" w:cs="Arial"/>
          <w:sz w:val="20"/>
        </w:rPr>
        <w:t>this section would apply if those proceedings were heard in a court of summary jurisdiction.”</w:t>
      </w:r>
    </w:p>
    <w:p w14:paraId="66DFAD69" w14:textId="77777777" w:rsidR="00D06B37" w:rsidRDefault="00D06B37" w:rsidP="001A70CF">
      <w:pPr>
        <w:tabs>
          <w:tab w:val="num" w:pos="720"/>
        </w:tabs>
        <w:jc w:val="both"/>
        <w:rPr>
          <w:rFonts w:ascii="Arial" w:hAnsi="Arial" w:cs="Arial"/>
          <w:sz w:val="20"/>
        </w:rPr>
      </w:pPr>
    </w:p>
    <w:p w14:paraId="2E0C7E7F" w14:textId="1DEC13FF" w:rsidR="00BC3BD1" w:rsidRDefault="00937A30" w:rsidP="001A70CF">
      <w:pPr>
        <w:tabs>
          <w:tab w:val="num" w:pos="720"/>
        </w:tabs>
        <w:jc w:val="both"/>
        <w:rPr>
          <w:rFonts w:ascii="Arial" w:hAnsi="Arial" w:cs="Arial"/>
          <w:sz w:val="20"/>
        </w:rPr>
      </w:pPr>
      <w:r>
        <w:rPr>
          <w:rFonts w:ascii="Arial" w:hAnsi="Arial" w:cs="Arial"/>
          <w:sz w:val="20"/>
        </w:rPr>
        <w:t>P</w:t>
      </w:r>
      <w:r w:rsidR="00DA604B">
        <w:rPr>
          <w:rFonts w:ascii="Arial" w:hAnsi="Arial" w:cs="Arial"/>
          <w:sz w:val="20"/>
        </w:rPr>
        <w:t xml:space="preserve">aragraph [40] of the Explanatory Memorandum to the 2018 </w:t>
      </w:r>
      <w:r w:rsidR="0004634A">
        <w:rPr>
          <w:rFonts w:ascii="Arial" w:hAnsi="Arial" w:cs="Arial"/>
          <w:sz w:val="20"/>
        </w:rPr>
        <w:t>A</w:t>
      </w:r>
      <w:r w:rsidR="00DA604B">
        <w:rPr>
          <w:rFonts w:ascii="Arial" w:hAnsi="Arial" w:cs="Arial"/>
          <w:sz w:val="20"/>
        </w:rPr>
        <w:t>mending A</w:t>
      </w:r>
      <w:r w:rsidR="0004634A">
        <w:rPr>
          <w:rFonts w:ascii="Arial" w:hAnsi="Arial" w:cs="Arial"/>
          <w:sz w:val="20"/>
        </w:rPr>
        <w:t>c</w:t>
      </w:r>
      <w:r w:rsidR="001202C2">
        <w:rPr>
          <w:rFonts w:ascii="Arial" w:hAnsi="Arial" w:cs="Arial"/>
          <w:sz w:val="20"/>
        </w:rPr>
        <w:t>t</w:t>
      </w:r>
      <w:r>
        <w:rPr>
          <w:rFonts w:ascii="Arial" w:hAnsi="Arial" w:cs="Arial"/>
          <w:sz w:val="20"/>
        </w:rPr>
        <w:t xml:space="preserve"> states</w:t>
      </w:r>
      <w:r w:rsidR="00DA604B">
        <w:rPr>
          <w:rFonts w:ascii="Arial" w:hAnsi="Arial" w:cs="Arial"/>
          <w:sz w:val="20"/>
        </w:rPr>
        <w:t>:</w:t>
      </w:r>
    </w:p>
    <w:p w14:paraId="305D9073" w14:textId="77777777" w:rsidR="00DA604B" w:rsidRDefault="00DA604B" w:rsidP="00DA604B">
      <w:pPr>
        <w:spacing w:before="80" w:after="80"/>
        <w:ind w:left="454" w:right="454"/>
        <w:jc w:val="both"/>
        <w:rPr>
          <w:rFonts w:ascii="Arial" w:hAnsi="Arial" w:cs="Arial"/>
          <w:sz w:val="20"/>
        </w:rPr>
      </w:pPr>
      <w:r>
        <w:rPr>
          <w:rFonts w:ascii="Arial" w:hAnsi="Arial" w:cs="Arial"/>
          <w:sz w:val="20"/>
        </w:rPr>
        <w:t>“It is not to be taken that, if a state or territory children’s court is not prescribed by the regulations, then it is not able to make family law orders under Part VII of the FLA as a court of summary jurisdiction.  Rather, it is intended that, in cases where there is doubt, a court can be prescribed by regulations so as to remove any doubt as to its capacity to exercise such jurisdiction.”</w:t>
      </w:r>
    </w:p>
    <w:p w14:paraId="107B5C1B" w14:textId="77777777" w:rsidR="00E54052" w:rsidRDefault="00DA604B" w:rsidP="001A70CF">
      <w:pPr>
        <w:tabs>
          <w:tab w:val="num" w:pos="720"/>
        </w:tabs>
        <w:jc w:val="both"/>
        <w:rPr>
          <w:rFonts w:ascii="Arial" w:hAnsi="Arial" w:cs="Arial"/>
          <w:sz w:val="20"/>
        </w:rPr>
      </w:pPr>
      <w:r>
        <w:rPr>
          <w:rFonts w:ascii="Arial" w:hAnsi="Arial" w:cs="Arial"/>
          <w:sz w:val="20"/>
        </w:rPr>
        <w:t>To</w:t>
      </w:r>
      <w:r w:rsidR="00EF7C07">
        <w:rPr>
          <w:rFonts w:ascii="Arial" w:hAnsi="Arial" w:cs="Arial"/>
          <w:sz w:val="20"/>
        </w:rPr>
        <w:t xml:space="preserve"> </w:t>
      </w:r>
      <w:r>
        <w:rPr>
          <w:rFonts w:ascii="Arial" w:hAnsi="Arial" w:cs="Arial"/>
          <w:sz w:val="20"/>
        </w:rPr>
        <w:t>date, no Victorian courts have been prescribed in regulations for the purposes of s.69GA.</w:t>
      </w:r>
    </w:p>
    <w:p w14:paraId="6789207E" w14:textId="77777777" w:rsidR="00E54052" w:rsidRDefault="00E54052" w:rsidP="001A70CF">
      <w:pPr>
        <w:tabs>
          <w:tab w:val="num" w:pos="720"/>
        </w:tabs>
        <w:jc w:val="both"/>
        <w:rPr>
          <w:rFonts w:ascii="Arial" w:hAnsi="Arial" w:cs="Arial"/>
          <w:sz w:val="20"/>
        </w:rPr>
      </w:pPr>
    </w:p>
    <w:p w14:paraId="12B073D1" w14:textId="77777777" w:rsidR="007F5F1E" w:rsidRPr="008F27E7" w:rsidRDefault="008F27E7" w:rsidP="001A70CF">
      <w:pPr>
        <w:tabs>
          <w:tab w:val="num" w:pos="720"/>
        </w:tabs>
        <w:jc w:val="both"/>
        <w:rPr>
          <w:rFonts w:ascii="Arial" w:hAnsi="Arial" w:cs="Arial"/>
          <w:sz w:val="20"/>
        </w:rPr>
      </w:pPr>
      <w:r>
        <w:rPr>
          <w:rFonts w:ascii="Arial" w:hAnsi="Arial" w:cs="Arial"/>
          <w:sz w:val="20"/>
        </w:rPr>
        <w:t xml:space="preserve">In order to give effect to recommendation 133 of the VRCFV, as and from 16/02/2022 the following </w:t>
      </w:r>
      <w:r w:rsidR="00642457">
        <w:rPr>
          <w:rFonts w:ascii="Arial" w:hAnsi="Arial" w:cs="Arial"/>
          <w:sz w:val="20"/>
        </w:rPr>
        <w:t>provisions were inserted in</w:t>
      </w:r>
      <w:r>
        <w:rPr>
          <w:rFonts w:ascii="Arial" w:hAnsi="Arial" w:cs="Arial"/>
          <w:sz w:val="20"/>
        </w:rPr>
        <w:t xml:space="preserve">to the CYFA by the </w:t>
      </w:r>
      <w:r w:rsidR="007F5F1E" w:rsidRPr="008F27E7">
        <w:rPr>
          <w:rFonts w:ascii="Arial" w:hAnsi="Arial" w:cs="Arial"/>
          <w:color w:val="000000"/>
          <w:sz w:val="20"/>
          <w:szCs w:val="20"/>
          <w:u w:val="single"/>
        </w:rPr>
        <w:t>Justice Legislation Amendment (Criminal Procedure Disclosure and Other Matters) Act 2022 (Vic)</w:t>
      </w:r>
      <w:r w:rsidR="007F5F1E">
        <w:rPr>
          <w:rFonts w:ascii="Arial" w:hAnsi="Arial" w:cs="Arial"/>
          <w:color w:val="000000"/>
          <w:sz w:val="20"/>
        </w:rPr>
        <w:t>:</w:t>
      </w:r>
    </w:p>
    <w:p w14:paraId="1657DDF0" w14:textId="77777777" w:rsidR="007F5F1E" w:rsidRDefault="007F5F1E">
      <w:pPr>
        <w:pStyle w:val="ListParagraph"/>
        <w:numPr>
          <w:ilvl w:val="0"/>
          <w:numId w:val="46"/>
        </w:numPr>
        <w:ind w:left="357" w:hanging="357"/>
        <w:jc w:val="both"/>
        <w:rPr>
          <w:rFonts w:ascii="Arial" w:hAnsi="Arial" w:cs="Arial"/>
          <w:color w:val="000000"/>
          <w:sz w:val="20"/>
        </w:rPr>
      </w:pPr>
      <w:r w:rsidRPr="00B507F6">
        <w:rPr>
          <w:rFonts w:ascii="Arial" w:hAnsi="Arial" w:cs="Arial"/>
          <w:color w:val="000000"/>
          <w:sz w:val="20"/>
        </w:rPr>
        <w:t>s.515(4) of the CYFA provides:</w:t>
      </w:r>
      <w:r>
        <w:rPr>
          <w:rFonts w:ascii="Arial" w:hAnsi="Arial" w:cs="Arial"/>
          <w:color w:val="000000"/>
          <w:sz w:val="20"/>
        </w:rPr>
        <w:t xml:space="preserve"> “The Family Division has any jurisdiction given to the Court by or under the </w:t>
      </w:r>
      <w:r w:rsidRPr="008F27E7">
        <w:rPr>
          <w:rFonts w:ascii="Arial" w:hAnsi="Arial" w:cs="Arial"/>
          <w:color w:val="000000"/>
          <w:sz w:val="20"/>
        </w:rPr>
        <w:t>Family Law Act 1975</w:t>
      </w:r>
      <w:r>
        <w:rPr>
          <w:rFonts w:ascii="Arial" w:hAnsi="Arial" w:cs="Arial"/>
          <w:color w:val="000000"/>
          <w:sz w:val="20"/>
        </w:rPr>
        <w:t xml:space="preserve"> (Cth).”</w:t>
      </w:r>
    </w:p>
    <w:p w14:paraId="43E9FED4" w14:textId="77777777" w:rsidR="007F5F1E" w:rsidRPr="00B507F6" w:rsidRDefault="007F5F1E">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s.588(1)(ba) of the CYFA provides: “The President together w</w:t>
      </w:r>
      <w:r w:rsidR="001F173D">
        <w:rPr>
          <w:rFonts w:ascii="Arial" w:hAnsi="Arial" w:cs="Arial"/>
          <w:color w:val="000000"/>
          <w:sz w:val="20"/>
        </w:rPr>
        <w:t>i</w:t>
      </w:r>
      <w:r>
        <w:rPr>
          <w:rFonts w:ascii="Arial" w:hAnsi="Arial" w:cs="Arial"/>
          <w:color w:val="000000"/>
          <w:sz w:val="20"/>
        </w:rPr>
        <w:t>th 2 or more magistrates for the Court may jointly make rules of court for or with respect to any matter relating to the jurisdiction of the Family Division of the Court given by s.515(4).”</w:t>
      </w:r>
    </w:p>
    <w:p w14:paraId="02E1DF2A" w14:textId="77777777" w:rsidR="007F5F1E" w:rsidRDefault="007F5F1E" w:rsidP="007F5F1E">
      <w:pPr>
        <w:rPr>
          <w:rFonts w:ascii="Arial" w:hAnsi="Arial" w:cs="Arial"/>
          <w:color w:val="000000"/>
          <w:sz w:val="20"/>
        </w:rPr>
      </w:pPr>
    </w:p>
    <w:p w14:paraId="2E3B0110" w14:textId="03AF7F26" w:rsidR="008D7DF3" w:rsidRDefault="005B71BA" w:rsidP="005B71BA">
      <w:pPr>
        <w:jc w:val="both"/>
        <w:rPr>
          <w:rFonts w:ascii="Arial" w:hAnsi="Arial" w:cs="Arial"/>
          <w:sz w:val="20"/>
          <w:szCs w:val="20"/>
        </w:rPr>
      </w:pPr>
      <w:r>
        <w:rPr>
          <w:rFonts w:ascii="Arial" w:hAnsi="Arial" w:cs="Arial"/>
          <w:color w:val="000000"/>
          <w:sz w:val="20"/>
        </w:rPr>
        <w:t xml:space="preserve">What is the current end result of this jungle of legislation?  </w:t>
      </w:r>
      <w:r>
        <w:rPr>
          <w:rFonts w:ascii="Arial" w:hAnsi="Arial" w:cs="Arial"/>
          <w:sz w:val="20"/>
        </w:rPr>
        <w:t>Notwithstanding counsel’s thoughtful analysis</w:t>
      </w:r>
      <w:r w:rsidR="00BF732A">
        <w:rPr>
          <w:rFonts w:ascii="Arial" w:hAnsi="Arial" w:cs="Arial"/>
          <w:sz w:val="20"/>
        </w:rPr>
        <w:t xml:space="preserve"> in 2006</w:t>
      </w:r>
      <w:r>
        <w:rPr>
          <w:rFonts w:ascii="Arial" w:hAnsi="Arial" w:cs="Arial"/>
          <w:sz w:val="20"/>
        </w:rPr>
        <w:t xml:space="preserve">, the writer </w:t>
      </w:r>
      <w:r w:rsidR="00642457">
        <w:rPr>
          <w:rFonts w:ascii="Arial" w:hAnsi="Arial" w:cs="Arial"/>
          <w:sz w:val="20"/>
        </w:rPr>
        <w:t xml:space="preserve">considers that it is not entirely clear </w:t>
      </w:r>
      <w:r w:rsidR="006D17EA">
        <w:rPr>
          <w:rFonts w:ascii="Arial" w:hAnsi="Arial" w:cs="Arial"/>
          <w:sz w:val="20"/>
        </w:rPr>
        <w:t xml:space="preserve">that </w:t>
      </w:r>
      <w:r>
        <w:rPr>
          <w:rFonts w:ascii="Arial" w:hAnsi="Arial" w:cs="Arial"/>
          <w:sz w:val="20"/>
          <w:szCs w:val="20"/>
        </w:rPr>
        <w:t>the C</w:t>
      </w:r>
      <w:r w:rsidR="001202C2">
        <w:rPr>
          <w:rFonts w:ascii="Arial" w:hAnsi="Arial" w:cs="Arial"/>
          <w:sz w:val="20"/>
          <w:szCs w:val="20"/>
        </w:rPr>
        <w:t>h</w:t>
      </w:r>
      <w:r>
        <w:rPr>
          <w:rFonts w:ascii="Arial" w:hAnsi="Arial" w:cs="Arial"/>
          <w:sz w:val="20"/>
          <w:szCs w:val="20"/>
        </w:rPr>
        <w:t xml:space="preserve">CV </w:t>
      </w:r>
      <w:r w:rsidR="008D7DF3">
        <w:rPr>
          <w:rFonts w:ascii="Arial" w:hAnsi="Arial" w:cs="Arial"/>
          <w:sz w:val="20"/>
          <w:szCs w:val="20"/>
        </w:rPr>
        <w:t xml:space="preserve">(whether constituted by the President or a magistrate) </w:t>
      </w:r>
      <w:r w:rsidRPr="006555D8">
        <w:rPr>
          <w:rFonts w:ascii="Arial" w:hAnsi="Arial" w:cs="Arial"/>
          <w:sz w:val="20"/>
          <w:szCs w:val="20"/>
        </w:rPr>
        <w:t>can</w:t>
      </w:r>
      <w:r>
        <w:rPr>
          <w:rFonts w:ascii="Arial" w:hAnsi="Arial" w:cs="Arial"/>
          <w:sz w:val="20"/>
          <w:szCs w:val="20"/>
        </w:rPr>
        <w:t xml:space="preserve"> exercise the jurisdiction which the MCV ha</w:t>
      </w:r>
      <w:r w:rsidR="00847366">
        <w:rPr>
          <w:rFonts w:ascii="Arial" w:hAnsi="Arial" w:cs="Arial"/>
          <w:sz w:val="20"/>
          <w:szCs w:val="20"/>
        </w:rPr>
        <w:t>s</w:t>
      </w:r>
      <w:r>
        <w:rPr>
          <w:rFonts w:ascii="Arial" w:hAnsi="Arial" w:cs="Arial"/>
          <w:sz w:val="20"/>
          <w:szCs w:val="20"/>
        </w:rPr>
        <w:t xml:space="preserve"> under the FLA</w:t>
      </w:r>
      <w:r w:rsidR="008D7DF3">
        <w:rPr>
          <w:rFonts w:ascii="Arial" w:hAnsi="Arial" w:cs="Arial"/>
          <w:sz w:val="20"/>
          <w:szCs w:val="20"/>
        </w:rPr>
        <w:t xml:space="preserve">.  </w:t>
      </w:r>
      <w:r w:rsidR="00314B0B">
        <w:rPr>
          <w:rFonts w:ascii="Arial" w:hAnsi="Arial" w:cs="Arial"/>
          <w:sz w:val="20"/>
          <w:szCs w:val="20"/>
        </w:rPr>
        <w:t xml:space="preserve">However, </w:t>
      </w:r>
      <w:r w:rsidR="00AE3C70">
        <w:rPr>
          <w:rFonts w:ascii="Arial" w:hAnsi="Arial" w:cs="Arial"/>
          <w:sz w:val="20"/>
          <w:szCs w:val="20"/>
        </w:rPr>
        <w:t>t</w:t>
      </w:r>
      <w:r w:rsidR="008D7DF3">
        <w:rPr>
          <w:rFonts w:ascii="Arial" w:hAnsi="Arial" w:cs="Arial"/>
          <w:sz w:val="20"/>
          <w:szCs w:val="20"/>
        </w:rPr>
        <w:t xml:space="preserve">he writer’s </w:t>
      </w:r>
      <w:r w:rsidR="00AE3C70">
        <w:rPr>
          <w:rFonts w:ascii="Arial" w:hAnsi="Arial" w:cs="Arial"/>
          <w:sz w:val="20"/>
          <w:szCs w:val="20"/>
        </w:rPr>
        <w:t>preferred view</w:t>
      </w:r>
      <w:r w:rsidR="008D7DF3">
        <w:rPr>
          <w:rFonts w:ascii="Arial" w:hAnsi="Arial" w:cs="Arial"/>
          <w:sz w:val="20"/>
          <w:szCs w:val="20"/>
        </w:rPr>
        <w:t xml:space="preserve"> is</w:t>
      </w:r>
      <w:r w:rsidR="00A63F90">
        <w:rPr>
          <w:rFonts w:ascii="Arial" w:hAnsi="Arial" w:cs="Arial"/>
          <w:sz w:val="20"/>
          <w:szCs w:val="20"/>
        </w:rPr>
        <w:t>:</w:t>
      </w:r>
    </w:p>
    <w:p w14:paraId="28A47C23" w14:textId="637D994E" w:rsidR="008D7DF3" w:rsidRPr="008D7DF3"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sidRPr="008D7DF3">
        <w:rPr>
          <w:rFonts w:ascii="Arial" w:hAnsi="Arial" w:cs="Arial"/>
          <w:sz w:val="20"/>
        </w:rPr>
        <w:t>oth the C</w:t>
      </w:r>
      <w:r w:rsidR="001202C2">
        <w:rPr>
          <w:rFonts w:ascii="Arial" w:hAnsi="Arial" w:cs="Arial"/>
          <w:sz w:val="20"/>
        </w:rPr>
        <w:t>h</w:t>
      </w:r>
      <w:r w:rsidR="008D7DF3" w:rsidRPr="008D7DF3">
        <w:rPr>
          <w:rFonts w:ascii="Arial" w:hAnsi="Arial" w:cs="Arial"/>
          <w:sz w:val="20"/>
        </w:rPr>
        <w:t xml:space="preserve">CV and the MCV remain ‘courts of summary jurisdiction’ within the meaning of </w:t>
      </w:r>
      <w:r w:rsidR="008D7DF3">
        <w:rPr>
          <w:rFonts w:ascii="Arial" w:hAnsi="Arial" w:cs="Arial"/>
          <w:sz w:val="20"/>
        </w:rPr>
        <w:t>s.69J(1) FLA whether constituted by the President, the Chief Magistrate or a magistrate</w:t>
      </w:r>
      <w:r>
        <w:rPr>
          <w:rFonts w:ascii="Arial" w:hAnsi="Arial" w:cs="Arial"/>
          <w:sz w:val="20"/>
        </w:rPr>
        <w:t>.</w:t>
      </w:r>
    </w:p>
    <w:p w14:paraId="493B1378" w14:textId="4E01F248" w:rsidR="005B71BA" w:rsidRPr="006C53BA" w:rsidRDefault="00E61125">
      <w:pPr>
        <w:pStyle w:val="ListParagraph"/>
        <w:numPr>
          <w:ilvl w:val="0"/>
          <w:numId w:val="46"/>
        </w:numPr>
        <w:ind w:left="357" w:hanging="357"/>
        <w:jc w:val="both"/>
        <w:rPr>
          <w:rFonts w:ascii="Arial" w:hAnsi="Arial" w:cs="Arial"/>
          <w:color w:val="000000"/>
          <w:sz w:val="20"/>
        </w:rPr>
      </w:pPr>
      <w:r>
        <w:rPr>
          <w:rFonts w:ascii="Arial" w:hAnsi="Arial" w:cs="Arial"/>
          <w:sz w:val="20"/>
        </w:rPr>
        <w:t>B</w:t>
      </w:r>
      <w:r w:rsidR="008D7DF3">
        <w:rPr>
          <w:rFonts w:ascii="Arial" w:hAnsi="Arial" w:cs="Arial"/>
          <w:sz w:val="20"/>
        </w:rPr>
        <w:t>oth the C</w:t>
      </w:r>
      <w:r w:rsidR="001202C2">
        <w:rPr>
          <w:rFonts w:ascii="Arial" w:hAnsi="Arial" w:cs="Arial"/>
          <w:sz w:val="20"/>
        </w:rPr>
        <w:t>h</w:t>
      </w:r>
      <w:r w:rsidR="008D7DF3">
        <w:rPr>
          <w:rFonts w:ascii="Arial" w:hAnsi="Arial" w:cs="Arial"/>
          <w:sz w:val="20"/>
        </w:rPr>
        <w:t>CV and the MCV therefore have full jurisdiction under s.69J(1) FLA and the C</w:t>
      </w:r>
      <w:r w:rsidR="001202C2">
        <w:rPr>
          <w:rFonts w:ascii="Arial" w:hAnsi="Arial" w:cs="Arial"/>
          <w:sz w:val="20"/>
        </w:rPr>
        <w:t>h</w:t>
      </w:r>
      <w:r w:rsidR="008D7DF3">
        <w:rPr>
          <w:rFonts w:ascii="Arial" w:hAnsi="Arial" w:cs="Arial"/>
          <w:sz w:val="20"/>
        </w:rPr>
        <w:t xml:space="preserve">CV has concurrent jurisdiction under s.515(4) CYFA to </w:t>
      </w:r>
      <w:r w:rsidR="00517FC1">
        <w:rPr>
          <w:rFonts w:ascii="Arial" w:hAnsi="Arial" w:cs="Arial"/>
          <w:sz w:val="20"/>
        </w:rPr>
        <w:t xml:space="preserve">hear and determine </w:t>
      </w:r>
      <w:r w:rsidR="006C53BA">
        <w:rPr>
          <w:rFonts w:ascii="Arial" w:hAnsi="Arial" w:cs="Arial"/>
          <w:sz w:val="20"/>
        </w:rPr>
        <w:t>matters arising under Part VII of the FLA</w:t>
      </w:r>
      <w:r w:rsidR="00A9017D">
        <w:rPr>
          <w:rFonts w:ascii="Arial" w:hAnsi="Arial" w:cs="Arial"/>
          <w:sz w:val="20"/>
        </w:rPr>
        <w:t xml:space="preserve"> (</w:t>
      </w:r>
      <w:r w:rsidR="006C53BA">
        <w:rPr>
          <w:rFonts w:ascii="Arial" w:hAnsi="Arial" w:cs="Arial"/>
          <w:sz w:val="20"/>
        </w:rPr>
        <w:t>other than proceedings under s.60G</w:t>
      </w:r>
      <w:r w:rsidR="00A9017D">
        <w:rPr>
          <w:rFonts w:ascii="Arial" w:hAnsi="Arial" w:cs="Arial"/>
          <w:sz w:val="20"/>
        </w:rPr>
        <w:t>)</w:t>
      </w:r>
      <w:r>
        <w:rPr>
          <w:rFonts w:ascii="Arial" w:hAnsi="Arial" w:cs="Arial"/>
          <w:sz w:val="20"/>
        </w:rPr>
        <w:t>.</w:t>
      </w:r>
    </w:p>
    <w:p w14:paraId="7A66CABE" w14:textId="1B7554B0" w:rsidR="00E61125" w:rsidRDefault="00E61125">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T</w:t>
      </w:r>
      <w:r w:rsidR="006C53BA">
        <w:rPr>
          <w:rFonts w:ascii="Arial" w:hAnsi="Arial" w:cs="Arial"/>
          <w:color w:val="000000"/>
          <w:sz w:val="20"/>
        </w:rPr>
        <w:t>he fact that a court has conferred jurisdiction does not compel the court to exercise it</w:t>
      </w:r>
      <w:r>
        <w:rPr>
          <w:rFonts w:ascii="Arial" w:hAnsi="Arial" w:cs="Arial"/>
          <w:color w:val="000000"/>
          <w:sz w:val="20"/>
        </w:rPr>
        <w:t>.  F</w:t>
      </w:r>
      <w:r w:rsidR="00517FC1">
        <w:rPr>
          <w:rFonts w:ascii="Arial" w:hAnsi="Arial" w:cs="Arial"/>
          <w:color w:val="000000"/>
          <w:sz w:val="20"/>
        </w:rPr>
        <w:t>or the moment both the C</w:t>
      </w:r>
      <w:r w:rsidR="001202C2">
        <w:rPr>
          <w:rFonts w:ascii="Arial" w:hAnsi="Arial" w:cs="Arial"/>
          <w:color w:val="000000"/>
          <w:sz w:val="20"/>
        </w:rPr>
        <w:t>h</w:t>
      </w:r>
      <w:r w:rsidR="00517FC1">
        <w:rPr>
          <w:rFonts w:ascii="Arial" w:hAnsi="Arial" w:cs="Arial"/>
          <w:color w:val="000000"/>
          <w:sz w:val="20"/>
        </w:rPr>
        <w:t>CV and the MCV have chosen to exercise limited jurisdiction under s.69J(1) FLA</w:t>
      </w:r>
      <w:r>
        <w:rPr>
          <w:rFonts w:ascii="Arial" w:hAnsi="Arial" w:cs="Arial"/>
          <w:color w:val="000000"/>
          <w:sz w:val="20"/>
        </w:rPr>
        <w:t>.</w:t>
      </w:r>
    </w:p>
    <w:p w14:paraId="547CC74B" w14:textId="28F70AD2" w:rsidR="00E61125" w:rsidRDefault="00A63F90">
      <w:pPr>
        <w:pStyle w:val="ListParagraph"/>
        <w:numPr>
          <w:ilvl w:val="0"/>
          <w:numId w:val="46"/>
        </w:numPr>
        <w:ind w:left="357" w:hanging="357"/>
        <w:jc w:val="both"/>
        <w:rPr>
          <w:rFonts w:ascii="Arial" w:hAnsi="Arial" w:cs="Arial"/>
          <w:color w:val="000000"/>
          <w:sz w:val="20"/>
        </w:rPr>
      </w:pPr>
      <w:bookmarkStart w:id="372" w:name="_Hlk97807557"/>
      <w:bookmarkStart w:id="373" w:name="_Hlk97807243"/>
      <w:r>
        <w:rPr>
          <w:rFonts w:ascii="Arial" w:hAnsi="Arial" w:cs="Arial"/>
          <w:color w:val="000000"/>
          <w:sz w:val="20"/>
        </w:rPr>
        <w:t>Both the C</w:t>
      </w:r>
      <w:r w:rsidR="001202C2">
        <w:rPr>
          <w:rFonts w:ascii="Arial" w:hAnsi="Arial" w:cs="Arial"/>
          <w:color w:val="000000"/>
          <w:sz w:val="20"/>
        </w:rPr>
        <w:t>h</w:t>
      </w:r>
      <w:r>
        <w:rPr>
          <w:rFonts w:ascii="Arial" w:hAnsi="Arial" w:cs="Arial"/>
          <w:color w:val="000000"/>
          <w:sz w:val="20"/>
        </w:rPr>
        <w:t xml:space="preserve">CV and the MCV do </w:t>
      </w:r>
      <w:r w:rsidR="00555421">
        <w:rPr>
          <w:rFonts w:ascii="Arial" w:hAnsi="Arial" w:cs="Arial"/>
          <w:color w:val="000000"/>
          <w:sz w:val="20"/>
        </w:rPr>
        <w:t xml:space="preserve">have and do </w:t>
      </w:r>
      <w:r>
        <w:rPr>
          <w:rFonts w:ascii="Arial" w:hAnsi="Arial" w:cs="Arial"/>
          <w:color w:val="000000"/>
          <w:sz w:val="20"/>
        </w:rPr>
        <w:t xml:space="preserve">exercise jurisdiction under s.68R FLA </w:t>
      </w:r>
      <w:r w:rsidR="00555421">
        <w:rPr>
          <w:rFonts w:ascii="Arial" w:hAnsi="Arial" w:cs="Arial"/>
          <w:color w:val="000000"/>
          <w:sz w:val="20"/>
        </w:rPr>
        <w:t xml:space="preserve">to revive, vary, discharge or suspend an FLA </w:t>
      </w:r>
      <w:r w:rsidR="008721AA">
        <w:rPr>
          <w:rFonts w:ascii="Arial" w:hAnsi="Arial" w:cs="Arial"/>
          <w:color w:val="000000"/>
          <w:sz w:val="20"/>
        </w:rPr>
        <w:t>‘</w:t>
      </w:r>
      <w:r w:rsidR="00430345">
        <w:rPr>
          <w:rFonts w:ascii="Arial" w:hAnsi="Arial" w:cs="Arial"/>
          <w:color w:val="000000"/>
          <w:sz w:val="20"/>
        </w:rPr>
        <w:t>spend time with</w:t>
      </w:r>
      <w:r w:rsidR="008721AA">
        <w:rPr>
          <w:rFonts w:ascii="Arial" w:hAnsi="Arial" w:cs="Arial"/>
          <w:color w:val="000000"/>
          <w:sz w:val="20"/>
        </w:rPr>
        <w:t>’</w:t>
      </w:r>
      <w:r w:rsidR="00555421">
        <w:rPr>
          <w:rFonts w:ascii="Arial" w:hAnsi="Arial" w:cs="Arial"/>
          <w:color w:val="000000"/>
          <w:sz w:val="20"/>
        </w:rPr>
        <w:t xml:space="preserve"> </w:t>
      </w:r>
      <w:r w:rsidR="00295FFA">
        <w:rPr>
          <w:rFonts w:ascii="Arial" w:hAnsi="Arial" w:cs="Arial"/>
          <w:color w:val="000000"/>
          <w:sz w:val="20"/>
        </w:rPr>
        <w:t xml:space="preserve">or ‘live with’ </w:t>
      </w:r>
      <w:r w:rsidR="00555421">
        <w:rPr>
          <w:rFonts w:ascii="Arial" w:hAnsi="Arial" w:cs="Arial"/>
          <w:color w:val="000000"/>
          <w:sz w:val="20"/>
        </w:rPr>
        <w:t xml:space="preserve">order </w:t>
      </w:r>
      <w:r w:rsidR="00B537B7">
        <w:rPr>
          <w:rFonts w:ascii="Arial" w:hAnsi="Arial" w:cs="Arial"/>
          <w:color w:val="000000"/>
          <w:sz w:val="20"/>
        </w:rPr>
        <w:t>in proceedings under the FVPA to make or vary a</w:t>
      </w:r>
      <w:r w:rsidR="00555421">
        <w:rPr>
          <w:rFonts w:ascii="Arial" w:hAnsi="Arial" w:cs="Arial"/>
          <w:color w:val="000000"/>
          <w:sz w:val="20"/>
        </w:rPr>
        <w:t xml:space="preserve"> </w:t>
      </w:r>
      <w:r w:rsidR="00555421" w:rsidRPr="00830AAE">
        <w:rPr>
          <w:rFonts w:ascii="Arial" w:hAnsi="Arial" w:cs="Arial"/>
          <w:color w:val="000000"/>
          <w:sz w:val="20"/>
        </w:rPr>
        <w:t xml:space="preserve">family violence </w:t>
      </w:r>
      <w:r w:rsidR="00555421">
        <w:rPr>
          <w:rFonts w:ascii="Arial" w:hAnsi="Arial" w:cs="Arial"/>
          <w:color w:val="000000"/>
          <w:sz w:val="20"/>
        </w:rPr>
        <w:t xml:space="preserve">intervention </w:t>
      </w:r>
      <w:r w:rsidR="00555421" w:rsidRPr="00830AAE">
        <w:rPr>
          <w:rFonts w:ascii="Arial" w:hAnsi="Arial" w:cs="Arial"/>
          <w:color w:val="000000"/>
          <w:sz w:val="20"/>
        </w:rPr>
        <w:t>order</w:t>
      </w:r>
      <w:r w:rsidR="00555421">
        <w:rPr>
          <w:rFonts w:ascii="Arial" w:hAnsi="Arial" w:cs="Arial"/>
          <w:color w:val="000000"/>
          <w:sz w:val="20"/>
        </w:rPr>
        <w:t>.</w:t>
      </w:r>
      <w:r w:rsidR="008F3255">
        <w:rPr>
          <w:rFonts w:ascii="Arial" w:hAnsi="Arial" w:cs="Arial"/>
          <w:color w:val="000000"/>
          <w:sz w:val="20"/>
        </w:rPr>
        <w:t xml:space="preserve"> See </w:t>
      </w:r>
      <w:r w:rsidR="008F3255" w:rsidRPr="003B600E">
        <w:rPr>
          <w:rFonts w:ascii="Arial" w:hAnsi="Arial" w:cs="Arial"/>
          <w:b/>
          <w:bCs/>
          <w:sz w:val="20"/>
          <w:shd w:val="clear" w:color="auto" w:fill="C5E0B3"/>
        </w:rPr>
        <w:t>section</w:t>
      </w:r>
      <w:r w:rsidR="008F3255">
        <w:rPr>
          <w:rFonts w:ascii="Arial" w:hAnsi="Arial" w:cs="Arial"/>
          <w:b/>
          <w:bCs/>
          <w:sz w:val="20"/>
          <w:shd w:val="clear" w:color="auto" w:fill="C5E0B3"/>
        </w:rPr>
        <w:t>s</w:t>
      </w:r>
      <w:r w:rsidR="008F3255" w:rsidRPr="003B600E">
        <w:rPr>
          <w:rFonts w:ascii="Arial" w:hAnsi="Arial" w:cs="Arial"/>
          <w:b/>
          <w:bCs/>
          <w:sz w:val="20"/>
          <w:shd w:val="clear" w:color="auto" w:fill="C5E0B3"/>
        </w:rPr>
        <w:t xml:space="preserve"> </w:t>
      </w:r>
      <w:r w:rsidR="008F3255">
        <w:rPr>
          <w:rFonts w:ascii="Arial" w:hAnsi="Arial" w:cs="Arial"/>
          <w:b/>
          <w:bCs/>
          <w:sz w:val="20"/>
          <w:shd w:val="clear" w:color="auto" w:fill="C5E0B3"/>
        </w:rPr>
        <w:t>6FV.13.3 &amp; 6FV.13.4</w:t>
      </w:r>
      <w:r w:rsidR="008F3255">
        <w:rPr>
          <w:rFonts w:ascii="Arial" w:hAnsi="Arial" w:cs="Arial"/>
          <w:sz w:val="20"/>
        </w:rPr>
        <w:t>.</w:t>
      </w:r>
    </w:p>
    <w:bookmarkEnd w:id="372"/>
    <w:p w14:paraId="51F67438" w14:textId="207A0137" w:rsidR="006D17EA" w:rsidRDefault="006D17EA">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Although the C</w:t>
      </w:r>
      <w:r w:rsidR="001202C2">
        <w:rPr>
          <w:rFonts w:ascii="Arial" w:hAnsi="Arial" w:cs="Arial"/>
          <w:color w:val="000000"/>
          <w:sz w:val="20"/>
        </w:rPr>
        <w:t>h</w:t>
      </w:r>
      <w:r>
        <w:rPr>
          <w:rFonts w:ascii="Arial" w:hAnsi="Arial" w:cs="Arial"/>
          <w:color w:val="000000"/>
          <w:sz w:val="20"/>
        </w:rPr>
        <w:t xml:space="preserve">CV does have </w:t>
      </w:r>
      <w:r w:rsidR="006F4B48">
        <w:rPr>
          <w:rFonts w:ascii="Arial" w:hAnsi="Arial" w:cs="Arial"/>
          <w:color w:val="000000"/>
          <w:sz w:val="20"/>
        </w:rPr>
        <w:t xml:space="preserve">broad </w:t>
      </w:r>
      <w:r>
        <w:rPr>
          <w:rFonts w:ascii="Arial" w:hAnsi="Arial" w:cs="Arial"/>
          <w:color w:val="000000"/>
          <w:sz w:val="20"/>
        </w:rPr>
        <w:t>general jurisdiction under Part VII FLA, it does not yet exercise it</w:t>
      </w:r>
      <w:r w:rsidR="00D133AC">
        <w:rPr>
          <w:rFonts w:ascii="Arial" w:hAnsi="Arial" w:cs="Arial"/>
          <w:color w:val="000000"/>
          <w:sz w:val="20"/>
        </w:rPr>
        <w:t xml:space="preserve"> in any area other than s.68R</w:t>
      </w:r>
      <w:r>
        <w:rPr>
          <w:rFonts w:ascii="Arial" w:hAnsi="Arial" w:cs="Arial"/>
          <w:color w:val="000000"/>
          <w:sz w:val="20"/>
        </w:rPr>
        <w:t>.</w:t>
      </w:r>
    </w:p>
    <w:p w14:paraId="76D5585D" w14:textId="754C96D8" w:rsidR="006D17EA" w:rsidRDefault="002C3464">
      <w:pPr>
        <w:pStyle w:val="ListParagraph"/>
        <w:numPr>
          <w:ilvl w:val="0"/>
          <w:numId w:val="46"/>
        </w:numPr>
        <w:ind w:left="357" w:hanging="357"/>
        <w:jc w:val="both"/>
        <w:rPr>
          <w:rFonts w:ascii="Arial" w:hAnsi="Arial" w:cs="Arial"/>
          <w:color w:val="000000"/>
          <w:sz w:val="20"/>
        </w:rPr>
      </w:pPr>
      <w:r>
        <w:rPr>
          <w:rFonts w:ascii="Arial" w:hAnsi="Arial" w:cs="Arial"/>
          <w:color w:val="000000"/>
          <w:sz w:val="20"/>
        </w:rPr>
        <w:t xml:space="preserve">The MCV exercises jurisdiction to hear and determine </w:t>
      </w:r>
      <w:r w:rsidR="006D17EA">
        <w:rPr>
          <w:rFonts w:ascii="Arial" w:hAnsi="Arial" w:cs="Arial"/>
          <w:color w:val="000000"/>
          <w:sz w:val="20"/>
        </w:rPr>
        <w:t xml:space="preserve">certain </w:t>
      </w:r>
      <w:r w:rsidR="00D133AC">
        <w:rPr>
          <w:rFonts w:ascii="Arial" w:hAnsi="Arial" w:cs="Arial"/>
          <w:color w:val="000000"/>
          <w:sz w:val="20"/>
        </w:rPr>
        <w:t xml:space="preserve">Part VII </w:t>
      </w:r>
      <w:r>
        <w:rPr>
          <w:rFonts w:ascii="Arial" w:hAnsi="Arial" w:cs="Arial"/>
          <w:color w:val="000000"/>
          <w:sz w:val="20"/>
        </w:rPr>
        <w:t>applications</w:t>
      </w:r>
      <w:r w:rsidR="006D17EA">
        <w:rPr>
          <w:rFonts w:ascii="Arial" w:hAnsi="Arial" w:cs="Arial"/>
          <w:color w:val="000000"/>
          <w:sz w:val="20"/>
        </w:rPr>
        <w:t>, including</w:t>
      </w:r>
      <w:r w:rsidR="006F3C62">
        <w:rPr>
          <w:rFonts w:ascii="Arial" w:hAnsi="Arial" w:cs="Arial"/>
          <w:color w:val="000000"/>
          <w:sz w:val="20"/>
        </w:rPr>
        <w:t>–</w:t>
      </w:r>
    </w:p>
    <w:p w14:paraId="71ABE7AF" w14:textId="77777777" w:rsidR="006D17EA"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contested applications for interim FLA parenting orders;</w:t>
      </w:r>
    </w:p>
    <w:p w14:paraId="6AE4272C" w14:textId="77777777" w:rsidR="006F4B48" w:rsidRDefault="006F4B48">
      <w:pPr>
        <w:pStyle w:val="ListParagraph"/>
        <w:numPr>
          <w:ilvl w:val="0"/>
          <w:numId w:val="51"/>
        </w:numPr>
        <w:jc w:val="both"/>
        <w:rPr>
          <w:rFonts w:ascii="Arial" w:hAnsi="Arial" w:cs="Arial"/>
          <w:color w:val="000000"/>
          <w:sz w:val="20"/>
        </w:rPr>
      </w:pPr>
      <w:r>
        <w:rPr>
          <w:rFonts w:ascii="Arial" w:hAnsi="Arial" w:cs="Arial"/>
          <w:color w:val="000000"/>
          <w:sz w:val="20"/>
        </w:rPr>
        <w:t>consent or uncontested applications for final FLA parenting orders;</w:t>
      </w:r>
    </w:p>
    <w:p w14:paraId="4DBFB3E7" w14:textId="77777777" w:rsidR="006F4B48" w:rsidRDefault="003A00E5">
      <w:pPr>
        <w:pStyle w:val="ListParagraph"/>
        <w:numPr>
          <w:ilvl w:val="0"/>
          <w:numId w:val="51"/>
        </w:numPr>
        <w:jc w:val="both"/>
        <w:rPr>
          <w:rFonts w:ascii="Arial" w:hAnsi="Arial" w:cs="Arial"/>
          <w:color w:val="000000"/>
          <w:sz w:val="20"/>
        </w:rPr>
      </w:pPr>
      <w:r>
        <w:rPr>
          <w:rFonts w:ascii="Arial" w:hAnsi="Arial" w:cs="Arial"/>
          <w:color w:val="000000"/>
          <w:sz w:val="20"/>
        </w:rPr>
        <w:t xml:space="preserve">applications for </w:t>
      </w:r>
      <w:r w:rsidR="00D133AC">
        <w:rPr>
          <w:rFonts w:ascii="Arial" w:hAnsi="Arial" w:cs="Arial"/>
          <w:color w:val="000000"/>
          <w:sz w:val="20"/>
        </w:rPr>
        <w:t xml:space="preserve">FLA </w:t>
      </w:r>
      <w:r w:rsidR="006F4B48">
        <w:rPr>
          <w:rFonts w:ascii="Arial" w:hAnsi="Arial" w:cs="Arial"/>
          <w:color w:val="000000"/>
          <w:sz w:val="20"/>
        </w:rPr>
        <w:t>recovery orders.</w:t>
      </w:r>
    </w:p>
    <w:p w14:paraId="4E657491" w14:textId="77777777" w:rsidR="006D17EA" w:rsidRDefault="006D17EA" w:rsidP="006F4B48">
      <w:pPr>
        <w:pStyle w:val="ListParagraph"/>
        <w:ind w:left="0"/>
        <w:jc w:val="both"/>
        <w:rPr>
          <w:rFonts w:ascii="Arial" w:hAnsi="Arial" w:cs="Arial"/>
          <w:color w:val="000000"/>
          <w:sz w:val="20"/>
        </w:rPr>
      </w:pPr>
    </w:p>
    <w:p w14:paraId="2535BBBD" w14:textId="0748D471" w:rsidR="00021C71" w:rsidRPr="00E122F1" w:rsidRDefault="007F5F1E" w:rsidP="00E122F1">
      <w:pPr>
        <w:jc w:val="both"/>
        <w:rPr>
          <w:rFonts w:ascii="Arial" w:hAnsi="Arial" w:cs="Arial"/>
          <w:color w:val="000000"/>
          <w:sz w:val="20"/>
        </w:rPr>
      </w:pPr>
      <w:r>
        <w:rPr>
          <w:rFonts w:ascii="Arial" w:hAnsi="Arial" w:cs="Arial"/>
          <w:color w:val="000000"/>
          <w:sz w:val="20"/>
        </w:rPr>
        <w:t xml:space="preserve">However, </w:t>
      </w:r>
      <w:r w:rsidR="00314B0B">
        <w:rPr>
          <w:rFonts w:ascii="Arial" w:hAnsi="Arial" w:cs="Arial"/>
          <w:color w:val="000000"/>
          <w:sz w:val="20"/>
        </w:rPr>
        <w:t xml:space="preserve">because </w:t>
      </w:r>
      <w:bookmarkStart w:id="374" w:name="_Hlk97801382"/>
      <w:r w:rsidR="00314B0B">
        <w:rPr>
          <w:rFonts w:ascii="Arial" w:hAnsi="Arial" w:cs="Arial"/>
          <w:color w:val="000000"/>
          <w:sz w:val="20"/>
        </w:rPr>
        <w:t>the issue of whether the C</w:t>
      </w:r>
      <w:r w:rsidR="001202C2">
        <w:rPr>
          <w:rFonts w:ascii="Arial" w:hAnsi="Arial" w:cs="Arial"/>
          <w:color w:val="000000"/>
          <w:sz w:val="20"/>
        </w:rPr>
        <w:t>h</w:t>
      </w:r>
      <w:r w:rsidR="00314B0B">
        <w:rPr>
          <w:rFonts w:ascii="Arial" w:hAnsi="Arial" w:cs="Arial"/>
          <w:color w:val="000000"/>
          <w:sz w:val="20"/>
        </w:rPr>
        <w:t xml:space="preserve">CV is a ‘court of summary jurisdiction’ </w:t>
      </w:r>
      <w:r w:rsidR="00140FA4">
        <w:rPr>
          <w:rFonts w:ascii="Arial" w:hAnsi="Arial" w:cs="Arial"/>
          <w:color w:val="000000"/>
          <w:sz w:val="20"/>
        </w:rPr>
        <w:t xml:space="preserve">is still </w:t>
      </w:r>
      <w:r w:rsidR="00314B0B">
        <w:rPr>
          <w:rFonts w:ascii="Arial" w:hAnsi="Arial" w:cs="Arial"/>
          <w:color w:val="000000"/>
          <w:sz w:val="20"/>
        </w:rPr>
        <w:t xml:space="preserve">not </w:t>
      </w:r>
      <w:r w:rsidR="00000D28">
        <w:rPr>
          <w:rFonts w:ascii="Arial" w:hAnsi="Arial" w:cs="Arial"/>
          <w:color w:val="000000"/>
          <w:sz w:val="20"/>
        </w:rPr>
        <w:t>entire</w:t>
      </w:r>
      <w:r w:rsidR="00314B0B">
        <w:rPr>
          <w:rFonts w:ascii="Arial" w:hAnsi="Arial" w:cs="Arial"/>
          <w:color w:val="000000"/>
          <w:sz w:val="20"/>
        </w:rPr>
        <w:t xml:space="preserve">ly </w:t>
      </w:r>
      <w:r w:rsidR="00B140AA">
        <w:rPr>
          <w:rFonts w:ascii="Arial" w:hAnsi="Arial" w:cs="Arial"/>
          <w:color w:val="000000"/>
          <w:sz w:val="20"/>
        </w:rPr>
        <w:t>free of doubt</w:t>
      </w:r>
      <w:bookmarkEnd w:id="374"/>
      <w:r w:rsidR="00314B0B">
        <w:rPr>
          <w:rFonts w:ascii="Arial" w:hAnsi="Arial" w:cs="Arial"/>
          <w:color w:val="000000"/>
          <w:sz w:val="20"/>
        </w:rPr>
        <w:t xml:space="preserve">, </w:t>
      </w:r>
      <w:bookmarkEnd w:id="373"/>
      <w:r w:rsidR="00314B0B">
        <w:rPr>
          <w:rFonts w:ascii="Arial" w:hAnsi="Arial" w:cs="Arial"/>
          <w:color w:val="000000"/>
          <w:sz w:val="20"/>
        </w:rPr>
        <w:t>the writer believes that it would be prudent</w:t>
      </w:r>
      <w:r w:rsidR="00E122F1">
        <w:rPr>
          <w:rFonts w:ascii="Arial" w:hAnsi="Arial" w:cs="Arial"/>
          <w:color w:val="000000"/>
          <w:sz w:val="20"/>
        </w:rPr>
        <w:t xml:space="preserve"> </w:t>
      </w:r>
      <w:r w:rsidR="00314B0B">
        <w:rPr>
          <w:rFonts w:ascii="Arial" w:hAnsi="Arial" w:cs="Arial"/>
          <w:color w:val="000000"/>
          <w:sz w:val="20"/>
        </w:rPr>
        <w:t>for the C</w:t>
      </w:r>
      <w:r w:rsidR="001202C2">
        <w:rPr>
          <w:rFonts w:ascii="Arial" w:hAnsi="Arial" w:cs="Arial"/>
          <w:color w:val="000000"/>
          <w:sz w:val="20"/>
        </w:rPr>
        <w:t>h</w:t>
      </w:r>
      <w:r w:rsidR="00314B0B">
        <w:rPr>
          <w:rFonts w:ascii="Arial" w:hAnsi="Arial" w:cs="Arial"/>
          <w:color w:val="000000"/>
          <w:sz w:val="20"/>
        </w:rPr>
        <w:t xml:space="preserve">CV to be </w:t>
      </w:r>
      <w:r w:rsidR="00314B0B">
        <w:rPr>
          <w:rFonts w:ascii="Arial" w:hAnsi="Arial" w:cs="Arial"/>
          <w:sz w:val="20"/>
        </w:rPr>
        <w:t xml:space="preserve">prescribed by Commonwealth regulations </w:t>
      </w:r>
      <w:r w:rsidR="002005EA">
        <w:rPr>
          <w:rFonts w:ascii="Arial" w:hAnsi="Arial" w:cs="Arial"/>
          <w:sz w:val="20"/>
        </w:rPr>
        <w:t xml:space="preserve">made under s.69GA </w:t>
      </w:r>
      <w:r w:rsidR="00314B0B">
        <w:rPr>
          <w:rFonts w:ascii="Arial" w:hAnsi="Arial" w:cs="Arial"/>
          <w:sz w:val="20"/>
        </w:rPr>
        <w:t>as a state court empowered to hear proceedings (or specified classes of proceedings) under the FLA</w:t>
      </w:r>
      <w:r w:rsidR="00E122F1">
        <w:rPr>
          <w:rFonts w:ascii="Arial" w:hAnsi="Arial" w:cs="Arial"/>
          <w:sz w:val="20"/>
        </w:rPr>
        <w:t xml:space="preserve">.  If that is done, </w:t>
      </w:r>
      <w:r w:rsidR="00021C71" w:rsidRPr="00E122F1">
        <w:rPr>
          <w:rFonts w:ascii="Arial" w:hAnsi="Arial" w:cs="Arial"/>
          <w:color w:val="000000"/>
          <w:sz w:val="20"/>
        </w:rPr>
        <w:t xml:space="preserve">s.69GA(3) </w:t>
      </w:r>
      <w:r w:rsidR="00E122F1">
        <w:rPr>
          <w:rFonts w:ascii="Arial" w:hAnsi="Arial" w:cs="Arial"/>
          <w:color w:val="000000"/>
          <w:sz w:val="20"/>
        </w:rPr>
        <w:t xml:space="preserve">FLA </w:t>
      </w:r>
      <w:r w:rsidR="00021C71" w:rsidRPr="00E122F1">
        <w:rPr>
          <w:rFonts w:ascii="Arial" w:hAnsi="Arial" w:cs="Arial"/>
          <w:color w:val="000000"/>
          <w:sz w:val="20"/>
        </w:rPr>
        <w:t>will enable C</w:t>
      </w:r>
      <w:r w:rsidR="001202C2">
        <w:rPr>
          <w:rFonts w:ascii="Arial" w:hAnsi="Arial" w:cs="Arial"/>
          <w:color w:val="000000"/>
          <w:sz w:val="20"/>
        </w:rPr>
        <w:t>h</w:t>
      </w:r>
      <w:r w:rsidR="00021C71" w:rsidRPr="00E122F1">
        <w:rPr>
          <w:rFonts w:ascii="Arial" w:hAnsi="Arial" w:cs="Arial"/>
          <w:color w:val="000000"/>
          <w:sz w:val="20"/>
        </w:rPr>
        <w:t xml:space="preserve">CV rules made under s.588(1)(ba) CYFA to be prescribed under the FLA as the relevant rules for the exercise of Part VII </w:t>
      </w:r>
      <w:r w:rsidR="00D43DF0">
        <w:rPr>
          <w:rFonts w:ascii="Arial" w:hAnsi="Arial" w:cs="Arial"/>
          <w:color w:val="000000"/>
          <w:sz w:val="20"/>
        </w:rPr>
        <w:t xml:space="preserve">FLA </w:t>
      </w:r>
      <w:r w:rsidR="00021C71" w:rsidRPr="00E122F1">
        <w:rPr>
          <w:rFonts w:ascii="Arial" w:hAnsi="Arial" w:cs="Arial"/>
          <w:color w:val="000000"/>
          <w:sz w:val="20"/>
        </w:rPr>
        <w:t>jurisdiction in the C</w:t>
      </w:r>
      <w:r w:rsidR="001202C2">
        <w:rPr>
          <w:rFonts w:ascii="Arial" w:hAnsi="Arial" w:cs="Arial"/>
          <w:color w:val="000000"/>
          <w:sz w:val="20"/>
        </w:rPr>
        <w:t>h</w:t>
      </w:r>
      <w:r w:rsidR="00021C71" w:rsidRPr="00E122F1">
        <w:rPr>
          <w:rFonts w:ascii="Arial" w:hAnsi="Arial" w:cs="Arial"/>
          <w:color w:val="000000"/>
          <w:sz w:val="20"/>
        </w:rPr>
        <w:t>CV</w:t>
      </w:r>
      <w:r w:rsidR="00E122F1">
        <w:rPr>
          <w:rFonts w:ascii="Arial" w:hAnsi="Arial" w:cs="Arial"/>
          <w:color w:val="000000"/>
          <w:sz w:val="20"/>
        </w:rPr>
        <w:t>: s</w:t>
      </w:r>
      <w:r w:rsidR="00021C71" w:rsidRPr="00E122F1">
        <w:rPr>
          <w:rFonts w:ascii="Arial" w:hAnsi="Arial" w:cs="Arial"/>
          <w:color w:val="000000"/>
          <w:sz w:val="20"/>
        </w:rPr>
        <w:t>ee</w:t>
      </w:r>
      <w:r w:rsidR="00D43DF0">
        <w:rPr>
          <w:rFonts w:ascii="Arial" w:hAnsi="Arial" w:cs="Arial"/>
          <w:color w:val="000000"/>
          <w:sz w:val="20"/>
        </w:rPr>
        <w:t xml:space="preserve"> </w:t>
      </w:r>
      <w:r w:rsidR="00021C71" w:rsidRPr="00E122F1">
        <w:rPr>
          <w:rFonts w:ascii="Arial" w:hAnsi="Arial" w:cs="Arial"/>
          <w:sz w:val="20"/>
        </w:rPr>
        <w:t>paragraphs [45]</w:t>
      </w:r>
      <w:r w:rsidR="00D43DF0">
        <w:rPr>
          <w:rFonts w:ascii="Arial" w:hAnsi="Arial" w:cs="Arial"/>
          <w:sz w:val="20"/>
        </w:rPr>
        <w:noBreakHyphen/>
        <w:t>[</w:t>
      </w:r>
      <w:r w:rsidR="00021C71" w:rsidRPr="00E122F1">
        <w:rPr>
          <w:rFonts w:ascii="Arial" w:hAnsi="Arial" w:cs="Arial"/>
          <w:sz w:val="20"/>
        </w:rPr>
        <w:t>46] of the Explanatory Memorandum to the 2018 amending C</w:t>
      </w:r>
      <w:r w:rsidR="00D43DF0">
        <w:rPr>
          <w:rFonts w:ascii="Arial" w:hAnsi="Arial" w:cs="Arial"/>
          <w:sz w:val="20"/>
        </w:rPr>
        <w:t>ommonweal</w:t>
      </w:r>
      <w:r w:rsidR="00021C71" w:rsidRPr="00E122F1">
        <w:rPr>
          <w:rFonts w:ascii="Arial" w:hAnsi="Arial" w:cs="Arial"/>
          <w:sz w:val="20"/>
        </w:rPr>
        <w:t>th Act.</w:t>
      </w:r>
    </w:p>
    <w:p w14:paraId="19700C11" w14:textId="77777777" w:rsidR="00021C71" w:rsidRPr="00EE3617" w:rsidRDefault="00021C71" w:rsidP="00021C71">
      <w:pPr>
        <w:rPr>
          <w:rFonts w:ascii="Arial" w:hAnsi="Arial" w:cs="Arial"/>
          <w:color w:val="000000"/>
          <w:sz w:val="20"/>
        </w:rPr>
      </w:pPr>
    </w:p>
    <w:p w14:paraId="7A8BA9CF" w14:textId="7239F76B" w:rsidR="00314B0B" w:rsidRPr="008721AA" w:rsidRDefault="00E122F1" w:rsidP="007F5F1E">
      <w:pPr>
        <w:jc w:val="both"/>
        <w:rPr>
          <w:rFonts w:ascii="Arial" w:hAnsi="Arial" w:cs="Arial"/>
          <w:b/>
          <w:bCs/>
          <w:color w:val="000000"/>
          <w:sz w:val="20"/>
        </w:rPr>
      </w:pPr>
      <w:r w:rsidRPr="008721AA">
        <w:rPr>
          <w:rFonts w:ascii="Arial" w:hAnsi="Arial" w:cs="Arial"/>
          <w:b/>
          <w:bCs/>
          <w:color w:val="000000"/>
          <w:sz w:val="20"/>
        </w:rPr>
        <w:t xml:space="preserve">In conclusion, for the moment the </w:t>
      </w:r>
      <w:r w:rsidR="00A9017D" w:rsidRPr="008721AA">
        <w:rPr>
          <w:rFonts w:ascii="Arial" w:hAnsi="Arial" w:cs="Arial"/>
          <w:b/>
          <w:bCs/>
          <w:color w:val="000000"/>
          <w:sz w:val="20"/>
        </w:rPr>
        <w:t xml:space="preserve">only </w:t>
      </w:r>
      <w:r w:rsidRPr="008721AA">
        <w:rPr>
          <w:rFonts w:ascii="Arial" w:hAnsi="Arial" w:cs="Arial"/>
          <w:b/>
          <w:bCs/>
          <w:color w:val="000000"/>
          <w:sz w:val="20"/>
        </w:rPr>
        <w:t>jurisdiction which the C</w:t>
      </w:r>
      <w:r w:rsidR="001202C2" w:rsidRPr="008721AA">
        <w:rPr>
          <w:rFonts w:ascii="Arial" w:hAnsi="Arial" w:cs="Arial"/>
          <w:b/>
          <w:bCs/>
          <w:color w:val="000000"/>
          <w:sz w:val="20"/>
        </w:rPr>
        <w:t>h</w:t>
      </w:r>
      <w:r w:rsidRPr="008721AA">
        <w:rPr>
          <w:rFonts w:ascii="Arial" w:hAnsi="Arial" w:cs="Arial"/>
          <w:b/>
          <w:bCs/>
          <w:color w:val="000000"/>
          <w:sz w:val="20"/>
        </w:rPr>
        <w:t xml:space="preserve">CV </w:t>
      </w:r>
      <w:r w:rsidR="004D6CCE" w:rsidRPr="008721AA">
        <w:rPr>
          <w:rFonts w:ascii="Arial" w:hAnsi="Arial" w:cs="Arial"/>
          <w:b/>
          <w:bCs/>
          <w:color w:val="000000"/>
          <w:sz w:val="20"/>
        </w:rPr>
        <w:t xml:space="preserve">is </w:t>
      </w:r>
      <w:r w:rsidRPr="008721AA">
        <w:rPr>
          <w:rFonts w:ascii="Arial" w:hAnsi="Arial" w:cs="Arial"/>
          <w:b/>
          <w:bCs/>
          <w:color w:val="000000"/>
          <w:sz w:val="20"/>
        </w:rPr>
        <w:t>exercis</w:t>
      </w:r>
      <w:r w:rsidR="004D6CCE" w:rsidRPr="008721AA">
        <w:rPr>
          <w:rFonts w:ascii="Arial" w:hAnsi="Arial" w:cs="Arial"/>
          <w:b/>
          <w:bCs/>
          <w:color w:val="000000"/>
          <w:sz w:val="20"/>
        </w:rPr>
        <w:t>ing</w:t>
      </w:r>
      <w:r w:rsidRPr="008721AA">
        <w:rPr>
          <w:rFonts w:ascii="Arial" w:hAnsi="Arial" w:cs="Arial"/>
          <w:b/>
          <w:bCs/>
          <w:color w:val="000000"/>
          <w:sz w:val="20"/>
        </w:rPr>
        <w:t xml:space="preserve"> in practice under the FLA is that under s.68R, namely in certain circumstances to revive, vary, discharge or suspend an FLA </w:t>
      </w:r>
      <w:r w:rsidR="008721AA" w:rsidRPr="008721AA">
        <w:rPr>
          <w:rFonts w:ascii="Arial" w:hAnsi="Arial" w:cs="Arial"/>
          <w:b/>
          <w:bCs/>
          <w:color w:val="000000"/>
          <w:sz w:val="20"/>
        </w:rPr>
        <w:t>‘</w:t>
      </w:r>
      <w:r w:rsidR="00430345" w:rsidRPr="008721AA">
        <w:rPr>
          <w:rFonts w:ascii="Arial" w:hAnsi="Arial" w:cs="Arial"/>
          <w:b/>
          <w:bCs/>
          <w:color w:val="000000"/>
          <w:sz w:val="20"/>
        </w:rPr>
        <w:t>spend time with</w:t>
      </w:r>
      <w:r w:rsidR="008721AA" w:rsidRPr="008721AA">
        <w:rPr>
          <w:rFonts w:ascii="Arial" w:hAnsi="Arial" w:cs="Arial"/>
          <w:b/>
          <w:bCs/>
          <w:color w:val="000000"/>
          <w:sz w:val="20"/>
        </w:rPr>
        <w:t>’</w:t>
      </w:r>
      <w:r w:rsidRPr="008721AA">
        <w:rPr>
          <w:rFonts w:ascii="Arial" w:hAnsi="Arial" w:cs="Arial"/>
          <w:b/>
          <w:bCs/>
          <w:color w:val="000000"/>
          <w:sz w:val="20"/>
        </w:rPr>
        <w:t xml:space="preserve"> </w:t>
      </w:r>
      <w:r w:rsidR="008F3255">
        <w:rPr>
          <w:rFonts w:ascii="Arial" w:hAnsi="Arial" w:cs="Arial"/>
          <w:b/>
          <w:bCs/>
          <w:color w:val="000000"/>
          <w:sz w:val="20"/>
        </w:rPr>
        <w:t xml:space="preserve">or ‘live with’ </w:t>
      </w:r>
      <w:r w:rsidRPr="008721AA">
        <w:rPr>
          <w:rFonts w:ascii="Arial" w:hAnsi="Arial" w:cs="Arial"/>
          <w:b/>
          <w:bCs/>
          <w:color w:val="000000"/>
          <w:sz w:val="20"/>
        </w:rPr>
        <w:t xml:space="preserve">order </w:t>
      </w:r>
      <w:r w:rsidR="00140FA4" w:rsidRPr="008721AA">
        <w:rPr>
          <w:rFonts w:ascii="Arial" w:hAnsi="Arial" w:cs="Arial"/>
          <w:b/>
          <w:bCs/>
          <w:color w:val="000000"/>
          <w:sz w:val="20"/>
        </w:rPr>
        <w:t>in proceedings under the FVPA to make or vary a family violence intervention order.</w:t>
      </w:r>
    </w:p>
    <w:p w14:paraId="6EF77B0A" w14:textId="77777777" w:rsidR="001F1104" w:rsidRDefault="001F1104" w:rsidP="001F1104">
      <w:pPr>
        <w:jc w:val="both"/>
        <w:rPr>
          <w:rFonts w:ascii="Arial" w:hAnsi="Arial" w:cs="Arial"/>
          <w:sz w:val="20"/>
        </w:rPr>
      </w:pPr>
    </w:p>
    <w:p w14:paraId="27382B2A" w14:textId="12993393" w:rsidR="001F1104" w:rsidRDefault="001F1104" w:rsidP="001F1104">
      <w:pPr>
        <w:pStyle w:val="Heading3"/>
        <w:keepNext/>
        <w:keepLines/>
        <w:spacing w:line="240" w:lineRule="auto"/>
        <w:rPr>
          <w:rFonts w:ascii="Arial" w:hAnsi="Arial" w:cs="Arial"/>
          <w:b/>
          <w:bCs/>
          <w:sz w:val="20"/>
        </w:rPr>
      </w:pPr>
      <w:bookmarkStart w:id="375" w:name="_4.3.3_Jurisdiction_under"/>
      <w:bookmarkEnd w:id="375"/>
      <w:r>
        <w:rPr>
          <w:rFonts w:ascii="Arial" w:hAnsi="Arial" w:cs="Arial"/>
          <w:b/>
          <w:bCs/>
          <w:sz w:val="20"/>
        </w:rPr>
        <w:lastRenderedPageBreak/>
        <w:t>4.3.3</w:t>
      </w:r>
      <w:r>
        <w:rPr>
          <w:rFonts w:ascii="Arial" w:hAnsi="Arial" w:cs="Arial"/>
          <w:b/>
          <w:bCs/>
          <w:sz w:val="20"/>
        </w:rPr>
        <w:tab/>
        <w:t>Jurisdiction under the Terrorism (Community Protection) Act 2003</w:t>
      </w:r>
    </w:p>
    <w:p w14:paraId="30DCBFE7" w14:textId="1388D33D" w:rsidR="001F1104" w:rsidRDefault="001F1104" w:rsidP="001F1104">
      <w:pPr>
        <w:pStyle w:val="Heading3"/>
        <w:keepNext/>
        <w:keepLines/>
        <w:spacing w:line="240" w:lineRule="auto"/>
        <w:rPr>
          <w:rFonts w:ascii="Arial" w:hAnsi="Arial" w:cs="Arial"/>
          <w:sz w:val="20"/>
        </w:rPr>
      </w:pPr>
    </w:p>
    <w:p w14:paraId="031C80E3" w14:textId="08FDA232" w:rsidR="00BC2A2A" w:rsidRPr="003517E7" w:rsidRDefault="00BC2A2A" w:rsidP="003517E7">
      <w:pPr>
        <w:pStyle w:val="Heading3"/>
        <w:keepNext/>
        <w:keepLines/>
        <w:spacing w:line="240" w:lineRule="auto"/>
        <w:jc w:val="center"/>
        <w:rPr>
          <w:rFonts w:ascii="Arial" w:hAnsi="Arial" w:cs="Arial"/>
          <w:b/>
          <w:bCs/>
          <w:sz w:val="20"/>
        </w:rPr>
      </w:pPr>
      <w:r w:rsidRPr="003517E7">
        <w:rPr>
          <w:rFonts w:ascii="Arial" w:hAnsi="Arial" w:cs="Arial"/>
          <w:b/>
          <w:bCs/>
          <w:sz w:val="20"/>
        </w:rPr>
        <w:t xml:space="preserve">Unless otherwise indicated all references to legislative provisions in this </w:t>
      </w:r>
      <w:r w:rsidRPr="003B600E">
        <w:rPr>
          <w:rFonts w:ascii="Arial" w:hAnsi="Arial" w:cs="Arial"/>
          <w:b/>
          <w:bCs/>
          <w:sz w:val="20"/>
          <w:shd w:val="clear" w:color="auto" w:fill="C5E0B3"/>
        </w:rPr>
        <w:t>section</w:t>
      </w:r>
      <w:r w:rsidRPr="003517E7">
        <w:rPr>
          <w:rFonts w:ascii="Arial" w:hAnsi="Arial" w:cs="Arial"/>
          <w:b/>
          <w:bCs/>
          <w:sz w:val="20"/>
        </w:rPr>
        <w:t xml:space="preserve"> are to the </w:t>
      </w:r>
      <w:r w:rsidRPr="003517E7">
        <w:rPr>
          <w:rFonts w:ascii="Arial" w:hAnsi="Arial" w:cs="Arial"/>
          <w:b/>
          <w:bCs/>
          <w:i/>
          <w:iCs/>
          <w:sz w:val="20"/>
        </w:rPr>
        <w:t xml:space="preserve">Terrorism (Community Protection) Act 2003 </w:t>
      </w:r>
      <w:r w:rsidRPr="003517E7">
        <w:rPr>
          <w:rFonts w:ascii="Arial" w:hAnsi="Arial" w:cs="Arial"/>
          <w:b/>
          <w:bCs/>
          <w:sz w:val="20"/>
        </w:rPr>
        <w:t>(TCPA).</w:t>
      </w:r>
    </w:p>
    <w:p w14:paraId="678FBA93" w14:textId="77777777" w:rsidR="00BC2A2A" w:rsidRPr="00DA4E28" w:rsidRDefault="00BC2A2A" w:rsidP="001F1104">
      <w:pPr>
        <w:pStyle w:val="Heading3"/>
        <w:keepNext/>
        <w:keepLines/>
        <w:spacing w:line="240" w:lineRule="auto"/>
        <w:rPr>
          <w:rFonts w:ascii="Arial" w:hAnsi="Arial" w:cs="Arial"/>
          <w:sz w:val="20"/>
        </w:rPr>
      </w:pPr>
    </w:p>
    <w:p w14:paraId="39383BF7" w14:textId="31E22A9D" w:rsidR="006C1AE0" w:rsidRPr="00220B9E" w:rsidRDefault="006C1AE0"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BACKGROUND</w:t>
      </w:r>
    </w:p>
    <w:p w14:paraId="5CB3AA7B" w14:textId="77777777" w:rsidR="006C1AE0" w:rsidRDefault="006C1AE0" w:rsidP="00BC2A2A">
      <w:pPr>
        <w:jc w:val="both"/>
        <w:rPr>
          <w:rFonts w:ascii="Arial" w:hAnsi="Arial" w:cs="Arial"/>
          <w:sz w:val="20"/>
          <w:szCs w:val="20"/>
        </w:rPr>
      </w:pPr>
    </w:p>
    <w:p w14:paraId="7A6BD9FC" w14:textId="7EAD7BB0" w:rsidR="001F09E6" w:rsidRDefault="00C575C5" w:rsidP="00BC2A2A">
      <w:pPr>
        <w:jc w:val="both"/>
        <w:rPr>
          <w:rFonts w:ascii="Arial" w:hAnsi="Arial" w:cs="Arial"/>
          <w:sz w:val="20"/>
          <w:szCs w:val="20"/>
        </w:rPr>
      </w:pPr>
      <w:r>
        <w:rPr>
          <w:rFonts w:ascii="Arial" w:hAnsi="Arial" w:cs="Arial"/>
          <w:sz w:val="20"/>
          <w:szCs w:val="20"/>
        </w:rPr>
        <w:t xml:space="preserve">In 2017, </w:t>
      </w:r>
      <w:r w:rsidR="001F09E6" w:rsidRPr="001F09E6">
        <w:rPr>
          <w:rFonts w:ascii="Arial" w:hAnsi="Arial" w:cs="Arial"/>
          <w:sz w:val="20"/>
          <w:szCs w:val="20"/>
        </w:rPr>
        <w:t xml:space="preserve">the </w:t>
      </w:r>
      <w:r w:rsidR="00962D00">
        <w:rPr>
          <w:rFonts w:ascii="Arial" w:hAnsi="Arial" w:cs="Arial"/>
          <w:sz w:val="20"/>
          <w:szCs w:val="20"/>
        </w:rPr>
        <w:t xml:space="preserve">Victorian </w:t>
      </w:r>
      <w:r w:rsidR="001F09E6" w:rsidRPr="001F09E6">
        <w:rPr>
          <w:rFonts w:ascii="Arial" w:hAnsi="Arial" w:cs="Arial"/>
          <w:sz w:val="20"/>
          <w:szCs w:val="20"/>
        </w:rPr>
        <w:t xml:space="preserve">Government appointed </w:t>
      </w:r>
      <w:r w:rsidR="001F09E6">
        <w:rPr>
          <w:rFonts w:ascii="Arial" w:hAnsi="Arial" w:cs="Arial"/>
          <w:sz w:val="20"/>
          <w:szCs w:val="20"/>
        </w:rPr>
        <w:t>an</w:t>
      </w:r>
      <w:r w:rsidR="001F09E6" w:rsidRPr="001F09E6">
        <w:rPr>
          <w:rFonts w:ascii="Arial" w:hAnsi="Arial" w:cs="Arial"/>
          <w:sz w:val="20"/>
          <w:szCs w:val="20"/>
        </w:rPr>
        <w:t xml:space="preserve"> Expert Panel on Terrorism and Violent Extremism Prevention and Response Powers to review the operation and effectiveness of Victoria's laws to prevent, monitor, investigate and respond to acts of terrorism and violent extremism.</w:t>
      </w:r>
    </w:p>
    <w:p w14:paraId="26F3B797" w14:textId="77777777" w:rsidR="001F09E6" w:rsidRDefault="001F09E6" w:rsidP="001F09E6">
      <w:pPr>
        <w:jc w:val="both"/>
        <w:rPr>
          <w:rFonts w:ascii="Arial" w:hAnsi="Arial" w:cs="Arial"/>
          <w:sz w:val="20"/>
          <w:szCs w:val="20"/>
        </w:rPr>
      </w:pPr>
    </w:p>
    <w:p w14:paraId="7BC51BB4" w14:textId="3393EE6B" w:rsidR="001F09E6" w:rsidRPr="001F09E6" w:rsidRDefault="001F09E6" w:rsidP="001F09E6">
      <w:pPr>
        <w:jc w:val="both"/>
        <w:rPr>
          <w:rFonts w:ascii="Arial" w:hAnsi="Arial" w:cs="Arial"/>
          <w:sz w:val="16"/>
          <w:szCs w:val="16"/>
        </w:rPr>
      </w:pPr>
      <w:r>
        <w:rPr>
          <w:rFonts w:ascii="Arial" w:hAnsi="Arial" w:cs="Arial"/>
          <w:sz w:val="20"/>
          <w:szCs w:val="20"/>
        </w:rPr>
        <w:t xml:space="preserve">The </w:t>
      </w:r>
      <w:r w:rsidRPr="001F09E6">
        <w:rPr>
          <w:rFonts w:ascii="Arial" w:hAnsi="Arial" w:cs="Arial"/>
          <w:i/>
          <w:iCs/>
          <w:sz w:val="20"/>
          <w:szCs w:val="20"/>
        </w:rPr>
        <w:t>Terrorism (Community Protection) Amendment Act 2021</w:t>
      </w:r>
      <w:r>
        <w:rPr>
          <w:rFonts w:ascii="Arial" w:hAnsi="Arial" w:cs="Arial"/>
          <w:i/>
          <w:iCs/>
          <w:sz w:val="20"/>
          <w:szCs w:val="20"/>
        </w:rPr>
        <w:t xml:space="preserve"> – </w:t>
      </w:r>
      <w:r w:rsidRPr="001F09E6">
        <w:rPr>
          <w:rFonts w:ascii="Arial" w:hAnsi="Arial" w:cs="Arial"/>
          <w:sz w:val="20"/>
          <w:szCs w:val="20"/>
        </w:rPr>
        <w:t>which amends the</w:t>
      </w:r>
      <w:r>
        <w:rPr>
          <w:rFonts w:ascii="Arial" w:hAnsi="Arial" w:cs="Arial"/>
          <w:i/>
          <w:iCs/>
          <w:sz w:val="20"/>
          <w:szCs w:val="20"/>
        </w:rPr>
        <w:t xml:space="preserve"> </w:t>
      </w:r>
      <w:r w:rsidRPr="00C04979">
        <w:rPr>
          <w:rFonts w:ascii="Arial" w:hAnsi="Arial" w:cs="Arial"/>
          <w:i/>
          <w:iCs/>
          <w:sz w:val="20"/>
        </w:rPr>
        <w:t>Terrorism (Community Protection) Act 2003</w:t>
      </w:r>
      <w:r w:rsidR="00035BE4">
        <w:rPr>
          <w:rFonts w:ascii="Arial" w:hAnsi="Arial" w:cs="Arial"/>
          <w:i/>
          <w:iCs/>
          <w:sz w:val="20"/>
        </w:rPr>
        <w:t xml:space="preserve"> </w:t>
      </w:r>
      <w:r w:rsidRPr="001F09E6">
        <w:rPr>
          <w:rFonts w:ascii="Arial" w:hAnsi="Arial" w:cs="Arial"/>
          <w:sz w:val="20"/>
        </w:rPr>
        <w:t xml:space="preserve">– implements </w:t>
      </w:r>
      <w:r>
        <w:rPr>
          <w:rFonts w:ascii="Arial" w:hAnsi="Arial" w:cs="Arial"/>
          <w:sz w:val="20"/>
        </w:rPr>
        <w:t xml:space="preserve">four </w:t>
      </w:r>
      <w:r w:rsidRPr="001F09E6">
        <w:rPr>
          <w:rFonts w:ascii="Arial" w:hAnsi="Arial" w:cs="Arial"/>
          <w:sz w:val="20"/>
        </w:rPr>
        <w:t xml:space="preserve">recommendations </w:t>
      </w:r>
      <w:r>
        <w:rPr>
          <w:rFonts w:ascii="Arial" w:hAnsi="Arial" w:cs="Arial"/>
          <w:sz w:val="20"/>
        </w:rPr>
        <w:t xml:space="preserve">from the second report of the Expert Panel.  These </w:t>
      </w:r>
      <w:r w:rsidR="00966DCD">
        <w:rPr>
          <w:rFonts w:ascii="Arial" w:hAnsi="Arial" w:cs="Arial"/>
          <w:sz w:val="20"/>
        </w:rPr>
        <w:t>amendments</w:t>
      </w:r>
      <w:r>
        <w:rPr>
          <w:rFonts w:ascii="Arial" w:hAnsi="Arial" w:cs="Arial"/>
          <w:sz w:val="20"/>
        </w:rPr>
        <w:t xml:space="preserve"> </w:t>
      </w:r>
      <w:r w:rsidRPr="001F09E6">
        <w:rPr>
          <w:rFonts w:ascii="Arial" w:hAnsi="Arial" w:cs="Arial"/>
          <w:sz w:val="20"/>
          <w:szCs w:val="20"/>
        </w:rPr>
        <w:t xml:space="preserve">complement existing powers that government and law enforcement agencies can utilise when a person has radicalised to the point where a terrorist attack is being planned or is about to occur. The </w:t>
      </w:r>
      <w:r>
        <w:rPr>
          <w:rFonts w:ascii="Arial" w:hAnsi="Arial" w:cs="Arial"/>
          <w:sz w:val="20"/>
          <w:szCs w:val="20"/>
        </w:rPr>
        <w:t>amendments</w:t>
      </w:r>
      <w:r w:rsidRPr="001F09E6">
        <w:rPr>
          <w:rFonts w:ascii="Arial" w:hAnsi="Arial" w:cs="Arial"/>
          <w:sz w:val="20"/>
          <w:szCs w:val="20"/>
        </w:rPr>
        <w:t xml:space="preserve"> introduce early intervention pathways and a multi-agency approach to address violent extremism when it arises and also to divert people away from radicalisation before they present a threat to the community.</w:t>
      </w:r>
      <w:r w:rsidR="00DC6279">
        <w:rPr>
          <w:rFonts w:ascii="Arial" w:hAnsi="Arial" w:cs="Arial"/>
          <w:sz w:val="20"/>
          <w:szCs w:val="20"/>
        </w:rPr>
        <w:t xml:space="preserve">  Th</w:t>
      </w:r>
      <w:r w:rsidR="00DA0DB3">
        <w:rPr>
          <w:rFonts w:ascii="Arial" w:hAnsi="Arial" w:cs="Arial"/>
          <w:sz w:val="20"/>
          <w:szCs w:val="20"/>
        </w:rPr>
        <w:t>is is achieved by</w:t>
      </w:r>
      <w:r w:rsidR="00DC6279">
        <w:rPr>
          <w:rFonts w:ascii="Arial" w:hAnsi="Arial" w:cs="Arial"/>
          <w:sz w:val="20"/>
          <w:szCs w:val="20"/>
        </w:rPr>
        <w:t xml:space="preserve"> </w:t>
      </w:r>
      <w:r w:rsidR="00DA0DB3">
        <w:rPr>
          <w:rFonts w:ascii="Arial" w:hAnsi="Arial" w:cs="Arial"/>
          <w:sz w:val="20"/>
          <w:szCs w:val="20"/>
        </w:rPr>
        <w:t xml:space="preserve">the </w:t>
      </w:r>
      <w:r w:rsidR="00DC6279">
        <w:rPr>
          <w:rFonts w:ascii="Arial" w:hAnsi="Arial" w:cs="Arial"/>
          <w:sz w:val="20"/>
          <w:szCs w:val="20"/>
        </w:rPr>
        <w:t>insert</w:t>
      </w:r>
      <w:r w:rsidR="00DA0DB3">
        <w:rPr>
          <w:rFonts w:ascii="Arial" w:hAnsi="Arial" w:cs="Arial"/>
          <w:sz w:val="20"/>
          <w:szCs w:val="20"/>
        </w:rPr>
        <w:t>ion of</w:t>
      </w:r>
      <w:r w:rsidR="00DC6279">
        <w:rPr>
          <w:rFonts w:ascii="Arial" w:hAnsi="Arial" w:cs="Arial"/>
          <w:sz w:val="20"/>
          <w:szCs w:val="20"/>
        </w:rPr>
        <w:t xml:space="preserve"> new provisions </w:t>
      </w:r>
      <w:r w:rsidR="00DA0DB3">
        <w:rPr>
          <w:rFonts w:ascii="Arial" w:hAnsi="Arial" w:cs="Arial"/>
          <w:sz w:val="20"/>
          <w:szCs w:val="20"/>
        </w:rPr>
        <w:t xml:space="preserve">into the TCPA </w:t>
      </w:r>
      <w:r w:rsidR="00DC6279">
        <w:rPr>
          <w:rFonts w:ascii="Arial" w:hAnsi="Arial" w:cs="Arial"/>
          <w:sz w:val="20"/>
          <w:szCs w:val="20"/>
        </w:rPr>
        <w:t>which</w:t>
      </w:r>
      <w:r w:rsidR="00013698">
        <w:rPr>
          <w:rFonts w:cs="Arial"/>
          <w:bCs/>
          <w:color w:val="000000" w:themeColor="text1"/>
          <w:sz w:val="20"/>
          <w:szCs w:val="20"/>
        </w:rPr>
        <w:t>–</w:t>
      </w:r>
    </w:p>
    <w:p w14:paraId="10705FD1" w14:textId="77777777" w:rsidR="004D6E44" w:rsidRPr="004D6E44" w:rsidRDefault="004D6E44" w:rsidP="001F09E6">
      <w:pPr>
        <w:jc w:val="both"/>
        <w:rPr>
          <w:rFonts w:ascii="Arial" w:hAnsi="Arial" w:cs="Arial"/>
          <w:sz w:val="8"/>
          <w:szCs w:val="8"/>
        </w:rPr>
      </w:pPr>
    </w:p>
    <w:p w14:paraId="6B47CD76" w14:textId="2E62995B" w:rsidR="004D6E44" w:rsidRPr="00E96A35" w:rsidRDefault="004D6E44">
      <w:pPr>
        <w:pStyle w:val="ListParagraph"/>
        <w:numPr>
          <w:ilvl w:val="0"/>
          <w:numId w:val="60"/>
        </w:numPr>
        <w:ind w:left="357" w:hanging="357"/>
        <w:jc w:val="both"/>
        <w:rPr>
          <w:rFonts w:ascii="Arial" w:hAnsi="Arial" w:cs="Arial"/>
          <w:color w:val="000000"/>
          <w:sz w:val="20"/>
        </w:rPr>
      </w:pPr>
      <w:r w:rsidRPr="00AB38E3">
        <w:rPr>
          <w:rFonts w:ascii="Arial" w:hAnsi="Arial" w:cs="Arial"/>
          <w:color w:val="000000"/>
          <w:sz w:val="20"/>
        </w:rPr>
        <w:t xml:space="preserve">establish the </w:t>
      </w:r>
      <w:r w:rsidRPr="00AB38E3">
        <w:rPr>
          <w:rFonts w:ascii="Arial" w:hAnsi="Arial" w:cs="Arial"/>
          <w:b/>
          <w:sz w:val="20"/>
        </w:rPr>
        <w:t>Countering Violent Extremism Multi-Agency Panel (CVE MAP)</w:t>
      </w:r>
      <w:r w:rsidRPr="00AB38E3">
        <w:rPr>
          <w:rFonts w:ascii="Arial" w:hAnsi="Arial" w:cs="Arial"/>
          <w:bCs/>
          <w:sz w:val="20"/>
        </w:rPr>
        <w:t xml:space="preserve">, constituted by members appointed by the </w:t>
      </w:r>
      <w:r w:rsidRPr="00BC2A2A">
        <w:rPr>
          <w:rFonts w:ascii="Arial" w:hAnsi="Arial" w:cs="Arial"/>
          <w:bCs/>
          <w:sz w:val="20"/>
        </w:rPr>
        <w:t>Secretary</w:t>
      </w:r>
      <w:r>
        <w:rPr>
          <w:rFonts w:ascii="Arial" w:hAnsi="Arial" w:cs="Arial"/>
          <w:bCs/>
          <w:sz w:val="20"/>
        </w:rPr>
        <w:t xml:space="preserve"> </w:t>
      </w:r>
      <w:r w:rsidRPr="00BC2A2A">
        <w:rPr>
          <w:rFonts w:ascii="Arial" w:hAnsi="Arial" w:cs="Arial"/>
          <w:sz w:val="20"/>
        </w:rPr>
        <w:t>to the Department of Justice and Community Safety</w:t>
      </w:r>
      <w:r>
        <w:rPr>
          <w:rFonts w:ascii="Arial" w:hAnsi="Arial" w:cs="Arial"/>
          <w:sz w:val="20"/>
        </w:rPr>
        <w:t xml:space="preserve"> (the Secretary) [s.</w:t>
      </w:r>
      <w:r w:rsidRPr="00E96A35">
        <w:rPr>
          <w:rFonts w:ascii="Arial" w:hAnsi="Arial" w:cs="Arial"/>
          <w:b/>
          <w:bCs/>
          <w:sz w:val="20"/>
        </w:rPr>
        <w:t>22AR</w:t>
      </w:r>
      <w:r>
        <w:rPr>
          <w:rFonts w:ascii="Arial" w:hAnsi="Arial" w:cs="Arial"/>
          <w:sz w:val="20"/>
        </w:rPr>
        <w:t xml:space="preserve">], whose role includes the </w:t>
      </w:r>
      <w:r w:rsidRPr="00E96A35">
        <w:rPr>
          <w:rFonts w:ascii="Arial" w:hAnsi="Arial" w:cs="Arial"/>
          <w:b/>
          <w:bCs/>
          <w:sz w:val="20"/>
        </w:rPr>
        <w:t>provision of advice and proposed support and engagement plans (SEP)</w:t>
      </w:r>
      <w:r>
        <w:rPr>
          <w:rFonts w:ascii="Arial" w:hAnsi="Arial" w:cs="Arial"/>
          <w:sz w:val="20"/>
        </w:rPr>
        <w:t xml:space="preserve"> </w:t>
      </w:r>
      <w:r w:rsidR="0004634A">
        <w:rPr>
          <w:rFonts w:ascii="Arial" w:hAnsi="Arial" w:cs="Arial"/>
          <w:sz w:val="20"/>
        </w:rPr>
        <w:t>to</w:t>
      </w:r>
      <w:r>
        <w:rPr>
          <w:rFonts w:ascii="Arial" w:hAnsi="Arial" w:cs="Arial"/>
          <w:sz w:val="20"/>
        </w:rPr>
        <w:t xml:space="preserve"> the Secretary, as well as advice on a supported person’s compliance with a</w:t>
      </w:r>
      <w:r w:rsidR="002A0B1E">
        <w:rPr>
          <w:rFonts w:ascii="Arial" w:hAnsi="Arial" w:cs="Arial"/>
          <w:sz w:val="20"/>
        </w:rPr>
        <w:t>n</w:t>
      </w:r>
      <w:r>
        <w:rPr>
          <w:rFonts w:ascii="Arial" w:hAnsi="Arial" w:cs="Arial"/>
          <w:sz w:val="20"/>
        </w:rPr>
        <w:t xml:space="preserve"> SEP or a </w:t>
      </w:r>
      <w:r w:rsidRPr="000A26DC">
        <w:rPr>
          <w:rFonts w:ascii="Arial" w:hAnsi="Arial" w:cs="Arial"/>
          <w:b/>
          <w:bCs/>
          <w:sz w:val="20"/>
          <w:szCs w:val="18"/>
          <w:shd w:val="clear" w:color="auto" w:fill="FFFFFF"/>
        </w:rPr>
        <w:t>support and engagement order (SEO</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w:t>
      </w:r>
      <w:r w:rsidR="001423D9">
        <w:rPr>
          <w:rFonts w:ascii="Arial" w:hAnsi="Arial" w:cs="Arial"/>
          <w:sz w:val="20"/>
          <w:szCs w:val="18"/>
          <w:shd w:val="clear" w:color="auto" w:fill="FFFFFF"/>
        </w:rPr>
        <w:t xml:space="preserve">made by a court </w:t>
      </w:r>
      <w:r w:rsidR="009A0F0B">
        <w:rPr>
          <w:rFonts w:ascii="Arial" w:hAnsi="Arial" w:cs="Arial"/>
          <w:sz w:val="20"/>
        </w:rPr>
        <w:t>and</w:t>
      </w:r>
      <w:r>
        <w:rPr>
          <w:rFonts w:ascii="Arial" w:hAnsi="Arial" w:cs="Arial"/>
          <w:sz w:val="20"/>
        </w:rPr>
        <w:t xml:space="preserve"> any proposed variations [s.</w:t>
      </w:r>
      <w:r w:rsidRPr="004D6E44">
        <w:rPr>
          <w:rFonts w:ascii="Arial" w:hAnsi="Arial" w:cs="Arial"/>
          <w:b/>
          <w:bCs/>
          <w:sz w:val="20"/>
        </w:rPr>
        <w:t>22AS</w:t>
      </w:r>
      <w:r>
        <w:rPr>
          <w:rFonts w:ascii="Arial" w:hAnsi="Arial" w:cs="Arial"/>
          <w:sz w:val="20"/>
        </w:rPr>
        <w:t>];</w:t>
      </w:r>
    </w:p>
    <w:p w14:paraId="731A3FD8" w14:textId="77777777" w:rsidR="004D6E44" w:rsidRPr="004D6E44" w:rsidRDefault="004D6E44" w:rsidP="004D6E44">
      <w:pPr>
        <w:jc w:val="both"/>
        <w:rPr>
          <w:rFonts w:ascii="Arial" w:hAnsi="Arial" w:cs="Arial"/>
          <w:sz w:val="8"/>
          <w:szCs w:val="8"/>
        </w:rPr>
      </w:pPr>
    </w:p>
    <w:p w14:paraId="7469BB15" w14:textId="3FD22327" w:rsidR="004D6E44" w:rsidRPr="00BC2A2A" w:rsidRDefault="004D6E44">
      <w:pPr>
        <w:pStyle w:val="ListParagraph"/>
        <w:numPr>
          <w:ilvl w:val="0"/>
          <w:numId w:val="60"/>
        </w:numPr>
        <w:ind w:left="357" w:hanging="357"/>
        <w:jc w:val="both"/>
        <w:rPr>
          <w:rFonts w:ascii="Arial" w:hAnsi="Arial" w:cs="Arial"/>
          <w:color w:val="000000"/>
          <w:sz w:val="20"/>
        </w:rPr>
      </w:pPr>
      <w:r w:rsidRPr="00BC2A2A">
        <w:rPr>
          <w:rFonts w:ascii="Arial" w:hAnsi="Arial" w:cs="Arial"/>
          <w:color w:val="000000"/>
          <w:sz w:val="20"/>
        </w:rPr>
        <w:t>empower t</w:t>
      </w:r>
      <w:r w:rsidRPr="00BC2A2A">
        <w:rPr>
          <w:rFonts w:ascii="Arial" w:hAnsi="Arial" w:cs="Arial"/>
          <w:bCs/>
          <w:sz w:val="20"/>
        </w:rPr>
        <w:t>he Chief Commissioner of Police to refer a person to the Secretary</w:t>
      </w:r>
      <w:r>
        <w:rPr>
          <w:rFonts w:ascii="Arial" w:hAnsi="Arial" w:cs="Arial"/>
          <w:bCs/>
          <w:sz w:val="20"/>
        </w:rPr>
        <w:t xml:space="preserve"> </w:t>
      </w:r>
      <w:r w:rsidRPr="00BC2A2A">
        <w:rPr>
          <w:rFonts w:ascii="Arial" w:hAnsi="Arial" w:cs="Arial"/>
          <w:bCs/>
          <w:sz w:val="20"/>
        </w:rPr>
        <w:t xml:space="preserve">for </w:t>
      </w:r>
      <w:r w:rsidRPr="00E96A35">
        <w:rPr>
          <w:rFonts w:ascii="Arial" w:hAnsi="Arial" w:cs="Arial"/>
          <w:b/>
          <w:sz w:val="20"/>
        </w:rPr>
        <w:t>voluntary case management</w:t>
      </w:r>
      <w:r w:rsidRPr="00BC2A2A">
        <w:rPr>
          <w:rFonts w:ascii="Arial" w:hAnsi="Arial" w:cs="Arial"/>
          <w:bCs/>
          <w:sz w:val="20"/>
        </w:rPr>
        <w:t xml:space="preserve"> if there is a reason to believe that the</w:t>
      </w:r>
      <w:r w:rsidR="00DA0DB3">
        <w:rPr>
          <w:rFonts w:ascii="Arial" w:hAnsi="Arial" w:cs="Arial"/>
          <w:bCs/>
          <w:sz w:val="20"/>
        </w:rPr>
        <w:t xml:space="preserve"> person is</w:t>
      </w:r>
      <w:r w:rsidRPr="00BC2A2A">
        <w:rPr>
          <w:rFonts w:ascii="Arial" w:hAnsi="Arial" w:cs="Arial"/>
          <w:bCs/>
          <w:sz w:val="20"/>
        </w:rPr>
        <w:t xml:space="preserve"> at risk of radicalising towards violent extremism and that a voluntary case management plan may better mitigate that risk than law enforcement methods</w:t>
      </w:r>
      <w:r>
        <w:rPr>
          <w:rFonts w:ascii="Arial" w:hAnsi="Arial" w:cs="Arial"/>
          <w:bCs/>
          <w:sz w:val="20"/>
        </w:rPr>
        <w:t xml:space="preserve"> [</w:t>
      </w:r>
      <w:r w:rsidRPr="003517E7">
        <w:rPr>
          <w:rFonts w:ascii="Arial" w:hAnsi="Arial" w:cs="Arial"/>
          <w:bCs/>
          <w:sz w:val="20"/>
        </w:rPr>
        <w:t>s.</w:t>
      </w:r>
      <w:r w:rsidRPr="003517E7">
        <w:rPr>
          <w:rFonts w:ascii="Arial" w:hAnsi="Arial" w:cs="Arial"/>
          <w:b/>
          <w:sz w:val="20"/>
        </w:rPr>
        <w:t>22BH(2)</w:t>
      </w:r>
      <w:r>
        <w:rPr>
          <w:rFonts w:ascii="Arial" w:hAnsi="Arial" w:cs="Arial"/>
          <w:bCs/>
          <w:sz w:val="20"/>
        </w:rPr>
        <w:t>]</w:t>
      </w:r>
      <w:r w:rsidRPr="00BC2A2A">
        <w:rPr>
          <w:rFonts w:ascii="Arial" w:hAnsi="Arial" w:cs="Arial"/>
          <w:bCs/>
          <w:sz w:val="20"/>
        </w:rPr>
        <w:t>;</w:t>
      </w:r>
    </w:p>
    <w:p w14:paraId="73B18FEA" w14:textId="77777777" w:rsidR="004D6E44" w:rsidRPr="004D6E44" w:rsidRDefault="004D6E44" w:rsidP="004D6E44">
      <w:pPr>
        <w:jc w:val="both"/>
        <w:rPr>
          <w:rFonts w:ascii="Arial" w:hAnsi="Arial" w:cs="Arial"/>
          <w:sz w:val="8"/>
          <w:szCs w:val="8"/>
        </w:rPr>
      </w:pPr>
    </w:p>
    <w:p w14:paraId="173B04E0" w14:textId="38ADC6B7" w:rsidR="004D6E44" w:rsidRPr="00BC2A2A" w:rsidRDefault="004D6E44">
      <w:pPr>
        <w:pStyle w:val="ListParagraph"/>
        <w:numPr>
          <w:ilvl w:val="0"/>
          <w:numId w:val="60"/>
        </w:numPr>
        <w:ind w:left="357" w:hanging="357"/>
        <w:jc w:val="both"/>
        <w:rPr>
          <w:rFonts w:ascii="Arial" w:hAnsi="Arial" w:cs="Arial"/>
          <w:color w:val="000000"/>
          <w:sz w:val="20"/>
        </w:rPr>
      </w:pPr>
      <w:r w:rsidRPr="000A26DC">
        <w:rPr>
          <w:rFonts w:ascii="Arial" w:hAnsi="Arial" w:cs="Arial"/>
          <w:sz w:val="20"/>
          <w:szCs w:val="18"/>
          <w:shd w:val="clear" w:color="auto" w:fill="FFFFFF"/>
        </w:rPr>
        <w:t xml:space="preserve">provide for the making </w:t>
      </w:r>
      <w:r>
        <w:rPr>
          <w:rFonts w:ascii="Arial" w:hAnsi="Arial" w:cs="Arial"/>
          <w:sz w:val="20"/>
          <w:szCs w:val="18"/>
          <w:shd w:val="clear" w:color="auto" w:fill="FFFFFF"/>
        </w:rPr>
        <w:t xml:space="preserve">by a judicial officer </w:t>
      </w:r>
      <w:r w:rsidRPr="000A26DC">
        <w:rPr>
          <w:rFonts w:ascii="Arial" w:hAnsi="Arial" w:cs="Arial"/>
          <w:sz w:val="20"/>
          <w:szCs w:val="18"/>
          <w:shd w:val="clear" w:color="auto" w:fill="FFFFFF"/>
        </w:rPr>
        <w:t xml:space="preserve">of </w:t>
      </w:r>
      <w:r w:rsidRPr="000A26DC">
        <w:rPr>
          <w:rFonts w:ascii="Arial" w:hAnsi="Arial" w:cs="Arial"/>
          <w:b/>
          <w:bCs/>
          <w:sz w:val="20"/>
          <w:szCs w:val="18"/>
          <w:shd w:val="clear" w:color="auto" w:fill="FFFFFF"/>
        </w:rPr>
        <w:t>SEO</w:t>
      </w:r>
      <w:r w:rsidRPr="004D6E44">
        <w:rPr>
          <w:rFonts w:ascii="Arial" w:hAnsi="Arial" w:cs="Arial"/>
          <w:b/>
          <w:bCs/>
          <w:sz w:val="20"/>
          <w:szCs w:val="18"/>
          <w:shd w:val="clear" w:color="auto" w:fill="FFFFFF"/>
        </w:rPr>
        <w:t>s</w:t>
      </w:r>
      <w:r w:rsidRPr="000A26DC">
        <w:rPr>
          <w:rFonts w:ascii="Arial" w:hAnsi="Arial" w:cs="Arial"/>
          <w:sz w:val="20"/>
          <w:szCs w:val="18"/>
          <w:shd w:val="clear" w:color="auto" w:fill="FFFFFF"/>
        </w:rPr>
        <w:t xml:space="preserve"> to address the underlying cause</w:t>
      </w:r>
      <w:r w:rsidR="00966DCD">
        <w:rPr>
          <w:rFonts w:ascii="Arial" w:hAnsi="Arial" w:cs="Arial"/>
          <w:sz w:val="20"/>
          <w:szCs w:val="18"/>
          <w:shd w:val="clear" w:color="auto" w:fill="FFFFFF"/>
        </w:rPr>
        <w:t>s</w:t>
      </w:r>
      <w:r w:rsidRPr="000A26DC">
        <w:rPr>
          <w:rFonts w:ascii="Arial" w:hAnsi="Arial" w:cs="Arial"/>
          <w:sz w:val="20"/>
          <w:szCs w:val="18"/>
          <w:shd w:val="clear" w:color="auto" w:fill="FFFFFF"/>
        </w:rPr>
        <w:t xml:space="preserve"> of </w:t>
      </w:r>
      <w:r>
        <w:rPr>
          <w:rFonts w:ascii="Arial" w:hAnsi="Arial" w:cs="Arial"/>
          <w:sz w:val="20"/>
          <w:szCs w:val="18"/>
          <w:shd w:val="clear" w:color="auto" w:fill="FFFFFF"/>
        </w:rPr>
        <w:t>persons</w:t>
      </w:r>
      <w:r w:rsidRPr="000A26DC">
        <w:rPr>
          <w:rFonts w:ascii="Arial" w:hAnsi="Arial" w:cs="Arial"/>
          <w:sz w:val="20"/>
          <w:szCs w:val="18"/>
          <w:shd w:val="clear" w:color="auto" w:fill="FFFFFF"/>
        </w:rPr>
        <w:t xml:space="preserve"> radicalising towards violent extremism</w:t>
      </w:r>
      <w:r>
        <w:rPr>
          <w:rFonts w:ascii="Arial" w:hAnsi="Arial" w:cs="Arial"/>
          <w:sz w:val="20"/>
          <w:szCs w:val="18"/>
          <w:shd w:val="clear" w:color="auto" w:fill="FFFFFF"/>
        </w:rPr>
        <w:t xml:space="preserve"> [ss.</w:t>
      </w:r>
      <w:r w:rsidR="001F7EDE" w:rsidRPr="001F7EDE">
        <w:rPr>
          <w:rFonts w:ascii="Arial" w:hAnsi="Arial" w:cs="Arial"/>
          <w:b/>
          <w:bCs/>
          <w:sz w:val="20"/>
          <w:szCs w:val="18"/>
          <w:shd w:val="clear" w:color="auto" w:fill="FFFFFF"/>
        </w:rPr>
        <w:t>22CG to 22EG</w:t>
      </w:r>
      <w:r w:rsidR="001F7EDE">
        <w:rPr>
          <w:rFonts w:ascii="Arial" w:hAnsi="Arial" w:cs="Arial"/>
          <w:sz w:val="20"/>
          <w:szCs w:val="18"/>
          <w:shd w:val="clear" w:color="auto" w:fill="FFFFFF"/>
        </w:rPr>
        <w:t>]</w:t>
      </w:r>
      <w:r w:rsidRPr="000A26DC">
        <w:rPr>
          <w:rFonts w:ascii="Arial" w:hAnsi="Arial" w:cs="Arial"/>
          <w:sz w:val="20"/>
          <w:szCs w:val="18"/>
          <w:shd w:val="clear" w:color="auto" w:fill="FFFFFF"/>
        </w:rPr>
        <w:t>;</w:t>
      </w:r>
      <w:r>
        <w:rPr>
          <w:rFonts w:ascii="Arial" w:hAnsi="Arial" w:cs="Arial"/>
          <w:sz w:val="20"/>
          <w:szCs w:val="18"/>
          <w:shd w:val="clear" w:color="auto" w:fill="FFFFFF"/>
        </w:rPr>
        <w:t xml:space="preserve"> and</w:t>
      </w:r>
    </w:p>
    <w:p w14:paraId="56DA9E25" w14:textId="77777777" w:rsidR="004D6E44" w:rsidRPr="004D6E44" w:rsidRDefault="004D6E44" w:rsidP="004D6E44">
      <w:pPr>
        <w:jc w:val="both"/>
        <w:rPr>
          <w:rFonts w:ascii="Arial" w:hAnsi="Arial" w:cs="Arial"/>
          <w:sz w:val="8"/>
          <w:szCs w:val="8"/>
        </w:rPr>
      </w:pPr>
    </w:p>
    <w:p w14:paraId="50031FF1" w14:textId="6C7AFE71" w:rsidR="000A26DC" w:rsidRPr="00966DCD" w:rsidRDefault="000A26DC">
      <w:pPr>
        <w:pStyle w:val="ListParagraph"/>
        <w:numPr>
          <w:ilvl w:val="0"/>
          <w:numId w:val="60"/>
        </w:numPr>
        <w:ind w:left="357" w:hanging="357"/>
        <w:jc w:val="both"/>
        <w:rPr>
          <w:rFonts w:ascii="Arial" w:hAnsi="Arial" w:cs="Arial"/>
          <w:color w:val="000000"/>
          <w:sz w:val="20"/>
        </w:rPr>
      </w:pPr>
      <w:r w:rsidRPr="00966DCD">
        <w:rPr>
          <w:rFonts w:ascii="Arial" w:hAnsi="Arial" w:cs="Arial"/>
          <w:sz w:val="20"/>
          <w:szCs w:val="18"/>
          <w:shd w:val="clear" w:color="auto" w:fill="FFFFFF"/>
        </w:rPr>
        <w:t>expand the protection of the</w:t>
      </w:r>
      <w:r w:rsidR="00966DCD" w:rsidRPr="00966DCD">
        <w:rPr>
          <w:rFonts w:ascii="Arial" w:hAnsi="Arial" w:cs="Arial"/>
          <w:sz w:val="20"/>
          <w:szCs w:val="18"/>
          <w:shd w:val="clear" w:color="auto" w:fill="FFFFFF"/>
        </w:rPr>
        <w:t xml:space="preserve"> Supreme Court’s </w:t>
      </w:r>
      <w:r w:rsidRPr="00966DCD">
        <w:rPr>
          <w:rFonts w:ascii="Arial" w:hAnsi="Arial" w:cs="Arial"/>
          <w:b/>
          <w:bCs/>
          <w:sz w:val="20"/>
          <w:szCs w:val="18"/>
          <w:shd w:val="clear" w:color="auto" w:fill="FFFFFF"/>
        </w:rPr>
        <w:t>counter</w:t>
      </w:r>
      <w:r w:rsidR="00284BB9" w:rsidRPr="00966DCD">
        <w:rPr>
          <w:rFonts w:ascii="Arial" w:hAnsi="Arial" w:cs="Arial"/>
          <w:b/>
          <w:bCs/>
          <w:sz w:val="20"/>
          <w:szCs w:val="18"/>
          <w:shd w:val="clear" w:color="auto" w:fill="FFFFFF"/>
        </w:rPr>
        <w:t>-</w:t>
      </w:r>
      <w:r w:rsidRPr="00966DCD">
        <w:rPr>
          <w:rFonts w:ascii="Arial" w:hAnsi="Arial" w:cs="Arial"/>
          <w:b/>
          <w:bCs/>
          <w:sz w:val="20"/>
          <w:szCs w:val="18"/>
          <w:shd w:val="clear" w:color="auto" w:fill="FFFFFF"/>
        </w:rPr>
        <w:t xml:space="preserve">terrorism intelligence </w:t>
      </w:r>
      <w:r w:rsidR="00284BB9" w:rsidRPr="00966DCD">
        <w:rPr>
          <w:rFonts w:ascii="Arial" w:hAnsi="Arial" w:cs="Arial"/>
          <w:b/>
          <w:bCs/>
          <w:sz w:val="20"/>
          <w:szCs w:val="18"/>
          <w:shd w:val="clear" w:color="auto" w:fill="FFFFFF"/>
        </w:rPr>
        <w:t xml:space="preserve">protection order </w:t>
      </w:r>
      <w:r w:rsidRPr="00966DCD">
        <w:rPr>
          <w:rFonts w:ascii="Arial" w:hAnsi="Arial" w:cs="Arial"/>
          <w:b/>
          <w:bCs/>
          <w:sz w:val="20"/>
          <w:szCs w:val="18"/>
          <w:shd w:val="clear" w:color="auto" w:fill="FFFFFF"/>
        </w:rPr>
        <w:t>scheme</w:t>
      </w:r>
      <w:r w:rsidR="000D3252" w:rsidRPr="00966DCD">
        <w:rPr>
          <w:rFonts w:ascii="Arial" w:hAnsi="Arial" w:cs="Arial"/>
          <w:b/>
          <w:bCs/>
          <w:sz w:val="20"/>
          <w:szCs w:val="18"/>
          <w:shd w:val="clear" w:color="auto" w:fill="FFFFFF"/>
        </w:rPr>
        <w:t xml:space="preserve"> (CTI</w:t>
      </w:r>
      <w:r w:rsidR="00284BB9" w:rsidRPr="00966DCD">
        <w:rPr>
          <w:rFonts w:ascii="Arial" w:hAnsi="Arial" w:cs="Arial"/>
          <w:b/>
          <w:bCs/>
          <w:sz w:val="20"/>
          <w:szCs w:val="18"/>
          <w:shd w:val="clear" w:color="auto" w:fill="FFFFFF"/>
        </w:rPr>
        <w:t>P</w:t>
      </w:r>
      <w:r w:rsidR="000D3252" w:rsidRPr="00966DCD">
        <w:rPr>
          <w:rFonts w:ascii="Arial" w:hAnsi="Arial" w:cs="Arial"/>
          <w:b/>
          <w:bCs/>
          <w:sz w:val="20"/>
          <w:szCs w:val="18"/>
          <w:shd w:val="clear" w:color="auto" w:fill="FFFFFF"/>
        </w:rPr>
        <w:t>O)</w:t>
      </w:r>
      <w:r w:rsidR="00BC2A2A" w:rsidRPr="00966DCD">
        <w:rPr>
          <w:rFonts w:ascii="Arial" w:hAnsi="Arial" w:cs="Arial"/>
          <w:sz w:val="20"/>
          <w:szCs w:val="18"/>
          <w:shd w:val="clear" w:color="auto" w:fill="FFFFFF"/>
        </w:rPr>
        <w:t xml:space="preserve"> </w:t>
      </w:r>
      <w:r w:rsidR="008664F6" w:rsidRPr="00966DCD">
        <w:rPr>
          <w:rFonts w:ascii="Arial" w:hAnsi="Arial" w:cs="Arial"/>
          <w:sz w:val="20"/>
          <w:szCs w:val="18"/>
          <w:shd w:val="clear" w:color="auto" w:fill="FFFFFF"/>
        </w:rPr>
        <w:t>in</w:t>
      </w:r>
      <w:r w:rsidR="00966DCD">
        <w:rPr>
          <w:rFonts w:ascii="Arial" w:hAnsi="Arial" w:cs="Arial"/>
          <w:sz w:val="20"/>
          <w:szCs w:val="18"/>
          <w:shd w:val="clear" w:color="auto" w:fill="FFFFFF"/>
        </w:rPr>
        <w:t xml:space="preserve"> relation to SEO proceedings</w:t>
      </w:r>
      <w:r w:rsidR="008664F6" w:rsidRPr="00966DCD">
        <w:rPr>
          <w:rFonts w:ascii="Arial" w:hAnsi="Arial" w:cs="Arial"/>
          <w:sz w:val="20"/>
          <w:szCs w:val="18"/>
          <w:shd w:val="clear" w:color="auto" w:fill="FFFFFF"/>
        </w:rPr>
        <w:t xml:space="preserve"> </w:t>
      </w:r>
      <w:r w:rsidR="00BC2A2A" w:rsidRPr="00966DCD">
        <w:rPr>
          <w:rFonts w:ascii="Arial" w:hAnsi="Arial" w:cs="Arial"/>
          <w:sz w:val="20"/>
          <w:szCs w:val="18"/>
          <w:shd w:val="clear" w:color="auto" w:fill="FFFFFF"/>
        </w:rPr>
        <w:t>[ss</w:t>
      </w:r>
      <w:r w:rsidR="0004634A" w:rsidRPr="00966DCD">
        <w:rPr>
          <w:rFonts w:ascii="Arial" w:hAnsi="Arial" w:cs="Arial"/>
          <w:sz w:val="20"/>
          <w:szCs w:val="18"/>
          <w:shd w:val="clear" w:color="auto" w:fill="FFFFFF"/>
        </w:rPr>
        <w:t>.</w:t>
      </w:r>
      <w:r w:rsidR="0004634A" w:rsidRPr="00966DCD">
        <w:rPr>
          <w:rFonts w:ascii="Arial" w:hAnsi="Arial" w:cs="Arial"/>
          <w:b/>
          <w:bCs/>
          <w:sz w:val="20"/>
          <w:szCs w:val="18"/>
          <w:shd w:val="clear" w:color="auto" w:fill="FFFFFF"/>
        </w:rPr>
        <w:t>25, 27, 29 &amp; 31A</w:t>
      </w:r>
      <w:r w:rsidR="00BC2A2A" w:rsidRPr="00966DCD">
        <w:rPr>
          <w:rFonts w:ascii="Arial" w:hAnsi="Arial" w:cs="Arial"/>
          <w:sz w:val="20"/>
          <w:szCs w:val="18"/>
          <w:shd w:val="clear" w:color="auto" w:fill="FFFFFF"/>
        </w:rPr>
        <w:t>]</w:t>
      </w:r>
      <w:r w:rsidRPr="00966DCD">
        <w:rPr>
          <w:rFonts w:ascii="Arial" w:hAnsi="Arial" w:cs="Arial"/>
          <w:sz w:val="20"/>
          <w:szCs w:val="18"/>
          <w:shd w:val="clear" w:color="auto" w:fill="FFFFFF"/>
        </w:rPr>
        <w:t>.</w:t>
      </w:r>
    </w:p>
    <w:p w14:paraId="5C411F73" w14:textId="77777777" w:rsidR="00F52117" w:rsidRDefault="00F52117" w:rsidP="001F09E6">
      <w:pPr>
        <w:jc w:val="both"/>
        <w:rPr>
          <w:rFonts w:ascii="Arial" w:hAnsi="Arial" w:cs="Arial"/>
          <w:sz w:val="20"/>
          <w:szCs w:val="20"/>
        </w:rPr>
      </w:pPr>
    </w:p>
    <w:p w14:paraId="131A5C13" w14:textId="38CFB8B0" w:rsidR="002E62A4" w:rsidRDefault="002E62A4" w:rsidP="001F09E6">
      <w:pPr>
        <w:jc w:val="both"/>
        <w:rPr>
          <w:rFonts w:ascii="Arial" w:hAnsi="Arial" w:cs="Arial"/>
          <w:sz w:val="20"/>
          <w:szCs w:val="20"/>
        </w:rPr>
      </w:pPr>
      <w:r>
        <w:rPr>
          <w:rFonts w:ascii="Arial" w:hAnsi="Arial" w:cs="Arial"/>
          <w:sz w:val="20"/>
          <w:szCs w:val="20"/>
        </w:rPr>
        <w:t>The relevant jurisdiction of the Family Division of the Children’s Court commenced on 02/09/2022.</w:t>
      </w:r>
      <w:r w:rsidR="00712AE9">
        <w:rPr>
          <w:rFonts w:ascii="Arial" w:hAnsi="Arial" w:cs="Arial"/>
          <w:sz w:val="20"/>
          <w:szCs w:val="20"/>
        </w:rPr>
        <w:t xml:space="preserve">  </w:t>
      </w:r>
      <w:r w:rsidR="00DB637E">
        <w:rPr>
          <w:rFonts w:ascii="Arial" w:hAnsi="Arial" w:cs="Arial"/>
          <w:sz w:val="20"/>
          <w:szCs w:val="20"/>
        </w:rPr>
        <w:t xml:space="preserve">All relevant Forms are available for download from the Children’s Court website.  </w:t>
      </w:r>
      <w:r w:rsidR="00712AE9">
        <w:rPr>
          <w:rFonts w:ascii="Arial" w:hAnsi="Arial" w:cs="Arial"/>
          <w:sz w:val="20"/>
          <w:szCs w:val="20"/>
        </w:rPr>
        <w:t>To date, no orders have been made in this jurisdiction.</w:t>
      </w:r>
    </w:p>
    <w:p w14:paraId="0E41BD20" w14:textId="77777777" w:rsidR="00341C47" w:rsidRDefault="00341C47" w:rsidP="00341C47">
      <w:pPr>
        <w:jc w:val="both"/>
        <w:rPr>
          <w:rFonts w:ascii="Arial" w:hAnsi="Arial" w:cs="Arial"/>
          <w:sz w:val="20"/>
          <w:szCs w:val="20"/>
        </w:rPr>
      </w:pPr>
    </w:p>
    <w:p w14:paraId="43524383" w14:textId="77777777" w:rsidR="003C4FA5" w:rsidRDefault="003C4FA5" w:rsidP="00341C47">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MANDATORY C</w:t>
      </w:r>
      <w:r w:rsidR="00341C47">
        <w:rPr>
          <w:rFonts w:ascii="Arial" w:hAnsi="Arial" w:cs="Arial"/>
          <w:b/>
          <w:bCs/>
          <w:color w:val="FFFFFF" w:themeColor="background1"/>
          <w:sz w:val="20"/>
          <w:shd w:val="clear" w:color="auto" w:fill="000000" w:themeFill="text1"/>
        </w:rPr>
        <w:t xml:space="preserve">ONSIDERATIONS FOR </w:t>
      </w:r>
      <w:r w:rsidR="009D1700">
        <w:rPr>
          <w:rFonts w:ascii="Arial" w:hAnsi="Arial" w:cs="Arial"/>
          <w:b/>
          <w:bCs/>
          <w:color w:val="FFFFFF" w:themeColor="background1"/>
          <w:sz w:val="20"/>
          <w:shd w:val="clear" w:color="auto" w:fill="000000" w:themeFill="text1"/>
        </w:rPr>
        <w:t>COURT PROCEEDINGS</w:t>
      </w:r>
    </w:p>
    <w:p w14:paraId="0B012508" w14:textId="02B8208F" w:rsidR="00341C47" w:rsidRPr="00220B9E" w:rsidRDefault="003C4FA5" w:rsidP="00341C47">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 xml:space="preserve">IN RELATION TO </w:t>
      </w:r>
      <w:r w:rsidR="00341C47">
        <w:rPr>
          <w:rFonts w:ascii="Arial" w:hAnsi="Arial" w:cs="Arial"/>
          <w:b/>
          <w:bCs/>
          <w:color w:val="FFFFFF" w:themeColor="background1"/>
          <w:sz w:val="20"/>
          <w:shd w:val="clear" w:color="auto" w:fill="000000" w:themeFill="text1"/>
        </w:rPr>
        <w:t>SEOs INVOLVING CHILDREN</w:t>
      </w:r>
    </w:p>
    <w:p w14:paraId="45F6646B" w14:textId="77777777" w:rsidR="00341C47" w:rsidRDefault="00341C47" w:rsidP="00341C47">
      <w:pPr>
        <w:jc w:val="both"/>
        <w:rPr>
          <w:rFonts w:ascii="Arial" w:hAnsi="Arial" w:cs="Arial"/>
          <w:sz w:val="20"/>
          <w:szCs w:val="20"/>
        </w:rPr>
      </w:pPr>
    </w:p>
    <w:p w14:paraId="4ED7117D" w14:textId="02E93401" w:rsidR="00341C47" w:rsidRDefault="00966DCD" w:rsidP="00341C47">
      <w:pPr>
        <w:pStyle w:val="HeadingTwo"/>
        <w:spacing w:after="0"/>
        <w:jc w:val="both"/>
        <w:rPr>
          <w:rFonts w:cs="Arial"/>
          <w:bCs/>
          <w:color w:val="000000" w:themeColor="text1"/>
          <w:sz w:val="20"/>
          <w:szCs w:val="20"/>
        </w:rPr>
      </w:pPr>
      <w:r>
        <w:rPr>
          <w:rFonts w:cs="Arial"/>
          <w:bCs/>
          <w:color w:val="000000" w:themeColor="text1"/>
          <w:sz w:val="20"/>
          <w:szCs w:val="20"/>
        </w:rPr>
        <w:t>Under s.</w:t>
      </w:r>
      <w:r w:rsidR="00341C47" w:rsidRPr="00341C47">
        <w:rPr>
          <w:rFonts w:cs="Arial"/>
          <w:b/>
          <w:color w:val="000000" w:themeColor="text1"/>
          <w:sz w:val="20"/>
          <w:szCs w:val="20"/>
        </w:rPr>
        <w:t>22CH</w:t>
      </w:r>
      <w:r>
        <w:rPr>
          <w:rFonts w:cs="Arial"/>
          <w:bCs/>
          <w:color w:val="000000" w:themeColor="text1"/>
          <w:sz w:val="20"/>
          <w:szCs w:val="20"/>
        </w:rPr>
        <w:t xml:space="preserve"> </w:t>
      </w:r>
      <w:r w:rsidR="009D1700">
        <w:rPr>
          <w:rFonts w:cs="Arial"/>
          <w:bCs/>
          <w:color w:val="000000" w:themeColor="text1"/>
          <w:sz w:val="20"/>
          <w:szCs w:val="20"/>
        </w:rPr>
        <w:t xml:space="preserve">a Court </w:t>
      </w:r>
      <w:r>
        <w:rPr>
          <w:rFonts w:cs="Arial"/>
          <w:bCs/>
          <w:color w:val="000000" w:themeColor="text1"/>
          <w:sz w:val="20"/>
          <w:szCs w:val="20"/>
        </w:rPr>
        <w:t xml:space="preserve">which </w:t>
      </w:r>
      <w:r w:rsidR="009D1700">
        <w:rPr>
          <w:rFonts w:cs="Arial"/>
          <w:bCs/>
          <w:color w:val="000000" w:themeColor="text1"/>
          <w:sz w:val="20"/>
          <w:szCs w:val="20"/>
        </w:rPr>
        <w:t>is to hear and determine a matter in relation to an SEO in respect of a respondent or a supported person who is a child</w:t>
      </w:r>
      <w:r>
        <w:rPr>
          <w:rFonts w:cs="Arial"/>
          <w:bCs/>
          <w:color w:val="000000" w:themeColor="text1"/>
          <w:sz w:val="20"/>
          <w:szCs w:val="20"/>
        </w:rPr>
        <w:t xml:space="preserve"> </w:t>
      </w:r>
      <w:r w:rsidR="009D1700">
        <w:rPr>
          <w:rFonts w:cs="Arial"/>
          <w:bCs/>
          <w:color w:val="000000" w:themeColor="text1"/>
          <w:sz w:val="20"/>
          <w:szCs w:val="20"/>
        </w:rPr>
        <w:t>must have regard to</w:t>
      </w:r>
      <w:r w:rsidR="00013698">
        <w:rPr>
          <w:rFonts w:cs="Arial"/>
          <w:bCs/>
          <w:color w:val="000000" w:themeColor="text1"/>
          <w:sz w:val="20"/>
          <w:szCs w:val="20"/>
        </w:rPr>
        <w:t>–</w:t>
      </w:r>
    </w:p>
    <w:p w14:paraId="58E27C02" w14:textId="26063329"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strengthen, preserve and promote positive relationships between the child and the child's parent, family members and persons significant to the child; and</w:t>
      </w:r>
    </w:p>
    <w:p w14:paraId="56E56224" w14:textId="2A18AF7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social, individual and cultural identity and religious faith (if any); and</w:t>
      </w:r>
    </w:p>
    <w:p w14:paraId="10114E3E" w14:textId="5846321E"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child's age, maturity and stage of development; and</w:t>
      </w:r>
    </w:p>
    <w:p w14:paraId="17FD813E" w14:textId="5ED2D99C"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importance of allowing the education, training or employment of the child to continue without interruption or disturbance; and</w:t>
      </w:r>
    </w:p>
    <w:p w14:paraId="59F313B5" w14:textId="472E280B" w:rsidR="009D1700" w:rsidRP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vulnerability of the child, including whether they have a history of trauma, disability or physical or mental illness; and</w:t>
      </w:r>
    </w:p>
    <w:p w14:paraId="50C304B0" w14:textId="671178E9" w:rsidR="009D1700" w:rsidRDefault="009D1700">
      <w:pPr>
        <w:pStyle w:val="HeadingTwo"/>
        <w:numPr>
          <w:ilvl w:val="1"/>
          <w:numId w:val="61"/>
        </w:numPr>
        <w:spacing w:before="60" w:after="0"/>
        <w:ind w:left="357" w:hanging="357"/>
        <w:jc w:val="both"/>
        <w:rPr>
          <w:rFonts w:cs="Arial"/>
          <w:bCs/>
          <w:color w:val="auto"/>
          <w:sz w:val="20"/>
          <w:szCs w:val="20"/>
        </w:rPr>
      </w:pPr>
      <w:r w:rsidRPr="00341C47">
        <w:rPr>
          <w:color w:val="000000" w:themeColor="text1"/>
          <w:sz w:val="20"/>
          <w:szCs w:val="20"/>
        </w:rPr>
        <w:t>the need to minimise stigma to the child.</w:t>
      </w:r>
    </w:p>
    <w:p w14:paraId="10604F10" w14:textId="1B61175C" w:rsidR="00341C47" w:rsidRDefault="00341C47" w:rsidP="001F09E6">
      <w:pPr>
        <w:jc w:val="both"/>
        <w:rPr>
          <w:rFonts w:ascii="Arial" w:hAnsi="Arial" w:cs="Arial"/>
          <w:sz w:val="20"/>
          <w:szCs w:val="20"/>
        </w:rPr>
      </w:pPr>
    </w:p>
    <w:p w14:paraId="76C9E143" w14:textId="361FF6E9" w:rsidR="001F7EDE" w:rsidRDefault="001F7EDE" w:rsidP="001F09E6">
      <w:pPr>
        <w:jc w:val="both"/>
        <w:rPr>
          <w:rFonts w:ascii="Arial" w:hAnsi="Arial" w:cs="Arial"/>
          <w:sz w:val="20"/>
          <w:szCs w:val="20"/>
        </w:rPr>
      </w:pPr>
      <w:r>
        <w:rPr>
          <w:rFonts w:ascii="Arial" w:hAnsi="Arial" w:cs="Arial"/>
          <w:sz w:val="20"/>
          <w:szCs w:val="20"/>
        </w:rPr>
        <w:t xml:space="preserve">Section </w:t>
      </w:r>
      <w:r w:rsidRPr="001F7EDE">
        <w:rPr>
          <w:rFonts w:ascii="Arial" w:hAnsi="Arial" w:cs="Arial"/>
          <w:b/>
          <w:bCs/>
          <w:sz w:val="20"/>
          <w:szCs w:val="20"/>
        </w:rPr>
        <w:t>22EG</w:t>
      </w:r>
      <w:r>
        <w:rPr>
          <w:rFonts w:ascii="Arial" w:hAnsi="Arial" w:cs="Arial"/>
          <w:sz w:val="20"/>
          <w:szCs w:val="20"/>
        </w:rPr>
        <w:t xml:space="preserve"> requires the respondent or supported person </w:t>
      </w:r>
      <w:r w:rsidR="004743DB">
        <w:rPr>
          <w:rFonts w:ascii="Arial" w:hAnsi="Arial" w:cs="Arial"/>
          <w:sz w:val="20"/>
          <w:szCs w:val="20"/>
        </w:rPr>
        <w:t xml:space="preserve">to </w:t>
      </w:r>
      <w:r>
        <w:rPr>
          <w:rFonts w:ascii="Arial" w:hAnsi="Arial" w:cs="Arial"/>
          <w:sz w:val="20"/>
          <w:szCs w:val="20"/>
        </w:rPr>
        <w:t xml:space="preserve">be legally represented in SEO proceedings in the Children’s Court unless he or she has chosen not to be represented. </w:t>
      </w:r>
      <w:r w:rsidR="004743DB">
        <w:rPr>
          <w:rFonts w:ascii="Arial" w:hAnsi="Arial" w:cs="Arial"/>
          <w:sz w:val="20"/>
          <w:szCs w:val="20"/>
        </w:rPr>
        <w:t xml:space="preserve"> So</w:t>
      </w:r>
      <w:r w:rsidR="0009299C">
        <w:rPr>
          <w:rFonts w:ascii="Arial" w:hAnsi="Arial" w:cs="Arial"/>
          <w:sz w:val="20"/>
          <w:szCs w:val="20"/>
        </w:rPr>
        <w:t xml:space="preserve"> </w:t>
      </w:r>
      <w:r w:rsidR="004743DB">
        <w:rPr>
          <w:rFonts w:ascii="Arial" w:hAnsi="Arial" w:cs="Arial"/>
          <w:sz w:val="20"/>
          <w:szCs w:val="20"/>
        </w:rPr>
        <w:t>far as is practicable</w:t>
      </w:r>
      <w:r w:rsidR="00966DCD">
        <w:rPr>
          <w:rFonts w:ascii="Arial" w:hAnsi="Arial" w:cs="Arial"/>
          <w:sz w:val="20"/>
          <w:szCs w:val="20"/>
        </w:rPr>
        <w:t xml:space="preserve"> to do so</w:t>
      </w:r>
      <w:r w:rsidR="004743DB">
        <w:rPr>
          <w:rFonts w:ascii="Arial" w:hAnsi="Arial" w:cs="Arial"/>
          <w:sz w:val="20"/>
          <w:szCs w:val="20"/>
        </w:rPr>
        <w:t xml:space="preserve"> </w:t>
      </w:r>
      <w:r w:rsidR="00966DCD">
        <w:rPr>
          <w:rFonts w:ascii="Arial" w:hAnsi="Arial" w:cs="Arial"/>
          <w:sz w:val="20"/>
          <w:szCs w:val="20"/>
        </w:rPr>
        <w:t xml:space="preserve">having regard to the maturity of the </w:t>
      </w:r>
      <w:r w:rsidR="0009299C">
        <w:rPr>
          <w:rFonts w:ascii="Arial" w:hAnsi="Arial" w:cs="Arial"/>
          <w:sz w:val="20"/>
          <w:szCs w:val="20"/>
        </w:rPr>
        <w:t>child</w:t>
      </w:r>
      <w:r w:rsidR="00966DCD">
        <w:rPr>
          <w:rFonts w:ascii="Arial" w:hAnsi="Arial" w:cs="Arial"/>
          <w:sz w:val="20"/>
          <w:szCs w:val="20"/>
        </w:rPr>
        <w:t xml:space="preserve">, </w:t>
      </w:r>
      <w:r w:rsidR="004743DB">
        <w:rPr>
          <w:rFonts w:ascii="Arial" w:hAnsi="Arial" w:cs="Arial"/>
          <w:sz w:val="20"/>
          <w:szCs w:val="20"/>
        </w:rPr>
        <w:t>the legal representative must act on an instructions basis.</w:t>
      </w:r>
      <w:r w:rsidR="004467E1">
        <w:rPr>
          <w:rFonts w:ascii="Arial" w:hAnsi="Arial" w:cs="Arial"/>
          <w:sz w:val="20"/>
          <w:szCs w:val="20"/>
        </w:rPr>
        <w:t xml:space="preserve">  See also the Notice for Children in Form 7 [s.</w:t>
      </w:r>
      <w:r w:rsidR="004467E1" w:rsidRPr="004467E1">
        <w:rPr>
          <w:rFonts w:ascii="Arial" w:hAnsi="Arial" w:cs="Arial"/>
          <w:b/>
          <w:bCs/>
          <w:sz w:val="20"/>
          <w:szCs w:val="20"/>
        </w:rPr>
        <w:t>22DZ</w:t>
      </w:r>
      <w:r w:rsidR="004467E1">
        <w:rPr>
          <w:rFonts w:ascii="Arial" w:hAnsi="Arial" w:cs="Arial"/>
          <w:sz w:val="20"/>
          <w:szCs w:val="20"/>
        </w:rPr>
        <w:t>].</w:t>
      </w:r>
    </w:p>
    <w:p w14:paraId="1A76DDB9" w14:textId="77777777" w:rsidR="00D3037B" w:rsidRDefault="00D3037B" w:rsidP="001F09E6">
      <w:pPr>
        <w:jc w:val="both"/>
        <w:rPr>
          <w:rFonts w:ascii="Arial" w:hAnsi="Arial" w:cs="Arial"/>
          <w:sz w:val="20"/>
          <w:szCs w:val="20"/>
        </w:rPr>
      </w:pPr>
    </w:p>
    <w:p w14:paraId="2A9F6557" w14:textId="0ECF2076" w:rsidR="006C1AE0" w:rsidRPr="00220B9E" w:rsidRDefault="006C1AE0" w:rsidP="009D1700">
      <w:pPr>
        <w:keepNext/>
        <w:keepLines/>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MAKE AN SEO</w:t>
      </w:r>
    </w:p>
    <w:p w14:paraId="547FBC79" w14:textId="436E4B51" w:rsidR="006C1AE0" w:rsidRDefault="006C1AE0" w:rsidP="009D1700">
      <w:pPr>
        <w:keepNext/>
        <w:keepLines/>
        <w:jc w:val="both"/>
        <w:rPr>
          <w:rFonts w:ascii="Arial" w:hAnsi="Arial" w:cs="Arial"/>
          <w:sz w:val="20"/>
          <w:szCs w:val="20"/>
        </w:rPr>
      </w:pPr>
    </w:p>
    <w:p w14:paraId="7FC1F2EA" w14:textId="0C35538E" w:rsidR="00035BE4" w:rsidRDefault="001F09E6" w:rsidP="009D1700">
      <w:pPr>
        <w:keepNext/>
        <w:keepLines/>
        <w:jc w:val="both"/>
        <w:rPr>
          <w:rFonts w:ascii="Arial" w:hAnsi="Arial" w:cs="Arial"/>
          <w:color w:val="000000"/>
          <w:sz w:val="20"/>
        </w:rPr>
      </w:pPr>
      <w:r>
        <w:rPr>
          <w:rFonts w:ascii="Arial" w:hAnsi="Arial" w:cs="Arial"/>
          <w:sz w:val="20"/>
          <w:szCs w:val="20"/>
        </w:rPr>
        <w:t xml:space="preserve">So far as the Children’s Court is concerned, the major reform is </w:t>
      </w:r>
      <w:r w:rsidR="00BE131B" w:rsidRPr="001F09E6">
        <w:rPr>
          <w:rFonts w:ascii="Arial" w:hAnsi="Arial" w:cs="Arial"/>
          <w:sz w:val="20"/>
          <w:szCs w:val="20"/>
        </w:rPr>
        <w:t xml:space="preserve">to provide for the </w:t>
      </w:r>
      <w:r w:rsidR="00BE131B" w:rsidRPr="002E62A4">
        <w:rPr>
          <w:rFonts w:ascii="Arial" w:hAnsi="Arial" w:cs="Arial"/>
          <w:b/>
          <w:bCs/>
          <w:sz w:val="20"/>
          <w:szCs w:val="20"/>
        </w:rPr>
        <w:t>making of a</w:t>
      </w:r>
      <w:r w:rsidR="000A26DC">
        <w:rPr>
          <w:rFonts w:ascii="Arial" w:hAnsi="Arial" w:cs="Arial"/>
          <w:b/>
          <w:bCs/>
          <w:sz w:val="20"/>
          <w:szCs w:val="20"/>
        </w:rPr>
        <w:t>n</w:t>
      </w:r>
      <w:r w:rsidR="00BE131B">
        <w:rPr>
          <w:rFonts w:ascii="Arial" w:hAnsi="Arial" w:cs="Arial"/>
          <w:sz w:val="20"/>
          <w:szCs w:val="20"/>
        </w:rPr>
        <w:t xml:space="preserve"> </w:t>
      </w:r>
      <w:r w:rsidR="00BE131B" w:rsidRPr="00BE131B">
        <w:rPr>
          <w:rFonts w:ascii="Arial" w:hAnsi="Arial" w:cs="Arial"/>
          <w:b/>
          <w:bCs/>
          <w:sz w:val="20"/>
          <w:szCs w:val="20"/>
        </w:rPr>
        <w:t>SEO</w:t>
      </w:r>
      <w:r w:rsidR="00BE131B">
        <w:rPr>
          <w:rFonts w:ascii="Arial" w:hAnsi="Arial" w:cs="Arial"/>
          <w:sz w:val="20"/>
          <w:szCs w:val="20"/>
        </w:rPr>
        <w:t xml:space="preserve">, a civil order made in the Family Division of the Court, whose object is to require a child </w:t>
      </w:r>
      <w:r w:rsidR="00035BE4">
        <w:rPr>
          <w:rFonts w:ascii="Arial" w:hAnsi="Arial" w:cs="Arial"/>
          <w:sz w:val="20"/>
          <w:szCs w:val="20"/>
        </w:rPr>
        <w:t xml:space="preserve">respondent </w:t>
      </w:r>
      <w:r w:rsidR="00BE131B">
        <w:rPr>
          <w:rFonts w:ascii="Arial" w:hAnsi="Arial" w:cs="Arial"/>
          <w:sz w:val="20"/>
          <w:szCs w:val="20"/>
        </w:rPr>
        <w:t xml:space="preserve">to engage with services in order to address the underlying causes of </w:t>
      </w:r>
      <w:r w:rsidR="00035BE4">
        <w:rPr>
          <w:rFonts w:ascii="Arial" w:hAnsi="Arial" w:cs="Arial"/>
          <w:sz w:val="20"/>
          <w:szCs w:val="20"/>
        </w:rPr>
        <w:t xml:space="preserve">his or her </w:t>
      </w:r>
      <w:r w:rsidR="00BE131B" w:rsidRPr="001F09E6">
        <w:rPr>
          <w:rFonts w:ascii="Arial" w:hAnsi="Arial" w:cs="Arial"/>
          <w:sz w:val="20"/>
          <w:szCs w:val="20"/>
        </w:rPr>
        <w:t>radicalis</w:t>
      </w:r>
      <w:r w:rsidR="00035BE4">
        <w:rPr>
          <w:rFonts w:ascii="Arial" w:hAnsi="Arial" w:cs="Arial"/>
          <w:sz w:val="20"/>
          <w:szCs w:val="20"/>
        </w:rPr>
        <w:t>at</w:t>
      </w:r>
      <w:r w:rsidR="00BE131B" w:rsidRPr="001F09E6">
        <w:rPr>
          <w:rFonts w:ascii="Arial" w:hAnsi="Arial" w:cs="Arial"/>
          <w:sz w:val="20"/>
          <w:szCs w:val="20"/>
        </w:rPr>
        <w:t>i</w:t>
      </w:r>
      <w:r w:rsidR="00035BE4">
        <w:rPr>
          <w:rFonts w:ascii="Arial" w:hAnsi="Arial" w:cs="Arial"/>
          <w:sz w:val="20"/>
          <w:szCs w:val="20"/>
        </w:rPr>
        <w:t>on</w:t>
      </w:r>
      <w:r w:rsidR="00BE131B" w:rsidRPr="001F09E6">
        <w:rPr>
          <w:rFonts w:ascii="Arial" w:hAnsi="Arial" w:cs="Arial"/>
          <w:sz w:val="20"/>
          <w:szCs w:val="20"/>
        </w:rPr>
        <w:t xml:space="preserve"> towards violent extremism</w:t>
      </w:r>
      <w:r w:rsidR="00BC2A2A">
        <w:rPr>
          <w:rFonts w:ascii="Arial" w:hAnsi="Arial" w:cs="Arial"/>
          <w:sz w:val="20"/>
          <w:szCs w:val="20"/>
        </w:rPr>
        <w:t xml:space="preserve"> [</w:t>
      </w:r>
      <w:r w:rsidR="00035BE4" w:rsidRPr="003517E7">
        <w:rPr>
          <w:rFonts w:ascii="Arial" w:hAnsi="Arial" w:cs="Arial"/>
          <w:sz w:val="20"/>
          <w:szCs w:val="20"/>
        </w:rPr>
        <w:t>s.</w:t>
      </w:r>
      <w:r w:rsidR="00035BE4" w:rsidRPr="003517E7">
        <w:rPr>
          <w:rFonts w:ascii="Arial" w:hAnsi="Arial" w:cs="Arial"/>
          <w:b/>
          <w:bCs/>
          <w:sz w:val="20"/>
          <w:szCs w:val="20"/>
        </w:rPr>
        <w:t>22CG</w:t>
      </w:r>
      <w:r w:rsidR="00BC2A2A">
        <w:rPr>
          <w:rFonts w:ascii="Arial" w:hAnsi="Arial" w:cs="Arial"/>
          <w:sz w:val="20"/>
          <w:szCs w:val="20"/>
        </w:rPr>
        <w:t>]</w:t>
      </w:r>
      <w:r w:rsidR="00035BE4">
        <w:rPr>
          <w:rFonts w:ascii="Arial" w:hAnsi="Arial" w:cs="Arial"/>
          <w:sz w:val="20"/>
          <w:szCs w:val="20"/>
        </w:rPr>
        <w:t>.</w:t>
      </w:r>
    </w:p>
    <w:p w14:paraId="2867365F" w14:textId="77777777" w:rsidR="00035BE4" w:rsidRDefault="00035BE4" w:rsidP="001F09E6">
      <w:pPr>
        <w:jc w:val="both"/>
        <w:rPr>
          <w:rFonts w:ascii="Arial" w:hAnsi="Arial" w:cs="Arial"/>
          <w:color w:val="000000"/>
          <w:sz w:val="20"/>
        </w:rPr>
      </w:pPr>
    </w:p>
    <w:p w14:paraId="2203D57D" w14:textId="17ED6E63" w:rsidR="00C45F3B" w:rsidRDefault="00BC2A2A" w:rsidP="001F09E6">
      <w:pPr>
        <w:jc w:val="both"/>
        <w:rPr>
          <w:rFonts w:ascii="Arial" w:hAnsi="Arial" w:cs="Arial"/>
          <w:color w:val="000000"/>
          <w:sz w:val="20"/>
        </w:rPr>
      </w:pPr>
      <w:r>
        <w:rPr>
          <w:rFonts w:ascii="Arial" w:hAnsi="Arial" w:cs="Arial"/>
          <w:color w:val="000000"/>
          <w:sz w:val="20"/>
        </w:rPr>
        <w:t xml:space="preserve">Under </w:t>
      </w:r>
      <w:r w:rsidRPr="003517E7">
        <w:rPr>
          <w:rFonts w:ascii="Arial" w:hAnsi="Arial" w:cs="Arial"/>
          <w:color w:val="000000"/>
          <w:sz w:val="20"/>
        </w:rPr>
        <w:t>s.</w:t>
      </w:r>
      <w:r w:rsidRPr="003517E7">
        <w:rPr>
          <w:rFonts w:ascii="Arial" w:hAnsi="Arial" w:cs="Arial"/>
          <w:b/>
          <w:bCs/>
          <w:color w:val="000000"/>
          <w:sz w:val="20"/>
        </w:rPr>
        <w:t>22CK</w:t>
      </w:r>
      <w:r>
        <w:rPr>
          <w:rFonts w:ascii="Arial" w:hAnsi="Arial" w:cs="Arial"/>
          <w:color w:val="000000"/>
          <w:sz w:val="20"/>
        </w:rPr>
        <w:t xml:space="preserve"> a</w:t>
      </w:r>
      <w:r w:rsidR="00035BE4">
        <w:rPr>
          <w:rFonts w:ascii="Arial" w:hAnsi="Arial" w:cs="Arial"/>
          <w:color w:val="000000"/>
          <w:sz w:val="20"/>
        </w:rPr>
        <w:t xml:space="preserve">n application by an authorised police officer </w:t>
      </w:r>
      <w:r w:rsidR="00B35279">
        <w:rPr>
          <w:rFonts w:ascii="Arial" w:hAnsi="Arial" w:cs="Arial"/>
          <w:color w:val="000000"/>
          <w:sz w:val="20"/>
        </w:rPr>
        <w:t xml:space="preserve">(APO) </w:t>
      </w:r>
      <w:r w:rsidR="00035BE4">
        <w:rPr>
          <w:rFonts w:ascii="Arial" w:hAnsi="Arial" w:cs="Arial"/>
          <w:color w:val="000000"/>
          <w:sz w:val="20"/>
        </w:rPr>
        <w:t>for an SEO can only be made in the Children’s Court if</w:t>
      </w:r>
      <w:r w:rsidR="00C45F3B">
        <w:rPr>
          <w:rFonts w:ascii="Arial" w:hAnsi="Arial" w:cs="Arial"/>
          <w:color w:val="000000"/>
          <w:sz w:val="20"/>
        </w:rPr>
        <w:t xml:space="preserve"> the respondent child</w:t>
      </w:r>
      <w:r w:rsidR="00013698">
        <w:rPr>
          <w:rFonts w:cs="Arial"/>
          <w:bCs/>
          <w:color w:val="000000" w:themeColor="text1"/>
          <w:sz w:val="20"/>
          <w:szCs w:val="20"/>
        </w:rPr>
        <w:t>–</w:t>
      </w:r>
    </w:p>
    <w:p w14:paraId="179801F4" w14:textId="4A4E0719" w:rsid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has turned 14 but has not yet turned 18; and</w:t>
      </w:r>
    </w:p>
    <w:p w14:paraId="2E7336E1" w14:textId="65924A4C" w:rsidR="00C45F3B" w:rsidRPr="00C45F3B" w:rsidRDefault="00C45F3B">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has not </w:t>
      </w:r>
      <w:r w:rsidR="00BC2A2A">
        <w:rPr>
          <w:rFonts w:ascii="Arial" w:hAnsi="Arial" w:cs="Arial"/>
          <w:color w:val="000000"/>
          <w:sz w:val="20"/>
        </w:rPr>
        <w:t xml:space="preserve">already </w:t>
      </w:r>
      <w:r>
        <w:rPr>
          <w:rFonts w:ascii="Arial" w:hAnsi="Arial" w:cs="Arial"/>
          <w:color w:val="000000"/>
          <w:sz w:val="20"/>
        </w:rPr>
        <w:t xml:space="preserve">been subject </w:t>
      </w:r>
      <w:r w:rsidR="00BC2A2A">
        <w:rPr>
          <w:rFonts w:ascii="Arial" w:hAnsi="Arial" w:cs="Arial"/>
          <w:color w:val="000000"/>
          <w:sz w:val="20"/>
        </w:rPr>
        <w:t>to one or more SEOs for an accumulated total period of 2</w:t>
      </w:r>
      <w:r w:rsidR="008D785F">
        <w:rPr>
          <w:rFonts w:ascii="Arial" w:hAnsi="Arial" w:cs="Arial"/>
          <w:color w:val="000000"/>
          <w:sz w:val="20"/>
        </w:rPr>
        <w:t> </w:t>
      </w:r>
      <w:r w:rsidR="00BC2A2A">
        <w:rPr>
          <w:rFonts w:ascii="Arial" w:hAnsi="Arial" w:cs="Arial"/>
          <w:color w:val="000000"/>
          <w:sz w:val="20"/>
        </w:rPr>
        <w:t>years (irrespective of whether or not any of those periods were consecutive).</w:t>
      </w:r>
    </w:p>
    <w:p w14:paraId="2C0F8A20" w14:textId="4A691855" w:rsidR="00BC2A2A" w:rsidRDefault="00BC2A2A" w:rsidP="00BC2A2A">
      <w:pPr>
        <w:jc w:val="both"/>
        <w:rPr>
          <w:rFonts w:ascii="Arial" w:hAnsi="Arial" w:cs="Arial"/>
          <w:sz w:val="20"/>
          <w:szCs w:val="20"/>
        </w:rPr>
      </w:pPr>
    </w:p>
    <w:p w14:paraId="5D8B9D4B" w14:textId="2FB707FE" w:rsidR="000D3252" w:rsidRDefault="002B5656" w:rsidP="002B5656">
      <w:pPr>
        <w:jc w:val="both"/>
        <w:rPr>
          <w:rFonts w:ascii="Arial" w:hAnsi="Arial" w:cs="Arial"/>
          <w:color w:val="000000"/>
          <w:sz w:val="20"/>
        </w:rPr>
      </w:pPr>
      <w:r>
        <w:rPr>
          <w:rFonts w:ascii="Arial" w:hAnsi="Arial" w:cs="Arial"/>
          <w:color w:val="000000"/>
          <w:sz w:val="20"/>
        </w:rPr>
        <w:t xml:space="preserve">Provided that the pre-conditions </w:t>
      </w:r>
      <w:r w:rsidR="000D3252">
        <w:rPr>
          <w:rFonts w:ascii="Arial" w:hAnsi="Arial" w:cs="Arial"/>
          <w:color w:val="000000"/>
          <w:sz w:val="20"/>
        </w:rPr>
        <w:t>in s.</w:t>
      </w:r>
      <w:r w:rsidR="000D3252" w:rsidRPr="000D3252">
        <w:rPr>
          <w:rFonts w:ascii="Arial" w:hAnsi="Arial" w:cs="Arial"/>
          <w:b/>
          <w:bCs/>
          <w:color w:val="000000"/>
          <w:sz w:val="20"/>
        </w:rPr>
        <w:t>22CK</w:t>
      </w:r>
      <w:r w:rsidR="000D3252">
        <w:rPr>
          <w:rFonts w:ascii="Arial" w:hAnsi="Arial" w:cs="Arial"/>
          <w:color w:val="000000"/>
          <w:sz w:val="20"/>
        </w:rPr>
        <w:t xml:space="preserve"> </w:t>
      </w:r>
      <w:r>
        <w:rPr>
          <w:rFonts w:ascii="Arial" w:hAnsi="Arial" w:cs="Arial"/>
          <w:color w:val="000000"/>
          <w:sz w:val="20"/>
        </w:rPr>
        <w:t>are met</w:t>
      </w:r>
      <w:r w:rsidR="00013698">
        <w:rPr>
          <w:rFonts w:cs="Arial"/>
          <w:bCs/>
          <w:color w:val="000000" w:themeColor="text1"/>
          <w:sz w:val="20"/>
          <w:szCs w:val="20"/>
        </w:rPr>
        <w:t>–</w:t>
      </w:r>
    </w:p>
    <w:p w14:paraId="1938A606" w14:textId="4944A31F" w:rsidR="000D3252" w:rsidRDefault="002B5656">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 xml:space="preserve">there is </w:t>
      </w:r>
      <w:r w:rsidR="00AB57F8">
        <w:rPr>
          <w:rFonts w:ascii="Arial" w:hAnsi="Arial" w:cs="Arial"/>
          <w:color w:val="000000"/>
          <w:sz w:val="20"/>
        </w:rPr>
        <w:t>no doubt that an SEO made in the Children’s Court can extend beyond the respondent’s 18</w:t>
      </w:r>
      <w:r w:rsidR="00AB57F8" w:rsidRPr="002E62A4">
        <w:rPr>
          <w:rFonts w:ascii="Arial" w:hAnsi="Arial" w:cs="Arial"/>
          <w:color w:val="000000"/>
          <w:sz w:val="20"/>
          <w:vertAlign w:val="superscript"/>
        </w:rPr>
        <w:t>th</w:t>
      </w:r>
      <w:r w:rsidR="00AB57F8">
        <w:rPr>
          <w:rFonts w:ascii="Arial" w:hAnsi="Arial" w:cs="Arial"/>
          <w:color w:val="000000"/>
          <w:sz w:val="20"/>
        </w:rPr>
        <w:t xml:space="preserve"> birthday [</w:t>
      </w:r>
      <w:r w:rsidR="00AB57F8" w:rsidRPr="003517E7">
        <w:rPr>
          <w:rFonts w:ascii="Arial" w:hAnsi="Arial" w:cs="Arial"/>
          <w:color w:val="000000"/>
          <w:sz w:val="20"/>
        </w:rPr>
        <w:t>s.</w:t>
      </w:r>
      <w:r w:rsidR="00AB57F8" w:rsidRPr="003517E7">
        <w:rPr>
          <w:rFonts w:ascii="Arial" w:hAnsi="Arial" w:cs="Arial"/>
          <w:b/>
          <w:bCs/>
          <w:color w:val="000000"/>
          <w:sz w:val="20"/>
        </w:rPr>
        <w:t>22CQ(4)</w:t>
      </w:r>
      <w:r w:rsidR="00AB57F8">
        <w:rPr>
          <w:rFonts w:ascii="Arial" w:hAnsi="Arial" w:cs="Arial"/>
          <w:color w:val="000000"/>
          <w:sz w:val="20"/>
        </w:rPr>
        <w:t>]</w:t>
      </w:r>
      <w:r w:rsidR="000D3252">
        <w:rPr>
          <w:rFonts w:ascii="Arial" w:hAnsi="Arial" w:cs="Arial"/>
          <w:color w:val="000000"/>
          <w:sz w:val="20"/>
        </w:rPr>
        <w:t>;</w:t>
      </w:r>
    </w:p>
    <w:p w14:paraId="0B285806" w14:textId="331F0D73" w:rsidR="002B5656" w:rsidRPr="000D3252" w:rsidRDefault="00AB57F8">
      <w:pPr>
        <w:pStyle w:val="ListParagraph"/>
        <w:numPr>
          <w:ilvl w:val="0"/>
          <w:numId w:val="57"/>
        </w:numPr>
        <w:ind w:left="357" w:hanging="357"/>
        <w:jc w:val="both"/>
        <w:rPr>
          <w:rFonts w:ascii="Arial" w:hAnsi="Arial" w:cs="Arial"/>
          <w:color w:val="000000"/>
          <w:sz w:val="20"/>
        </w:rPr>
      </w:pPr>
      <w:r w:rsidRPr="000D3252">
        <w:rPr>
          <w:rFonts w:ascii="Arial" w:hAnsi="Arial" w:cs="Arial"/>
          <w:color w:val="000000"/>
          <w:sz w:val="20"/>
        </w:rPr>
        <w:t xml:space="preserve">there is </w:t>
      </w:r>
      <w:r w:rsidR="002B5656" w:rsidRPr="000D3252">
        <w:rPr>
          <w:rFonts w:ascii="Arial" w:hAnsi="Arial" w:cs="Arial"/>
          <w:color w:val="000000"/>
          <w:sz w:val="20"/>
        </w:rPr>
        <w:t>almost certainly no doubt – given the absence of an express transfer provision between the Children’s Court and the Magistrates’ Court – that the Children’s Court can make an SEO even if the respondent has already turned 18 at the time the order is made.</w:t>
      </w:r>
    </w:p>
    <w:p w14:paraId="3D2D3A74" w14:textId="77777777" w:rsidR="002B5656" w:rsidRDefault="002B5656" w:rsidP="00E76EBE">
      <w:pPr>
        <w:jc w:val="both"/>
        <w:rPr>
          <w:rFonts w:ascii="Arial" w:hAnsi="Arial" w:cs="Arial"/>
          <w:sz w:val="20"/>
          <w:szCs w:val="20"/>
        </w:rPr>
      </w:pPr>
    </w:p>
    <w:p w14:paraId="6B32BBC6" w14:textId="412A3458" w:rsidR="00BC2A2A" w:rsidRDefault="00BC2A2A" w:rsidP="00E76EBE">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 xml:space="preserve">PROCEDURE </w:t>
      </w:r>
      <w:r w:rsidR="00AB57F8">
        <w:rPr>
          <w:rFonts w:ascii="Arial" w:hAnsi="Arial" w:cs="Arial"/>
          <w:b/>
          <w:bCs/>
          <w:color w:val="FFFFFF" w:themeColor="background1"/>
          <w:sz w:val="20"/>
          <w:shd w:val="clear" w:color="auto" w:fill="000000" w:themeFill="text1"/>
        </w:rPr>
        <w:t xml:space="preserve">FOR AN APPLICATION </w:t>
      </w:r>
      <w:r>
        <w:rPr>
          <w:rFonts w:ascii="Arial" w:hAnsi="Arial" w:cs="Arial"/>
          <w:b/>
          <w:bCs/>
          <w:color w:val="FFFFFF" w:themeColor="background1"/>
          <w:sz w:val="20"/>
          <w:shd w:val="clear" w:color="auto" w:fill="000000" w:themeFill="text1"/>
        </w:rPr>
        <w:t>FOR THE MAKING OF AN SEO</w:t>
      </w:r>
    </w:p>
    <w:p w14:paraId="0B26E857" w14:textId="77777777" w:rsidR="00E76EBE" w:rsidRPr="00E76EBE" w:rsidRDefault="00E76EBE" w:rsidP="00E76EBE">
      <w:pPr>
        <w:jc w:val="both"/>
        <w:rPr>
          <w:rFonts w:ascii="Arial" w:hAnsi="Arial" w:cs="Arial"/>
          <w:color w:val="000000"/>
          <w:sz w:val="20"/>
        </w:rPr>
      </w:pPr>
    </w:p>
    <w:p w14:paraId="0715BB4D" w14:textId="58101626" w:rsidR="008D785F" w:rsidRDefault="00BC2A2A">
      <w:pPr>
        <w:pStyle w:val="HeadingTwo"/>
        <w:numPr>
          <w:ilvl w:val="0"/>
          <w:numId w:val="59"/>
        </w:numPr>
        <w:spacing w:after="0"/>
        <w:ind w:left="357" w:hanging="357"/>
        <w:jc w:val="both"/>
        <w:rPr>
          <w:rFonts w:cs="Arial"/>
          <w:bCs/>
          <w:color w:val="auto"/>
          <w:sz w:val="20"/>
          <w:szCs w:val="20"/>
        </w:rPr>
      </w:pPr>
      <w:r w:rsidRPr="00BC2A2A">
        <w:rPr>
          <w:rFonts w:cs="Arial"/>
          <w:bCs/>
          <w:color w:val="auto"/>
          <w:sz w:val="20"/>
          <w:szCs w:val="20"/>
        </w:rPr>
        <w:t>An</w:t>
      </w:r>
      <w:r w:rsidR="00B35279">
        <w:rPr>
          <w:rFonts w:cs="Arial"/>
          <w:bCs/>
          <w:color w:val="auto"/>
          <w:sz w:val="20"/>
          <w:szCs w:val="20"/>
        </w:rPr>
        <w:t xml:space="preserve"> </w:t>
      </w:r>
      <w:r w:rsidRPr="00BC2A2A">
        <w:rPr>
          <w:rFonts w:cs="Arial"/>
          <w:bCs/>
          <w:color w:val="auto"/>
          <w:sz w:val="20"/>
          <w:szCs w:val="20"/>
        </w:rPr>
        <w:t xml:space="preserve">application </w:t>
      </w:r>
      <w:r w:rsidR="00B35279">
        <w:rPr>
          <w:rFonts w:cs="Arial"/>
          <w:bCs/>
          <w:color w:val="auto"/>
          <w:sz w:val="20"/>
          <w:szCs w:val="20"/>
        </w:rPr>
        <w:t xml:space="preserve">to make an SEO for a respondent child </w:t>
      </w:r>
      <w:r w:rsidRPr="00BC2A2A">
        <w:rPr>
          <w:rFonts w:cs="Arial"/>
          <w:bCs/>
          <w:color w:val="auto"/>
          <w:sz w:val="20"/>
          <w:szCs w:val="20"/>
        </w:rPr>
        <w:t>must be</w:t>
      </w:r>
      <w:r w:rsidR="00B35279">
        <w:rPr>
          <w:rFonts w:cs="Arial"/>
          <w:bCs/>
          <w:color w:val="auto"/>
          <w:sz w:val="20"/>
          <w:szCs w:val="20"/>
        </w:rPr>
        <w:t xml:space="preserve"> </w:t>
      </w:r>
      <w:r w:rsidRPr="00BC2A2A">
        <w:rPr>
          <w:rFonts w:cs="Arial"/>
          <w:bCs/>
          <w:color w:val="auto"/>
          <w:sz w:val="20"/>
          <w:szCs w:val="20"/>
        </w:rPr>
        <w:t xml:space="preserve">in writing </w:t>
      </w:r>
      <w:r w:rsidR="00B35279">
        <w:rPr>
          <w:rFonts w:cs="Arial"/>
          <w:bCs/>
          <w:color w:val="auto"/>
          <w:sz w:val="20"/>
          <w:szCs w:val="20"/>
        </w:rPr>
        <w:t xml:space="preserve">in Form 1 and </w:t>
      </w:r>
      <w:r w:rsidRPr="00BC2A2A">
        <w:rPr>
          <w:rFonts w:cs="Arial"/>
          <w:bCs/>
          <w:color w:val="auto"/>
          <w:sz w:val="20"/>
          <w:szCs w:val="20"/>
        </w:rPr>
        <w:t>supported by a</w:t>
      </w:r>
      <w:r w:rsidR="00D3037B">
        <w:rPr>
          <w:rFonts w:cs="Arial"/>
          <w:bCs/>
          <w:color w:val="auto"/>
          <w:sz w:val="20"/>
          <w:szCs w:val="20"/>
        </w:rPr>
        <w:t xml:space="preserve">n </w:t>
      </w:r>
      <w:r w:rsidRPr="00BC2A2A">
        <w:rPr>
          <w:rFonts w:cs="Arial"/>
          <w:bCs/>
          <w:color w:val="auto"/>
          <w:sz w:val="20"/>
          <w:szCs w:val="20"/>
        </w:rPr>
        <w:t xml:space="preserve">affidavit </w:t>
      </w:r>
      <w:r w:rsidR="00D3037B">
        <w:rPr>
          <w:rFonts w:cs="Arial"/>
          <w:bCs/>
          <w:color w:val="auto"/>
          <w:sz w:val="20"/>
          <w:szCs w:val="20"/>
        </w:rPr>
        <w:t xml:space="preserve">by the applicant </w:t>
      </w:r>
      <w:r w:rsidRPr="00BC2A2A">
        <w:rPr>
          <w:rFonts w:cs="Arial"/>
          <w:bCs/>
          <w:color w:val="auto"/>
          <w:sz w:val="20"/>
          <w:szCs w:val="20"/>
        </w:rPr>
        <w:t xml:space="preserve">that sets out </w:t>
      </w:r>
      <w:r w:rsidR="002B5656">
        <w:rPr>
          <w:rFonts w:cs="Arial"/>
          <w:bCs/>
          <w:color w:val="auto"/>
          <w:sz w:val="20"/>
          <w:szCs w:val="20"/>
        </w:rPr>
        <w:t xml:space="preserve">various </w:t>
      </w:r>
      <w:r w:rsidR="00D3037B">
        <w:rPr>
          <w:rFonts w:cs="Arial"/>
          <w:bCs/>
          <w:color w:val="auto"/>
          <w:sz w:val="20"/>
          <w:szCs w:val="20"/>
        </w:rPr>
        <w:t>specifi</w:t>
      </w:r>
      <w:r w:rsidR="002B5656">
        <w:rPr>
          <w:rFonts w:cs="Arial"/>
          <w:bCs/>
          <w:color w:val="auto"/>
          <w:sz w:val="20"/>
          <w:szCs w:val="20"/>
        </w:rPr>
        <w:t xml:space="preserve">ed details, including </w:t>
      </w:r>
      <w:r w:rsidRPr="00BC2A2A">
        <w:rPr>
          <w:rFonts w:cs="Arial"/>
          <w:bCs/>
          <w:color w:val="auto"/>
          <w:sz w:val="20"/>
          <w:szCs w:val="20"/>
        </w:rPr>
        <w:t xml:space="preserve">the grounds on which the applicant considers that the SEO should be made </w:t>
      </w:r>
      <w:r w:rsidR="002B5656">
        <w:rPr>
          <w:rFonts w:cs="Arial"/>
          <w:bCs/>
          <w:color w:val="auto"/>
          <w:sz w:val="20"/>
          <w:szCs w:val="20"/>
        </w:rPr>
        <w:t>[</w:t>
      </w:r>
      <w:r w:rsidR="002B5656" w:rsidRPr="003517E7">
        <w:rPr>
          <w:rFonts w:cs="Arial"/>
          <w:bCs/>
          <w:color w:val="auto"/>
          <w:sz w:val="20"/>
          <w:szCs w:val="20"/>
        </w:rPr>
        <w:t>s.</w:t>
      </w:r>
      <w:r w:rsidR="002B5656" w:rsidRPr="003517E7">
        <w:rPr>
          <w:rFonts w:cs="Arial"/>
          <w:b/>
          <w:color w:val="auto"/>
          <w:sz w:val="20"/>
          <w:szCs w:val="20"/>
        </w:rPr>
        <w:t>22CL</w:t>
      </w:r>
      <w:r w:rsidR="002B5656">
        <w:rPr>
          <w:rFonts w:cs="Arial"/>
          <w:bCs/>
          <w:color w:val="auto"/>
          <w:sz w:val="20"/>
          <w:szCs w:val="20"/>
        </w:rPr>
        <w:t>].</w:t>
      </w:r>
    </w:p>
    <w:p w14:paraId="478D15E6" w14:textId="2B2A742F" w:rsidR="00BC2A2A" w:rsidRDefault="00B35279">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 xml:space="preserve">This documentation must be electronically filed with the Melbourne Children’s Court registry: see </w:t>
      </w:r>
      <w:r w:rsidRPr="00B35279">
        <w:rPr>
          <w:rFonts w:cs="Arial"/>
          <w:color w:val="000000"/>
          <w:sz w:val="20"/>
        </w:rPr>
        <w:t xml:space="preserve">paragraph </w:t>
      </w:r>
      <w:r>
        <w:rPr>
          <w:rFonts w:cs="Arial"/>
          <w:color w:val="000000"/>
          <w:sz w:val="20"/>
        </w:rPr>
        <w:t>57</w:t>
      </w:r>
      <w:r w:rsidRPr="00B35279">
        <w:rPr>
          <w:rFonts w:cs="Arial"/>
          <w:color w:val="000000"/>
          <w:sz w:val="20"/>
        </w:rPr>
        <w:t xml:space="preserve"> of Practice Direction No.2 of 2022 dated 02/09/2022</w:t>
      </w:r>
      <w:r>
        <w:rPr>
          <w:rFonts w:cs="Arial"/>
          <w:color w:val="000000"/>
          <w:sz w:val="20"/>
        </w:rPr>
        <w:t>.</w:t>
      </w:r>
    </w:p>
    <w:p w14:paraId="0A8DF997" w14:textId="50ACE927"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Notice of the application must be served on the respondent. The applicant must also give a copy of the application to the Secretary</w:t>
      </w:r>
      <w:r w:rsidR="002B5656">
        <w:rPr>
          <w:rFonts w:cs="Arial"/>
          <w:bCs/>
          <w:color w:val="auto"/>
          <w:sz w:val="20"/>
          <w:szCs w:val="20"/>
        </w:rPr>
        <w:t xml:space="preserve"> [s.</w:t>
      </w:r>
      <w:r w:rsidR="002B5656" w:rsidRPr="003517E7">
        <w:rPr>
          <w:rFonts w:cs="Arial"/>
          <w:b/>
          <w:color w:val="auto"/>
          <w:sz w:val="20"/>
          <w:szCs w:val="20"/>
        </w:rPr>
        <w:t>22CM</w:t>
      </w:r>
      <w:r w:rsidR="002B5656">
        <w:rPr>
          <w:rFonts w:cs="Arial"/>
          <w:bCs/>
          <w:color w:val="auto"/>
          <w:sz w:val="20"/>
          <w:szCs w:val="20"/>
        </w:rPr>
        <w:t>].</w:t>
      </w:r>
    </w:p>
    <w:p w14:paraId="03ACD1F4" w14:textId="587CAA1D" w:rsidR="00BC2A2A" w:rsidRPr="00BC2A2A" w:rsidRDefault="00BC2A2A">
      <w:pPr>
        <w:pStyle w:val="HeadingTwo"/>
        <w:numPr>
          <w:ilvl w:val="0"/>
          <w:numId w:val="59"/>
        </w:numPr>
        <w:spacing w:before="120" w:after="0"/>
        <w:ind w:left="357" w:hanging="357"/>
        <w:jc w:val="both"/>
        <w:rPr>
          <w:rFonts w:cs="Arial"/>
          <w:bCs/>
          <w:color w:val="auto"/>
          <w:sz w:val="20"/>
          <w:szCs w:val="20"/>
        </w:rPr>
      </w:pPr>
      <w:r w:rsidRPr="00BC2A2A">
        <w:rPr>
          <w:rFonts w:cs="Arial"/>
          <w:bCs/>
          <w:color w:val="auto"/>
          <w:sz w:val="20"/>
          <w:szCs w:val="20"/>
        </w:rPr>
        <w:t xml:space="preserve">Upon receiving the application, the Secretary must file </w:t>
      </w:r>
      <w:r w:rsidR="000D3252">
        <w:rPr>
          <w:rFonts w:cs="Arial"/>
          <w:bCs/>
          <w:color w:val="auto"/>
          <w:sz w:val="20"/>
          <w:szCs w:val="20"/>
        </w:rPr>
        <w:t>within a reasonable time</w:t>
      </w:r>
      <w:r w:rsidR="00013698">
        <w:rPr>
          <w:rFonts w:cs="Arial"/>
          <w:bCs/>
          <w:color w:val="000000" w:themeColor="text1"/>
          <w:sz w:val="20"/>
          <w:szCs w:val="20"/>
        </w:rPr>
        <w:t>–</w:t>
      </w:r>
    </w:p>
    <w:p w14:paraId="17FF24AE" w14:textId="6EFCC8E1" w:rsidR="00BC2A2A" w:rsidRPr="00BC2A2A" w:rsidRDefault="00BC2A2A">
      <w:pPr>
        <w:pStyle w:val="HeadingTwo"/>
        <w:numPr>
          <w:ilvl w:val="1"/>
          <w:numId w:val="59"/>
        </w:numPr>
        <w:spacing w:before="60" w:after="60"/>
        <w:ind w:left="714" w:hanging="357"/>
        <w:jc w:val="both"/>
        <w:rPr>
          <w:rFonts w:cs="Arial"/>
          <w:bCs/>
          <w:color w:val="auto"/>
          <w:sz w:val="20"/>
          <w:szCs w:val="20"/>
        </w:rPr>
      </w:pPr>
      <w:r w:rsidRPr="00BC2A2A">
        <w:rPr>
          <w:rFonts w:cs="Arial"/>
          <w:bCs/>
          <w:color w:val="auto"/>
          <w:sz w:val="20"/>
          <w:szCs w:val="20"/>
        </w:rPr>
        <w:t xml:space="preserve">a report </w:t>
      </w:r>
      <w:r w:rsidR="000D3252">
        <w:rPr>
          <w:rFonts w:cs="Arial"/>
          <w:bCs/>
          <w:color w:val="auto"/>
          <w:sz w:val="20"/>
          <w:szCs w:val="20"/>
        </w:rPr>
        <w:t xml:space="preserve">that </w:t>
      </w:r>
      <w:r w:rsidRPr="00BC2A2A">
        <w:rPr>
          <w:rFonts w:cs="Arial"/>
          <w:bCs/>
          <w:color w:val="auto"/>
          <w:sz w:val="20"/>
          <w:szCs w:val="20"/>
        </w:rPr>
        <w:t>describ</w:t>
      </w:r>
      <w:r w:rsidR="000D3252">
        <w:rPr>
          <w:rFonts w:cs="Arial"/>
          <w:bCs/>
          <w:color w:val="auto"/>
          <w:sz w:val="20"/>
          <w:szCs w:val="20"/>
        </w:rPr>
        <w:t>es</w:t>
      </w:r>
      <w:r w:rsidRPr="00BC2A2A">
        <w:rPr>
          <w:rFonts w:cs="Arial"/>
          <w:bCs/>
          <w:color w:val="auto"/>
          <w:sz w:val="20"/>
          <w:szCs w:val="20"/>
        </w:rPr>
        <w:t xml:space="preserve"> the behaviours and needs of the respondent that are relevant to the application, and, if the respondent has previously been a participant of a voluntary case management plan, </w:t>
      </w:r>
      <w:r w:rsidR="000D3252">
        <w:rPr>
          <w:rFonts w:cs="Arial"/>
          <w:bCs/>
          <w:color w:val="auto"/>
          <w:sz w:val="20"/>
          <w:szCs w:val="20"/>
        </w:rPr>
        <w:t xml:space="preserve">that </w:t>
      </w:r>
      <w:r w:rsidRPr="00BC2A2A">
        <w:rPr>
          <w:rFonts w:cs="Arial"/>
          <w:bCs/>
          <w:color w:val="auto"/>
          <w:sz w:val="20"/>
          <w:szCs w:val="20"/>
        </w:rPr>
        <w:t>describe</w:t>
      </w:r>
      <w:r w:rsidR="000D3252">
        <w:rPr>
          <w:rFonts w:cs="Arial"/>
          <w:bCs/>
          <w:color w:val="auto"/>
          <w:sz w:val="20"/>
          <w:szCs w:val="20"/>
        </w:rPr>
        <w:t>s</w:t>
      </w:r>
      <w:r w:rsidRPr="00BC2A2A">
        <w:rPr>
          <w:rFonts w:cs="Arial"/>
          <w:bCs/>
          <w:color w:val="auto"/>
          <w:sz w:val="20"/>
          <w:szCs w:val="20"/>
        </w:rPr>
        <w:t xml:space="preserve"> the engagement of the respondent with programs and services under that plan</w:t>
      </w:r>
      <w:r w:rsidR="005F0ACD">
        <w:rPr>
          <w:rFonts w:cs="Arial"/>
          <w:bCs/>
          <w:color w:val="auto"/>
          <w:sz w:val="20"/>
          <w:szCs w:val="20"/>
        </w:rPr>
        <w:t>; and</w:t>
      </w:r>
    </w:p>
    <w:p w14:paraId="322EF30A" w14:textId="03DB5DDC" w:rsidR="00BC2A2A" w:rsidRPr="00BC2A2A" w:rsidRDefault="00BC2A2A">
      <w:pPr>
        <w:pStyle w:val="HeadingTwo"/>
        <w:numPr>
          <w:ilvl w:val="1"/>
          <w:numId w:val="59"/>
        </w:numPr>
        <w:spacing w:after="0"/>
        <w:ind w:left="714" w:hanging="357"/>
        <w:jc w:val="both"/>
        <w:rPr>
          <w:rFonts w:cs="Arial"/>
          <w:bCs/>
          <w:color w:val="auto"/>
          <w:sz w:val="20"/>
          <w:szCs w:val="20"/>
        </w:rPr>
      </w:pPr>
      <w:r w:rsidRPr="00BC2A2A">
        <w:rPr>
          <w:rFonts w:cs="Arial"/>
          <w:bCs/>
          <w:color w:val="auto"/>
          <w:sz w:val="20"/>
          <w:szCs w:val="20"/>
        </w:rPr>
        <w:t xml:space="preserve">a proposed </w:t>
      </w:r>
      <w:r w:rsidR="005F0ACD">
        <w:rPr>
          <w:rFonts w:cs="Arial"/>
          <w:bCs/>
          <w:color w:val="auto"/>
          <w:sz w:val="20"/>
          <w:szCs w:val="20"/>
        </w:rPr>
        <w:t xml:space="preserve">SEP </w:t>
      </w:r>
      <w:r w:rsidRPr="00BC2A2A">
        <w:rPr>
          <w:rFonts w:cs="Arial"/>
          <w:bCs/>
          <w:color w:val="auto"/>
          <w:sz w:val="20"/>
          <w:szCs w:val="20"/>
        </w:rPr>
        <w:t xml:space="preserve">for the respondent </w:t>
      </w:r>
      <w:r w:rsidR="005F0ACD">
        <w:rPr>
          <w:rFonts w:cs="Arial"/>
          <w:bCs/>
          <w:color w:val="auto"/>
          <w:sz w:val="20"/>
          <w:szCs w:val="20"/>
        </w:rPr>
        <w:t>[s.</w:t>
      </w:r>
      <w:r w:rsidR="005F0ACD" w:rsidRPr="000D3252">
        <w:rPr>
          <w:rFonts w:cs="Arial"/>
          <w:b/>
          <w:color w:val="auto"/>
          <w:sz w:val="20"/>
          <w:szCs w:val="20"/>
        </w:rPr>
        <w:t>22CN</w:t>
      </w:r>
      <w:r w:rsidR="005F0ACD">
        <w:rPr>
          <w:rFonts w:cs="Arial"/>
          <w:bCs/>
          <w:color w:val="auto"/>
          <w:sz w:val="20"/>
          <w:szCs w:val="20"/>
        </w:rPr>
        <w:t>].</w:t>
      </w:r>
    </w:p>
    <w:p w14:paraId="36211E03" w14:textId="7909A23A" w:rsidR="005F0ACD" w:rsidRPr="008878C2" w:rsidRDefault="00BC2A2A">
      <w:pPr>
        <w:pStyle w:val="HeadingTwo"/>
        <w:numPr>
          <w:ilvl w:val="0"/>
          <w:numId w:val="59"/>
        </w:numPr>
        <w:spacing w:before="120" w:after="0"/>
        <w:ind w:left="357" w:hanging="357"/>
        <w:jc w:val="both"/>
        <w:rPr>
          <w:rFonts w:cs="Arial"/>
          <w:b/>
          <w:color w:val="000000" w:themeColor="text1"/>
          <w:sz w:val="20"/>
          <w:szCs w:val="20"/>
        </w:rPr>
      </w:pPr>
      <w:r w:rsidRPr="00BC2A2A">
        <w:rPr>
          <w:rFonts w:cs="Arial"/>
          <w:bCs/>
          <w:color w:val="auto"/>
          <w:sz w:val="20"/>
          <w:szCs w:val="20"/>
        </w:rPr>
        <w:t xml:space="preserve">The SEP must set out the services and programs with which the respondent is required to </w:t>
      </w:r>
      <w:r w:rsidRPr="008878C2">
        <w:rPr>
          <w:rFonts w:cs="Arial"/>
          <w:bCs/>
          <w:color w:val="000000" w:themeColor="text1"/>
          <w:sz w:val="20"/>
          <w:szCs w:val="20"/>
        </w:rPr>
        <w:t>engage in order to achieve a therapeutic purpose for the person</w:t>
      </w:r>
      <w:r w:rsidR="005F0ACD" w:rsidRPr="008878C2">
        <w:rPr>
          <w:rFonts w:cs="Arial"/>
          <w:bCs/>
          <w:color w:val="000000" w:themeColor="text1"/>
          <w:sz w:val="20"/>
          <w:szCs w:val="20"/>
        </w:rPr>
        <w:t xml:space="preserve"> and</w:t>
      </w:r>
      <w:r w:rsidRPr="008878C2">
        <w:rPr>
          <w:rFonts w:cs="Arial"/>
          <w:bCs/>
          <w:color w:val="000000" w:themeColor="text1"/>
          <w:sz w:val="20"/>
          <w:szCs w:val="20"/>
        </w:rPr>
        <w:t xml:space="preserve"> how often or when that engagement must occur</w:t>
      </w:r>
      <w:r w:rsidR="005F0ACD" w:rsidRPr="008878C2">
        <w:rPr>
          <w:rFonts w:cs="Arial"/>
          <w:bCs/>
          <w:color w:val="000000" w:themeColor="text1"/>
          <w:sz w:val="20"/>
          <w:szCs w:val="20"/>
        </w:rPr>
        <w:t xml:space="preserve"> [s.</w:t>
      </w:r>
      <w:r w:rsidR="005F0ACD" w:rsidRPr="000D3252">
        <w:rPr>
          <w:rFonts w:cs="Arial"/>
          <w:b/>
          <w:color w:val="000000" w:themeColor="text1"/>
          <w:sz w:val="20"/>
          <w:szCs w:val="20"/>
        </w:rPr>
        <w:t>22AJ(2)</w:t>
      </w:r>
      <w:r w:rsidR="005F0ACD" w:rsidRPr="008878C2">
        <w:rPr>
          <w:rFonts w:cs="Arial"/>
          <w:bCs/>
          <w:color w:val="000000" w:themeColor="text1"/>
          <w:sz w:val="20"/>
          <w:szCs w:val="20"/>
        </w:rPr>
        <w:t xml:space="preserve">].  It may also set out </w:t>
      </w:r>
      <w:r w:rsidR="008878C2" w:rsidRPr="008878C2">
        <w:rPr>
          <w:rFonts w:cs="Arial"/>
          <w:bCs/>
          <w:color w:val="000000" w:themeColor="text1"/>
          <w:sz w:val="20"/>
          <w:szCs w:val="20"/>
        </w:rPr>
        <w:t>required or permissible modes of engagement with those services and programs and outcomes that constitute satisfactory engagement with those services and programs [s.</w:t>
      </w:r>
      <w:r w:rsidR="008878C2" w:rsidRPr="000D3252">
        <w:rPr>
          <w:rFonts w:cs="Arial"/>
          <w:b/>
          <w:color w:val="000000" w:themeColor="text1"/>
          <w:sz w:val="20"/>
          <w:szCs w:val="20"/>
        </w:rPr>
        <w:t>22AJ(3)</w:t>
      </w:r>
      <w:r w:rsidR="008878C2" w:rsidRPr="008878C2">
        <w:rPr>
          <w:rFonts w:cs="Arial"/>
          <w:bCs/>
          <w:color w:val="000000" w:themeColor="text1"/>
          <w:sz w:val="20"/>
          <w:szCs w:val="20"/>
        </w:rPr>
        <w:t xml:space="preserve">].  And it may also provide that completion of </w:t>
      </w:r>
      <w:r w:rsidR="008878C2" w:rsidRPr="008878C2">
        <w:rPr>
          <w:rFonts w:cs="Arial"/>
          <w:color w:val="000000" w:themeColor="text1"/>
          <w:sz w:val="20"/>
          <w:szCs w:val="20"/>
        </w:rPr>
        <w:t>a service or program to the satisfaction of the provider of the service or program is to constitute satisfactory engagement with the service or program.</w:t>
      </w:r>
      <w:r w:rsidR="008878C2" w:rsidRPr="008878C2">
        <w:rPr>
          <w:rFonts w:cs="Arial"/>
          <w:bCs/>
          <w:color w:val="000000" w:themeColor="text1"/>
          <w:sz w:val="20"/>
          <w:szCs w:val="20"/>
        </w:rPr>
        <w:t xml:space="preserve"> [s.</w:t>
      </w:r>
      <w:r w:rsidR="008878C2" w:rsidRPr="000D3252">
        <w:rPr>
          <w:rFonts w:cs="Arial"/>
          <w:b/>
          <w:color w:val="000000" w:themeColor="text1"/>
          <w:sz w:val="20"/>
          <w:szCs w:val="20"/>
        </w:rPr>
        <w:t>22AJ(4)</w:t>
      </w:r>
      <w:r w:rsidR="008878C2" w:rsidRPr="008878C2">
        <w:rPr>
          <w:rFonts w:cs="Arial"/>
          <w:bCs/>
          <w:color w:val="000000" w:themeColor="text1"/>
          <w:sz w:val="20"/>
          <w:szCs w:val="20"/>
        </w:rPr>
        <w:t>].</w:t>
      </w:r>
    </w:p>
    <w:p w14:paraId="6618766F" w14:textId="27057C54" w:rsidR="000D3252" w:rsidRDefault="00DB637E">
      <w:pPr>
        <w:pStyle w:val="HeadingTwo"/>
        <w:numPr>
          <w:ilvl w:val="0"/>
          <w:numId w:val="59"/>
        </w:numPr>
        <w:spacing w:before="120" w:after="0"/>
        <w:ind w:left="357" w:hanging="357"/>
        <w:jc w:val="both"/>
        <w:rPr>
          <w:rFonts w:cs="Arial"/>
          <w:bCs/>
          <w:color w:val="auto"/>
          <w:sz w:val="20"/>
          <w:szCs w:val="20"/>
        </w:rPr>
      </w:pPr>
      <w:r>
        <w:rPr>
          <w:rFonts w:cs="Arial"/>
          <w:bCs/>
          <w:color w:val="auto"/>
          <w:sz w:val="20"/>
          <w:szCs w:val="20"/>
        </w:rPr>
        <w:t>The court may direct a</w:t>
      </w:r>
      <w:r w:rsidR="00E70446">
        <w:rPr>
          <w:rFonts w:cs="Arial"/>
          <w:bCs/>
          <w:color w:val="auto"/>
          <w:sz w:val="20"/>
          <w:szCs w:val="20"/>
        </w:rPr>
        <w:t xml:space="preserve"> person</w:t>
      </w:r>
      <w:r w:rsidR="00BC2A2A" w:rsidRPr="00BC2A2A">
        <w:rPr>
          <w:rFonts w:cs="Arial"/>
          <w:bCs/>
          <w:color w:val="auto"/>
          <w:sz w:val="20"/>
          <w:szCs w:val="20"/>
        </w:rPr>
        <w:t xml:space="preserve"> to attend and give evidence on the report </w:t>
      </w:r>
      <w:r w:rsidR="00E70446">
        <w:rPr>
          <w:rFonts w:cs="Arial"/>
          <w:bCs/>
          <w:color w:val="auto"/>
          <w:sz w:val="20"/>
          <w:szCs w:val="20"/>
        </w:rPr>
        <w:t xml:space="preserve">given under </w:t>
      </w:r>
      <w:r w:rsidR="00E70446" w:rsidRPr="00E70446">
        <w:rPr>
          <w:rFonts w:cs="Arial"/>
          <w:b/>
          <w:color w:val="auto"/>
          <w:sz w:val="20"/>
          <w:szCs w:val="20"/>
        </w:rPr>
        <w:t>s.22CN(1)(a)</w:t>
      </w:r>
      <w:r w:rsidR="00E70446">
        <w:rPr>
          <w:rFonts w:cs="Arial"/>
          <w:bCs/>
          <w:color w:val="auto"/>
          <w:sz w:val="20"/>
          <w:szCs w:val="20"/>
        </w:rPr>
        <w:t xml:space="preserve"> </w:t>
      </w:r>
      <w:r w:rsidR="00BC2A2A" w:rsidRPr="00BC2A2A">
        <w:rPr>
          <w:rFonts w:cs="Arial"/>
          <w:bCs/>
          <w:color w:val="auto"/>
          <w:sz w:val="20"/>
          <w:szCs w:val="20"/>
        </w:rPr>
        <w:t>and/or the proposed SEP</w:t>
      </w:r>
      <w:r w:rsidR="00E70446">
        <w:rPr>
          <w:rFonts w:cs="Arial"/>
          <w:bCs/>
          <w:color w:val="auto"/>
          <w:sz w:val="20"/>
          <w:szCs w:val="20"/>
        </w:rPr>
        <w:t xml:space="preserve"> under </w:t>
      </w:r>
      <w:r w:rsidR="00E70446" w:rsidRPr="00E70446">
        <w:rPr>
          <w:rFonts w:cs="Arial"/>
          <w:b/>
          <w:color w:val="auto"/>
          <w:sz w:val="20"/>
          <w:szCs w:val="20"/>
        </w:rPr>
        <w:t>s.22CN(1)(b)</w:t>
      </w:r>
      <w:r w:rsidR="00BC2A2A" w:rsidRPr="00BC2A2A">
        <w:rPr>
          <w:rFonts w:cs="Arial"/>
          <w:bCs/>
          <w:color w:val="auto"/>
          <w:sz w:val="20"/>
          <w:szCs w:val="20"/>
        </w:rPr>
        <w:t xml:space="preserve">. If </w:t>
      </w:r>
      <w:r w:rsidR="00E70446">
        <w:rPr>
          <w:rFonts w:cs="Arial"/>
          <w:bCs/>
          <w:color w:val="auto"/>
          <w:sz w:val="20"/>
          <w:szCs w:val="20"/>
        </w:rPr>
        <w:t xml:space="preserve">the Secretary is given a direction under </w:t>
      </w:r>
      <w:r w:rsidR="00E70446" w:rsidRPr="00E70446">
        <w:rPr>
          <w:rFonts w:cs="Arial"/>
          <w:b/>
          <w:color w:val="auto"/>
          <w:sz w:val="20"/>
          <w:szCs w:val="20"/>
        </w:rPr>
        <w:t>s.22CP(1)</w:t>
      </w:r>
      <w:r w:rsidR="00BC2A2A" w:rsidRPr="00BC2A2A">
        <w:rPr>
          <w:rFonts w:cs="Arial"/>
          <w:bCs/>
          <w:color w:val="auto"/>
          <w:sz w:val="20"/>
          <w:szCs w:val="20"/>
        </w:rPr>
        <w:t xml:space="preserve">, the Secretary </w:t>
      </w:r>
      <w:r w:rsidR="00E70446">
        <w:rPr>
          <w:rFonts w:cs="Arial"/>
          <w:bCs/>
          <w:color w:val="auto"/>
          <w:sz w:val="20"/>
          <w:szCs w:val="20"/>
        </w:rPr>
        <w:t xml:space="preserve">may determine that a particular member of the </w:t>
      </w:r>
      <w:r w:rsidR="00284BB9">
        <w:rPr>
          <w:rFonts w:cs="Arial"/>
          <w:bCs/>
          <w:color w:val="auto"/>
          <w:sz w:val="20"/>
          <w:szCs w:val="20"/>
        </w:rPr>
        <w:t xml:space="preserve">CVE MAP </w:t>
      </w:r>
      <w:r w:rsidR="00E70446">
        <w:rPr>
          <w:rFonts w:cs="Arial"/>
          <w:bCs/>
          <w:color w:val="auto"/>
          <w:sz w:val="20"/>
          <w:szCs w:val="20"/>
        </w:rPr>
        <w:t xml:space="preserve">is to </w:t>
      </w:r>
      <w:r w:rsidR="00AB38E3">
        <w:rPr>
          <w:rFonts w:cs="Arial"/>
          <w:bCs/>
          <w:color w:val="auto"/>
          <w:sz w:val="20"/>
          <w:szCs w:val="20"/>
        </w:rPr>
        <w:t>attend and give evidence</w:t>
      </w:r>
      <w:r w:rsidR="00E70446">
        <w:rPr>
          <w:rFonts w:cs="Arial"/>
          <w:bCs/>
          <w:color w:val="auto"/>
          <w:sz w:val="20"/>
          <w:szCs w:val="20"/>
        </w:rPr>
        <w:t>,</w:t>
      </w:r>
      <w:r w:rsidR="00AB38E3">
        <w:rPr>
          <w:rFonts w:cs="Arial"/>
          <w:bCs/>
          <w:color w:val="auto"/>
          <w:sz w:val="20"/>
          <w:szCs w:val="20"/>
        </w:rPr>
        <w:t xml:space="preserve"> in the Secretary’s place</w:t>
      </w:r>
      <w:r w:rsidR="00E70446">
        <w:rPr>
          <w:rFonts w:cs="Arial"/>
          <w:bCs/>
          <w:color w:val="auto"/>
          <w:sz w:val="20"/>
          <w:szCs w:val="20"/>
        </w:rPr>
        <w:t>, in response to that direction.</w:t>
      </w:r>
      <w:r w:rsidR="00AB38E3">
        <w:rPr>
          <w:rFonts w:cs="Arial"/>
          <w:bCs/>
          <w:color w:val="auto"/>
          <w:sz w:val="20"/>
          <w:szCs w:val="20"/>
        </w:rPr>
        <w:t xml:space="preserve"> [s.</w:t>
      </w:r>
      <w:r w:rsidR="00AB38E3" w:rsidRPr="00AB38E3">
        <w:rPr>
          <w:rFonts w:cs="Arial"/>
          <w:b/>
          <w:color w:val="auto"/>
          <w:sz w:val="20"/>
          <w:szCs w:val="20"/>
        </w:rPr>
        <w:t>22CP</w:t>
      </w:r>
      <w:r w:rsidR="00AB38E3">
        <w:rPr>
          <w:rFonts w:cs="Arial"/>
          <w:bCs/>
          <w:color w:val="auto"/>
          <w:sz w:val="20"/>
          <w:szCs w:val="20"/>
        </w:rPr>
        <w:t>].</w:t>
      </w:r>
    </w:p>
    <w:p w14:paraId="0DC5C29C" w14:textId="67EC51E4" w:rsidR="005F0ACD" w:rsidRDefault="005F0ACD" w:rsidP="005F0ACD">
      <w:pPr>
        <w:jc w:val="both"/>
        <w:rPr>
          <w:rFonts w:ascii="Arial" w:hAnsi="Arial" w:cs="Arial"/>
          <w:sz w:val="20"/>
          <w:szCs w:val="20"/>
        </w:rPr>
      </w:pPr>
    </w:p>
    <w:p w14:paraId="76C7A0BA" w14:textId="4D4C240C" w:rsidR="005F0ACD" w:rsidRDefault="005F0ACD" w:rsidP="005F0ACD">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DETERMINATION OF AN APPLICATION FOR AN SEO</w:t>
      </w:r>
    </w:p>
    <w:p w14:paraId="7D0FBC38" w14:textId="77777777" w:rsidR="00E76EBE" w:rsidRPr="00E76EBE" w:rsidRDefault="00E76EBE" w:rsidP="00E76EBE">
      <w:pPr>
        <w:jc w:val="both"/>
        <w:rPr>
          <w:rFonts w:ascii="Arial" w:hAnsi="Arial" w:cs="Arial"/>
          <w:color w:val="000000"/>
          <w:sz w:val="20"/>
        </w:rPr>
      </w:pPr>
    </w:p>
    <w:p w14:paraId="76B866DA" w14:textId="2CD21FF3" w:rsidR="00284BB9" w:rsidRPr="005C378C" w:rsidRDefault="003517E7">
      <w:pPr>
        <w:pStyle w:val="HeadingTwo"/>
        <w:numPr>
          <w:ilvl w:val="0"/>
          <w:numId w:val="62"/>
        </w:numPr>
        <w:spacing w:after="0"/>
        <w:ind w:left="357" w:hanging="357"/>
        <w:jc w:val="both"/>
        <w:rPr>
          <w:rFonts w:cs="Arial"/>
          <w:bCs/>
          <w:color w:val="auto"/>
          <w:sz w:val="20"/>
          <w:szCs w:val="20"/>
        </w:rPr>
      </w:pPr>
      <w:r w:rsidRPr="009D1700">
        <w:rPr>
          <w:rFonts w:cs="Arial"/>
          <w:bCs/>
          <w:color w:val="000000" w:themeColor="text1"/>
          <w:sz w:val="20"/>
          <w:szCs w:val="20"/>
        </w:rPr>
        <w:t>The</w:t>
      </w:r>
      <w:r w:rsidR="00193BF2">
        <w:rPr>
          <w:rFonts w:cs="Arial"/>
          <w:bCs/>
          <w:color w:val="000000" w:themeColor="text1"/>
          <w:sz w:val="20"/>
          <w:szCs w:val="20"/>
        </w:rPr>
        <w:t xml:space="preserve"> 2021 amending Act</w:t>
      </w:r>
      <w:r w:rsidRPr="009D1700">
        <w:rPr>
          <w:rFonts w:cs="Arial"/>
          <w:bCs/>
          <w:color w:val="000000" w:themeColor="text1"/>
          <w:sz w:val="20"/>
          <w:szCs w:val="20"/>
        </w:rPr>
        <w:t xml:space="preserve"> authorises a Court to make SEOs</w:t>
      </w:r>
      <w:r w:rsidRPr="009D1700">
        <w:rPr>
          <w:rFonts w:cs="Arial"/>
          <w:color w:val="000000" w:themeColor="text1"/>
          <w:sz w:val="20"/>
          <w:szCs w:val="20"/>
        </w:rPr>
        <w:t xml:space="preserve"> to address the underlying causes of persons who are radicalising towards violent extremism.  </w:t>
      </w:r>
      <w:r w:rsidR="00815D00" w:rsidRPr="009D1700">
        <w:rPr>
          <w:rFonts w:cs="Arial"/>
          <w:color w:val="000000" w:themeColor="text1"/>
          <w:sz w:val="20"/>
          <w:szCs w:val="20"/>
        </w:rPr>
        <w:t>Pursuant to ss.</w:t>
      </w:r>
      <w:r w:rsidR="00815D00" w:rsidRPr="009D1700">
        <w:rPr>
          <w:rFonts w:cs="Arial"/>
          <w:b/>
          <w:bCs/>
          <w:color w:val="000000" w:themeColor="text1"/>
          <w:sz w:val="20"/>
          <w:szCs w:val="20"/>
        </w:rPr>
        <w:t>22CJ &amp; 22CO(1)</w:t>
      </w:r>
      <w:r w:rsidR="00815D00" w:rsidRPr="009D1700">
        <w:rPr>
          <w:rFonts w:cs="Arial"/>
          <w:color w:val="000000" w:themeColor="text1"/>
          <w:sz w:val="20"/>
          <w:szCs w:val="20"/>
        </w:rPr>
        <w:t xml:space="preserve">, in </w:t>
      </w:r>
      <w:r w:rsidRPr="009D1700">
        <w:rPr>
          <w:rFonts w:cs="Arial"/>
          <w:bCs/>
          <w:color w:val="000000" w:themeColor="text1"/>
          <w:sz w:val="20"/>
          <w:szCs w:val="20"/>
        </w:rPr>
        <w:t xml:space="preserve">order to make an SEO the </w:t>
      </w:r>
      <w:r w:rsidR="00433B20">
        <w:rPr>
          <w:rFonts w:cs="Arial"/>
          <w:bCs/>
          <w:color w:val="000000" w:themeColor="text1"/>
          <w:sz w:val="20"/>
          <w:szCs w:val="20"/>
        </w:rPr>
        <w:t>c</w:t>
      </w:r>
      <w:r w:rsidRPr="009D1700">
        <w:rPr>
          <w:rFonts w:cs="Arial"/>
          <w:bCs/>
          <w:color w:val="000000" w:themeColor="text1"/>
          <w:sz w:val="20"/>
          <w:szCs w:val="20"/>
        </w:rPr>
        <w:t>ourt must make a finding, on the balance of probabilities, that</w:t>
      </w:r>
      <w:r w:rsidR="00013698">
        <w:rPr>
          <w:rFonts w:cs="Arial"/>
          <w:bCs/>
          <w:color w:val="000000" w:themeColor="text1"/>
          <w:sz w:val="20"/>
          <w:szCs w:val="20"/>
        </w:rPr>
        <w:t>–</w:t>
      </w:r>
    </w:p>
    <w:p w14:paraId="051F7F50" w14:textId="2FB4E4DA" w:rsidR="005C378C" w:rsidRDefault="005C378C">
      <w:pPr>
        <w:pStyle w:val="HeadingTwo"/>
        <w:numPr>
          <w:ilvl w:val="0"/>
          <w:numId w:val="63"/>
        </w:numPr>
        <w:spacing w:before="60" w:after="0"/>
        <w:ind w:left="714" w:hanging="357"/>
        <w:jc w:val="both"/>
        <w:rPr>
          <w:rFonts w:cs="Arial"/>
          <w:bCs/>
          <w:color w:val="000000" w:themeColor="text1"/>
          <w:sz w:val="20"/>
          <w:szCs w:val="20"/>
        </w:rPr>
      </w:pPr>
      <w:r w:rsidRPr="003517E7">
        <w:rPr>
          <w:rFonts w:cs="Arial"/>
          <w:bCs/>
          <w:color w:val="000000" w:themeColor="text1"/>
          <w:sz w:val="20"/>
          <w:szCs w:val="20"/>
        </w:rPr>
        <w:t>the respondent is radicalising towards violent extremism</w:t>
      </w:r>
      <w:r>
        <w:rPr>
          <w:rFonts w:cs="Arial"/>
          <w:bCs/>
          <w:color w:val="000000" w:themeColor="text1"/>
          <w:sz w:val="20"/>
          <w:szCs w:val="20"/>
        </w:rPr>
        <w:t>; and</w:t>
      </w:r>
    </w:p>
    <w:p w14:paraId="49BC4015" w14:textId="3B4BE558" w:rsidR="005C378C" w:rsidRDefault="005C378C">
      <w:pPr>
        <w:pStyle w:val="HeadingTwo"/>
        <w:numPr>
          <w:ilvl w:val="0"/>
          <w:numId w:val="63"/>
        </w:numPr>
        <w:spacing w:before="60" w:after="0"/>
        <w:ind w:left="714" w:hanging="357"/>
        <w:jc w:val="both"/>
        <w:rPr>
          <w:rFonts w:cs="Arial"/>
          <w:bCs/>
          <w:color w:val="000000" w:themeColor="text1"/>
          <w:sz w:val="20"/>
          <w:szCs w:val="20"/>
        </w:rPr>
      </w:pPr>
      <w:r>
        <w:rPr>
          <w:rFonts w:cs="Arial"/>
          <w:bCs/>
          <w:color w:val="auto"/>
          <w:sz w:val="20"/>
          <w:szCs w:val="20"/>
        </w:rPr>
        <w:t xml:space="preserve">the </w:t>
      </w:r>
      <w:r w:rsidR="00433B20">
        <w:rPr>
          <w:rFonts w:cs="Arial"/>
          <w:bCs/>
          <w:color w:val="auto"/>
          <w:sz w:val="20"/>
          <w:szCs w:val="20"/>
        </w:rPr>
        <w:t>c</w:t>
      </w:r>
      <w:r>
        <w:rPr>
          <w:rFonts w:cs="Arial"/>
          <w:bCs/>
          <w:color w:val="auto"/>
          <w:sz w:val="20"/>
          <w:szCs w:val="20"/>
        </w:rPr>
        <w:t>ourt is satisfied that the making of an SEO is an appropriate way to achieve a therapeutic purpose for the respondent.</w:t>
      </w:r>
    </w:p>
    <w:p w14:paraId="20321BA1" w14:textId="7E10A8FF" w:rsidR="00184EDB" w:rsidRPr="003517E7" w:rsidRDefault="00815D00">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lastRenderedPageBreak/>
        <w:t>Pursuant to s.</w:t>
      </w:r>
      <w:r w:rsidRPr="00815D00">
        <w:rPr>
          <w:rFonts w:cs="Arial"/>
          <w:b/>
          <w:color w:val="000000" w:themeColor="text1"/>
          <w:sz w:val="20"/>
          <w:szCs w:val="20"/>
        </w:rPr>
        <w:t>22AG</w:t>
      </w:r>
      <w:r>
        <w:rPr>
          <w:rFonts w:cs="Arial"/>
          <w:bCs/>
          <w:color w:val="000000" w:themeColor="text1"/>
          <w:sz w:val="20"/>
          <w:szCs w:val="20"/>
        </w:rPr>
        <w:t xml:space="preserve"> </w:t>
      </w:r>
      <w:r w:rsidR="00184EDB" w:rsidRPr="003517E7">
        <w:rPr>
          <w:rFonts w:cs="Arial"/>
          <w:bCs/>
          <w:color w:val="000000" w:themeColor="text1"/>
          <w:sz w:val="20"/>
          <w:szCs w:val="20"/>
        </w:rPr>
        <w:t>“</w:t>
      </w:r>
      <w:r>
        <w:rPr>
          <w:rFonts w:cs="Arial"/>
          <w:bCs/>
          <w:color w:val="000000" w:themeColor="text1"/>
          <w:sz w:val="20"/>
          <w:szCs w:val="20"/>
        </w:rPr>
        <w:t>r</w:t>
      </w:r>
      <w:r w:rsidR="00184EDB" w:rsidRPr="003517E7">
        <w:rPr>
          <w:rFonts w:cs="Arial"/>
          <w:bCs/>
          <w:color w:val="000000" w:themeColor="text1"/>
          <w:sz w:val="20"/>
          <w:szCs w:val="20"/>
        </w:rPr>
        <w:t>adicalising toward violent extremism” means the process of coming to support the commission of a</w:t>
      </w:r>
      <w:r w:rsidR="00D31B89">
        <w:rPr>
          <w:rFonts w:cs="Arial"/>
          <w:bCs/>
          <w:color w:val="000000" w:themeColor="text1"/>
          <w:sz w:val="20"/>
          <w:szCs w:val="20"/>
        </w:rPr>
        <w:t xml:space="preserve"> terrorist</w:t>
      </w:r>
      <w:r w:rsidR="00184EDB" w:rsidRPr="003517E7">
        <w:rPr>
          <w:rFonts w:cs="Arial"/>
          <w:bCs/>
          <w:color w:val="000000" w:themeColor="text1"/>
          <w:sz w:val="20"/>
          <w:szCs w:val="20"/>
        </w:rPr>
        <w:t xml:space="preserve"> act under s</w:t>
      </w:r>
      <w:r w:rsidR="00184EDB">
        <w:rPr>
          <w:rFonts w:cs="Arial"/>
          <w:bCs/>
          <w:color w:val="000000" w:themeColor="text1"/>
          <w:sz w:val="20"/>
          <w:szCs w:val="20"/>
        </w:rPr>
        <w:t>.</w:t>
      </w:r>
      <w:r w:rsidR="00184EDB" w:rsidRPr="00184EDB">
        <w:rPr>
          <w:rFonts w:cs="Arial"/>
          <w:b/>
          <w:color w:val="000000" w:themeColor="text1"/>
          <w:sz w:val="20"/>
          <w:szCs w:val="20"/>
        </w:rPr>
        <w:t>4(2)</w:t>
      </w:r>
      <w:r w:rsidR="00184EDB" w:rsidRPr="003517E7">
        <w:rPr>
          <w:rFonts w:cs="Arial"/>
          <w:bCs/>
          <w:color w:val="000000" w:themeColor="text1"/>
          <w:sz w:val="20"/>
          <w:szCs w:val="20"/>
        </w:rPr>
        <w:t xml:space="preserve">, as a means of advancing a political religious or ideological cause, coercing or influencing a government or intimidating the public. A person does not need to have identified or considered a particular </w:t>
      </w:r>
      <w:r w:rsidR="00184EDB">
        <w:rPr>
          <w:rFonts w:cs="Arial"/>
          <w:bCs/>
          <w:color w:val="000000" w:themeColor="text1"/>
          <w:sz w:val="20"/>
          <w:szCs w:val="20"/>
        </w:rPr>
        <w:t>a</w:t>
      </w:r>
      <w:r w:rsidR="00184EDB" w:rsidRPr="003517E7">
        <w:rPr>
          <w:rFonts w:cs="Arial"/>
          <w:bCs/>
          <w:color w:val="000000" w:themeColor="text1"/>
          <w:sz w:val="20"/>
          <w:szCs w:val="20"/>
        </w:rPr>
        <w:t>ct in order to be considered to be radicalising towards violent extremism</w:t>
      </w:r>
      <w:r w:rsidR="00715FDB">
        <w:rPr>
          <w:rFonts w:cs="Arial"/>
          <w:bCs/>
          <w:color w:val="000000" w:themeColor="text1"/>
          <w:sz w:val="20"/>
          <w:szCs w:val="20"/>
        </w:rPr>
        <w:t xml:space="preserve"> [s.</w:t>
      </w:r>
      <w:r w:rsidR="00715FDB" w:rsidRPr="003D7C6E">
        <w:rPr>
          <w:rFonts w:cs="Arial"/>
          <w:b/>
          <w:color w:val="000000" w:themeColor="text1"/>
          <w:sz w:val="20"/>
          <w:szCs w:val="20"/>
        </w:rPr>
        <w:t>22AG(2)</w:t>
      </w:r>
      <w:r w:rsidR="00715FDB">
        <w:rPr>
          <w:rFonts w:cs="Arial"/>
          <w:bCs/>
          <w:color w:val="000000" w:themeColor="text1"/>
          <w:sz w:val="20"/>
          <w:szCs w:val="20"/>
        </w:rPr>
        <w:t>]</w:t>
      </w:r>
      <w:r w:rsidR="00184EDB" w:rsidRPr="003517E7">
        <w:rPr>
          <w:rFonts w:cs="Arial"/>
          <w:bCs/>
          <w:color w:val="000000" w:themeColor="text1"/>
          <w:sz w:val="20"/>
          <w:szCs w:val="20"/>
        </w:rPr>
        <w:t>.</w:t>
      </w:r>
      <w:r w:rsidR="00715FDB">
        <w:rPr>
          <w:rFonts w:cs="Arial"/>
          <w:bCs/>
          <w:color w:val="000000" w:themeColor="text1"/>
          <w:sz w:val="20"/>
          <w:szCs w:val="20"/>
        </w:rPr>
        <w:t xml:space="preserve">  </w:t>
      </w:r>
      <w:r w:rsidR="003D7C6E">
        <w:rPr>
          <w:rFonts w:cs="Arial"/>
          <w:bCs/>
          <w:color w:val="000000" w:themeColor="text1"/>
          <w:sz w:val="20"/>
          <w:szCs w:val="20"/>
        </w:rPr>
        <w:t xml:space="preserve">Further, the </w:t>
      </w:r>
      <w:r w:rsidR="00433B20">
        <w:rPr>
          <w:rFonts w:cs="Arial"/>
          <w:bCs/>
          <w:color w:val="000000" w:themeColor="text1"/>
          <w:sz w:val="20"/>
          <w:szCs w:val="20"/>
        </w:rPr>
        <w:t>c</w:t>
      </w:r>
      <w:r w:rsidR="003D7C6E">
        <w:rPr>
          <w:rFonts w:cs="Arial"/>
          <w:bCs/>
          <w:color w:val="000000" w:themeColor="text1"/>
          <w:sz w:val="20"/>
          <w:szCs w:val="20"/>
        </w:rPr>
        <w:t xml:space="preserve">ourt may find that a person is radicalising towards violent extremism whether or not the </w:t>
      </w:r>
      <w:r w:rsidR="00433B20">
        <w:rPr>
          <w:rFonts w:cs="Arial"/>
          <w:bCs/>
          <w:color w:val="000000" w:themeColor="text1"/>
          <w:sz w:val="20"/>
          <w:szCs w:val="20"/>
        </w:rPr>
        <w:t>c</w:t>
      </w:r>
      <w:r w:rsidR="003D7C6E">
        <w:rPr>
          <w:rFonts w:cs="Arial"/>
          <w:bCs/>
          <w:color w:val="000000" w:themeColor="text1"/>
          <w:sz w:val="20"/>
          <w:szCs w:val="20"/>
        </w:rPr>
        <w:t>ourt finds that the person is preparing to commit a terrorist act [s.</w:t>
      </w:r>
      <w:r w:rsidR="003D7C6E" w:rsidRPr="003D7C6E">
        <w:rPr>
          <w:rFonts w:cs="Arial"/>
          <w:b/>
          <w:color w:val="000000" w:themeColor="text1"/>
          <w:sz w:val="20"/>
          <w:szCs w:val="20"/>
        </w:rPr>
        <w:t>22CI(4)</w:t>
      </w:r>
      <w:r w:rsidR="003D7C6E">
        <w:rPr>
          <w:rFonts w:cs="Arial"/>
          <w:bCs/>
          <w:color w:val="000000" w:themeColor="text1"/>
          <w:sz w:val="20"/>
          <w:szCs w:val="20"/>
        </w:rPr>
        <w:t>].</w:t>
      </w:r>
    </w:p>
    <w:p w14:paraId="5621A4A3" w14:textId="2790F6AB" w:rsidR="003D7C6E" w:rsidRDefault="00184ED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A</w:t>
      </w:r>
      <w:r w:rsidR="002A0B1E">
        <w:rPr>
          <w:rFonts w:cs="Arial"/>
          <w:bCs/>
          <w:color w:val="000000" w:themeColor="text1"/>
          <w:sz w:val="20"/>
          <w:szCs w:val="20"/>
        </w:rPr>
        <w:t>s defined in s.</w:t>
      </w:r>
      <w:r w:rsidR="002A0B1E" w:rsidRPr="002A0B1E">
        <w:rPr>
          <w:rFonts w:cs="Arial"/>
          <w:b/>
          <w:color w:val="000000" w:themeColor="text1"/>
          <w:sz w:val="20"/>
          <w:szCs w:val="20"/>
        </w:rPr>
        <w:t>4</w:t>
      </w:r>
      <w:r w:rsidR="002A0B1E">
        <w:rPr>
          <w:rFonts w:cs="Arial"/>
          <w:bCs/>
          <w:color w:val="000000" w:themeColor="text1"/>
          <w:sz w:val="20"/>
          <w:szCs w:val="20"/>
        </w:rPr>
        <w:t>, a</w:t>
      </w:r>
      <w:r w:rsidRPr="003517E7">
        <w:rPr>
          <w:rFonts w:cs="Arial"/>
          <w:bCs/>
          <w:color w:val="000000" w:themeColor="text1"/>
          <w:sz w:val="20"/>
          <w:szCs w:val="20"/>
        </w:rPr>
        <w:t xml:space="preserve"> </w:t>
      </w:r>
      <w:r w:rsidR="003D7C6E">
        <w:rPr>
          <w:rFonts w:cs="Arial"/>
          <w:bCs/>
          <w:color w:val="000000" w:themeColor="text1"/>
          <w:sz w:val="20"/>
          <w:szCs w:val="20"/>
        </w:rPr>
        <w:t>“</w:t>
      </w:r>
      <w:r w:rsidRPr="003517E7">
        <w:rPr>
          <w:rFonts w:cs="Arial"/>
          <w:bCs/>
          <w:color w:val="000000" w:themeColor="text1"/>
          <w:sz w:val="20"/>
          <w:szCs w:val="20"/>
        </w:rPr>
        <w:t>terrorist act</w:t>
      </w:r>
      <w:r w:rsidR="003D7C6E">
        <w:rPr>
          <w:rFonts w:cs="Arial"/>
          <w:bCs/>
          <w:color w:val="000000" w:themeColor="text1"/>
          <w:sz w:val="20"/>
          <w:szCs w:val="20"/>
        </w:rPr>
        <w:t>”</w:t>
      </w:r>
      <w:r w:rsidRPr="003517E7">
        <w:rPr>
          <w:rFonts w:cs="Arial"/>
          <w:bCs/>
          <w:color w:val="000000" w:themeColor="text1"/>
          <w:sz w:val="20"/>
          <w:szCs w:val="20"/>
        </w:rPr>
        <w:t xml:space="preserve"> includes</w:t>
      </w:r>
      <w:r w:rsidR="002A0B1E">
        <w:rPr>
          <w:rFonts w:cs="Arial"/>
          <w:bCs/>
          <w:color w:val="000000" w:themeColor="text1"/>
          <w:sz w:val="20"/>
          <w:szCs w:val="20"/>
        </w:rPr>
        <w:t xml:space="preserve"> </w:t>
      </w:r>
      <w:r w:rsidRPr="003517E7">
        <w:rPr>
          <w:rFonts w:cs="Arial"/>
          <w:bCs/>
          <w:color w:val="000000" w:themeColor="text1"/>
          <w:sz w:val="20"/>
          <w:szCs w:val="20"/>
        </w:rPr>
        <w:t>an action or threat of an action</w:t>
      </w:r>
      <w:r w:rsidR="003D7C6E">
        <w:rPr>
          <w:rFonts w:cs="Arial"/>
          <w:bCs/>
          <w:color w:val="000000" w:themeColor="text1"/>
          <w:sz w:val="20"/>
          <w:szCs w:val="20"/>
        </w:rPr>
        <w:t xml:space="preserve"> where</w:t>
      </w:r>
      <w:r w:rsidR="00013698">
        <w:rPr>
          <w:rFonts w:cs="Arial"/>
          <w:bCs/>
          <w:color w:val="000000" w:themeColor="text1"/>
          <w:sz w:val="20"/>
          <w:szCs w:val="20"/>
        </w:rPr>
        <w:t>–</w:t>
      </w:r>
    </w:p>
    <w:p w14:paraId="6DA75684" w14:textId="6ECC0938" w:rsidR="003D7C6E" w:rsidRPr="003D7C6E" w:rsidRDefault="003D7C6E">
      <w:pPr>
        <w:pStyle w:val="ListParagraph"/>
        <w:numPr>
          <w:ilvl w:val="0"/>
          <w:numId w:val="57"/>
        </w:numPr>
        <w:ind w:left="714" w:hanging="357"/>
        <w:jc w:val="both"/>
        <w:rPr>
          <w:rFonts w:ascii="Arial" w:hAnsi="Arial" w:cs="Arial"/>
          <w:color w:val="000000"/>
          <w:sz w:val="20"/>
        </w:rPr>
      </w:pPr>
      <w:r w:rsidRPr="003D7C6E">
        <w:rPr>
          <w:rFonts w:ascii="Arial" w:hAnsi="Arial" w:cs="Arial"/>
          <w:bCs/>
          <w:color w:val="000000" w:themeColor="text1"/>
          <w:sz w:val="20"/>
        </w:rPr>
        <w:t xml:space="preserve">serious </w:t>
      </w:r>
      <w:r>
        <w:rPr>
          <w:rFonts w:ascii="Arial" w:hAnsi="Arial" w:cs="Arial"/>
          <w:bCs/>
          <w:color w:val="000000" w:themeColor="text1"/>
          <w:sz w:val="20"/>
        </w:rPr>
        <w:t xml:space="preserve">physical </w:t>
      </w:r>
      <w:r w:rsidRPr="003D7C6E">
        <w:rPr>
          <w:rFonts w:ascii="Arial" w:hAnsi="Arial" w:cs="Arial"/>
          <w:bCs/>
          <w:color w:val="000000" w:themeColor="text1"/>
          <w:sz w:val="20"/>
        </w:rPr>
        <w:t xml:space="preserve">harm </w:t>
      </w:r>
      <w:r>
        <w:rPr>
          <w:rFonts w:ascii="Arial" w:hAnsi="Arial" w:cs="Arial"/>
          <w:bCs/>
          <w:color w:val="000000" w:themeColor="text1"/>
          <w:sz w:val="20"/>
        </w:rPr>
        <w:t xml:space="preserve">or death is caused to a person; </w:t>
      </w:r>
      <w:r w:rsidRPr="003D7C6E">
        <w:rPr>
          <w:rFonts w:ascii="Arial" w:hAnsi="Arial" w:cs="Arial"/>
          <w:bCs/>
          <w:color w:val="000000" w:themeColor="text1"/>
          <w:sz w:val="20"/>
        </w:rPr>
        <w:t>or</w:t>
      </w:r>
    </w:p>
    <w:p w14:paraId="2CE18CFC" w14:textId="534AA155" w:rsidR="003D7C6E" w:rsidRPr="003D7C6E" w:rsidRDefault="003D7C6E">
      <w:pPr>
        <w:pStyle w:val="ListParagraph"/>
        <w:numPr>
          <w:ilvl w:val="0"/>
          <w:numId w:val="57"/>
        </w:numPr>
        <w:ind w:left="714" w:hanging="357"/>
        <w:jc w:val="both"/>
        <w:rPr>
          <w:rFonts w:ascii="Arial" w:hAnsi="Arial" w:cs="Arial"/>
          <w:color w:val="000000"/>
          <w:sz w:val="20"/>
        </w:rPr>
      </w:pPr>
      <w:r>
        <w:rPr>
          <w:rFonts w:ascii="Arial" w:hAnsi="Arial" w:cs="Arial"/>
          <w:bCs/>
          <w:color w:val="000000" w:themeColor="text1"/>
          <w:sz w:val="20"/>
        </w:rPr>
        <w:t xml:space="preserve">serious </w:t>
      </w:r>
      <w:r w:rsidRPr="003D7C6E">
        <w:rPr>
          <w:rFonts w:ascii="Arial" w:hAnsi="Arial" w:cs="Arial"/>
          <w:bCs/>
          <w:color w:val="000000" w:themeColor="text1"/>
          <w:sz w:val="20"/>
        </w:rPr>
        <w:t>damage</w:t>
      </w:r>
      <w:r>
        <w:rPr>
          <w:rFonts w:ascii="Arial" w:hAnsi="Arial" w:cs="Arial"/>
          <w:bCs/>
          <w:color w:val="000000" w:themeColor="text1"/>
          <w:sz w:val="20"/>
        </w:rPr>
        <w:t xml:space="preserve"> </w:t>
      </w:r>
      <w:r w:rsidRPr="003D7C6E">
        <w:rPr>
          <w:rFonts w:ascii="Arial" w:hAnsi="Arial" w:cs="Arial"/>
          <w:bCs/>
          <w:color w:val="000000" w:themeColor="text1"/>
          <w:sz w:val="20"/>
        </w:rPr>
        <w:t>is caused</w:t>
      </w:r>
      <w:r>
        <w:rPr>
          <w:rFonts w:ascii="Arial" w:hAnsi="Arial" w:cs="Arial"/>
          <w:bCs/>
          <w:color w:val="000000" w:themeColor="text1"/>
          <w:sz w:val="20"/>
        </w:rPr>
        <w:t xml:space="preserve"> to property; or</w:t>
      </w:r>
    </w:p>
    <w:p w14:paraId="711C23FA" w14:textId="5001BB3B" w:rsidR="003D7C6E" w:rsidRPr="0005775A" w:rsidRDefault="003D7C6E">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a serious risk is caused to health and safety</w:t>
      </w:r>
      <w:r w:rsidR="0005775A">
        <w:rPr>
          <w:rFonts w:ascii="Arial" w:hAnsi="Arial" w:cs="Arial"/>
          <w:bCs/>
          <w:color w:val="000000" w:themeColor="text1"/>
          <w:sz w:val="20"/>
        </w:rPr>
        <w:t xml:space="preserve"> of the public or a section of the public; or</w:t>
      </w:r>
    </w:p>
    <w:p w14:paraId="6D78B6E6" w14:textId="0EFD8DC5" w:rsidR="0005775A" w:rsidRPr="0005775A" w:rsidRDefault="0005775A">
      <w:pPr>
        <w:pStyle w:val="ListParagraph"/>
        <w:numPr>
          <w:ilvl w:val="0"/>
          <w:numId w:val="57"/>
        </w:numPr>
        <w:ind w:left="714" w:hanging="357"/>
        <w:jc w:val="both"/>
        <w:rPr>
          <w:rFonts w:ascii="Arial" w:hAnsi="Arial" w:cs="Arial"/>
          <w:color w:val="000000"/>
          <w:sz w:val="20"/>
        </w:rPr>
      </w:pPr>
      <w:r w:rsidRPr="0005775A">
        <w:rPr>
          <w:rFonts w:ascii="Arial" w:hAnsi="Arial" w:cs="Arial"/>
          <w:bCs/>
          <w:color w:val="000000" w:themeColor="text1"/>
          <w:sz w:val="20"/>
        </w:rPr>
        <w:t xml:space="preserve">a serious disruption or destruction </w:t>
      </w:r>
      <w:r>
        <w:rPr>
          <w:rFonts w:ascii="Arial" w:hAnsi="Arial" w:cs="Arial"/>
          <w:bCs/>
          <w:color w:val="000000" w:themeColor="text1"/>
          <w:sz w:val="20"/>
        </w:rPr>
        <w:t xml:space="preserve">is caused to </w:t>
      </w:r>
      <w:r w:rsidRPr="0005775A">
        <w:rPr>
          <w:rFonts w:ascii="Arial" w:hAnsi="Arial" w:cs="Arial"/>
          <w:bCs/>
          <w:color w:val="000000" w:themeColor="text1"/>
          <w:sz w:val="20"/>
        </w:rPr>
        <w:t>a</w:t>
      </w:r>
      <w:r w:rsidR="00966DCD">
        <w:rPr>
          <w:rFonts w:ascii="Arial" w:hAnsi="Arial" w:cs="Arial"/>
          <w:bCs/>
          <w:color w:val="000000" w:themeColor="text1"/>
          <w:sz w:val="20"/>
        </w:rPr>
        <w:t>n electronic s</w:t>
      </w:r>
      <w:r w:rsidRPr="0005775A">
        <w:rPr>
          <w:rFonts w:ascii="Arial" w:hAnsi="Arial" w:cs="Arial"/>
          <w:bCs/>
          <w:color w:val="000000" w:themeColor="text1"/>
          <w:sz w:val="20"/>
        </w:rPr>
        <w:t>ystem such as a</w:t>
      </w:r>
      <w:r w:rsidR="00966DCD">
        <w:rPr>
          <w:rFonts w:ascii="Arial" w:hAnsi="Arial" w:cs="Arial"/>
          <w:bCs/>
          <w:color w:val="000000" w:themeColor="text1"/>
          <w:sz w:val="20"/>
        </w:rPr>
        <w:t>n</w:t>
      </w:r>
      <w:r w:rsidRPr="0005775A">
        <w:rPr>
          <w:rFonts w:ascii="Arial" w:hAnsi="Arial" w:cs="Arial"/>
          <w:bCs/>
          <w:color w:val="000000" w:themeColor="text1"/>
          <w:sz w:val="20"/>
        </w:rPr>
        <w:t xml:space="preserve"> </w:t>
      </w:r>
      <w:r w:rsidR="00966DCD">
        <w:rPr>
          <w:rFonts w:ascii="Arial" w:hAnsi="Arial" w:cs="Arial"/>
          <w:bCs/>
          <w:color w:val="000000" w:themeColor="text1"/>
          <w:sz w:val="20"/>
        </w:rPr>
        <w:t xml:space="preserve">information system or a </w:t>
      </w:r>
      <w:r w:rsidRPr="0005775A">
        <w:rPr>
          <w:rFonts w:ascii="Arial" w:hAnsi="Arial" w:cs="Arial"/>
          <w:bCs/>
          <w:color w:val="000000" w:themeColor="text1"/>
          <w:sz w:val="20"/>
        </w:rPr>
        <w:t>telecommunication</w:t>
      </w:r>
      <w:r w:rsidR="00966DCD">
        <w:rPr>
          <w:rFonts w:ascii="Arial" w:hAnsi="Arial" w:cs="Arial"/>
          <w:bCs/>
          <w:color w:val="000000" w:themeColor="text1"/>
          <w:sz w:val="20"/>
        </w:rPr>
        <w:t>s</w:t>
      </w:r>
      <w:r w:rsidRPr="0005775A">
        <w:rPr>
          <w:rFonts w:ascii="Arial" w:hAnsi="Arial" w:cs="Arial"/>
          <w:bCs/>
          <w:color w:val="000000" w:themeColor="text1"/>
          <w:sz w:val="20"/>
        </w:rPr>
        <w:t xml:space="preserve"> system</w:t>
      </w:r>
      <w:r w:rsidR="00966DCD">
        <w:rPr>
          <w:rFonts w:ascii="Arial" w:hAnsi="Arial" w:cs="Arial"/>
          <w:bCs/>
          <w:color w:val="000000" w:themeColor="text1"/>
          <w:sz w:val="20"/>
        </w:rPr>
        <w:t xml:space="preserve"> etc</w:t>
      </w:r>
      <w:r>
        <w:rPr>
          <w:rFonts w:ascii="Arial" w:hAnsi="Arial" w:cs="Arial"/>
          <w:bCs/>
          <w:color w:val="000000" w:themeColor="text1"/>
          <w:sz w:val="20"/>
        </w:rPr>
        <w:t>-</w:t>
      </w:r>
    </w:p>
    <w:p w14:paraId="3D5AC069" w14:textId="12C0C1DE" w:rsidR="00184EDB" w:rsidRPr="0005775A" w:rsidRDefault="00184EDB" w:rsidP="005C378C">
      <w:pPr>
        <w:pStyle w:val="HeadingTwo"/>
        <w:spacing w:after="0"/>
        <w:ind w:left="357"/>
        <w:jc w:val="both"/>
        <w:rPr>
          <w:rFonts w:cs="Arial"/>
          <w:bCs/>
          <w:color w:val="000000" w:themeColor="text1"/>
          <w:sz w:val="20"/>
          <w:szCs w:val="20"/>
        </w:rPr>
      </w:pPr>
      <w:r w:rsidRPr="0005775A">
        <w:rPr>
          <w:rFonts w:cs="Arial"/>
          <w:bCs/>
          <w:color w:val="000000" w:themeColor="text1"/>
          <w:sz w:val="20"/>
          <w:szCs w:val="20"/>
        </w:rPr>
        <w:t>with the intention of advancing a political, religious or ideological cause</w:t>
      </w:r>
      <w:r w:rsidR="0005775A">
        <w:rPr>
          <w:rFonts w:cs="Arial"/>
          <w:bCs/>
          <w:color w:val="000000" w:themeColor="text1"/>
          <w:sz w:val="20"/>
          <w:szCs w:val="20"/>
        </w:rPr>
        <w:t xml:space="preserve"> or o</w:t>
      </w:r>
      <w:r w:rsidRPr="0005775A">
        <w:rPr>
          <w:rFonts w:cs="Arial"/>
          <w:bCs/>
          <w:color w:val="000000" w:themeColor="text1"/>
          <w:sz w:val="20"/>
          <w:szCs w:val="20"/>
        </w:rPr>
        <w:t xml:space="preserve">f coercing the government or intimidating the public. </w:t>
      </w:r>
      <w:r w:rsidR="0098304F">
        <w:rPr>
          <w:rFonts w:cs="Arial"/>
          <w:bCs/>
          <w:color w:val="000000" w:themeColor="text1"/>
          <w:sz w:val="20"/>
          <w:szCs w:val="20"/>
        </w:rPr>
        <w:t>However, s.</w:t>
      </w:r>
      <w:r w:rsidRPr="0005775A">
        <w:rPr>
          <w:rFonts w:cs="Arial"/>
          <w:b/>
          <w:color w:val="000000" w:themeColor="text1"/>
          <w:sz w:val="20"/>
          <w:szCs w:val="20"/>
        </w:rPr>
        <w:t>4(3)</w:t>
      </w:r>
      <w:r w:rsidRPr="0005775A">
        <w:rPr>
          <w:rFonts w:cs="Arial"/>
          <w:bCs/>
          <w:color w:val="000000" w:themeColor="text1"/>
          <w:sz w:val="20"/>
          <w:szCs w:val="20"/>
        </w:rPr>
        <w:t xml:space="preserve"> provides that action will not be considered a terrorist act if it </w:t>
      </w:r>
      <w:r w:rsidR="00D31B89" w:rsidRPr="0005775A">
        <w:rPr>
          <w:rFonts w:cs="Arial"/>
          <w:bCs/>
          <w:color w:val="000000" w:themeColor="text1"/>
          <w:sz w:val="20"/>
          <w:szCs w:val="20"/>
        </w:rPr>
        <w:t xml:space="preserve">is </w:t>
      </w:r>
      <w:r w:rsidRPr="0005775A">
        <w:rPr>
          <w:rFonts w:cs="Arial"/>
          <w:bCs/>
          <w:color w:val="000000" w:themeColor="text1"/>
          <w:sz w:val="20"/>
          <w:szCs w:val="20"/>
        </w:rPr>
        <w:t xml:space="preserve">advocacy, protest, dissent or industrial action and it is not intended to cause serious harm or risk. </w:t>
      </w:r>
    </w:p>
    <w:p w14:paraId="214EA209" w14:textId="4E79CB13" w:rsidR="0098304F" w:rsidRDefault="002A0B1E">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Pursuant to s.</w:t>
      </w:r>
      <w:r w:rsidRPr="002A0B1E">
        <w:rPr>
          <w:rFonts w:cs="Arial"/>
          <w:b/>
          <w:color w:val="000000" w:themeColor="text1"/>
          <w:sz w:val="20"/>
          <w:szCs w:val="20"/>
        </w:rPr>
        <w:t>22</w:t>
      </w:r>
      <w:r w:rsidR="00966DCD">
        <w:rPr>
          <w:rFonts w:cs="Arial"/>
          <w:b/>
          <w:color w:val="000000" w:themeColor="text1"/>
          <w:sz w:val="20"/>
          <w:szCs w:val="20"/>
        </w:rPr>
        <w:t>AK</w:t>
      </w:r>
      <w:r w:rsidRPr="002A0B1E">
        <w:rPr>
          <w:rFonts w:cs="Arial"/>
          <w:b/>
          <w:color w:val="000000" w:themeColor="text1"/>
          <w:sz w:val="20"/>
          <w:szCs w:val="20"/>
        </w:rPr>
        <w:t>(1)</w:t>
      </w:r>
      <w:r>
        <w:rPr>
          <w:rFonts w:cs="Arial"/>
          <w:bCs/>
          <w:color w:val="000000" w:themeColor="text1"/>
          <w:sz w:val="20"/>
          <w:szCs w:val="20"/>
        </w:rPr>
        <w:t xml:space="preserve">, </w:t>
      </w:r>
      <w:r w:rsidR="008A1744" w:rsidRPr="003517E7">
        <w:rPr>
          <w:rFonts w:cs="Arial"/>
          <w:bCs/>
          <w:color w:val="000000" w:themeColor="text1"/>
          <w:sz w:val="20"/>
          <w:szCs w:val="20"/>
        </w:rPr>
        <w:t>a thing is done or designed to achieve a “therapeutic purpose” if (amongst other matters) it is done or designed</w:t>
      </w:r>
      <w:r w:rsidR="00013698">
        <w:rPr>
          <w:rFonts w:cs="Arial"/>
          <w:bCs/>
          <w:color w:val="000000" w:themeColor="text1"/>
          <w:sz w:val="20"/>
          <w:szCs w:val="20"/>
        </w:rPr>
        <w:t>–</w:t>
      </w:r>
    </w:p>
    <w:p w14:paraId="53FE4E8B" w14:textId="5B858CF3"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to address the underlying cause of the person’s radicalisation and other factors which may make the person more susceptible to radicalisation; and</w:t>
      </w:r>
    </w:p>
    <w:p w14:paraId="020202C8" w14:textId="07DA26D0" w:rsidR="0098304F" w:rsidRDefault="0098304F">
      <w:pPr>
        <w:pStyle w:val="HeadingTwo"/>
        <w:numPr>
          <w:ilvl w:val="1"/>
          <w:numId w:val="61"/>
        </w:numPr>
        <w:spacing w:before="60" w:after="0"/>
        <w:ind w:left="714" w:hanging="357"/>
        <w:jc w:val="both"/>
        <w:rPr>
          <w:rFonts w:cs="Arial"/>
          <w:bCs/>
          <w:color w:val="auto"/>
          <w:sz w:val="20"/>
          <w:szCs w:val="20"/>
        </w:rPr>
      </w:pPr>
      <w:r>
        <w:rPr>
          <w:rFonts w:cs="Arial"/>
          <w:bCs/>
          <w:color w:val="auto"/>
          <w:sz w:val="20"/>
          <w:szCs w:val="20"/>
        </w:rPr>
        <w:t>by doing so, to prevent the person from radicalising and have the person become less radicalised.</w:t>
      </w:r>
    </w:p>
    <w:p w14:paraId="570F9FC6" w14:textId="3D5ABC21" w:rsidR="0098304F" w:rsidRPr="00184EDB" w:rsidRDefault="0098304F" w:rsidP="005C378C">
      <w:pPr>
        <w:pStyle w:val="HeadingTwo"/>
        <w:spacing w:before="60" w:after="0"/>
        <w:ind w:left="357"/>
        <w:jc w:val="both"/>
        <w:rPr>
          <w:rFonts w:cs="Arial"/>
          <w:bCs/>
          <w:color w:val="auto"/>
          <w:sz w:val="20"/>
          <w:szCs w:val="20"/>
        </w:rPr>
      </w:pPr>
      <w:r>
        <w:rPr>
          <w:rFonts w:cs="Arial"/>
          <w:bCs/>
          <w:color w:val="auto"/>
          <w:sz w:val="20"/>
          <w:szCs w:val="20"/>
        </w:rPr>
        <w:t>See s.</w:t>
      </w:r>
      <w:r w:rsidRPr="0098304F">
        <w:rPr>
          <w:rFonts w:cs="Arial"/>
          <w:b/>
          <w:color w:val="auto"/>
          <w:sz w:val="20"/>
          <w:szCs w:val="20"/>
        </w:rPr>
        <w:t>22AL</w:t>
      </w:r>
      <w:r>
        <w:rPr>
          <w:rFonts w:cs="Arial"/>
          <w:bCs/>
          <w:color w:val="auto"/>
          <w:sz w:val="20"/>
          <w:szCs w:val="20"/>
        </w:rPr>
        <w:t xml:space="preserve"> for the meaning of “</w:t>
      </w:r>
      <w:r w:rsidRPr="0098304F">
        <w:rPr>
          <w:rFonts w:cs="Arial"/>
          <w:bCs/>
          <w:i/>
          <w:iCs/>
          <w:color w:val="auto"/>
          <w:sz w:val="20"/>
          <w:szCs w:val="20"/>
        </w:rPr>
        <w:t>underlying cause</w:t>
      </w:r>
      <w:r>
        <w:rPr>
          <w:rFonts w:cs="Arial"/>
          <w:bCs/>
          <w:color w:val="auto"/>
          <w:sz w:val="20"/>
          <w:szCs w:val="20"/>
        </w:rPr>
        <w:t xml:space="preserve"> of radicalisation</w:t>
      </w:r>
      <w:r w:rsidR="00715822">
        <w:rPr>
          <w:rFonts w:cs="Arial"/>
          <w:bCs/>
          <w:color w:val="auto"/>
          <w:sz w:val="20"/>
          <w:szCs w:val="20"/>
        </w:rPr>
        <w:t>”</w:t>
      </w:r>
      <w:r>
        <w:rPr>
          <w:rFonts w:cs="Arial"/>
          <w:bCs/>
          <w:color w:val="auto"/>
          <w:sz w:val="20"/>
          <w:szCs w:val="20"/>
        </w:rPr>
        <w:t>.</w:t>
      </w:r>
    </w:p>
    <w:p w14:paraId="5EAE1463" w14:textId="328656DB" w:rsidR="009F5266" w:rsidRDefault="009F5266">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9F5266">
        <w:rPr>
          <w:rFonts w:cs="Arial"/>
          <w:b/>
          <w:color w:val="000000" w:themeColor="text1"/>
          <w:sz w:val="20"/>
          <w:szCs w:val="20"/>
        </w:rPr>
        <w:t>22CO(3)</w:t>
      </w:r>
      <w:r>
        <w:rPr>
          <w:rFonts w:cs="Arial"/>
          <w:bCs/>
          <w:color w:val="000000" w:themeColor="text1"/>
          <w:sz w:val="20"/>
          <w:szCs w:val="20"/>
        </w:rPr>
        <w:t xml:space="preserve"> provides that </w:t>
      </w:r>
      <w:r w:rsidR="008A1744" w:rsidRPr="003517E7">
        <w:rPr>
          <w:rFonts w:cs="Arial"/>
          <w:bCs/>
          <w:color w:val="000000" w:themeColor="text1"/>
          <w:sz w:val="20"/>
          <w:szCs w:val="20"/>
        </w:rPr>
        <w:t xml:space="preserve">In determining whether to make an SEO the </w:t>
      </w:r>
      <w:r w:rsidR="00433B20">
        <w:rPr>
          <w:rFonts w:cs="Arial"/>
          <w:bCs/>
          <w:color w:val="000000" w:themeColor="text1"/>
          <w:sz w:val="20"/>
          <w:szCs w:val="20"/>
        </w:rPr>
        <w:t>c</w:t>
      </w:r>
      <w:r w:rsidR="008A1744" w:rsidRPr="003517E7">
        <w:rPr>
          <w:rFonts w:cs="Arial"/>
          <w:bCs/>
          <w:color w:val="000000" w:themeColor="text1"/>
          <w:sz w:val="20"/>
          <w:szCs w:val="20"/>
        </w:rPr>
        <w:t>ourt must have regard to</w:t>
      </w:r>
      <w:r w:rsidR="00013698">
        <w:rPr>
          <w:rFonts w:cs="Arial"/>
          <w:bCs/>
          <w:color w:val="000000" w:themeColor="text1"/>
          <w:sz w:val="20"/>
          <w:szCs w:val="20"/>
        </w:rPr>
        <w:t>–</w:t>
      </w:r>
    </w:p>
    <w:p w14:paraId="241AC33F" w14:textId="74A575AD" w:rsidR="009F5266" w:rsidRDefault="009F5266">
      <w:pPr>
        <w:pStyle w:val="HeadingTwo"/>
        <w:numPr>
          <w:ilvl w:val="1"/>
          <w:numId w:val="72"/>
        </w:numPr>
        <w:spacing w:before="60" w:after="0"/>
        <w:ind w:left="714" w:hanging="357"/>
        <w:jc w:val="both"/>
        <w:rPr>
          <w:rFonts w:cs="Arial"/>
          <w:bCs/>
          <w:color w:val="auto"/>
          <w:sz w:val="20"/>
          <w:szCs w:val="20"/>
        </w:rPr>
      </w:pPr>
      <w:r>
        <w:rPr>
          <w:rFonts w:cs="Arial"/>
          <w:bCs/>
          <w:color w:val="auto"/>
          <w:sz w:val="20"/>
          <w:szCs w:val="20"/>
        </w:rPr>
        <w:t>whether endeavours to obtain informed consent in respect of voluntary case management of the respondent [see ss.</w:t>
      </w:r>
      <w:r w:rsidRPr="00D40A27">
        <w:rPr>
          <w:rFonts w:cs="Arial"/>
          <w:b/>
          <w:color w:val="auto"/>
          <w:sz w:val="20"/>
          <w:szCs w:val="20"/>
        </w:rPr>
        <w:t>22BP &amp; 22BV</w:t>
      </w:r>
      <w:r>
        <w:rPr>
          <w:rFonts w:cs="Arial"/>
          <w:bCs/>
          <w:color w:val="auto"/>
          <w:sz w:val="20"/>
          <w:szCs w:val="20"/>
        </w:rPr>
        <w:t>] have previously failed; and</w:t>
      </w:r>
    </w:p>
    <w:p w14:paraId="46F8456D" w14:textId="5EE7177C" w:rsidR="009F5266"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such informed consent has been withdrawn</w:t>
      </w:r>
      <w:r>
        <w:rPr>
          <w:color w:val="000000" w:themeColor="text1"/>
          <w:sz w:val="20"/>
          <w:szCs w:val="20"/>
        </w:rPr>
        <w:t xml:space="preserve"> [see </w:t>
      </w:r>
      <w:r w:rsidRPr="00715822">
        <w:rPr>
          <w:color w:val="000000" w:themeColor="text1"/>
          <w:sz w:val="20"/>
          <w:szCs w:val="20"/>
        </w:rPr>
        <w:t>s.</w:t>
      </w:r>
      <w:r w:rsidRPr="00D40A27">
        <w:rPr>
          <w:b/>
          <w:bCs/>
          <w:color w:val="000000" w:themeColor="text1"/>
          <w:sz w:val="20"/>
          <w:szCs w:val="20"/>
        </w:rPr>
        <w:t>22BX</w:t>
      </w:r>
      <w:r>
        <w:rPr>
          <w:color w:val="000000" w:themeColor="text1"/>
          <w:sz w:val="20"/>
          <w:szCs w:val="20"/>
        </w:rPr>
        <w:t>]; and</w:t>
      </w:r>
    </w:p>
    <w:p w14:paraId="627CD978" w14:textId="453B4292"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has otherwise previously declined or ceased to voluntarily engage with services and programs of the kind that a</w:t>
      </w:r>
      <w:r>
        <w:rPr>
          <w:color w:val="000000" w:themeColor="text1"/>
          <w:sz w:val="20"/>
          <w:szCs w:val="20"/>
        </w:rPr>
        <w:t xml:space="preserve">n SEP </w:t>
      </w:r>
      <w:r w:rsidRPr="00D40A27">
        <w:rPr>
          <w:color w:val="000000" w:themeColor="text1"/>
          <w:sz w:val="20"/>
          <w:szCs w:val="20"/>
        </w:rPr>
        <w:t>can require a person to engage with; and</w:t>
      </w:r>
    </w:p>
    <w:p w14:paraId="0D75BAE0" w14:textId="6452F7B6"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respondent is likely to continue to be radicalised towards violent extremism if the order is not made; and</w:t>
      </w:r>
    </w:p>
    <w:p w14:paraId="5DF5DEC7" w14:textId="433DF48C" w:rsidR="00D40A27" w:rsidRPr="00D40A27" w:rsidRDefault="00D40A2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the frequency and seriousness of the behaviour in respect of which the </w:t>
      </w:r>
      <w:r w:rsidR="00433B20">
        <w:rPr>
          <w:color w:val="000000" w:themeColor="text1"/>
          <w:sz w:val="20"/>
          <w:szCs w:val="20"/>
        </w:rPr>
        <w:t>c</w:t>
      </w:r>
      <w:r w:rsidRPr="00D40A27">
        <w:rPr>
          <w:color w:val="000000" w:themeColor="text1"/>
          <w:sz w:val="20"/>
          <w:szCs w:val="20"/>
        </w:rPr>
        <w:t>ourt made a finding under s</w:t>
      </w:r>
      <w:r>
        <w:rPr>
          <w:color w:val="000000" w:themeColor="text1"/>
          <w:sz w:val="20"/>
          <w:szCs w:val="20"/>
        </w:rPr>
        <w:t>.</w:t>
      </w:r>
      <w:r w:rsidRPr="00D40A27">
        <w:rPr>
          <w:b/>
          <w:bCs/>
          <w:color w:val="000000" w:themeColor="text1"/>
          <w:sz w:val="20"/>
          <w:szCs w:val="20"/>
        </w:rPr>
        <w:t>22CI(2)</w:t>
      </w:r>
      <w:r w:rsidRPr="00D40A27">
        <w:rPr>
          <w:color w:val="000000" w:themeColor="text1"/>
          <w:sz w:val="20"/>
          <w:szCs w:val="20"/>
        </w:rPr>
        <w:t xml:space="preserve"> that </w:t>
      </w:r>
      <w:r w:rsidR="00341C47">
        <w:rPr>
          <w:color w:val="000000" w:themeColor="text1"/>
          <w:sz w:val="20"/>
          <w:szCs w:val="20"/>
        </w:rPr>
        <w:t>the behaviour has been engaged in by the respondent and indicates that the respondent is radicalising towards violent extremism</w:t>
      </w:r>
      <w:r w:rsidRPr="00D40A27">
        <w:rPr>
          <w:color w:val="000000" w:themeColor="text1"/>
          <w:sz w:val="20"/>
          <w:szCs w:val="20"/>
        </w:rPr>
        <w:t>;</w:t>
      </w:r>
    </w:p>
    <w:p w14:paraId="1D27C20D" w14:textId="1F85C345" w:rsidR="00D40A27" w:rsidRP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whether the order is likely to have a significant adverse impact on the respondent; and</w:t>
      </w:r>
    </w:p>
    <w:p w14:paraId="69A0DEC5" w14:textId="125309F3" w:rsidR="00341C47" w:rsidRDefault="00341C47">
      <w:pPr>
        <w:pStyle w:val="HeadingTwo"/>
        <w:numPr>
          <w:ilvl w:val="1"/>
          <w:numId w:val="72"/>
        </w:numPr>
        <w:spacing w:before="60" w:after="0"/>
        <w:ind w:left="714" w:hanging="357"/>
        <w:jc w:val="both"/>
        <w:rPr>
          <w:rFonts w:cs="Arial"/>
          <w:bCs/>
          <w:color w:val="auto"/>
          <w:sz w:val="20"/>
          <w:szCs w:val="20"/>
        </w:rPr>
      </w:pPr>
      <w:r w:rsidRPr="00D40A27">
        <w:rPr>
          <w:color w:val="000000" w:themeColor="text1"/>
          <w:sz w:val="20"/>
          <w:szCs w:val="20"/>
        </w:rPr>
        <w:t xml:space="preserve">any other matters the </w:t>
      </w:r>
      <w:r w:rsidR="00433B20">
        <w:rPr>
          <w:color w:val="000000" w:themeColor="text1"/>
          <w:sz w:val="20"/>
          <w:szCs w:val="20"/>
        </w:rPr>
        <w:t>c</w:t>
      </w:r>
      <w:r w:rsidRPr="00D40A27">
        <w:rPr>
          <w:color w:val="000000" w:themeColor="text1"/>
          <w:sz w:val="20"/>
          <w:szCs w:val="20"/>
        </w:rPr>
        <w:t>ourt considers relevant.</w:t>
      </w:r>
    </w:p>
    <w:p w14:paraId="3F926ED3" w14:textId="3084DC80" w:rsidR="009F5266" w:rsidRDefault="005C378C">
      <w:pPr>
        <w:pStyle w:val="HeadingTwo"/>
        <w:numPr>
          <w:ilvl w:val="0"/>
          <w:numId w:val="61"/>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5C378C">
        <w:rPr>
          <w:rFonts w:cs="Arial"/>
          <w:b/>
          <w:color w:val="000000" w:themeColor="text1"/>
          <w:sz w:val="20"/>
          <w:szCs w:val="20"/>
        </w:rPr>
        <w:t>22CQ(1)</w:t>
      </w:r>
      <w:r>
        <w:rPr>
          <w:rFonts w:cs="Arial"/>
          <w:bCs/>
          <w:color w:val="000000" w:themeColor="text1"/>
          <w:sz w:val="20"/>
          <w:szCs w:val="20"/>
        </w:rPr>
        <w:t xml:space="preserve"> provides that i</w:t>
      </w:r>
      <w:r w:rsidRPr="003517E7">
        <w:rPr>
          <w:rFonts w:cs="Arial"/>
          <w:bCs/>
          <w:color w:val="000000" w:themeColor="text1"/>
          <w:sz w:val="20"/>
          <w:szCs w:val="20"/>
        </w:rPr>
        <w:t xml:space="preserve">n making an SEO the </w:t>
      </w:r>
      <w:r w:rsidR="00433B20">
        <w:rPr>
          <w:rFonts w:cs="Arial"/>
          <w:bCs/>
          <w:color w:val="000000" w:themeColor="text1"/>
          <w:sz w:val="20"/>
          <w:szCs w:val="20"/>
        </w:rPr>
        <w:t>c</w:t>
      </w:r>
      <w:r w:rsidRPr="003517E7">
        <w:rPr>
          <w:rFonts w:cs="Arial"/>
          <w:bCs/>
          <w:color w:val="000000" w:themeColor="text1"/>
          <w:sz w:val="20"/>
          <w:szCs w:val="20"/>
        </w:rPr>
        <w:t>ourt must</w:t>
      </w:r>
      <w:r w:rsidR="00013698">
        <w:rPr>
          <w:rFonts w:cs="Arial"/>
          <w:bCs/>
          <w:color w:val="000000" w:themeColor="text1"/>
          <w:sz w:val="20"/>
          <w:szCs w:val="20"/>
        </w:rPr>
        <w:t>–</w:t>
      </w:r>
    </w:p>
    <w:p w14:paraId="091E6972" w14:textId="709422CF"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attach to the SEO the SEP</w:t>
      </w:r>
      <w:r>
        <w:rPr>
          <w:rFonts w:cs="Arial"/>
          <w:bCs/>
          <w:color w:val="000000" w:themeColor="text1"/>
          <w:sz w:val="20"/>
          <w:szCs w:val="20"/>
        </w:rPr>
        <w:t xml:space="preserve"> given to the </w:t>
      </w:r>
      <w:r w:rsidR="00433B20">
        <w:rPr>
          <w:rFonts w:cs="Arial"/>
          <w:bCs/>
          <w:color w:val="000000" w:themeColor="text1"/>
          <w:sz w:val="20"/>
          <w:szCs w:val="20"/>
        </w:rPr>
        <w:t>c</w:t>
      </w:r>
      <w:r>
        <w:rPr>
          <w:rFonts w:cs="Arial"/>
          <w:bCs/>
          <w:color w:val="000000" w:themeColor="text1"/>
          <w:sz w:val="20"/>
          <w:szCs w:val="20"/>
        </w:rPr>
        <w:t>ourt under s.</w:t>
      </w:r>
      <w:r w:rsidRPr="005C378C">
        <w:rPr>
          <w:rFonts w:cs="Arial"/>
          <w:b/>
          <w:color w:val="000000" w:themeColor="text1"/>
          <w:sz w:val="20"/>
          <w:szCs w:val="20"/>
        </w:rPr>
        <w:t>22CN</w:t>
      </w:r>
      <w:r w:rsidRPr="003517E7">
        <w:rPr>
          <w:rFonts w:cs="Arial"/>
          <w:bCs/>
          <w:color w:val="000000" w:themeColor="text1"/>
          <w:sz w:val="20"/>
          <w:szCs w:val="20"/>
        </w:rPr>
        <w:t xml:space="preserve"> (with any variations that the </w:t>
      </w:r>
      <w:r w:rsidR="00433B20">
        <w:rPr>
          <w:rFonts w:cs="Arial"/>
          <w:bCs/>
          <w:color w:val="000000" w:themeColor="text1"/>
          <w:sz w:val="20"/>
          <w:szCs w:val="20"/>
        </w:rPr>
        <w:t>c</w:t>
      </w:r>
      <w:r w:rsidRPr="003517E7">
        <w:rPr>
          <w:rFonts w:cs="Arial"/>
          <w:bCs/>
          <w:color w:val="000000" w:themeColor="text1"/>
          <w:sz w:val="20"/>
          <w:szCs w:val="20"/>
        </w:rPr>
        <w:t>ourt thinks fit)</w:t>
      </w:r>
      <w:r w:rsidR="00715822">
        <w:rPr>
          <w:rFonts w:cs="Arial"/>
          <w:bCs/>
          <w:color w:val="000000" w:themeColor="text1"/>
          <w:sz w:val="20"/>
          <w:szCs w:val="20"/>
        </w:rPr>
        <w:t>;</w:t>
      </w:r>
      <w:r>
        <w:rPr>
          <w:rFonts w:cs="Arial"/>
          <w:bCs/>
          <w:color w:val="000000" w:themeColor="text1"/>
          <w:sz w:val="20"/>
          <w:szCs w:val="20"/>
        </w:rPr>
        <w:t xml:space="preserve"> and</w:t>
      </w:r>
    </w:p>
    <w:p w14:paraId="55359F14" w14:textId="0AF6B940" w:rsidR="005C378C" w:rsidRP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specify in the SEO the period for which the SEO operates</w:t>
      </w:r>
      <w:r>
        <w:rPr>
          <w:rFonts w:cs="Arial"/>
          <w:bCs/>
          <w:color w:val="000000" w:themeColor="text1"/>
          <w:sz w:val="20"/>
          <w:szCs w:val="20"/>
        </w:rPr>
        <w:t>;</w:t>
      </w:r>
      <w:r w:rsidRPr="003517E7">
        <w:rPr>
          <w:rFonts w:cs="Arial"/>
          <w:bCs/>
          <w:color w:val="000000" w:themeColor="text1"/>
          <w:sz w:val="20"/>
          <w:szCs w:val="20"/>
        </w:rPr>
        <w:t xml:space="preserve"> and</w:t>
      </w:r>
    </w:p>
    <w:p w14:paraId="362D8DAA" w14:textId="2FA0DE0E" w:rsidR="005C378C" w:rsidRDefault="005C378C">
      <w:pPr>
        <w:pStyle w:val="HeadingTwo"/>
        <w:numPr>
          <w:ilvl w:val="1"/>
          <w:numId w:val="61"/>
        </w:numPr>
        <w:spacing w:before="60" w:after="0"/>
        <w:ind w:left="714" w:hanging="357"/>
        <w:jc w:val="both"/>
        <w:rPr>
          <w:rFonts w:cs="Arial"/>
          <w:bCs/>
          <w:color w:val="auto"/>
          <w:sz w:val="20"/>
          <w:szCs w:val="20"/>
        </w:rPr>
      </w:pPr>
      <w:r w:rsidRPr="003517E7">
        <w:rPr>
          <w:rFonts w:cs="Arial"/>
          <w:bCs/>
          <w:color w:val="000000" w:themeColor="text1"/>
          <w:sz w:val="20"/>
          <w:szCs w:val="20"/>
        </w:rPr>
        <w:t xml:space="preserve">specify </w:t>
      </w:r>
      <w:r>
        <w:rPr>
          <w:rFonts w:cs="Arial"/>
          <w:bCs/>
          <w:color w:val="000000" w:themeColor="text1"/>
          <w:sz w:val="20"/>
          <w:szCs w:val="20"/>
        </w:rPr>
        <w:t>the days on which</w:t>
      </w:r>
      <w:r w:rsidRPr="003517E7">
        <w:rPr>
          <w:rFonts w:cs="Arial"/>
          <w:bCs/>
          <w:color w:val="000000" w:themeColor="text1"/>
          <w:sz w:val="20"/>
          <w:szCs w:val="20"/>
        </w:rPr>
        <w:t xml:space="preserve"> the Secretary is required to provide a report in respect to the SEO</w:t>
      </w:r>
      <w:r>
        <w:rPr>
          <w:rFonts w:cs="Arial"/>
          <w:bCs/>
          <w:color w:val="000000" w:themeColor="text1"/>
          <w:sz w:val="20"/>
          <w:szCs w:val="20"/>
        </w:rPr>
        <w:t xml:space="preserve"> under s.</w:t>
      </w:r>
      <w:r w:rsidRPr="005C378C">
        <w:rPr>
          <w:rFonts w:cs="Arial"/>
          <w:b/>
          <w:color w:val="000000" w:themeColor="text1"/>
          <w:sz w:val="20"/>
          <w:szCs w:val="20"/>
        </w:rPr>
        <w:t>22CV</w:t>
      </w:r>
      <w:r>
        <w:rPr>
          <w:rFonts w:cs="Arial"/>
          <w:bCs/>
          <w:color w:val="000000" w:themeColor="text1"/>
          <w:sz w:val="20"/>
          <w:szCs w:val="20"/>
        </w:rPr>
        <w:t>.</w:t>
      </w:r>
    </w:p>
    <w:p w14:paraId="434E4FD5" w14:textId="4B13F6AF" w:rsidR="00C60C5F" w:rsidRPr="00F06AC8" w:rsidRDefault="00C60C5F">
      <w:pPr>
        <w:pStyle w:val="HeadingTwo"/>
        <w:numPr>
          <w:ilvl w:val="0"/>
          <w:numId w:val="61"/>
        </w:numPr>
        <w:spacing w:before="120" w:after="0"/>
        <w:ind w:left="357" w:hanging="357"/>
        <w:jc w:val="both"/>
        <w:rPr>
          <w:rFonts w:cs="Arial"/>
          <w:bCs/>
          <w:color w:val="000000" w:themeColor="text1"/>
          <w:sz w:val="20"/>
          <w:szCs w:val="20"/>
        </w:rPr>
      </w:pPr>
      <w:r w:rsidRPr="00F06AC8">
        <w:rPr>
          <w:rFonts w:cs="Arial"/>
          <w:color w:val="000000" w:themeColor="text1"/>
          <w:sz w:val="20"/>
          <w:szCs w:val="20"/>
        </w:rPr>
        <w:t xml:space="preserve">Section </w:t>
      </w:r>
      <w:r w:rsidRPr="00F06AC8">
        <w:rPr>
          <w:rFonts w:cs="Arial"/>
          <w:b/>
          <w:bCs/>
          <w:color w:val="000000" w:themeColor="text1"/>
          <w:sz w:val="20"/>
          <w:szCs w:val="20"/>
        </w:rPr>
        <w:t>22CR(1)</w:t>
      </w:r>
      <w:r w:rsidRPr="00F06AC8">
        <w:rPr>
          <w:rFonts w:cs="Arial"/>
          <w:color w:val="000000" w:themeColor="text1"/>
          <w:sz w:val="20"/>
          <w:szCs w:val="20"/>
        </w:rPr>
        <w:t xml:space="preserve"> provides that the </w:t>
      </w:r>
      <w:r w:rsidR="00433B20">
        <w:rPr>
          <w:rFonts w:cs="Arial"/>
          <w:color w:val="000000" w:themeColor="text1"/>
          <w:sz w:val="20"/>
          <w:szCs w:val="20"/>
        </w:rPr>
        <w:t>c</w:t>
      </w:r>
      <w:r w:rsidRPr="00F06AC8">
        <w:rPr>
          <w:rFonts w:cs="Arial"/>
          <w:color w:val="000000" w:themeColor="text1"/>
          <w:sz w:val="20"/>
          <w:szCs w:val="20"/>
        </w:rPr>
        <w:t xml:space="preserve">ourt may attach further conditions to the SEO provided the </w:t>
      </w:r>
      <w:r w:rsidR="00433B20">
        <w:rPr>
          <w:rFonts w:cs="Arial"/>
          <w:color w:val="000000" w:themeColor="text1"/>
          <w:sz w:val="20"/>
          <w:szCs w:val="20"/>
        </w:rPr>
        <w:t>c</w:t>
      </w:r>
      <w:r w:rsidRPr="00F06AC8">
        <w:rPr>
          <w:rFonts w:cs="Arial"/>
          <w:color w:val="000000" w:themeColor="text1"/>
          <w:sz w:val="20"/>
          <w:szCs w:val="20"/>
        </w:rPr>
        <w:t xml:space="preserve">ourt considers it an appropriate way to achieve a therapeutic purpose and the condition is no more restrictive than necessary to achieve that purpose.  Section </w:t>
      </w:r>
      <w:r w:rsidRPr="00F06AC8">
        <w:rPr>
          <w:rFonts w:cs="Arial"/>
          <w:b/>
          <w:bCs/>
          <w:color w:val="000000" w:themeColor="text1"/>
          <w:sz w:val="20"/>
          <w:szCs w:val="20"/>
        </w:rPr>
        <w:t>22CR(2)</w:t>
      </w:r>
      <w:r w:rsidRPr="00F06AC8">
        <w:rPr>
          <w:rFonts w:cs="Arial"/>
          <w:color w:val="000000" w:themeColor="text1"/>
          <w:sz w:val="20"/>
          <w:szCs w:val="20"/>
        </w:rPr>
        <w:t xml:space="preserve"> requires the </w:t>
      </w:r>
      <w:r w:rsidR="00433B20">
        <w:rPr>
          <w:rFonts w:cs="Arial"/>
          <w:color w:val="000000" w:themeColor="text1"/>
          <w:sz w:val="20"/>
          <w:szCs w:val="20"/>
        </w:rPr>
        <w:t>c</w:t>
      </w:r>
      <w:r w:rsidRPr="00F06AC8">
        <w:rPr>
          <w:rFonts w:cs="Arial"/>
          <w:color w:val="000000" w:themeColor="text1"/>
          <w:sz w:val="20"/>
          <w:szCs w:val="20"/>
        </w:rPr>
        <w:t>ourt to have regard to the age and vulnerability of a respondent child when imposing a condition under s.</w:t>
      </w:r>
      <w:r w:rsidRPr="008D785F">
        <w:rPr>
          <w:rFonts w:cs="Arial"/>
          <w:b/>
          <w:bCs/>
          <w:color w:val="000000" w:themeColor="text1"/>
          <w:sz w:val="20"/>
          <w:szCs w:val="20"/>
        </w:rPr>
        <w:t>22CR(1)</w:t>
      </w:r>
      <w:r w:rsidRPr="00F06AC8">
        <w:rPr>
          <w:rFonts w:cs="Arial"/>
          <w:color w:val="000000" w:themeColor="text1"/>
          <w:sz w:val="20"/>
          <w:szCs w:val="20"/>
        </w:rPr>
        <w:t>.  See s</w:t>
      </w:r>
      <w:r>
        <w:rPr>
          <w:rFonts w:cs="Arial"/>
          <w:color w:val="000000" w:themeColor="text1"/>
          <w:sz w:val="20"/>
          <w:szCs w:val="20"/>
        </w:rPr>
        <w:t>.</w:t>
      </w:r>
      <w:r w:rsidRPr="00112E2B">
        <w:rPr>
          <w:rFonts w:cs="Arial"/>
          <w:b/>
          <w:bCs/>
          <w:color w:val="000000" w:themeColor="text1"/>
          <w:sz w:val="20"/>
          <w:szCs w:val="20"/>
        </w:rPr>
        <w:t>22CR(3)</w:t>
      </w:r>
      <w:r w:rsidRPr="00F06AC8">
        <w:rPr>
          <w:rFonts w:cs="Arial"/>
          <w:color w:val="000000" w:themeColor="text1"/>
          <w:sz w:val="20"/>
          <w:szCs w:val="20"/>
        </w:rPr>
        <w:t xml:space="preserve"> for a non-</w:t>
      </w:r>
      <w:r w:rsidR="003023FF">
        <w:rPr>
          <w:rFonts w:cs="Arial"/>
          <w:color w:val="000000" w:themeColor="text1"/>
          <w:sz w:val="20"/>
          <w:szCs w:val="20"/>
        </w:rPr>
        <w:t>exhaust</w:t>
      </w:r>
      <w:r w:rsidRPr="00F06AC8">
        <w:rPr>
          <w:rFonts w:cs="Arial"/>
          <w:color w:val="000000" w:themeColor="text1"/>
          <w:sz w:val="20"/>
          <w:szCs w:val="20"/>
        </w:rPr>
        <w:t>ive list of sample conditions.</w:t>
      </w:r>
    </w:p>
    <w:p w14:paraId="3EE74F68" w14:textId="3DA987C7" w:rsidR="00F06AC8" w:rsidRPr="00F06AC8" w:rsidRDefault="00F06AC8">
      <w:pPr>
        <w:pStyle w:val="ListParagraph"/>
        <w:numPr>
          <w:ilvl w:val="0"/>
          <w:numId w:val="61"/>
        </w:numPr>
        <w:spacing w:before="120"/>
        <w:ind w:left="357" w:hanging="357"/>
        <w:jc w:val="both"/>
        <w:rPr>
          <w:rFonts w:ascii="Arial" w:hAnsi="Arial" w:cs="Arial"/>
          <w:color w:val="000000"/>
          <w:sz w:val="20"/>
        </w:rPr>
      </w:pPr>
      <w:r w:rsidRPr="00F06AC8">
        <w:rPr>
          <w:rFonts w:ascii="Arial" w:hAnsi="Arial" w:cs="Arial"/>
          <w:color w:val="000000"/>
          <w:sz w:val="20"/>
        </w:rPr>
        <w:t>Pursuant to s.</w:t>
      </w:r>
      <w:r w:rsidRPr="00F06AC8">
        <w:rPr>
          <w:rFonts w:ascii="Arial" w:hAnsi="Arial" w:cs="Arial"/>
          <w:b/>
          <w:bCs/>
          <w:color w:val="000000"/>
          <w:sz w:val="20"/>
        </w:rPr>
        <w:t>22CQ(2)</w:t>
      </w:r>
      <w:r w:rsidRPr="00F06AC8">
        <w:rPr>
          <w:rFonts w:ascii="Arial" w:hAnsi="Arial" w:cs="Arial"/>
          <w:color w:val="000000"/>
          <w:sz w:val="20"/>
        </w:rPr>
        <w:t xml:space="preserve"> the maximum period for which an SEO operates</w:t>
      </w:r>
      <w:r w:rsidR="00013698">
        <w:rPr>
          <w:rFonts w:ascii="Arial" w:hAnsi="Arial" w:cs="Arial"/>
          <w:color w:val="000000"/>
          <w:sz w:val="20"/>
        </w:rPr>
        <w:t>–</w:t>
      </w:r>
    </w:p>
    <w:p w14:paraId="7190918F" w14:textId="262C52F1" w:rsidR="00F06AC8" w:rsidRPr="00F06AC8"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must not be so long that, at the end of that period, the total period during which the supported person will have been subject to an SEO is 2 years or more; and</w:t>
      </w:r>
    </w:p>
    <w:p w14:paraId="0D76B2A2" w14:textId="6C476A9B" w:rsidR="00F06AC8" w:rsidRPr="005C378C" w:rsidRDefault="00F06AC8">
      <w:pPr>
        <w:pStyle w:val="HeadingTwo"/>
        <w:numPr>
          <w:ilvl w:val="1"/>
          <w:numId w:val="61"/>
        </w:numPr>
        <w:spacing w:before="60" w:after="0"/>
        <w:ind w:left="714" w:hanging="357"/>
        <w:jc w:val="both"/>
        <w:rPr>
          <w:rFonts w:cs="Arial"/>
          <w:bCs/>
          <w:color w:val="auto"/>
          <w:sz w:val="20"/>
          <w:szCs w:val="20"/>
        </w:rPr>
      </w:pPr>
      <w:r>
        <w:rPr>
          <w:rFonts w:cs="Arial"/>
          <w:color w:val="000000"/>
          <w:sz w:val="20"/>
        </w:rPr>
        <w:t>in any event, must not be longer than 1 year.</w:t>
      </w:r>
    </w:p>
    <w:p w14:paraId="47361F13" w14:textId="09FF0CA0" w:rsidR="00C60C5F" w:rsidRPr="003517E7" w:rsidRDefault="00D45A15">
      <w:pPr>
        <w:pStyle w:val="HeadingTwo"/>
        <w:numPr>
          <w:ilvl w:val="0"/>
          <w:numId w:val="61"/>
        </w:numPr>
        <w:spacing w:before="120" w:after="0"/>
        <w:ind w:left="357" w:hanging="357"/>
        <w:jc w:val="both"/>
        <w:rPr>
          <w:rFonts w:cs="Arial"/>
          <w:bCs/>
          <w:color w:val="000000" w:themeColor="text1"/>
          <w:sz w:val="20"/>
          <w:szCs w:val="20"/>
        </w:rPr>
      </w:pPr>
      <w:r w:rsidRPr="00D45A15">
        <w:rPr>
          <w:rFonts w:cs="Arial"/>
          <w:bCs/>
          <w:color w:val="000000" w:themeColor="text1"/>
          <w:sz w:val="20"/>
          <w:szCs w:val="20"/>
        </w:rPr>
        <w:lastRenderedPageBreak/>
        <w:t>A</w:t>
      </w:r>
      <w:r w:rsidR="00C60C5F" w:rsidRPr="003517E7">
        <w:rPr>
          <w:rFonts w:cs="Arial"/>
          <w:bCs/>
          <w:color w:val="000000" w:themeColor="text1"/>
          <w:sz w:val="20"/>
          <w:szCs w:val="20"/>
        </w:rPr>
        <w:t xml:space="preserve">n SEO commences on the day the respondent is given the </w:t>
      </w:r>
      <w:r w:rsidR="00C60C5F">
        <w:rPr>
          <w:rFonts w:cs="Arial"/>
          <w:bCs/>
          <w:color w:val="000000" w:themeColor="text1"/>
          <w:sz w:val="20"/>
          <w:szCs w:val="20"/>
        </w:rPr>
        <w:t>o</w:t>
      </w:r>
      <w:r w:rsidR="00C60C5F" w:rsidRPr="003517E7">
        <w:rPr>
          <w:rFonts w:cs="Arial"/>
          <w:bCs/>
          <w:color w:val="000000" w:themeColor="text1"/>
          <w:sz w:val="20"/>
          <w:szCs w:val="20"/>
        </w:rPr>
        <w:t xml:space="preserve">rder and ceases to operate at the end of the period specified in the </w:t>
      </w:r>
      <w:r w:rsidR="00C60C5F">
        <w:rPr>
          <w:rFonts w:cs="Arial"/>
          <w:bCs/>
          <w:color w:val="000000" w:themeColor="text1"/>
          <w:sz w:val="20"/>
          <w:szCs w:val="20"/>
        </w:rPr>
        <w:t>o</w:t>
      </w:r>
      <w:r w:rsidR="00C60C5F" w:rsidRPr="003517E7">
        <w:rPr>
          <w:rFonts w:cs="Arial"/>
          <w:bCs/>
          <w:color w:val="000000" w:themeColor="text1"/>
          <w:sz w:val="20"/>
          <w:szCs w:val="20"/>
        </w:rPr>
        <w:t>rder unless it is revoked sooner</w:t>
      </w:r>
      <w:r>
        <w:rPr>
          <w:rFonts w:cs="Arial"/>
          <w:bCs/>
          <w:color w:val="000000" w:themeColor="text1"/>
          <w:sz w:val="20"/>
          <w:szCs w:val="20"/>
        </w:rPr>
        <w:t xml:space="preserve"> [s.</w:t>
      </w:r>
      <w:r w:rsidRPr="00D45A15">
        <w:rPr>
          <w:rFonts w:cs="Arial"/>
          <w:b/>
          <w:color w:val="000000" w:themeColor="text1"/>
          <w:sz w:val="20"/>
          <w:szCs w:val="20"/>
        </w:rPr>
        <w:t>22CS</w:t>
      </w:r>
      <w:r>
        <w:rPr>
          <w:rFonts w:cs="Arial"/>
          <w:bCs/>
          <w:color w:val="000000" w:themeColor="text1"/>
          <w:sz w:val="20"/>
          <w:szCs w:val="20"/>
        </w:rPr>
        <w:t>]</w:t>
      </w:r>
      <w:r w:rsidR="00C60C5F" w:rsidRPr="003517E7">
        <w:rPr>
          <w:rFonts w:cs="Arial"/>
          <w:bCs/>
          <w:color w:val="000000" w:themeColor="text1"/>
          <w:sz w:val="20"/>
          <w:szCs w:val="20"/>
        </w:rPr>
        <w:t>.</w:t>
      </w:r>
    </w:p>
    <w:p w14:paraId="359E7637" w14:textId="2FA419A0" w:rsidR="00284BB9" w:rsidRDefault="00112E2B">
      <w:pPr>
        <w:pStyle w:val="HeadingTwo"/>
        <w:numPr>
          <w:ilvl w:val="0"/>
          <w:numId w:val="61"/>
        </w:numPr>
        <w:spacing w:before="120" w:after="0"/>
        <w:ind w:left="357" w:hanging="357"/>
        <w:jc w:val="both"/>
        <w:rPr>
          <w:rFonts w:cs="Arial"/>
          <w:bCs/>
          <w:color w:val="000000" w:themeColor="text1"/>
          <w:sz w:val="20"/>
          <w:szCs w:val="20"/>
        </w:rPr>
      </w:pPr>
      <w:r w:rsidRPr="003517E7">
        <w:rPr>
          <w:rFonts w:cs="Arial"/>
          <w:bCs/>
          <w:color w:val="000000" w:themeColor="text1"/>
          <w:sz w:val="20"/>
          <w:szCs w:val="20"/>
        </w:rPr>
        <w:t xml:space="preserve">A supported person subject to an SEO </w:t>
      </w:r>
      <w:r w:rsidR="003023FF">
        <w:rPr>
          <w:rFonts w:cs="Arial"/>
          <w:bCs/>
          <w:color w:val="000000" w:themeColor="text1"/>
          <w:sz w:val="20"/>
          <w:szCs w:val="20"/>
        </w:rPr>
        <w:t xml:space="preserve">made by the Magistrates’ Court </w:t>
      </w:r>
      <w:r w:rsidRPr="003517E7">
        <w:rPr>
          <w:rFonts w:cs="Arial"/>
          <w:bCs/>
          <w:color w:val="000000" w:themeColor="text1"/>
          <w:sz w:val="20"/>
          <w:szCs w:val="20"/>
        </w:rPr>
        <w:t xml:space="preserve">must not contravene the </w:t>
      </w:r>
      <w:r w:rsidR="00715822">
        <w:rPr>
          <w:rFonts w:cs="Arial"/>
          <w:bCs/>
          <w:color w:val="000000" w:themeColor="text1"/>
          <w:sz w:val="20"/>
          <w:szCs w:val="20"/>
        </w:rPr>
        <w:t>o</w:t>
      </w:r>
      <w:r w:rsidRPr="003517E7">
        <w:rPr>
          <w:rFonts w:cs="Arial"/>
          <w:bCs/>
          <w:color w:val="000000" w:themeColor="text1"/>
          <w:sz w:val="20"/>
          <w:szCs w:val="20"/>
        </w:rPr>
        <w:t>rder without a reasonable excuse.</w:t>
      </w:r>
      <w:r w:rsidR="00715822">
        <w:rPr>
          <w:rFonts w:cs="Arial"/>
          <w:bCs/>
          <w:color w:val="000000" w:themeColor="text1"/>
          <w:sz w:val="20"/>
          <w:szCs w:val="20"/>
        </w:rPr>
        <w:t xml:space="preserve"> </w:t>
      </w:r>
      <w:r w:rsidRPr="003517E7">
        <w:rPr>
          <w:rFonts w:cs="Arial"/>
          <w:bCs/>
          <w:color w:val="000000" w:themeColor="text1"/>
          <w:sz w:val="20"/>
          <w:szCs w:val="20"/>
        </w:rPr>
        <w:t xml:space="preserve"> </w:t>
      </w:r>
      <w:r w:rsidRPr="003517E7">
        <w:rPr>
          <w:rFonts w:cs="Arial"/>
          <w:b/>
          <w:color w:val="000000" w:themeColor="text1"/>
          <w:sz w:val="20"/>
          <w:szCs w:val="20"/>
        </w:rPr>
        <w:t>22CU</w:t>
      </w:r>
      <w:r w:rsidRPr="003517E7">
        <w:rPr>
          <w:rFonts w:cs="Arial"/>
          <w:bCs/>
          <w:color w:val="000000" w:themeColor="text1"/>
          <w:sz w:val="20"/>
          <w:szCs w:val="20"/>
        </w:rPr>
        <w:t xml:space="preserve"> makes </w:t>
      </w:r>
      <w:r w:rsidR="00715822">
        <w:rPr>
          <w:rFonts w:cs="Arial"/>
          <w:bCs/>
          <w:color w:val="000000" w:themeColor="text1"/>
          <w:sz w:val="20"/>
          <w:szCs w:val="20"/>
        </w:rPr>
        <w:t>such contravention</w:t>
      </w:r>
      <w:r w:rsidRPr="003517E7">
        <w:rPr>
          <w:rFonts w:cs="Arial"/>
          <w:bCs/>
          <w:color w:val="000000" w:themeColor="text1"/>
          <w:sz w:val="20"/>
          <w:szCs w:val="20"/>
        </w:rPr>
        <w:t xml:space="preserve"> an offence</w:t>
      </w:r>
      <w:r>
        <w:rPr>
          <w:rFonts w:cs="Arial"/>
          <w:bCs/>
          <w:color w:val="000000" w:themeColor="text1"/>
          <w:sz w:val="20"/>
          <w:szCs w:val="20"/>
        </w:rPr>
        <w:t xml:space="preserve"> which</w:t>
      </w:r>
      <w:r w:rsidRPr="003517E7">
        <w:rPr>
          <w:rFonts w:cs="Arial"/>
          <w:bCs/>
          <w:color w:val="000000" w:themeColor="text1"/>
          <w:sz w:val="20"/>
          <w:szCs w:val="20"/>
        </w:rPr>
        <w:t xml:space="preserve"> attracts a fine of </w:t>
      </w:r>
      <w:r w:rsidRPr="00112E2B">
        <w:rPr>
          <w:rFonts w:cs="Arial"/>
          <w:bCs/>
          <w:color w:val="000000" w:themeColor="text1"/>
          <w:sz w:val="20"/>
          <w:szCs w:val="20"/>
        </w:rPr>
        <w:t>10 penalty units</w:t>
      </w:r>
      <w:r>
        <w:rPr>
          <w:rFonts w:cs="Arial"/>
          <w:bCs/>
          <w:color w:val="000000" w:themeColor="text1"/>
          <w:sz w:val="20"/>
          <w:szCs w:val="20"/>
        </w:rPr>
        <w:t>.</w:t>
      </w:r>
      <w:r w:rsidR="003023FF">
        <w:rPr>
          <w:rFonts w:cs="Arial"/>
          <w:bCs/>
          <w:color w:val="000000" w:themeColor="text1"/>
          <w:sz w:val="20"/>
          <w:szCs w:val="20"/>
        </w:rPr>
        <w:t xml:space="preserve">  Contravention of an SEO made by the Children’s Court is not an offence.</w:t>
      </w:r>
    </w:p>
    <w:p w14:paraId="6455350A" w14:textId="77777777" w:rsidR="003023FF" w:rsidRDefault="003023FF" w:rsidP="00E76EBE">
      <w:pPr>
        <w:jc w:val="both"/>
        <w:rPr>
          <w:rFonts w:ascii="Arial" w:hAnsi="Arial" w:cs="Arial"/>
          <w:sz w:val="20"/>
          <w:szCs w:val="20"/>
        </w:rPr>
      </w:pPr>
    </w:p>
    <w:p w14:paraId="2EFFE499" w14:textId="4BF21797" w:rsidR="00E76EBE" w:rsidRPr="00220B9E" w:rsidRDefault="00E76EBE" w:rsidP="00E76EBE">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REVIEW OF AN SEO</w:t>
      </w:r>
    </w:p>
    <w:p w14:paraId="29F19EF2" w14:textId="77777777" w:rsidR="00E76EBE" w:rsidRDefault="00E76EBE" w:rsidP="00E76EBE">
      <w:pPr>
        <w:jc w:val="both"/>
        <w:rPr>
          <w:rFonts w:ascii="Arial" w:hAnsi="Arial" w:cs="Arial"/>
          <w:sz w:val="20"/>
          <w:szCs w:val="20"/>
        </w:rPr>
      </w:pPr>
    </w:p>
    <w:p w14:paraId="177ED6EE" w14:textId="7E92FF5E" w:rsidR="00E76EBE" w:rsidRPr="004E4FE6" w:rsidRDefault="003C4FA5" w:rsidP="00C45F3B">
      <w:pPr>
        <w:jc w:val="both"/>
        <w:rPr>
          <w:rFonts w:ascii="Arial" w:hAnsi="Arial" w:cs="Arial"/>
          <w:sz w:val="20"/>
          <w:szCs w:val="20"/>
        </w:rPr>
      </w:pPr>
      <w:r w:rsidRPr="004E4FE6">
        <w:rPr>
          <w:rFonts w:ascii="Arial" w:hAnsi="Arial" w:cs="Arial"/>
          <w:sz w:val="20"/>
          <w:szCs w:val="20"/>
        </w:rPr>
        <w:t xml:space="preserve">Section </w:t>
      </w:r>
      <w:r w:rsidRPr="004E4FE6">
        <w:rPr>
          <w:rFonts w:ascii="Arial" w:hAnsi="Arial" w:cs="Arial"/>
          <w:b/>
          <w:bCs/>
          <w:sz w:val="20"/>
          <w:szCs w:val="20"/>
        </w:rPr>
        <w:t>22CW</w:t>
      </w:r>
      <w:r w:rsidRPr="004E4FE6">
        <w:rPr>
          <w:rFonts w:ascii="Arial" w:hAnsi="Arial" w:cs="Arial"/>
          <w:sz w:val="20"/>
          <w:szCs w:val="20"/>
        </w:rPr>
        <w:t xml:space="preserve"> provides that on receiving a report from the Secretary in accordance</w:t>
      </w:r>
      <w:r w:rsidR="004E4FE6" w:rsidRPr="004E4FE6">
        <w:rPr>
          <w:rFonts w:ascii="Arial" w:hAnsi="Arial" w:cs="Arial"/>
          <w:sz w:val="20"/>
          <w:szCs w:val="20"/>
        </w:rPr>
        <w:t xml:space="preserve"> with s.</w:t>
      </w:r>
      <w:r w:rsidR="004E4FE6" w:rsidRPr="004E4FE6">
        <w:rPr>
          <w:rFonts w:ascii="Arial" w:hAnsi="Arial" w:cs="Arial"/>
          <w:b/>
          <w:bCs/>
          <w:sz w:val="20"/>
          <w:szCs w:val="20"/>
        </w:rPr>
        <w:t>22CV</w:t>
      </w:r>
      <w:r w:rsidR="004E4FE6" w:rsidRPr="004E4FE6">
        <w:rPr>
          <w:rFonts w:ascii="Arial" w:hAnsi="Arial" w:cs="Arial"/>
          <w:sz w:val="20"/>
          <w:szCs w:val="20"/>
        </w:rPr>
        <w:t xml:space="preserve"> on the progress of the supported person (SP) under an SEO, the </w:t>
      </w:r>
      <w:r w:rsidR="00DB637E">
        <w:rPr>
          <w:rFonts w:ascii="Arial" w:hAnsi="Arial" w:cs="Arial"/>
          <w:sz w:val="20"/>
          <w:szCs w:val="20"/>
        </w:rPr>
        <w:t>c</w:t>
      </w:r>
      <w:r w:rsidR="004E4FE6" w:rsidRPr="004E4FE6">
        <w:rPr>
          <w:rFonts w:ascii="Arial" w:hAnsi="Arial" w:cs="Arial"/>
          <w:sz w:val="20"/>
          <w:szCs w:val="20"/>
        </w:rPr>
        <w:t xml:space="preserve">ourt may direct that a review hearing is to be held if, on the basis of the report, the </w:t>
      </w:r>
      <w:r w:rsidR="00433B20">
        <w:rPr>
          <w:rFonts w:ascii="Arial" w:hAnsi="Arial" w:cs="Arial"/>
          <w:sz w:val="20"/>
          <w:szCs w:val="20"/>
        </w:rPr>
        <w:t>c</w:t>
      </w:r>
      <w:r w:rsidR="004E4FE6" w:rsidRPr="004E4FE6">
        <w:rPr>
          <w:rFonts w:ascii="Arial" w:hAnsi="Arial" w:cs="Arial"/>
          <w:sz w:val="20"/>
          <w:szCs w:val="20"/>
        </w:rPr>
        <w:t>ourt considers that</w:t>
      </w:r>
      <w:r w:rsidR="00013698">
        <w:rPr>
          <w:rFonts w:cs="Arial"/>
          <w:bCs/>
          <w:color w:val="000000" w:themeColor="text1"/>
          <w:sz w:val="20"/>
          <w:szCs w:val="20"/>
        </w:rPr>
        <w:t>–</w:t>
      </w:r>
    </w:p>
    <w:p w14:paraId="2691910E" w14:textId="16F7536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bCs/>
          <w:color w:val="auto"/>
          <w:sz w:val="20"/>
          <w:szCs w:val="20"/>
        </w:rPr>
        <w:t xml:space="preserve">the SP </w:t>
      </w:r>
      <w:r w:rsidRPr="004E4FE6">
        <w:rPr>
          <w:rFonts w:cs="Arial"/>
          <w:color w:val="auto"/>
          <w:sz w:val="20"/>
          <w:szCs w:val="20"/>
        </w:rPr>
        <w:t>may not be satisfactorily complying with or progressing under the SEO; or</w:t>
      </w:r>
    </w:p>
    <w:p w14:paraId="294809A3" w14:textId="243640FC"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varying or extending the SEO or varying the attached SEP may be an appropriate way to achieve a therapeutic purpose for the SP; or</w:t>
      </w:r>
    </w:p>
    <w:p w14:paraId="5067D212" w14:textId="6922FC79" w:rsidR="004E4FE6" w:rsidRPr="004E4FE6" w:rsidRDefault="004E4FE6">
      <w:pPr>
        <w:pStyle w:val="HeadingTwo"/>
        <w:numPr>
          <w:ilvl w:val="1"/>
          <w:numId w:val="61"/>
        </w:numPr>
        <w:spacing w:before="60" w:after="0"/>
        <w:ind w:left="357" w:hanging="357"/>
        <w:jc w:val="both"/>
        <w:rPr>
          <w:rFonts w:cs="Arial"/>
          <w:bCs/>
          <w:color w:val="auto"/>
          <w:sz w:val="20"/>
          <w:szCs w:val="20"/>
        </w:rPr>
      </w:pPr>
      <w:r w:rsidRPr="004E4FE6">
        <w:rPr>
          <w:rFonts w:cs="Arial"/>
          <w:color w:val="auto"/>
          <w:sz w:val="20"/>
          <w:szCs w:val="20"/>
        </w:rPr>
        <w:t>it may be appropriate to revoke the SEO.</w:t>
      </w:r>
    </w:p>
    <w:p w14:paraId="6D88B0CD" w14:textId="063165F3" w:rsidR="00E76EBE" w:rsidRDefault="00E76EBE" w:rsidP="00C45F3B">
      <w:pPr>
        <w:jc w:val="both"/>
        <w:rPr>
          <w:rFonts w:ascii="Arial" w:hAnsi="Arial" w:cs="Arial"/>
          <w:sz w:val="20"/>
          <w:szCs w:val="20"/>
        </w:rPr>
      </w:pPr>
    </w:p>
    <w:p w14:paraId="111B1502" w14:textId="0D87DEB9" w:rsidR="004E4FE6" w:rsidRDefault="00BB0091" w:rsidP="004E4FE6">
      <w:pPr>
        <w:pStyle w:val="HeadingTwo"/>
        <w:spacing w:after="0"/>
        <w:jc w:val="both"/>
        <w:rPr>
          <w:rFonts w:cs="Arial"/>
          <w:bCs/>
          <w:color w:val="auto"/>
          <w:sz w:val="20"/>
          <w:szCs w:val="20"/>
        </w:rPr>
      </w:pPr>
      <w:r>
        <w:rPr>
          <w:rFonts w:cs="Arial"/>
          <w:color w:val="auto"/>
          <w:sz w:val="20"/>
          <w:szCs w:val="20"/>
        </w:rPr>
        <w:t xml:space="preserve">At a review hearing </w:t>
      </w:r>
      <w:r w:rsidR="004E4FE6">
        <w:rPr>
          <w:rFonts w:cs="Arial"/>
          <w:color w:val="auto"/>
          <w:sz w:val="20"/>
          <w:szCs w:val="20"/>
        </w:rPr>
        <w:t>t</w:t>
      </w:r>
      <w:r w:rsidR="003C4FA5" w:rsidRPr="004E4FE6">
        <w:rPr>
          <w:rFonts w:cs="Arial"/>
          <w:color w:val="auto"/>
          <w:sz w:val="20"/>
          <w:szCs w:val="20"/>
        </w:rPr>
        <w:t xml:space="preserve">he </w:t>
      </w:r>
      <w:r w:rsidR="00433B20">
        <w:rPr>
          <w:rFonts w:cs="Arial"/>
          <w:color w:val="auto"/>
          <w:sz w:val="20"/>
          <w:szCs w:val="20"/>
        </w:rPr>
        <w:t>c</w:t>
      </w:r>
      <w:r w:rsidR="003C4FA5" w:rsidRPr="004E4FE6">
        <w:rPr>
          <w:rFonts w:cs="Arial"/>
          <w:color w:val="auto"/>
          <w:sz w:val="20"/>
          <w:szCs w:val="20"/>
        </w:rPr>
        <w:t xml:space="preserve">ourt </w:t>
      </w:r>
      <w:r w:rsidR="004E4FE6">
        <w:rPr>
          <w:rFonts w:cs="Arial"/>
          <w:color w:val="auto"/>
          <w:sz w:val="20"/>
          <w:szCs w:val="20"/>
        </w:rPr>
        <w:t>may</w:t>
      </w:r>
      <w:r w:rsidR="003C4FA5" w:rsidRPr="004E4FE6">
        <w:rPr>
          <w:rFonts w:cs="Arial"/>
          <w:color w:val="auto"/>
          <w:sz w:val="20"/>
          <w:szCs w:val="20"/>
        </w:rPr>
        <w:t xml:space="preserve"> vary</w:t>
      </w:r>
      <w:r w:rsidR="004E4FE6">
        <w:rPr>
          <w:rFonts w:cs="Arial"/>
          <w:color w:val="auto"/>
          <w:sz w:val="20"/>
          <w:szCs w:val="20"/>
        </w:rPr>
        <w:t xml:space="preserve"> or</w:t>
      </w:r>
      <w:r w:rsidR="003C4FA5" w:rsidRPr="004E4FE6">
        <w:rPr>
          <w:rFonts w:cs="Arial"/>
          <w:color w:val="auto"/>
          <w:sz w:val="20"/>
          <w:szCs w:val="20"/>
        </w:rPr>
        <w:t xml:space="preserve"> extend</w:t>
      </w:r>
      <w:r w:rsidR="004E4FE6">
        <w:rPr>
          <w:rFonts w:cs="Arial"/>
          <w:color w:val="auto"/>
          <w:sz w:val="20"/>
          <w:szCs w:val="20"/>
        </w:rPr>
        <w:t xml:space="preserve"> </w:t>
      </w:r>
      <w:r w:rsidR="003C4FA5" w:rsidRPr="004E4FE6">
        <w:rPr>
          <w:rFonts w:cs="Arial"/>
          <w:color w:val="auto"/>
          <w:sz w:val="20"/>
          <w:szCs w:val="20"/>
        </w:rPr>
        <w:t xml:space="preserve">an SEO </w:t>
      </w:r>
      <w:r>
        <w:rPr>
          <w:rFonts w:cs="Arial"/>
          <w:color w:val="auto"/>
          <w:sz w:val="20"/>
          <w:szCs w:val="20"/>
        </w:rPr>
        <w:t>or vary the attached SEP</w:t>
      </w:r>
      <w:r w:rsidR="003C4FA5" w:rsidRPr="004E4FE6">
        <w:rPr>
          <w:rFonts w:cs="Arial"/>
          <w:color w:val="auto"/>
          <w:sz w:val="20"/>
          <w:szCs w:val="20"/>
        </w:rPr>
        <w:t xml:space="preserve"> if the </w:t>
      </w:r>
      <w:r w:rsidR="00433B20">
        <w:rPr>
          <w:rFonts w:cs="Arial"/>
          <w:color w:val="auto"/>
          <w:sz w:val="20"/>
          <w:szCs w:val="20"/>
        </w:rPr>
        <w:t>c</w:t>
      </w:r>
      <w:r w:rsidR="003C4FA5" w:rsidRPr="004E4FE6">
        <w:rPr>
          <w:rFonts w:cs="Arial"/>
          <w:color w:val="auto"/>
          <w:sz w:val="20"/>
          <w:szCs w:val="20"/>
        </w:rPr>
        <w:t xml:space="preserve">ourt is </w:t>
      </w:r>
      <w:r w:rsidR="003C4FA5" w:rsidRPr="004E4FE6">
        <w:rPr>
          <w:rFonts w:cs="Arial"/>
          <w:bCs/>
          <w:color w:val="auto"/>
          <w:sz w:val="20"/>
          <w:szCs w:val="20"/>
        </w:rPr>
        <w:t xml:space="preserve">satisfied it is appropriate to do so to </w:t>
      </w:r>
      <w:r>
        <w:rPr>
          <w:rFonts w:cs="Arial"/>
          <w:bCs/>
          <w:color w:val="auto"/>
          <w:sz w:val="20"/>
          <w:szCs w:val="20"/>
        </w:rPr>
        <w:t>achieve</w:t>
      </w:r>
      <w:r w:rsidR="003C4FA5" w:rsidRPr="004E4FE6">
        <w:rPr>
          <w:rFonts w:cs="Arial"/>
          <w:bCs/>
          <w:color w:val="auto"/>
          <w:sz w:val="20"/>
          <w:szCs w:val="20"/>
        </w:rPr>
        <w:t xml:space="preserve"> a therapeutic</w:t>
      </w:r>
      <w:r w:rsidR="004E4FE6">
        <w:rPr>
          <w:rFonts w:cs="Arial"/>
          <w:bCs/>
          <w:color w:val="auto"/>
          <w:sz w:val="20"/>
          <w:szCs w:val="20"/>
        </w:rPr>
        <w:t xml:space="preserve"> purpose for the SP</w:t>
      </w:r>
      <w:r>
        <w:rPr>
          <w:rFonts w:cs="Arial"/>
          <w:bCs/>
          <w:color w:val="auto"/>
          <w:sz w:val="20"/>
          <w:szCs w:val="20"/>
        </w:rPr>
        <w:t xml:space="preserve"> [</w:t>
      </w:r>
      <w:r>
        <w:rPr>
          <w:rFonts w:cs="Arial"/>
          <w:color w:val="auto"/>
          <w:sz w:val="20"/>
          <w:szCs w:val="20"/>
        </w:rPr>
        <w:t>s.</w:t>
      </w:r>
      <w:r w:rsidRPr="004E4FE6">
        <w:rPr>
          <w:rFonts w:cs="Arial"/>
          <w:b/>
          <w:bCs/>
          <w:color w:val="auto"/>
          <w:sz w:val="20"/>
          <w:szCs w:val="20"/>
        </w:rPr>
        <w:t>22CY(1)</w:t>
      </w:r>
      <w:r w:rsidRPr="00BB0091">
        <w:rPr>
          <w:rFonts w:cs="Arial"/>
          <w:color w:val="auto"/>
          <w:sz w:val="20"/>
          <w:szCs w:val="20"/>
        </w:rPr>
        <w:t>]</w:t>
      </w:r>
      <w:r w:rsidR="004E4FE6">
        <w:rPr>
          <w:rFonts w:cs="Arial"/>
          <w:bCs/>
          <w:color w:val="auto"/>
          <w:sz w:val="20"/>
          <w:szCs w:val="20"/>
        </w:rPr>
        <w:t>.</w:t>
      </w:r>
    </w:p>
    <w:p w14:paraId="73F9C06A" w14:textId="77777777" w:rsidR="004E4FE6" w:rsidRDefault="004E4FE6" w:rsidP="004E4FE6">
      <w:pPr>
        <w:pStyle w:val="HeadingTwo"/>
        <w:spacing w:after="0"/>
        <w:jc w:val="both"/>
        <w:rPr>
          <w:rFonts w:cs="Arial"/>
          <w:bCs/>
          <w:color w:val="auto"/>
          <w:sz w:val="20"/>
          <w:szCs w:val="20"/>
        </w:rPr>
      </w:pPr>
    </w:p>
    <w:p w14:paraId="6E3566DE" w14:textId="08BC7D66" w:rsidR="004E4FE6" w:rsidRDefault="004E4FE6" w:rsidP="004E4FE6">
      <w:pPr>
        <w:pStyle w:val="HeadingTwo"/>
        <w:spacing w:after="0"/>
        <w:jc w:val="both"/>
        <w:rPr>
          <w:rFonts w:cs="Arial"/>
          <w:bCs/>
          <w:color w:val="auto"/>
          <w:sz w:val="20"/>
          <w:szCs w:val="20"/>
        </w:rPr>
      </w:pPr>
      <w:r>
        <w:rPr>
          <w:rFonts w:cs="Arial"/>
          <w:bCs/>
          <w:color w:val="auto"/>
          <w:sz w:val="20"/>
          <w:szCs w:val="20"/>
        </w:rPr>
        <w:t>Under s.</w:t>
      </w:r>
      <w:r w:rsidRPr="004E4FE6">
        <w:rPr>
          <w:rFonts w:cs="Arial"/>
          <w:b/>
          <w:color w:val="auto"/>
          <w:sz w:val="20"/>
          <w:szCs w:val="20"/>
        </w:rPr>
        <w:t>22CY(6)</w:t>
      </w:r>
      <w:r>
        <w:rPr>
          <w:rFonts w:cs="Arial"/>
          <w:bCs/>
          <w:color w:val="auto"/>
          <w:sz w:val="20"/>
          <w:szCs w:val="20"/>
        </w:rPr>
        <w:t xml:space="preserve"> the Court may revoke an SEO if </w:t>
      </w:r>
      <w:r w:rsidR="00416328">
        <w:rPr>
          <w:rFonts w:cs="Arial"/>
          <w:bCs/>
          <w:color w:val="auto"/>
          <w:sz w:val="20"/>
          <w:szCs w:val="20"/>
        </w:rPr>
        <w:t xml:space="preserve">the </w:t>
      </w:r>
      <w:r w:rsidR="00433B20">
        <w:rPr>
          <w:rFonts w:cs="Arial"/>
          <w:bCs/>
          <w:color w:val="auto"/>
          <w:sz w:val="20"/>
          <w:szCs w:val="20"/>
        </w:rPr>
        <w:t>c</w:t>
      </w:r>
      <w:r w:rsidR="00416328">
        <w:rPr>
          <w:rFonts w:cs="Arial"/>
          <w:bCs/>
          <w:color w:val="auto"/>
          <w:sz w:val="20"/>
          <w:szCs w:val="20"/>
        </w:rPr>
        <w:t>ourt</w:t>
      </w:r>
      <w:r w:rsidR="00013698">
        <w:rPr>
          <w:rFonts w:cs="Arial"/>
          <w:bCs/>
          <w:color w:val="000000" w:themeColor="text1"/>
          <w:sz w:val="20"/>
          <w:szCs w:val="20"/>
        </w:rPr>
        <w:t>–</w:t>
      </w:r>
    </w:p>
    <w:p w14:paraId="40A65F55" w14:textId="76E1641D"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sidR="00FC2445">
        <w:rPr>
          <w:rFonts w:ascii="Arial" w:hAnsi="Arial" w:cs="Arial"/>
          <w:bCs/>
          <w:sz w:val="20"/>
        </w:rPr>
        <w:t xml:space="preserve">, </w:t>
      </w:r>
      <w:r w:rsidRPr="00851FA1">
        <w:rPr>
          <w:rFonts w:ascii="Arial" w:hAnsi="Arial" w:cs="Arial"/>
          <w:bCs/>
          <w:sz w:val="20"/>
        </w:rPr>
        <w:t>that the SP is no longer radicalising towards violent extremism; or</w:t>
      </w:r>
    </w:p>
    <w:p w14:paraId="3616637F" w14:textId="3857A231" w:rsidR="00416328" w:rsidRPr="00851FA1" w:rsidRDefault="00416328">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FC2445">
        <w:rPr>
          <w:rFonts w:ascii="Arial" w:hAnsi="Arial" w:cs="Arial"/>
          <w:bCs/>
          <w:sz w:val="20"/>
        </w:rPr>
        <w:t>a</w:t>
      </w:r>
      <w:r w:rsidRPr="00851FA1">
        <w:rPr>
          <w:rFonts w:ascii="Arial" w:hAnsi="Arial" w:cs="Arial"/>
          <w:bCs/>
          <w:sz w:val="20"/>
        </w:rPr>
        <w:t>chieve a therapeutic purpose for the SP; and</w:t>
      </w:r>
    </w:p>
    <w:p w14:paraId="182F299D" w14:textId="1592E0E0" w:rsidR="00416328" w:rsidRPr="00851FA1" w:rsidRDefault="00851FA1">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3C66D5B4" w14:textId="77777777" w:rsidR="003C4FA5" w:rsidRDefault="003C4FA5" w:rsidP="00C45F3B">
      <w:pPr>
        <w:jc w:val="both"/>
        <w:rPr>
          <w:rFonts w:ascii="Arial" w:hAnsi="Arial" w:cs="Arial"/>
          <w:sz w:val="20"/>
          <w:szCs w:val="20"/>
        </w:rPr>
      </w:pPr>
    </w:p>
    <w:p w14:paraId="282EDCAE" w14:textId="6CB2F9D2" w:rsidR="00C45F3B" w:rsidRPr="00220B9E" w:rsidRDefault="00C45F3B" w:rsidP="002B565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JURISDICTION OF THE CHILDREN’S COURT TO VARY, REVOKE OR EXTEND AN SEO</w:t>
      </w:r>
    </w:p>
    <w:p w14:paraId="28D4D3F5" w14:textId="77777777" w:rsidR="00C45F3B" w:rsidRDefault="00C45F3B" w:rsidP="00C45F3B">
      <w:pPr>
        <w:jc w:val="both"/>
        <w:rPr>
          <w:rFonts w:ascii="Arial" w:hAnsi="Arial" w:cs="Arial"/>
          <w:sz w:val="20"/>
          <w:szCs w:val="20"/>
        </w:rPr>
      </w:pPr>
    </w:p>
    <w:p w14:paraId="224689DD" w14:textId="77777777" w:rsidR="00851FA1" w:rsidRDefault="002E62A4" w:rsidP="002E62A4">
      <w:pPr>
        <w:jc w:val="both"/>
        <w:rPr>
          <w:rFonts w:ascii="Arial" w:hAnsi="Arial" w:cs="Arial"/>
          <w:sz w:val="20"/>
          <w:szCs w:val="20"/>
        </w:rPr>
      </w:pPr>
      <w:r>
        <w:rPr>
          <w:rFonts w:ascii="Arial" w:hAnsi="Arial" w:cs="Arial"/>
          <w:sz w:val="20"/>
          <w:szCs w:val="20"/>
        </w:rPr>
        <w:t xml:space="preserve">The Children’s Court also has associated powers to </w:t>
      </w:r>
      <w:r w:rsidRPr="002E62A4">
        <w:rPr>
          <w:rFonts w:ascii="Arial" w:hAnsi="Arial" w:cs="Arial"/>
          <w:b/>
          <w:bCs/>
          <w:sz w:val="20"/>
          <w:szCs w:val="20"/>
        </w:rPr>
        <w:t>vary, revoke or extend an SEO</w:t>
      </w:r>
      <w:r>
        <w:rPr>
          <w:rFonts w:ascii="Arial" w:hAnsi="Arial" w:cs="Arial"/>
          <w:sz w:val="20"/>
          <w:szCs w:val="20"/>
        </w:rPr>
        <w:t xml:space="preserve"> made in the Children’s Court.</w:t>
      </w:r>
    </w:p>
    <w:p w14:paraId="00942C61" w14:textId="0A62E6F3" w:rsidR="00851FA1" w:rsidRDefault="00851FA1" w:rsidP="002E62A4">
      <w:pPr>
        <w:jc w:val="both"/>
        <w:rPr>
          <w:rFonts w:ascii="Arial" w:hAnsi="Arial" w:cs="Arial"/>
          <w:sz w:val="20"/>
          <w:szCs w:val="20"/>
        </w:rPr>
      </w:pPr>
    </w:p>
    <w:p w14:paraId="40F27D27" w14:textId="5EB40428" w:rsidR="00851FA1" w:rsidRDefault="00851FA1" w:rsidP="00851FA1">
      <w:pPr>
        <w:jc w:val="both"/>
        <w:rPr>
          <w:rFonts w:ascii="Arial" w:hAnsi="Arial" w:cs="Arial"/>
          <w:sz w:val="20"/>
          <w:szCs w:val="20"/>
        </w:rPr>
      </w:pPr>
      <w:r>
        <w:rPr>
          <w:rFonts w:ascii="Arial" w:hAnsi="Arial" w:cs="Arial"/>
          <w:color w:val="000000"/>
          <w:sz w:val="20"/>
        </w:rPr>
        <w:t xml:space="preserve">It is not expressly </w:t>
      </w:r>
      <w:r w:rsidR="00D45A15">
        <w:rPr>
          <w:rFonts w:ascii="Arial" w:hAnsi="Arial" w:cs="Arial"/>
          <w:color w:val="000000"/>
          <w:sz w:val="20"/>
        </w:rPr>
        <w:t>stated</w:t>
      </w:r>
      <w:r>
        <w:rPr>
          <w:rFonts w:ascii="Arial" w:hAnsi="Arial" w:cs="Arial"/>
          <w:color w:val="000000"/>
          <w:sz w:val="20"/>
        </w:rPr>
        <w:t xml:space="preserve"> whether an application to vary</w:t>
      </w:r>
      <w:r w:rsidR="00D45A15">
        <w:rPr>
          <w:rFonts w:ascii="Arial" w:hAnsi="Arial" w:cs="Arial"/>
          <w:color w:val="000000"/>
          <w:sz w:val="20"/>
        </w:rPr>
        <w:t>, revoke or extend</w:t>
      </w:r>
      <w:r>
        <w:rPr>
          <w:rFonts w:ascii="Arial" w:hAnsi="Arial" w:cs="Arial"/>
          <w:color w:val="000000"/>
          <w:sz w:val="20"/>
        </w:rPr>
        <w:t xml:space="preserve"> an SEO should be filed in the Children’s Court or the Magistrates’ Court if the SP has already turned 18 at the time the relevant application is made.  However, the writer prefers an interpretation that once an SEO has been made in the Children’s Court, that Court retains </w:t>
      </w:r>
      <w:r w:rsidR="003F3B7C">
        <w:rPr>
          <w:rFonts w:ascii="Arial" w:hAnsi="Arial" w:cs="Arial"/>
          <w:color w:val="000000"/>
          <w:sz w:val="20"/>
        </w:rPr>
        <w:t xml:space="preserve">exclusive </w:t>
      </w:r>
      <w:r>
        <w:rPr>
          <w:rFonts w:ascii="Arial" w:hAnsi="Arial" w:cs="Arial"/>
          <w:color w:val="000000"/>
          <w:sz w:val="20"/>
        </w:rPr>
        <w:t xml:space="preserve">jurisdiction in relation to any subsequent application to vary, revoke or extend </w:t>
      </w:r>
      <w:r w:rsidR="00F94941">
        <w:rPr>
          <w:rFonts w:ascii="Arial" w:hAnsi="Arial" w:cs="Arial"/>
          <w:color w:val="000000"/>
          <w:sz w:val="20"/>
        </w:rPr>
        <w:t>it</w:t>
      </w:r>
      <w:r>
        <w:rPr>
          <w:rFonts w:ascii="Arial" w:hAnsi="Arial" w:cs="Arial"/>
          <w:color w:val="000000"/>
          <w:sz w:val="20"/>
        </w:rPr>
        <w:t>, irrespective of whether the SP has already turned 18.</w:t>
      </w:r>
    </w:p>
    <w:p w14:paraId="31B8220D" w14:textId="5686C87C" w:rsidR="00851FA1" w:rsidRDefault="00851FA1" w:rsidP="00851FA1">
      <w:pPr>
        <w:jc w:val="both"/>
        <w:rPr>
          <w:rFonts w:ascii="Arial" w:hAnsi="Arial" w:cs="Arial"/>
          <w:color w:val="000000"/>
          <w:sz w:val="20"/>
        </w:rPr>
      </w:pPr>
    </w:p>
    <w:p w14:paraId="14FB7350" w14:textId="6193943E" w:rsidR="00FC2445" w:rsidRPr="00D3037B" w:rsidRDefault="00A50E43" w:rsidP="008D785F">
      <w:pPr>
        <w:jc w:val="both"/>
        <w:rPr>
          <w:rFonts w:ascii="Arial" w:hAnsi="Arial" w:cs="Arial"/>
          <w:sz w:val="20"/>
          <w:szCs w:val="20"/>
        </w:rPr>
      </w:pPr>
      <w:r w:rsidRPr="008D785F">
        <w:rPr>
          <w:rFonts w:ascii="Arial" w:hAnsi="Arial" w:cs="Arial"/>
          <w:b/>
          <w:bCs/>
          <w:color w:val="FFFFFF" w:themeColor="background1"/>
          <w:sz w:val="20"/>
          <w:szCs w:val="20"/>
          <w:u w:val="single"/>
          <w:shd w:val="clear" w:color="auto" w:fill="000000" w:themeFill="text1"/>
        </w:rPr>
        <w:t>Variation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variation of an </w:t>
      </w:r>
      <w:r w:rsidRPr="00D3037B">
        <w:rPr>
          <w:rFonts w:ascii="Arial" w:hAnsi="Arial" w:cs="Arial"/>
          <w:sz w:val="20"/>
          <w:szCs w:val="20"/>
        </w:rPr>
        <w:t xml:space="preserve">SEO or the attached SEP, supported by an affidavit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Pr="00D3037B">
        <w:rPr>
          <w:rFonts w:ascii="Arial" w:hAnsi="Arial" w:cs="Arial"/>
          <w:sz w:val="20"/>
          <w:szCs w:val="20"/>
        </w:rPr>
        <w:t xml:space="preserve">the grounds </w:t>
      </w:r>
      <w:r w:rsidR="00D3037B" w:rsidRPr="00D3037B">
        <w:rPr>
          <w:rFonts w:ascii="Arial" w:hAnsi="Arial" w:cs="Arial"/>
          <w:sz w:val="20"/>
          <w:szCs w:val="20"/>
        </w:rPr>
        <w:t>for the variation sought</w:t>
      </w:r>
      <w:r w:rsidRPr="00D3037B">
        <w:rPr>
          <w:rFonts w:ascii="Arial" w:hAnsi="Arial" w:cs="Arial"/>
          <w:sz w:val="20"/>
          <w:szCs w:val="20"/>
        </w:rPr>
        <w:t xml:space="preserve"> </w:t>
      </w:r>
      <w:r w:rsidR="00D3037B">
        <w:rPr>
          <w:rFonts w:ascii="Arial" w:hAnsi="Arial" w:cs="Arial"/>
          <w:sz w:val="20"/>
          <w:szCs w:val="20"/>
        </w:rPr>
        <w:t xml:space="preserve">and includes the prescribed information </w:t>
      </w:r>
      <w:r w:rsidRPr="00D3037B">
        <w:rPr>
          <w:rFonts w:ascii="Arial" w:hAnsi="Arial" w:cs="Arial"/>
          <w:sz w:val="20"/>
          <w:szCs w:val="20"/>
        </w:rPr>
        <w:t>[ss.</w:t>
      </w:r>
      <w:r w:rsidRPr="00D3037B">
        <w:rPr>
          <w:rFonts w:ascii="Arial" w:hAnsi="Arial" w:cs="Arial"/>
          <w:b/>
          <w:bCs/>
          <w:sz w:val="20"/>
          <w:szCs w:val="20"/>
        </w:rPr>
        <w:t>22DA</w:t>
      </w:r>
      <w:r w:rsidRPr="00D3037B">
        <w:rPr>
          <w:rFonts w:ascii="Arial" w:hAnsi="Arial" w:cs="Arial"/>
          <w:sz w:val="20"/>
          <w:szCs w:val="20"/>
        </w:rPr>
        <w:t xml:space="preserve"> &amp; </w:t>
      </w:r>
      <w:r w:rsidRPr="00D3037B">
        <w:rPr>
          <w:rFonts w:ascii="Arial" w:hAnsi="Arial" w:cs="Arial"/>
          <w:b/>
          <w:bCs/>
          <w:sz w:val="20"/>
          <w:szCs w:val="20"/>
        </w:rPr>
        <w:t>22DB</w:t>
      </w:r>
      <w:r w:rsidRPr="00D3037B">
        <w:rPr>
          <w:rFonts w:ascii="Arial" w:hAnsi="Arial" w:cs="Arial"/>
          <w:sz w:val="20"/>
          <w:szCs w:val="20"/>
        </w:rPr>
        <w:t>].</w:t>
      </w:r>
    </w:p>
    <w:p w14:paraId="0FD6A55B" w14:textId="77777777" w:rsidR="00FC2445" w:rsidRDefault="00FC2445" w:rsidP="008D785F">
      <w:pPr>
        <w:jc w:val="both"/>
        <w:rPr>
          <w:rFonts w:ascii="Arial" w:hAnsi="Arial" w:cs="Arial"/>
          <w:sz w:val="20"/>
          <w:szCs w:val="20"/>
        </w:rPr>
      </w:pPr>
    </w:p>
    <w:p w14:paraId="5B0868CB" w14:textId="00C4900B" w:rsidR="000F5D4E" w:rsidRDefault="000F5D4E" w:rsidP="008D785F">
      <w:pPr>
        <w:jc w:val="both"/>
        <w:rPr>
          <w:rFonts w:ascii="Arial" w:hAnsi="Arial" w:cs="Arial"/>
          <w:color w:val="000000"/>
          <w:sz w:val="20"/>
          <w:szCs w:val="20"/>
        </w:rPr>
      </w:pPr>
      <w:r>
        <w:rPr>
          <w:rFonts w:ascii="Arial" w:hAnsi="Arial" w:cs="Arial"/>
          <w:sz w:val="20"/>
          <w:szCs w:val="20"/>
        </w:rPr>
        <w:t>In relation to an SEO originally made in the Children’s Court, t</w:t>
      </w:r>
      <w:r w:rsidR="008D785F" w:rsidRPr="008D785F">
        <w:rPr>
          <w:rFonts w:ascii="Arial" w:hAnsi="Arial" w:cs="Arial"/>
          <w:sz w:val="20"/>
          <w:szCs w:val="20"/>
        </w:rPr>
        <w:t xml:space="preserve">his documentation </w:t>
      </w:r>
      <w:r w:rsidR="008D785F" w:rsidRPr="008D785F">
        <w:rPr>
          <w:rFonts w:ascii="Arial" w:hAnsi="Arial" w:cs="Arial"/>
          <w:bCs/>
          <w:sz w:val="20"/>
          <w:szCs w:val="20"/>
        </w:rPr>
        <w:t xml:space="preserve">must be electronically filed with the Melbourne Children’s Court registry: see </w:t>
      </w:r>
      <w:r w:rsidR="008D785F" w:rsidRPr="008D785F">
        <w:rPr>
          <w:rFonts w:ascii="Arial" w:hAnsi="Arial" w:cs="Arial"/>
          <w:color w:val="000000"/>
          <w:sz w:val="20"/>
          <w:szCs w:val="20"/>
        </w:rPr>
        <w:t>paragraph 57 of Practice Direction No.2 of 2022 dated 02/09/2022.</w:t>
      </w:r>
    </w:p>
    <w:p w14:paraId="2C6F85AF" w14:textId="77777777" w:rsidR="000F5D4E" w:rsidRDefault="000F5D4E" w:rsidP="008D785F">
      <w:pPr>
        <w:jc w:val="both"/>
        <w:rPr>
          <w:rFonts w:ascii="Arial" w:hAnsi="Arial" w:cs="Arial"/>
          <w:color w:val="000000"/>
          <w:sz w:val="20"/>
          <w:szCs w:val="20"/>
        </w:rPr>
      </w:pPr>
    </w:p>
    <w:p w14:paraId="36A7DE60" w14:textId="3B054DE9" w:rsidR="008D785F" w:rsidRDefault="008D785F" w:rsidP="008D785F">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22DE</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sidR="00013698">
        <w:rPr>
          <w:rFonts w:cs="Arial"/>
          <w:bCs/>
          <w:color w:val="000000" w:themeColor="text1"/>
          <w:sz w:val="20"/>
          <w:szCs w:val="20"/>
        </w:rPr>
        <w:t>–</w:t>
      </w:r>
    </w:p>
    <w:p w14:paraId="58FADC40" w14:textId="77777777" w:rsidR="005B21BB" w:rsidRPr="005B21BB" w:rsidRDefault="008D785F">
      <w:pPr>
        <w:pStyle w:val="ListParagraph"/>
        <w:numPr>
          <w:ilvl w:val="0"/>
          <w:numId w:val="57"/>
        </w:numPr>
        <w:ind w:left="357" w:hanging="357"/>
        <w:jc w:val="both"/>
        <w:rPr>
          <w:rFonts w:ascii="Arial" w:hAnsi="Arial" w:cs="Arial"/>
          <w:color w:val="000000"/>
          <w:sz w:val="20"/>
        </w:rPr>
      </w:pPr>
      <w:r w:rsidRPr="008D785F">
        <w:rPr>
          <w:rFonts w:ascii="Arial" w:hAnsi="Arial" w:cs="Arial"/>
          <w:sz w:val="20"/>
        </w:rPr>
        <w:t>may vary the SEO or the SEP if satisfied it is an appropriate way to achieve a therapeutic purpose for the SP</w:t>
      </w:r>
      <w:r w:rsidR="005B21BB">
        <w:rPr>
          <w:rFonts w:ascii="Arial" w:hAnsi="Arial" w:cs="Arial"/>
          <w:sz w:val="20"/>
        </w:rPr>
        <w:t>; and/or</w:t>
      </w:r>
    </w:p>
    <w:p w14:paraId="7551DEE1" w14:textId="4735087A" w:rsidR="008D785F" w:rsidRPr="005B21BB" w:rsidRDefault="005B21BB">
      <w:pPr>
        <w:pStyle w:val="ListParagraph"/>
        <w:numPr>
          <w:ilvl w:val="0"/>
          <w:numId w:val="57"/>
        </w:numPr>
        <w:ind w:left="357" w:hanging="357"/>
        <w:jc w:val="both"/>
        <w:rPr>
          <w:rFonts w:ascii="Arial" w:hAnsi="Arial" w:cs="Arial"/>
          <w:color w:val="000000"/>
          <w:sz w:val="20"/>
        </w:rPr>
      </w:pPr>
      <w:r w:rsidRPr="005B21BB">
        <w:rPr>
          <w:rFonts w:ascii="Arial" w:hAnsi="Arial" w:cs="Arial"/>
          <w:sz w:val="20"/>
        </w:rPr>
        <w:t>may vary one or more conditions under</w:t>
      </w:r>
      <w:r>
        <w:rPr>
          <w:rFonts w:ascii="Arial" w:hAnsi="Arial" w:cs="Arial"/>
          <w:sz w:val="20"/>
        </w:rPr>
        <w:t xml:space="preserve"> s.</w:t>
      </w:r>
      <w:r w:rsidRPr="005B21BB">
        <w:rPr>
          <w:rFonts w:ascii="Arial" w:hAnsi="Arial" w:cs="Arial"/>
          <w:b/>
          <w:bCs/>
          <w:sz w:val="20"/>
        </w:rPr>
        <w:t>22CR</w:t>
      </w:r>
      <w:r w:rsidRPr="005B21BB">
        <w:rPr>
          <w:rFonts w:ascii="Arial" w:hAnsi="Arial" w:cs="Arial"/>
          <w:sz w:val="20"/>
        </w:rPr>
        <w:t xml:space="preserve"> provided the </w:t>
      </w:r>
      <w:r w:rsidR="00433B20">
        <w:rPr>
          <w:rFonts w:ascii="Arial" w:hAnsi="Arial" w:cs="Arial"/>
          <w:sz w:val="20"/>
        </w:rPr>
        <w:t>c</w:t>
      </w:r>
      <w:r w:rsidRPr="005B21BB">
        <w:rPr>
          <w:rFonts w:ascii="Arial" w:hAnsi="Arial" w:cs="Arial"/>
          <w:sz w:val="20"/>
        </w:rPr>
        <w:t>ourt considers that it would be appropriate to achieve a therapeutic purpose, and that the condition as varied would be no more restrictive than is necessary to achieve that purpose</w:t>
      </w:r>
      <w:r w:rsidR="000F5D4E">
        <w:rPr>
          <w:rFonts w:ascii="Arial" w:hAnsi="Arial" w:cs="Arial"/>
          <w:sz w:val="20"/>
        </w:rPr>
        <w:t>.</w:t>
      </w:r>
    </w:p>
    <w:p w14:paraId="70FA43A3" w14:textId="77777777" w:rsidR="00A50E43" w:rsidRDefault="00A50E43" w:rsidP="00851FA1">
      <w:pPr>
        <w:jc w:val="both"/>
        <w:rPr>
          <w:rFonts w:ascii="Arial" w:hAnsi="Arial" w:cs="Arial"/>
          <w:color w:val="000000"/>
          <w:sz w:val="20"/>
        </w:rPr>
      </w:pPr>
    </w:p>
    <w:p w14:paraId="5DA43D64" w14:textId="1BD15A61" w:rsidR="00FC2445" w:rsidRDefault="005B21BB" w:rsidP="000F5D4E">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Revoc</w:t>
      </w:r>
      <w:r w:rsidRPr="008D785F">
        <w:rPr>
          <w:rFonts w:ascii="Arial" w:hAnsi="Arial" w:cs="Arial"/>
          <w:b/>
          <w:bCs/>
          <w:color w:val="FFFFFF" w:themeColor="background1"/>
          <w:sz w:val="20"/>
          <w:szCs w:val="20"/>
          <w:u w:val="single"/>
          <w:shd w:val="clear" w:color="auto" w:fill="000000" w:themeFill="text1"/>
        </w:rPr>
        <w:t>ation</w:t>
      </w:r>
      <w:r w:rsidRPr="00A50E43">
        <w:rPr>
          <w:rFonts w:ascii="Arial" w:hAnsi="Arial" w:cs="Arial"/>
          <w:b/>
          <w:bCs/>
          <w:color w:val="000000"/>
          <w:sz w:val="20"/>
          <w:szCs w:val="20"/>
        </w:rPr>
        <w:t xml:space="preserve">:  </w:t>
      </w:r>
      <w:r w:rsidRPr="00A50E43">
        <w:rPr>
          <w:rFonts w:ascii="Arial" w:hAnsi="Arial" w:cs="Arial"/>
          <w:sz w:val="20"/>
          <w:szCs w:val="20"/>
        </w:rPr>
        <w:t xml:space="preserve">An APO or a SP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3F3B7C">
        <w:rPr>
          <w:rFonts w:ascii="Arial" w:hAnsi="Arial" w:cs="Arial"/>
          <w:sz w:val="20"/>
          <w:szCs w:val="20"/>
        </w:rPr>
        <w:t xml:space="preserve">in Form 2 </w:t>
      </w:r>
      <w:r w:rsidRPr="00A50E43">
        <w:rPr>
          <w:rFonts w:ascii="Arial" w:hAnsi="Arial" w:cs="Arial"/>
          <w:sz w:val="20"/>
          <w:szCs w:val="20"/>
        </w:rPr>
        <w:t xml:space="preserve">for a </w:t>
      </w:r>
      <w:r w:rsidR="000F5D4E">
        <w:rPr>
          <w:rFonts w:ascii="Arial" w:hAnsi="Arial" w:cs="Arial"/>
          <w:sz w:val="20"/>
          <w:szCs w:val="20"/>
        </w:rPr>
        <w:t>revoc</w:t>
      </w:r>
      <w:r w:rsidRPr="00A50E43">
        <w:rPr>
          <w:rFonts w:ascii="Arial" w:hAnsi="Arial" w:cs="Arial"/>
          <w:sz w:val="20"/>
          <w:szCs w:val="20"/>
        </w:rPr>
        <w:t>ation of an SEO</w:t>
      </w:r>
      <w:r w:rsidR="000F5D4E">
        <w:rPr>
          <w:rFonts w:ascii="Arial" w:hAnsi="Arial" w:cs="Arial"/>
          <w:sz w:val="20"/>
          <w:szCs w:val="20"/>
        </w:rPr>
        <w:t xml:space="preserve">, </w:t>
      </w:r>
      <w:r w:rsidR="000F5D4E" w:rsidRPr="008D785F">
        <w:rPr>
          <w:rFonts w:ascii="Arial" w:hAnsi="Arial" w:cs="Arial"/>
          <w:sz w:val="20"/>
          <w:szCs w:val="20"/>
        </w:rPr>
        <w:t>supported by an affidavit</w:t>
      </w:r>
      <w:r w:rsidR="00D3037B">
        <w:rPr>
          <w:rFonts w:ascii="Arial" w:hAnsi="Arial" w:cs="Arial"/>
          <w:sz w:val="20"/>
          <w:szCs w:val="20"/>
        </w:rPr>
        <w:t xml:space="preserve"> </w:t>
      </w:r>
      <w:r w:rsidR="00D3037B" w:rsidRPr="00D3037B">
        <w:rPr>
          <w:rFonts w:ascii="Arial" w:hAnsi="Arial" w:cs="Arial"/>
          <w:bCs/>
          <w:sz w:val="20"/>
          <w:szCs w:val="20"/>
        </w:rPr>
        <w:t>by the applicant</w:t>
      </w:r>
      <w:r w:rsidR="00D3037B" w:rsidRPr="00D3037B">
        <w:rPr>
          <w:rFonts w:ascii="Arial" w:hAnsi="Arial" w:cs="Arial"/>
          <w:sz w:val="20"/>
          <w:szCs w:val="20"/>
        </w:rPr>
        <w:t xml:space="preserve"> </w:t>
      </w:r>
      <w:r w:rsidR="00D3037B" w:rsidRPr="00D3037B">
        <w:rPr>
          <w:rFonts w:ascii="Arial" w:hAnsi="Arial" w:cs="Arial"/>
          <w:bCs/>
          <w:sz w:val="20"/>
          <w:szCs w:val="20"/>
        </w:rPr>
        <w:t xml:space="preserve">that sets out </w:t>
      </w:r>
      <w:r w:rsidR="00D3037B" w:rsidRPr="00D3037B">
        <w:rPr>
          <w:rFonts w:ascii="Arial" w:hAnsi="Arial" w:cs="Arial"/>
          <w:sz w:val="20"/>
          <w:szCs w:val="20"/>
        </w:rPr>
        <w:t xml:space="preserve">the grounds for the </w:t>
      </w:r>
      <w:r w:rsidR="00D3037B">
        <w:rPr>
          <w:rFonts w:ascii="Arial" w:hAnsi="Arial" w:cs="Arial"/>
          <w:sz w:val="20"/>
          <w:szCs w:val="20"/>
        </w:rPr>
        <w:t>revoc</w:t>
      </w:r>
      <w:r w:rsidR="00D3037B" w:rsidRPr="00D3037B">
        <w:rPr>
          <w:rFonts w:ascii="Arial" w:hAnsi="Arial" w:cs="Arial"/>
          <w:sz w:val="20"/>
          <w:szCs w:val="20"/>
        </w:rPr>
        <w:t xml:space="preserve">ation sought </w:t>
      </w:r>
      <w:r w:rsidR="00D3037B">
        <w:rPr>
          <w:rFonts w:ascii="Arial" w:hAnsi="Arial" w:cs="Arial"/>
          <w:sz w:val="20"/>
          <w:szCs w:val="20"/>
        </w:rPr>
        <w:t>and includes the prescribed information</w:t>
      </w:r>
      <w:r w:rsidR="00D3037B" w:rsidRPr="008D785F">
        <w:rPr>
          <w:rFonts w:ascii="Arial" w:hAnsi="Arial" w:cs="Arial"/>
          <w:sz w:val="20"/>
          <w:szCs w:val="20"/>
        </w:rPr>
        <w:t xml:space="preserve"> </w:t>
      </w:r>
      <w:r w:rsidR="000F5D4E" w:rsidRPr="008D785F">
        <w:rPr>
          <w:rFonts w:ascii="Arial" w:hAnsi="Arial" w:cs="Arial"/>
          <w:sz w:val="20"/>
          <w:szCs w:val="20"/>
        </w:rPr>
        <w:t>[ss.</w:t>
      </w:r>
      <w:r w:rsidR="000F5D4E" w:rsidRPr="008D785F">
        <w:rPr>
          <w:rFonts w:ascii="Arial" w:hAnsi="Arial" w:cs="Arial"/>
          <w:b/>
          <w:bCs/>
          <w:sz w:val="20"/>
          <w:szCs w:val="20"/>
        </w:rPr>
        <w:t>22D</w:t>
      </w:r>
      <w:r w:rsidR="000F5D4E">
        <w:rPr>
          <w:rFonts w:ascii="Arial" w:hAnsi="Arial" w:cs="Arial"/>
          <w:b/>
          <w:bCs/>
          <w:sz w:val="20"/>
          <w:szCs w:val="20"/>
        </w:rPr>
        <w:t>R</w:t>
      </w:r>
      <w:r w:rsidR="000F5D4E" w:rsidRPr="008D785F">
        <w:rPr>
          <w:rFonts w:ascii="Arial" w:hAnsi="Arial" w:cs="Arial"/>
          <w:sz w:val="20"/>
          <w:szCs w:val="20"/>
        </w:rPr>
        <w:t xml:space="preserve"> &amp; </w:t>
      </w:r>
      <w:r w:rsidR="000F5D4E" w:rsidRPr="008D785F">
        <w:rPr>
          <w:rFonts w:ascii="Arial" w:hAnsi="Arial" w:cs="Arial"/>
          <w:b/>
          <w:bCs/>
          <w:sz w:val="20"/>
          <w:szCs w:val="20"/>
        </w:rPr>
        <w:t>22D</w:t>
      </w:r>
      <w:r w:rsidR="000F5D4E">
        <w:rPr>
          <w:rFonts w:ascii="Arial" w:hAnsi="Arial" w:cs="Arial"/>
          <w:b/>
          <w:bCs/>
          <w:sz w:val="20"/>
          <w:szCs w:val="20"/>
        </w:rPr>
        <w:t>S</w:t>
      </w:r>
      <w:r w:rsidR="000F5D4E" w:rsidRPr="008D785F">
        <w:rPr>
          <w:rFonts w:ascii="Arial" w:hAnsi="Arial" w:cs="Arial"/>
          <w:sz w:val="20"/>
          <w:szCs w:val="20"/>
        </w:rPr>
        <w:t>].</w:t>
      </w:r>
    </w:p>
    <w:p w14:paraId="5FAEA312" w14:textId="77777777" w:rsidR="00FC2445" w:rsidRPr="00765B70" w:rsidRDefault="00FC2445" w:rsidP="000F5D4E">
      <w:pPr>
        <w:jc w:val="both"/>
        <w:rPr>
          <w:rFonts w:ascii="Arial" w:hAnsi="Arial" w:cs="Arial"/>
          <w:sz w:val="16"/>
          <w:szCs w:val="16"/>
        </w:rPr>
      </w:pPr>
    </w:p>
    <w:p w14:paraId="52CB45A7" w14:textId="09F0385B" w:rsidR="000F5D4E" w:rsidRDefault="000F5D4E" w:rsidP="000F5D4E">
      <w:pPr>
        <w:jc w:val="both"/>
        <w:rPr>
          <w:rFonts w:ascii="Arial" w:hAnsi="Arial" w:cs="Arial"/>
          <w:color w:val="000000"/>
          <w:sz w:val="20"/>
          <w:szCs w:val="20"/>
        </w:rPr>
      </w:pPr>
      <w:r>
        <w:rPr>
          <w:rFonts w:ascii="Arial" w:hAnsi="Arial" w:cs="Arial"/>
          <w:sz w:val="20"/>
          <w:szCs w:val="20"/>
        </w:rPr>
        <w:lastRenderedPageBreak/>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248D66D5" w14:textId="77777777" w:rsidR="000F5D4E" w:rsidRPr="00765B70" w:rsidRDefault="000F5D4E" w:rsidP="000F5D4E">
      <w:pPr>
        <w:jc w:val="both"/>
        <w:rPr>
          <w:rFonts w:ascii="Arial" w:hAnsi="Arial" w:cs="Arial"/>
          <w:color w:val="000000"/>
          <w:sz w:val="16"/>
          <w:szCs w:val="16"/>
        </w:rPr>
      </w:pPr>
    </w:p>
    <w:p w14:paraId="36068C8A" w14:textId="6D03CDE8" w:rsidR="000F5D4E" w:rsidRDefault="000F5D4E" w:rsidP="000F5D4E">
      <w:pPr>
        <w:jc w:val="both"/>
        <w:rPr>
          <w:rFonts w:ascii="Arial" w:hAnsi="Arial" w:cs="Arial"/>
          <w:sz w:val="20"/>
          <w:szCs w:val="20"/>
        </w:rPr>
      </w:pPr>
      <w:r w:rsidRPr="008D785F">
        <w:rPr>
          <w:rFonts w:ascii="Arial" w:hAnsi="Arial" w:cs="Arial"/>
          <w:color w:val="000000"/>
          <w:sz w:val="20"/>
          <w:szCs w:val="20"/>
        </w:rPr>
        <w:t>Under s.</w:t>
      </w:r>
      <w:r w:rsidRPr="008D785F">
        <w:rPr>
          <w:rFonts w:ascii="Arial" w:hAnsi="Arial" w:cs="Arial"/>
          <w:b/>
          <w:bCs/>
          <w:color w:val="000000"/>
          <w:sz w:val="20"/>
          <w:szCs w:val="20"/>
        </w:rPr>
        <w:t>22D</w:t>
      </w:r>
      <w:r>
        <w:rPr>
          <w:rFonts w:ascii="Arial" w:hAnsi="Arial" w:cs="Arial"/>
          <w:b/>
          <w:bCs/>
          <w:color w:val="000000"/>
          <w:sz w:val="20"/>
          <w:szCs w:val="20"/>
        </w:rPr>
        <w:t>V</w:t>
      </w:r>
      <w:r w:rsidRPr="008D785F">
        <w:rPr>
          <w:rFonts w:ascii="Arial" w:hAnsi="Arial" w:cs="Arial"/>
          <w:color w:val="000000"/>
          <w:sz w:val="20"/>
          <w:szCs w:val="20"/>
        </w:rPr>
        <w:t xml:space="preserve"> </w:t>
      </w:r>
      <w:r w:rsidRPr="008D785F">
        <w:rPr>
          <w:rFonts w:ascii="Arial" w:hAnsi="Arial" w:cs="Arial"/>
          <w:sz w:val="20"/>
          <w:szCs w:val="20"/>
        </w:rPr>
        <w:t xml:space="preserve">the </w:t>
      </w:r>
      <w:r w:rsidR="00433B20">
        <w:rPr>
          <w:rFonts w:ascii="Arial" w:hAnsi="Arial" w:cs="Arial"/>
          <w:sz w:val="20"/>
          <w:szCs w:val="20"/>
        </w:rPr>
        <w:t>c</w:t>
      </w:r>
      <w:r w:rsidRPr="008D785F">
        <w:rPr>
          <w:rFonts w:ascii="Arial" w:hAnsi="Arial" w:cs="Arial"/>
          <w:sz w:val="20"/>
          <w:szCs w:val="20"/>
        </w:rPr>
        <w:t>ourt</w:t>
      </w:r>
      <w:r>
        <w:rPr>
          <w:rFonts w:ascii="Arial" w:hAnsi="Arial" w:cs="Arial"/>
          <w:sz w:val="20"/>
          <w:szCs w:val="20"/>
        </w:rPr>
        <w:t xml:space="preserve"> must revoke the SEO if both the applicant and</w:t>
      </w:r>
      <w:r w:rsidR="00013698">
        <w:rPr>
          <w:rFonts w:cs="Arial"/>
          <w:bCs/>
          <w:color w:val="000000" w:themeColor="text1"/>
          <w:sz w:val="20"/>
          <w:szCs w:val="20"/>
        </w:rPr>
        <w:t>–</w:t>
      </w:r>
    </w:p>
    <w:p w14:paraId="42D380FA" w14:textId="70276245" w:rsidR="000F5D4E"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an APO, the SP; or</w:t>
      </w:r>
    </w:p>
    <w:p w14:paraId="31F1EE33" w14:textId="1010F0BA" w:rsidR="000F5D4E" w:rsidRPr="004E4FE6" w:rsidRDefault="000F5D4E">
      <w:pPr>
        <w:pStyle w:val="HeadingTwo"/>
        <w:numPr>
          <w:ilvl w:val="0"/>
          <w:numId w:val="65"/>
        </w:numPr>
        <w:spacing w:after="0"/>
        <w:ind w:left="357" w:hanging="357"/>
        <w:jc w:val="both"/>
        <w:rPr>
          <w:rFonts w:cs="Arial"/>
          <w:bCs/>
          <w:color w:val="auto"/>
          <w:sz w:val="20"/>
          <w:szCs w:val="20"/>
        </w:rPr>
      </w:pPr>
      <w:r>
        <w:rPr>
          <w:rFonts w:cs="Arial"/>
          <w:bCs/>
          <w:color w:val="auto"/>
          <w:sz w:val="20"/>
          <w:szCs w:val="20"/>
        </w:rPr>
        <w:t>if the applicant is the SP, the Chief Commissioner of Police-</w:t>
      </w:r>
    </w:p>
    <w:p w14:paraId="0F42AB4F" w14:textId="0E9B1391" w:rsidR="00851FA1" w:rsidRDefault="000F5D4E" w:rsidP="002E62A4">
      <w:pPr>
        <w:jc w:val="both"/>
        <w:rPr>
          <w:rFonts w:ascii="Arial" w:hAnsi="Arial" w:cs="Arial"/>
          <w:sz w:val="20"/>
          <w:szCs w:val="20"/>
        </w:rPr>
      </w:pPr>
      <w:r>
        <w:rPr>
          <w:rFonts w:ascii="Arial" w:hAnsi="Arial" w:cs="Arial"/>
          <w:sz w:val="20"/>
          <w:szCs w:val="20"/>
        </w:rPr>
        <w:t xml:space="preserve">agree that the </w:t>
      </w:r>
      <w:r w:rsidR="00FC2445">
        <w:rPr>
          <w:rFonts w:ascii="Arial" w:hAnsi="Arial" w:cs="Arial"/>
          <w:sz w:val="20"/>
          <w:szCs w:val="20"/>
        </w:rPr>
        <w:t xml:space="preserve">SEO should be revoked.  If there is no such agreement the </w:t>
      </w:r>
      <w:r w:rsidR="00433B20">
        <w:rPr>
          <w:rFonts w:ascii="Arial" w:hAnsi="Arial" w:cs="Arial"/>
          <w:sz w:val="20"/>
          <w:szCs w:val="20"/>
        </w:rPr>
        <w:t>c</w:t>
      </w:r>
      <w:r w:rsidR="00FC2445">
        <w:rPr>
          <w:rFonts w:ascii="Arial" w:hAnsi="Arial" w:cs="Arial"/>
          <w:sz w:val="20"/>
          <w:szCs w:val="20"/>
        </w:rPr>
        <w:t xml:space="preserve">ourt may revoke the SPO if the </w:t>
      </w:r>
      <w:r w:rsidR="00433B20">
        <w:rPr>
          <w:rFonts w:ascii="Arial" w:hAnsi="Arial" w:cs="Arial"/>
          <w:sz w:val="20"/>
          <w:szCs w:val="20"/>
        </w:rPr>
        <w:t>c</w:t>
      </w:r>
      <w:r w:rsidR="00FC2445">
        <w:rPr>
          <w:rFonts w:ascii="Arial" w:hAnsi="Arial" w:cs="Arial"/>
          <w:sz w:val="20"/>
          <w:szCs w:val="20"/>
        </w:rPr>
        <w:t>ourt-</w:t>
      </w:r>
    </w:p>
    <w:p w14:paraId="466F8981" w14:textId="1E192681"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finds, in accordance with s.</w:t>
      </w:r>
      <w:r w:rsidRPr="00851FA1">
        <w:rPr>
          <w:rFonts w:ascii="Arial" w:hAnsi="Arial" w:cs="Arial"/>
          <w:b/>
          <w:sz w:val="20"/>
        </w:rPr>
        <w:t>22CI</w:t>
      </w:r>
      <w:r>
        <w:rPr>
          <w:rFonts w:ascii="Arial" w:hAnsi="Arial" w:cs="Arial"/>
          <w:bCs/>
          <w:sz w:val="20"/>
        </w:rPr>
        <w:t xml:space="preserve">, </w:t>
      </w:r>
      <w:r w:rsidRPr="00851FA1">
        <w:rPr>
          <w:rFonts w:ascii="Arial" w:hAnsi="Arial" w:cs="Arial"/>
          <w:bCs/>
          <w:sz w:val="20"/>
        </w:rPr>
        <w:t>that the SP is no longer radicalising towards violent extremism; or</w:t>
      </w:r>
    </w:p>
    <w:p w14:paraId="3FFAFB1F" w14:textId="22BC6E1E"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not satisfied that an SEO remains an appropriate way to </w:t>
      </w:r>
      <w:r w:rsidR="00D45A15">
        <w:rPr>
          <w:rFonts w:ascii="Arial" w:hAnsi="Arial" w:cs="Arial"/>
          <w:bCs/>
          <w:sz w:val="20"/>
        </w:rPr>
        <w:t>a</w:t>
      </w:r>
      <w:r w:rsidRPr="00851FA1">
        <w:rPr>
          <w:rFonts w:ascii="Arial" w:hAnsi="Arial" w:cs="Arial"/>
          <w:bCs/>
          <w:sz w:val="20"/>
        </w:rPr>
        <w:t>chieve a therapeutic purpose for the SP; and</w:t>
      </w:r>
    </w:p>
    <w:p w14:paraId="1A80A543" w14:textId="77777777" w:rsidR="00FC2445" w:rsidRPr="00851FA1" w:rsidRDefault="00FC2445">
      <w:pPr>
        <w:pStyle w:val="ListParagraph"/>
        <w:numPr>
          <w:ilvl w:val="0"/>
          <w:numId w:val="57"/>
        </w:numPr>
        <w:ind w:left="357" w:hanging="357"/>
        <w:jc w:val="both"/>
        <w:rPr>
          <w:rFonts w:ascii="Arial" w:hAnsi="Arial" w:cs="Arial"/>
          <w:color w:val="000000"/>
          <w:sz w:val="20"/>
        </w:rPr>
      </w:pPr>
      <w:r w:rsidRPr="00851FA1">
        <w:rPr>
          <w:rFonts w:ascii="Arial" w:hAnsi="Arial" w:cs="Arial"/>
          <w:bCs/>
          <w:sz w:val="20"/>
        </w:rPr>
        <w:t xml:space="preserve">is satisfied that </w:t>
      </w:r>
      <w:r>
        <w:rPr>
          <w:rFonts w:ascii="Arial" w:hAnsi="Arial" w:cs="Arial"/>
          <w:bCs/>
          <w:sz w:val="20"/>
        </w:rPr>
        <w:t>it is appropriate to revoke the SEO.</w:t>
      </w:r>
    </w:p>
    <w:p w14:paraId="75537AF9" w14:textId="77777777" w:rsidR="00FC2445" w:rsidRDefault="00FC2445" w:rsidP="00FC2445">
      <w:pPr>
        <w:jc w:val="both"/>
        <w:rPr>
          <w:rFonts w:ascii="Arial" w:hAnsi="Arial" w:cs="Arial"/>
          <w:color w:val="000000"/>
          <w:sz w:val="20"/>
        </w:rPr>
      </w:pPr>
    </w:p>
    <w:p w14:paraId="5C204F5D" w14:textId="2721870E" w:rsidR="0004634A" w:rsidRDefault="00FC2445" w:rsidP="00FC2445">
      <w:pPr>
        <w:jc w:val="both"/>
        <w:rPr>
          <w:rFonts w:ascii="Arial" w:hAnsi="Arial" w:cs="Arial"/>
          <w:sz w:val="20"/>
          <w:szCs w:val="20"/>
        </w:rPr>
      </w:pPr>
      <w:r>
        <w:rPr>
          <w:rFonts w:ascii="Arial" w:hAnsi="Arial" w:cs="Arial"/>
          <w:b/>
          <w:bCs/>
          <w:color w:val="FFFFFF" w:themeColor="background1"/>
          <w:sz w:val="20"/>
          <w:szCs w:val="20"/>
          <w:u w:val="single"/>
          <w:shd w:val="clear" w:color="auto" w:fill="000000" w:themeFill="text1"/>
        </w:rPr>
        <w:t>Extens</w:t>
      </w:r>
      <w:r w:rsidRPr="008D785F">
        <w:rPr>
          <w:rFonts w:ascii="Arial" w:hAnsi="Arial" w:cs="Arial"/>
          <w:b/>
          <w:bCs/>
          <w:color w:val="FFFFFF" w:themeColor="background1"/>
          <w:sz w:val="20"/>
          <w:szCs w:val="20"/>
          <w:u w:val="single"/>
          <w:shd w:val="clear" w:color="auto" w:fill="000000" w:themeFill="text1"/>
        </w:rPr>
        <w:t>ion</w:t>
      </w:r>
      <w:r w:rsidRPr="00A50E43">
        <w:rPr>
          <w:rFonts w:ascii="Arial" w:hAnsi="Arial" w:cs="Arial"/>
          <w:b/>
          <w:bCs/>
          <w:color w:val="000000"/>
          <w:sz w:val="20"/>
          <w:szCs w:val="20"/>
        </w:rPr>
        <w:t xml:space="preserve">:  </w:t>
      </w:r>
      <w:r w:rsidRPr="00A50E43">
        <w:rPr>
          <w:rFonts w:ascii="Arial" w:hAnsi="Arial" w:cs="Arial"/>
          <w:sz w:val="20"/>
          <w:szCs w:val="20"/>
        </w:rPr>
        <w:t xml:space="preserve">An APO may apply to the </w:t>
      </w:r>
      <w:r w:rsidR="00433B20">
        <w:rPr>
          <w:rFonts w:ascii="Arial" w:hAnsi="Arial" w:cs="Arial"/>
          <w:sz w:val="20"/>
          <w:szCs w:val="20"/>
        </w:rPr>
        <w:t>c</w:t>
      </w:r>
      <w:r w:rsidRPr="00A50E43">
        <w:rPr>
          <w:rFonts w:ascii="Arial" w:hAnsi="Arial" w:cs="Arial"/>
          <w:sz w:val="20"/>
          <w:szCs w:val="20"/>
        </w:rPr>
        <w:t xml:space="preserve">ourt </w:t>
      </w:r>
      <w:r>
        <w:rPr>
          <w:rFonts w:ascii="Arial" w:hAnsi="Arial" w:cs="Arial"/>
          <w:sz w:val="20"/>
          <w:szCs w:val="20"/>
        </w:rPr>
        <w:t xml:space="preserve">in writing </w:t>
      </w:r>
      <w:r w:rsidR="00D75E30">
        <w:rPr>
          <w:rFonts w:ascii="Arial" w:hAnsi="Arial" w:cs="Arial"/>
          <w:sz w:val="20"/>
          <w:szCs w:val="20"/>
        </w:rPr>
        <w:t xml:space="preserve">in Form 3 </w:t>
      </w:r>
      <w:r w:rsidRPr="00A50E43">
        <w:rPr>
          <w:rFonts w:ascii="Arial" w:hAnsi="Arial" w:cs="Arial"/>
          <w:sz w:val="20"/>
          <w:szCs w:val="20"/>
        </w:rPr>
        <w:t xml:space="preserve">for </w:t>
      </w:r>
      <w:r>
        <w:rPr>
          <w:rFonts w:ascii="Arial" w:hAnsi="Arial" w:cs="Arial"/>
          <w:sz w:val="20"/>
          <w:szCs w:val="20"/>
        </w:rPr>
        <w:t>the extension</w:t>
      </w:r>
      <w:r w:rsidRPr="00A50E43">
        <w:rPr>
          <w:rFonts w:ascii="Arial" w:hAnsi="Arial" w:cs="Arial"/>
          <w:sz w:val="20"/>
          <w:szCs w:val="20"/>
        </w:rPr>
        <w:t xml:space="preserve"> of an SEO</w:t>
      </w:r>
      <w:r>
        <w:rPr>
          <w:rFonts w:ascii="Arial" w:hAnsi="Arial" w:cs="Arial"/>
          <w:sz w:val="20"/>
          <w:szCs w:val="20"/>
        </w:rPr>
        <w:t xml:space="preserve">, </w:t>
      </w:r>
      <w:r w:rsidRPr="008D785F">
        <w:rPr>
          <w:rFonts w:ascii="Arial" w:hAnsi="Arial" w:cs="Arial"/>
          <w:sz w:val="20"/>
          <w:szCs w:val="20"/>
        </w:rPr>
        <w:t xml:space="preserve">supported by an affidavit </w:t>
      </w:r>
      <w:r w:rsidR="008664F6">
        <w:rPr>
          <w:rFonts w:ascii="Arial" w:hAnsi="Arial" w:cs="Arial"/>
          <w:sz w:val="20"/>
          <w:szCs w:val="20"/>
        </w:rPr>
        <w:t>by the applicant that sets out the grounds for and the period of the extension sought and includes the prescribed information</w:t>
      </w:r>
      <w:r>
        <w:rPr>
          <w:rFonts w:ascii="Arial" w:hAnsi="Arial" w:cs="Arial"/>
          <w:sz w:val="20"/>
          <w:szCs w:val="20"/>
        </w:rPr>
        <w:t xml:space="preserve"> </w:t>
      </w:r>
      <w:r w:rsidRPr="008D785F">
        <w:rPr>
          <w:rFonts w:ascii="Arial" w:hAnsi="Arial" w:cs="Arial"/>
          <w:sz w:val="20"/>
          <w:szCs w:val="20"/>
        </w:rPr>
        <w:t>[ss.</w:t>
      </w:r>
      <w:r w:rsidRPr="008D785F">
        <w:rPr>
          <w:rFonts w:ascii="Arial" w:hAnsi="Arial" w:cs="Arial"/>
          <w:b/>
          <w:bCs/>
          <w:sz w:val="20"/>
          <w:szCs w:val="20"/>
        </w:rPr>
        <w:t>22D</w:t>
      </w:r>
      <w:r>
        <w:rPr>
          <w:rFonts w:ascii="Arial" w:hAnsi="Arial" w:cs="Arial"/>
          <w:b/>
          <w:bCs/>
          <w:sz w:val="20"/>
          <w:szCs w:val="20"/>
        </w:rPr>
        <w:t>H</w:t>
      </w:r>
      <w:r w:rsidRPr="008D785F">
        <w:rPr>
          <w:rFonts w:ascii="Arial" w:hAnsi="Arial" w:cs="Arial"/>
          <w:sz w:val="20"/>
          <w:szCs w:val="20"/>
        </w:rPr>
        <w:t xml:space="preserve"> &amp; </w:t>
      </w:r>
      <w:r w:rsidRPr="008D785F">
        <w:rPr>
          <w:rFonts w:ascii="Arial" w:hAnsi="Arial" w:cs="Arial"/>
          <w:b/>
          <w:bCs/>
          <w:sz w:val="20"/>
          <w:szCs w:val="20"/>
        </w:rPr>
        <w:t>22D</w:t>
      </w:r>
      <w:r>
        <w:rPr>
          <w:rFonts w:ascii="Arial" w:hAnsi="Arial" w:cs="Arial"/>
          <w:b/>
          <w:bCs/>
          <w:sz w:val="20"/>
          <w:szCs w:val="20"/>
        </w:rPr>
        <w:t>I</w:t>
      </w:r>
      <w:r w:rsidRPr="008D785F">
        <w:rPr>
          <w:rFonts w:ascii="Arial" w:hAnsi="Arial" w:cs="Arial"/>
          <w:sz w:val="20"/>
          <w:szCs w:val="20"/>
        </w:rPr>
        <w:t>].</w:t>
      </w:r>
    </w:p>
    <w:p w14:paraId="11B9B185" w14:textId="77777777" w:rsidR="0004634A" w:rsidRPr="00765B70" w:rsidRDefault="0004634A" w:rsidP="00FC2445">
      <w:pPr>
        <w:jc w:val="both"/>
        <w:rPr>
          <w:rFonts w:ascii="Arial" w:hAnsi="Arial" w:cs="Arial"/>
          <w:sz w:val="16"/>
          <w:szCs w:val="16"/>
        </w:rPr>
      </w:pPr>
    </w:p>
    <w:p w14:paraId="234F31DE" w14:textId="607E66BE" w:rsidR="00FC2445" w:rsidRDefault="00FC2445" w:rsidP="00FC2445">
      <w:pPr>
        <w:jc w:val="both"/>
        <w:rPr>
          <w:rFonts w:ascii="Arial" w:hAnsi="Arial" w:cs="Arial"/>
          <w:sz w:val="20"/>
          <w:szCs w:val="20"/>
        </w:rPr>
      </w:pPr>
      <w:r>
        <w:rPr>
          <w:rFonts w:ascii="Arial" w:hAnsi="Arial" w:cs="Arial"/>
          <w:sz w:val="20"/>
          <w:szCs w:val="20"/>
        </w:rPr>
        <w:t>An application to extend an SEO must not be made after the order has expired [s.</w:t>
      </w:r>
      <w:r w:rsidRPr="00FC2445">
        <w:rPr>
          <w:rFonts w:ascii="Arial" w:hAnsi="Arial" w:cs="Arial"/>
          <w:b/>
          <w:bCs/>
          <w:sz w:val="20"/>
          <w:szCs w:val="20"/>
        </w:rPr>
        <w:t>22DH(2)</w:t>
      </w:r>
      <w:r>
        <w:rPr>
          <w:rFonts w:ascii="Arial" w:hAnsi="Arial" w:cs="Arial"/>
          <w:sz w:val="20"/>
          <w:szCs w:val="20"/>
        </w:rPr>
        <w:t>].</w:t>
      </w:r>
      <w:r w:rsidR="00D75E30">
        <w:rPr>
          <w:rFonts w:ascii="Arial" w:hAnsi="Arial" w:cs="Arial"/>
          <w:sz w:val="20"/>
          <w:szCs w:val="20"/>
        </w:rPr>
        <w:t xml:space="preserve">  However, upon the making of a valid application to extend, the SEO continues until the application is determined [s.</w:t>
      </w:r>
      <w:r w:rsidR="00D75E30" w:rsidRPr="00D75E30">
        <w:rPr>
          <w:rFonts w:ascii="Arial" w:hAnsi="Arial" w:cs="Arial"/>
          <w:b/>
          <w:bCs/>
          <w:sz w:val="20"/>
          <w:szCs w:val="20"/>
        </w:rPr>
        <w:t>22DK</w:t>
      </w:r>
      <w:r w:rsidR="00D75E30">
        <w:rPr>
          <w:rFonts w:ascii="Arial" w:hAnsi="Arial" w:cs="Arial"/>
          <w:sz w:val="20"/>
          <w:szCs w:val="20"/>
        </w:rPr>
        <w:t>].</w:t>
      </w:r>
    </w:p>
    <w:p w14:paraId="1224F24B" w14:textId="77777777" w:rsidR="00FC2445" w:rsidRPr="00765B70" w:rsidRDefault="00FC2445" w:rsidP="00FC2445">
      <w:pPr>
        <w:jc w:val="both"/>
        <w:rPr>
          <w:rFonts w:ascii="Arial" w:hAnsi="Arial" w:cs="Arial"/>
          <w:sz w:val="16"/>
          <w:szCs w:val="16"/>
        </w:rPr>
      </w:pPr>
    </w:p>
    <w:p w14:paraId="1EA197CC" w14:textId="3038E7E4" w:rsidR="00FC2445" w:rsidRDefault="00FC2445" w:rsidP="00FC2445">
      <w:pPr>
        <w:jc w:val="both"/>
        <w:rPr>
          <w:rFonts w:ascii="Arial" w:hAnsi="Arial" w:cs="Arial"/>
          <w:color w:val="000000"/>
          <w:sz w:val="20"/>
          <w:szCs w:val="20"/>
        </w:rPr>
      </w:pPr>
      <w:r>
        <w:rPr>
          <w:rFonts w:ascii="Arial" w:hAnsi="Arial" w:cs="Arial"/>
          <w:sz w:val="20"/>
          <w:szCs w:val="20"/>
        </w:rPr>
        <w:t>In relation to an SEO originally made in the Children’s Court, t</w:t>
      </w:r>
      <w:r w:rsidRPr="008D785F">
        <w:rPr>
          <w:rFonts w:ascii="Arial" w:hAnsi="Arial" w:cs="Arial"/>
          <w:sz w:val="20"/>
          <w:szCs w:val="20"/>
        </w:rPr>
        <w:t xml:space="preserve">his documentation </w:t>
      </w:r>
      <w:r w:rsidRPr="008D785F">
        <w:rPr>
          <w:rFonts w:ascii="Arial" w:hAnsi="Arial" w:cs="Arial"/>
          <w:bCs/>
          <w:sz w:val="20"/>
          <w:szCs w:val="20"/>
        </w:rPr>
        <w:t xml:space="preserve">must be electronically filed with the Melbourne Children’s Court registry: see </w:t>
      </w:r>
      <w:r w:rsidRPr="008D785F">
        <w:rPr>
          <w:rFonts w:ascii="Arial" w:hAnsi="Arial" w:cs="Arial"/>
          <w:color w:val="000000"/>
          <w:sz w:val="20"/>
          <w:szCs w:val="20"/>
        </w:rPr>
        <w:t>paragraph 57 of Practice Direction No.2 of 2022 dated 02/09/2022.</w:t>
      </w:r>
    </w:p>
    <w:p w14:paraId="384931F8" w14:textId="77777777" w:rsidR="00FC2445" w:rsidRPr="00765B70" w:rsidRDefault="00FC2445" w:rsidP="00FC2445">
      <w:pPr>
        <w:jc w:val="both"/>
        <w:rPr>
          <w:rFonts w:ascii="Arial" w:hAnsi="Arial" w:cs="Arial"/>
          <w:color w:val="000000"/>
          <w:sz w:val="16"/>
          <w:szCs w:val="16"/>
        </w:rPr>
      </w:pPr>
    </w:p>
    <w:p w14:paraId="3B140D35" w14:textId="4E6DBAEB" w:rsidR="00D4187A" w:rsidRPr="00407D0E" w:rsidRDefault="00D75E30" w:rsidP="00407D0E">
      <w:pPr>
        <w:jc w:val="both"/>
        <w:rPr>
          <w:rFonts w:ascii="Arial" w:hAnsi="Arial" w:cs="Arial"/>
          <w:sz w:val="16"/>
          <w:szCs w:val="16"/>
        </w:rPr>
      </w:pPr>
      <w:r w:rsidRPr="000B759F">
        <w:rPr>
          <w:rFonts w:ascii="Arial" w:hAnsi="Arial" w:cs="Arial"/>
          <w:sz w:val="20"/>
          <w:szCs w:val="20"/>
        </w:rPr>
        <w:t>The applicant must serve notice of the application to extend on the SP and give a copy of the notice to the Secretary [s.</w:t>
      </w:r>
      <w:r w:rsidRPr="000B759F">
        <w:rPr>
          <w:rFonts w:ascii="Arial" w:hAnsi="Arial" w:cs="Arial"/>
          <w:b/>
          <w:bCs/>
          <w:sz w:val="20"/>
          <w:szCs w:val="20"/>
        </w:rPr>
        <w:t>22DJ</w:t>
      </w:r>
      <w:r w:rsidRPr="000B759F">
        <w:rPr>
          <w:rFonts w:ascii="Arial" w:hAnsi="Arial" w:cs="Arial"/>
          <w:sz w:val="20"/>
          <w:szCs w:val="20"/>
        </w:rPr>
        <w:t xml:space="preserve">].  </w:t>
      </w:r>
      <w:r w:rsidR="000B759F">
        <w:rPr>
          <w:rFonts w:ascii="Arial" w:hAnsi="Arial" w:cs="Arial"/>
          <w:sz w:val="20"/>
          <w:szCs w:val="20"/>
        </w:rPr>
        <w:t>O</w:t>
      </w:r>
      <w:r w:rsidR="000B759F" w:rsidRPr="000B759F">
        <w:rPr>
          <w:rFonts w:ascii="Arial" w:hAnsi="Arial" w:cs="Arial"/>
          <w:sz w:val="20"/>
          <w:szCs w:val="20"/>
        </w:rPr>
        <w:t>n receiving notice of the application to extend</w:t>
      </w:r>
      <w:r w:rsidR="000B759F">
        <w:rPr>
          <w:rFonts w:ascii="Arial" w:hAnsi="Arial" w:cs="Arial"/>
          <w:sz w:val="20"/>
          <w:szCs w:val="20"/>
        </w:rPr>
        <w:t>,</w:t>
      </w:r>
      <w:r w:rsidR="000B759F" w:rsidRPr="000B759F">
        <w:rPr>
          <w:rFonts w:ascii="Arial" w:hAnsi="Arial" w:cs="Arial"/>
          <w:sz w:val="20"/>
          <w:szCs w:val="20"/>
        </w:rPr>
        <w:t xml:space="preserve"> the Secretary </w:t>
      </w:r>
      <w:r w:rsidR="000B759F" w:rsidRPr="00407D0E">
        <w:rPr>
          <w:rFonts w:ascii="Arial" w:hAnsi="Arial" w:cs="Arial"/>
          <w:sz w:val="20"/>
          <w:szCs w:val="20"/>
        </w:rPr>
        <w:t xml:space="preserve">must file a report </w:t>
      </w:r>
      <w:r w:rsidRPr="00407D0E">
        <w:rPr>
          <w:rFonts w:ascii="Arial" w:hAnsi="Arial" w:cs="Arial"/>
          <w:sz w:val="20"/>
          <w:szCs w:val="20"/>
        </w:rPr>
        <w:t xml:space="preserve">regarding the SP’s compliance and </w:t>
      </w:r>
      <w:r w:rsidR="000B759F" w:rsidRPr="00407D0E">
        <w:rPr>
          <w:rFonts w:ascii="Arial" w:hAnsi="Arial" w:cs="Arial"/>
          <w:sz w:val="20"/>
          <w:szCs w:val="20"/>
        </w:rPr>
        <w:t>p</w:t>
      </w:r>
      <w:r w:rsidRPr="00407D0E">
        <w:rPr>
          <w:rFonts w:ascii="Arial" w:hAnsi="Arial" w:cs="Arial"/>
          <w:sz w:val="20"/>
          <w:szCs w:val="20"/>
        </w:rPr>
        <w:t xml:space="preserve">ropose a new SEP if </w:t>
      </w:r>
      <w:r w:rsidR="000B759F" w:rsidRPr="00407D0E">
        <w:rPr>
          <w:rFonts w:ascii="Arial" w:hAnsi="Arial" w:cs="Arial"/>
          <w:sz w:val="20"/>
          <w:szCs w:val="20"/>
        </w:rPr>
        <w:t>the Secretary considers that would be an appropriate way of achieving a therapeutic purpose for the SP [s.</w:t>
      </w:r>
      <w:r w:rsidR="000B759F" w:rsidRPr="00407D0E">
        <w:rPr>
          <w:rFonts w:ascii="Arial" w:hAnsi="Arial" w:cs="Arial"/>
          <w:b/>
          <w:bCs/>
          <w:sz w:val="20"/>
          <w:szCs w:val="20"/>
        </w:rPr>
        <w:t>22DL</w:t>
      </w:r>
      <w:r w:rsidR="000B759F" w:rsidRPr="00407D0E">
        <w:rPr>
          <w:rFonts w:ascii="Arial" w:hAnsi="Arial" w:cs="Arial"/>
          <w:sz w:val="20"/>
          <w:szCs w:val="20"/>
        </w:rPr>
        <w:t>]</w:t>
      </w:r>
      <w:r w:rsidRPr="00407D0E">
        <w:rPr>
          <w:rFonts w:ascii="Arial" w:hAnsi="Arial" w:cs="Arial"/>
          <w:sz w:val="20"/>
          <w:szCs w:val="20"/>
        </w:rPr>
        <w:t xml:space="preserve">. </w:t>
      </w:r>
      <w:r w:rsidR="00DB637E">
        <w:rPr>
          <w:rFonts w:ascii="Arial" w:hAnsi="Arial" w:cs="Arial"/>
          <w:sz w:val="20"/>
          <w:szCs w:val="20"/>
        </w:rPr>
        <w:t xml:space="preserve"> The court may direct a</w:t>
      </w:r>
      <w:r w:rsidR="00407D0E" w:rsidRPr="00407D0E">
        <w:rPr>
          <w:rFonts w:ascii="Arial" w:hAnsi="Arial" w:cs="Arial"/>
          <w:sz w:val="20"/>
          <w:szCs w:val="20"/>
        </w:rPr>
        <w:t xml:space="preserve"> person</w:t>
      </w:r>
      <w:r w:rsidRPr="00407D0E">
        <w:rPr>
          <w:rFonts w:ascii="Arial" w:hAnsi="Arial" w:cs="Arial"/>
          <w:sz w:val="20"/>
          <w:szCs w:val="20"/>
        </w:rPr>
        <w:t xml:space="preserve"> to </w:t>
      </w:r>
      <w:r w:rsidR="000B759F" w:rsidRPr="00407D0E">
        <w:rPr>
          <w:rFonts w:ascii="Arial" w:hAnsi="Arial" w:cs="Arial"/>
          <w:sz w:val="20"/>
          <w:szCs w:val="20"/>
        </w:rPr>
        <w:t xml:space="preserve">attend and </w:t>
      </w:r>
      <w:r w:rsidRPr="00407D0E">
        <w:rPr>
          <w:rFonts w:ascii="Arial" w:hAnsi="Arial" w:cs="Arial"/>
          <w:sz w:val="20"/>
          <w:szCs w:val="20"/>
        </w:rPr>
        <w:t>give evidence</w:t>
      </w:r>
      <w:r w:rsidR="00407D0E">
        <w:rPr>
          <w:rFonts w:ascii="Arial" w:hAnsi="Arial" w:cs="Arial"/>
          <w:sz w:val="20"/>
          <w:szCs w:val="20"/>
        </w:rPr>
        <w:t xml:space="preserve"> as to the SP’s compliance with, and progress under, the SEP.  </w:t>
      </w:r>
      <w:r w:rsidR="00407D0E" w:rsidRPr="00407D0E">
        <w:rPr>
          <w:rFonts w:ascii="Arial" w:hAnsi="Arial" w:cs="Arial"/>
          <w:bCs/>
          <w:sz w:val="20"/>
          <w:szCs w:val="20"/>
        </w:rPr>
        <w:t xml:space="preserve">If the Secretary is given a direction under </w:t>
      </w:r>
      <w:r w:rsidR="00407D0E" w:rsidRPr="00407D0E">
        <w:rPr>
          <w:rFonts w:ascii="Arial" w:hAnsi="Arial" w:cs="Arial"/>
          <w:b/>
          <w:sz w:val="20"/>
          <w:szCs w:val="20"/>
        </w:rPr>
        <w:t>s.22</w:t>
      </w:r>
      <w:r w:rsidR="00407D0E">
        <w:rPr>
          <w:rFonts w:ascii="Arial" w:hAnsi="Arial" w:cs="Arial"/>
          <w:b/>
          <w:sz w:val="20"/>
          <w:szCs w:val="20"/>
        </w:rPr>
        <w:t>DM</w:t>
      </w:r>
      <w:r w:rsidR="00407D0E" w:rsidRPr="00407D0E">
        <w:rPr>
          <w:rFonts w:ascii="Arial" w:hAnsi="Arial" w:cs="Arial"/>
          <w:b/>
          <w:sz w:val="20"/>
          <w:szCs w:val="20"/>
        </w:rPr>
        <w:t>(1)</w:t>
      </w:r>
      <w:r w:rsidR="00407D0E" w:rsidRPr="00407D0E">
        <w:rPr>
          <w:rFonts w:ascii="Arial" w:hAnsi="Arial" w:cs="Arial"/>
          <w:bCs/>
          <w:sz w:val="20"/>
          <w:szCs w:val="20"/>
        </w:rPr>
        <w:t>, the Secretary may determine that a particular member of the CVE MAP is to attend and give evidence, in the Secretary’s place, in response to that direction. [s.</w:t>
      </w:r>
      <w:r w:rsidR="00407D0E" w:rsidRPr="00407D0E">
        <w:rPr>
          <w:rFonts w:ascii="Arial" w:hAnsi="Arial" w:cs="Arial"/>
          <w:b/>
          <w:sz w:val="20"/>
          <w:szCs w:val="20"/>
        </w:rPr>
        <w:t>22DM</w:t>
      </w:r>
      <w:r w:rsidR="00407D0E" w:rsidRPr="00407D0E">
        <w:rPr>
          <w:rFonts w:ascii="Arial" w:hAnsi="Arial" w:cs="Arial"/>
          <w:bCs/>
          <w:sz w:val="20"/>
          <w:szCs w:val="20"/>
        </w:rPr>
        <w:t>].</w:t>
      </w:r>
    </w:p>
    <w:p w14:paraId="4A0EE641" w14:textId="77777777" w:rsidR="00407D0E" w:rsidRPr="00765B70" w:rsidRDefault="00407D0E" w:rsidP="008D774D">
      <w:pPr>
        <w:pStyle w:val="HeadingTwo"/>
        <w:spacing w:after="0"/>
        <w:rPr>
          <w:rFonts w:cs="Arial"/>
          <w:color w:val="auto"/>
          <w:sz w:val="16"/>
          <w:szCs w:val="16"/>
        </w:rPr>
      </w:pPr>
    </w:p>
    <w:p w14:paraId="5AF5F913" w14:textId="2A87FE39" w:rsidR="00D4187A" w:rsidRPr="00D4187A" w:rsidRDefault="00D4187A" w:rsidP="00D4187A">
      <w:pPr>
        <w:pStyle w:val="HeadingTwo"/>
        <w:spacing w:after="0"/>
        <w:rPr>
          <w:rFonts w:cs="Arial"/>
          <w:color w:val="auto"/>
          <w:sz w:val="20"/>
          <w:szCs w:val="20"/>
        </w:rPr>
      </w:pPr>
      <w:r>
        <w:rPr>
          <w:rFonts w:cs="Arial"/>
          <w:color w:val="auto"/>
          <w:sz w:val="20"/>
          <w:szCs w:val="20"/>
        </w:rPr>
        <w:t>Under s.</w:t>
      </w:r>
      <w:r w:rsidRPr="00D4187A">
        <w:rPr>
          <w:rFonts w:cs="Arial"/>
          <w:b/>
          <w:bCs/>
          <w:color w:val="auto"/>
          <w:sz w:val="20"/>
          <w:szCs w:val="20"/>
        </w:rPr>
        <w:t>22DN</w:t>
      </w:r>
      <w:r>
        <w:rPr>
          <w:rFonts w:cs="Arial"/>
          <w:color w:val="auto"/>
          <w:sz w:val="20"/>
          <w:szCs w:val="20"/>
        </w:rPr>
        <w:t xml:space="preserve"> 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may extend the order if</w:t>
      </w:r>
      <w:r w:rsidR="00013698">
        <w:rPr>
          <w:rFonts w:cs="Arial"/>
          <w:bCs/>
          <w:color w:val="000000" w:themeColor="text1"/>
          <w:sz w:val="20"/>
          <w:szCs w:val="20"/>
        </w:rPr>
        <w:t>–</w:t>
      </w:r>
    </w:p>
    <w:p w14:paraId="29613D3F" w14:textId="6B3F77B6" w:rsidR="00D4187A" w:rsidRPr="00D4187A" w:rsidRDefault="00D4187A">
      <w:pPr>
        <w:pStyle w:val="HeadingTwo"/>
        <w:numPr>
          <w:ilvl w:val="1"/>
          <w:numId w:val="64"/>
        </w:numPr>
        <w:spacing w:after="0"/>
        <w:ind w:left="357" w:hanging="357"/>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finds that the SP is still radicalising toward violent extremism</w:t>
      </w:r>
      <w:r>
        <w:rPr>
          <w:rFonts w:cs="Arial"/>
          <w:color w:val="auto"/>
          <w:sz w:val="20"/>
          <w:szCs w:val="20"/>
        </w:rPr>
        <w:t>;</w:t>
      </w:r>
      <w:r w:rsidRPr="00D4187A">
        <w:rPr>
          <w:rFonts w:cs="Arial"/>
          <w:color w:val="auto"/>
          <w:sz w:val="20"/>
          <w:szCs w:val="20"/>
        </w:rPr>
        <w:t xml:space="preserve"> and</w:t>
      </w:r>
    </w:p>
    <w:p w14:paraId="12777095" w14:textId="4997B216" w:rsidR="00D4187A" w:rsidRPr="00D4187A" w:rsidRDefault="00D4187A">
      <w:pPr>
        <w:pStyle w:val="HeadingTwo"/>
        <w:numPr>
          <w:ilvl w:val="1"/>
          <w:numId w:val="64"/>
        </w:numPr>
        <w:spacing w:after="0"/>
        <w:ind w:left="357" w:hanging="357"/>
        <w:jc w:val="both"/>
        <w:rPr>
          <w:rFonts w:cs="Arial"/>
          <w:color w:val="auto"/>
          <w:sz w:val="20"/>
          <w:szCs w:val="20"/>
        </w:rPr>
      </w:pPr>
      <w:r>
        <w:rPr>
          <w:rFonts w:cs="Arial"/>
          <w:color w:val="auto"/>
          <w:sz w:val="20"/>
          <w:szCs w:val="20"/>
        </w:rPr>
        <w:t>t</w:t>
      </w:r>
      <w:r w:rsidRPr="00D4187A">
        <w:rPr>
          <w:rFonts w:cs="Arial"/>
          <w:color w:val="auto"/>
          <w:sz w:val="20"/>
          <w:szCs w:val="20"/>
        </w:rPr>
        <w:t xml:space="preserve">he </w:t>
      </w:r>
      <w:r w:rsidR="00433B20">
        <w:rPr>
          <w:rFonts w:cs="Arial"/>
          <w:color w:val="auto"/>
          <w:sz w:val="20"/>
          <w:szCs w:val="20"/>
        </w:rPr>
        <w:t>c</w:t>
      </w:r>
      <w:r w:rsidRPr="00D4187A">
        <w:rPr>
          <w:rFonts w:cs="Arial"/>
          <w:color w:val="auto"/>
          <w:sz w:val="20"/>
          <w:szCs w:val="20"/>
        </w:rPr>
        <w:t>ourt is satisfied that extending the order is an appropriate way to achieve a therapeutic purpose</w:t>
      </w:r>
      <w:r>
        <w:rPr>
          <w:rFonts w:cs="Arial"/>
          <w:color w:val="auto"/>
          <w:sz w:val="20"/>
          <w:szCs w:val="20"/>
        </w:rPr>
        <w:t xml:space="preserve"> for the SP</w:t>
      </w:r>
      <w:r w:rsidRPr="00D4187A">
        <w:rPr>
          <w:rFonts w:cs="Arial"/>
          <w:color w:val="auto"/>
          <w:sz w:val="20"/>
          <w:szCs w:val="20"/>
        </w:rPr>
        <w:t>.</w:t>
      </w:r>
    </w:p>
    <w:p w14:paraId="35AB9F26" w14:textId="1405576A" w:rsidR="00D75E30" w:rsidRPr="00765B70" w:rsidRDefault="00D75E30" w:rsidP="002E62A4">
      <w:pPr>
        <w:jc w:val="both"/>
        <w:rPr>
          <w:rFonts w:ascii="Arial" w:hAnsi="Arial" w:cs="Arial"/>
          <w:sz w:val="16"/>
          <w:szCs w:val="16"/>
        </w:rPr>
      </w:pPr>
    </w:p>
    <w:p w14:paraId="2B8D969A" w14:textId="4287DCBB" w:rsidR="00851FA1" w:rsidRDefault="008D774D" w:rsidP="00851FA1">
      <w:pPr>
        <w:jc w:val="both"/>
        <w:rPr>
          <w:rFonts w:ascii="Arial" w:hAnsi="Arial" w:cs="Arial"/>
          <w:color w:val="000000"/>
          <w:sz w:val="20"/>
        </w:rPr>
      </w:pPr>
      <w:r>
        <w:rPr>
          <w:rFonts w:ascii="Arial" w:hAnsi="Arial" w:cs="Arial"/>
          <w:color w:val="000000"/>
          <w:sz w:val="20"/>
        </w:rPr>
        <w:t>However, p</w:t>
      </w:r>
      <w:r w:rsidR="00851FA1">
        <w:rPr>
          <w:rFonts w:ascii="Arial" w:hAnsi="Arial" w:cs="Arial"/>
          <w:color w:val="000000"/>
          <w:sz w:val="20"/>
        </w:rPr>
        <w:t>ursuant to s.</w:t>
      </w:r>
      <w:r w:rsidR="00851FA1" w:rsidRPr="008D774D">
        <w:rPr>
          <w:rFonts w:ascii="Arial" w:hAnsi="Arial" w:cs="Arial"/>
          <w:b/>
          <w:bCs/>
          <w:color w:val="000000"/>
          <w:sz w:val="20"/>
        </w:rPr>
        <w:t>22DO(2)</w:t>
      </w:r>
      <w:r w:rsidR="00851FA1">
        <w:rPr>
          <w:rFonts w:ascii="Arial" w:hAnsi="Arial" w:cs="Arial"/>
          <w:color w:val="000000"/>
          <w:sz w:val="20"/>
        </w:rPr>
        <w:t xml:space="preserve"> the extension of an SEO</w:t>
      </w:r>
      <w:r w:rsidR="00013698">
        <w:rPr>
          <w:rFonts w:cs="Arial"/>
          <w:bCs/>
          <w:color w:val="000000" w:themeColor="text1"/>
          <w:sz w:val="20"/>
          <w:szCs w:val="20"/>
        </w:rPr>
        <w:t>–</w:t>
      </w:r>
    </w:p>
    <w:p w14:paraId="1B2E3ACF" w14:textId="3962C838" w:rsidR="008664F6" w:rsidRDefault="008664F6">
      <w:pPr>
        <w:pStyle w:val="ListParagraph"/>
        <w:numPr>
          <w:ilvl w:val="0"/>
          <w:numId w:val="66"/>
        </w:numPr>
        <w:ind w:left="357" w:hanging="357"/>
        <w:jc w:val="both"/>
        <w:rPr>
          <w:rFonts w:ascii="Arial" w:hAnsi="Arial" w:cs="Arial"/>
          <w:color w:val="000000"/>
          <w:sz w:val="20"/>
        </w:rPr>
      </w:pPr>
      <w:r>
        <w:rPr>
          <w:rFonts w:ascii="Arial" w:hAnsi="Arial" w:cs="Arial"/>
          <w:color w:val="000000"/>
          <w:sz w:val="20"/>
        </w:rPr>
        <w:t>must not result in the period of the order exceeding 2 years; or</w:t>
      </w:r>
    </w:p>
    <w:p w14:paraId="1DA7E80F" w14:textId="4F192C4B" w:rsidR="008664F6" w:rsidRPr="008664F6" w:rsidRDefault="008664F6">
      <w:pPr>
        <w:pStyle w:val="ListParagraph"/>
        <w:numPr>
          <w:ilvl w:val="0"/>
          <w:numId w:val="66"/>
        </w:numPr>
        <w:ind w:left="357" w:hanging="357"/>
        <w:jc w:val="both"/>
        <w:rPr>
          <w:rFonts w:ascii="Arial" w:hAnsi="Arial" w:cs="Arial"/>
          <w:color w:val="000000"/>
          <w:sz w:val="20"/>
        </w:rPr>
      </w:pPr>
      <w:r w:rsidRPr="00C16E97">
        <w:rPr>
          <w:rFonts w:ascii="Arial" w:hAnsi="Arial" w:cs="Arial"/>
          <w:sz w:val="20"/>
        </w:rPr>
        <w:t>must not be so long that, at the end of the extended period, the total period during which the supported person will have been subject to a</w:t>
      </w:r>
      <w:r>
        <w:rPr>
          <w:rFonts w:ascii="Arial" w:hAnsi="Arial" w:cs="Arial"/>
          <w:sz w:val="20"/>
        </w:rPr>
        <w:t xml:space="preserve">n SEO </w:t>
      </w:r>
      <w:r w:rsidRPr="00C16E97">
        <w:rPr>
          <w:rFonts w:ascii="Arial" w:hAnsi="Arial" w:cs="Arial"/>
          <w:sz w:val="20"/>
        </w:rPr>
        <w:t>is 2 years or more.</w:t>
      </w:r>
    </w:p>
    <w:p w14:paraId="2C48E212" w14:textId="3CEC6EB6" w:rsidR="008D774D" w:rsidRDefault="008D774D" w:rsidP="008D774D">
      <w:pPr>
        <w:jc w:val="both"/>
        <w:rPr>
          <w:rFonts w:ascii="Arial" w:hAnsi="Arial" w:cs="Arial"/>
          <w:sz w:val="20"/>
          <w:szCs w:val="20"/>
        </w:rPr>
      </w:pPr>
    </w:p>
    <w:p w14:paraId="416B20C0" w14:textId="02B2B1B7" w:rsidR="008D774D" w:rsidRPr="00220B9E" w:rsidRDefault="008D774D" w:rsidP="008D774D">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RESTRICTIONS ON PUBLICATION</w:t>
      </w:r>
    </w:p>
    <w:p w14:paraId="5560082B" w14:textId="60264178" w:rsidR="008D774D" w:rsidRDefault="008D774D" w:rsidP="008D774D">
      <w:pPr>
        <w:jc w:val="both"/>
        <w:rPr>
          <w:rFonts w:ascii="Arial" w:hAnsi="Arial" w:cs="Arial"/>
          <w:sz w:val="20"/>
          <w:szCs w:val="20"/>
        </w:rPr>
      </w:pPr>
    </w:p>
    <w:p w14:paraId="718A6F07" w14:textId="354CBE19" w:rsidR="00B37FF0" w:rsidRDefault="00B37FF0" w:rsidP="007C03CD">
      <w:pPr>
        <w:pStyle w:val="HeadingTwo"/>
        <w:spacing w:after="0"/>
        <w:jc w:val="both"/>
        <w:rPr>
          <w:rFonts w:cs="Arial"/>
          <w:bCs/>
          <w:color w:val="auto"/>
          <w:sz w:val="20"/>
          <w:szCs w:val="20"/>
        </w:rPr>
      </w:pPr>
      <w:r>
        <w:rPr>
          <w:rFonts w:cs="Arial"/>
          <w:bCs/>
          <w:color w:val="auto"/>
          <w:sz w:val="20"/>
          <w:szCs w:val="20"/>
        </w:rPr>
        <w:t>In relation to a proceeding</w:t>
      </w:r>
      <w:r w:rsidR="00013698">
        <w:rPr>
          <w:rFonts w:cs="Arial"/>
          <w:bCs/>
          <w:color w:val="000000" w:themeColor="text1"/>
          <w:sz w:val="20"/>
          <w:szCs w:val="20"/>
        </w:rPr>
        <w:t>–</w:t>
      </w:r>
    </w:p>
    <w:p w14:paraId="17D9FDDB" w14:textId="78C287F6" w:rsidR="00B37FF0" w:rsidRPr="007C03CD" w:rsidRDefault="00B37FF0">
      <w:pPr>
        <w:pStyle w:val="ListParagraph"/>
        <w:numPr>
          <w:ilvl w:val="0"/>
          <w:numId w:val="57"/>
        </w:numPr>
        <w:ind w:left="357" w:hanging="357"/>
        <w:jc w:val="both"/>
        <w:rPr>
          <w:rFonts w:ascii="Arial" w:hAnsi="Arial" w:cs="Arial"/>
          <w:color w:val="000000"/>
          <w:sz w:val="20"/>
        </w:rPr>
      </w:pPr>
      <w:r w:rsidRPr="007C03CD">
        <w:rPr>
          <w:rFonts w:ascii="Arial" w:hAnsi="Arial" w:cs="Arial"/>
          <w:bCs/>
          <w:sz w:val="20"/>
        </w:rPr>
        <w:t xml:space="preserve">on an </w:t>
      </w:r>
      <w:r>
        <w:rPr>
          <w:rFonts w:ascii="Arial" w:hAnsi="Arial" w:cs="Arial"/>
          <w:bCs/>
          <w:sz w:val="20"/>
        </w:rPr>
        <w:t xml:space="preserve">SEO </w:t>
      </w:r>
      <w:r w:rsidRPr="007C03CD">
        <w:rPr>
          <w:rFonts w:ascii="Arial" w:hAnsi="Arial" w:cs="Arial"/>
          <w:bCs/>
          <w:sz w:val="20"/>
        </w:rPr>
        <w:t xml:space="preserve">application </w:t>
      </w:r>
      <w:r>
        <w:rPr>
          <w:rFonts w:ascii="Arial" w:hAnsi="Arial" w:cs="Arial"/>
          <w:bCs/>
          <w:sz w:val="20"/>
        </w:rPr>
        <w:t>or an SEO review hearing</w:t>
      </w:r>
      <w:r w:rsidRPr="007C03CD">
        <w:rPr>
          <w:rFonts w:ascii="Arial" w:hAnsi="Arial" w:cs="Arial"/>
          <w:bCs/>
          <w:sz w:val="20"/>
        </w:rPr>
        <w:t>; or</w:t>
      </w:r>
    </w:p>
    <w:p w14:paraId="4D1900C5" w14:textId="77777777" w:rsidR="00B37FF0" w:rsidRPr="007C03CD" w:rsidRDefault="00B37FF0">
      <w:pPr>
        <w:pStyle w:val="ListParagraph"/>
        <w:numPr>
          <w:ilvl w:val="0"/>
          <w:numId w:val="57"/>
        </w:numPr>
        <w:ind w:left="357" w:hanging="357"/>
        <w:jc w:val="both"/>
        <w:rPr>
          <w:rFonts w:ascii="Arial" w:hAnsi="Arial" w:cs="Arial"/>
          <w:color w:val="000000"/>
          <w:sz w:val="20"/>
        </w:rPr>
      </w:pPr>
      <w:r>
        <w:rPr>
          <w:rFonts w:ascii="Arial" w:hAnsi="Arial" w:cs="Arial"/>
          <w:color w:val="000000"/>
          <w:sz w:val="20"/>
        </w:rPr>
        <w:t>for an offence against s.</w:t>
      </w:r>
      <w:r w:rsidRPr="007C03CD">
        <w:rPr>
          <w:rFonts w:ascii="Arial" w:hAnsi="Arial" w:cs="Arial"/>
          <w:b/>
          <w:bCs/>
          <w:color w:val="000000"/>
          <w:sz w:val="20"/>
        </w:rPr>
        <w:t>22CU</w:t>
      </w:r>
      <w:r w:rsidRPr="00BB0091">
        <w:rPr>
          <w:rFonts w:ascii="Arial" w:hAnsi="Arial" w:cs="Arial"/>
          <w:color w:val="000000"/>
          <w:sz w:val="20"/>
        </w:rPr>
        <w:t xml:space="preserve"> (only relevant to an SEO made by the Magistrates’ Court)</w:t>
      </w:r>
      <w:r>
        <w:rPr>
          <w:rFonts w:ascii="Arial" w:hAnsi="Arial" w:cs="Arial"/>
          <w:color w:val="000000"/>
          <w:sz w:val="20"/>
        </w:rPr>
        <w:t>-</w:t>
      </w:r>
    </w:p>
    <w:p w14:paraId="63D4608B" w14:textId="56D3A972" w:rsidR="002E7E9D" w:rsidRDefault="00B37FF0" w:rsidP="004A5A5D">
      <w:pPr>
        <w:pStyle w:val="HeadingTwo"/>
        <w:spacing w:after="0"/>
        <w:jc w:val="both"/>
        <w:rPr>
          <w:rFonts w:cs="Arial"/>
          <w:bCs/>
          <w:color w:val="auto"/>
          <w:sz w:val="20"/>
          <w:szCs w:val="20"/>
        </w:rPr>
      </w:pPr>
      <w:r>
        <w:rPr>
          <w:rFonts w:cs="Arial"/>
          <w:bCs/>
          <w:color w:val="auto"/>
          <w:sz w:val="20"/>
          <w:szCs w:val="20"/>
        </w:rPr>
        <w:t xml:space="preserve">a </w:t>
      </w:r>
      <w:r w:rsidRPr="008D774D">
        <w:rPr>
          <w:rFonts w:cs="Arial"/>
          <w:bCs/>
          <w:color w:val="auto"/>
          <w:sz w:val="20"/>
          <w:szCs w:val="20"/>
        </w:rPr>
        <w:t xml:space="preserve">person must not publish, or cause to be published, a report of </w:t>
      </w:r>
      <w:r>
        <w:rPr>
          <w:rFonts w:cs="Arial"/>
          <w:bCs/>
          <w:color w:val="auto"/>
          <w:sz w:val="20"/>
          <w:szCs w:val="20"/>
        </w:rPr>
        <w:t xml:space="preserve">the proceeding or about the SEO that contains any particulars </w:t>
      </w:r>
      <w:r w:rsidRPr="007C03CD">
        <w:rPr>
          <w:rFonts w:cs="Arial"/>
          <w:bCs/>
          <w:color w:val="auto"/>
          <w:sz w:val="20"/>
          <w:szCs w:val="20"/>
        </w:rPr>
        <w:t xml:space="preserve">likely to lead to the identification of </w:t>
      </w:r>
      <w:r>
        <w:rPr>
          <w:rFonts w:cs="Arial"/>
          <w:bCs/>
          <w:color w:val="auto"/>
          <w:sz w:val="20"/>
          <w:szCs w:val="20"/>
        </w:rPr>
        <w:t xml:space="preserve">– and/or pictures of – </w:t>
      </w:r>
      <w:r w:rsidRPr="007C03CD">
        <w:rPr>
          <w:rFonts w:cs="Arial"/>
          <w:bCs/>
          <w:color w:val="auto"/>
          <w:sz w:val="20"/>
          <w:szCs w:val="20"/>
        </w:rPr>
        <w:t>the</w:t>
      </w:r>
      <w:r>
        <w:rPr>
          <w:rFonts w:cs="Arial"/>
          <w:bCs/>
          <w:color w:val="auto"/>
          <w:sz w:val="20"/>
          <w:szCs w:val="20"/>
        </w:rPr>
        <w:t xml:space="preserve"> </w:t>
      </w:r>
      <w:r w:rsidRPr="007C03CD">
        <w:rPr>
          <w:rFonts w:cs="Arial"/>
          <w:bCs/>
          <w:color w:val="auto"/>
          <w:sz w:val="20"/>
          <w:szCs w:val="20"/>
        </w:rPr>
        <w:t>SP, another party to the proceeding or a person giving evidence</w:t>
      </w:r>
      <w:r>
        <w:rPr>
          <w:rFonts w:cs="Arial"/>
          <w:bCs/>
          <w:color w:val="auto"/>
          <w:sz w:val="20"/>
          <w:szCs w:val="20"/>
        </w:rPr>
        <w:t xml:space="preserve"> u</w:t>
      </w:r>
      <w:r w:rsidR="002E7E9D">
        <w:rPr>
          <w:rFonts w:cs="Arial"/>
          <w:bCs/>
          <w:color w:val="auto"/>
          <w:sz w:val="20"/>
          <w:szCs w:val="20"/>
        </w:rPr>
        <w:t xml:space="preserve">nless the </w:t>
      </w:r>
      <w:r w:rsidR="00433B20">
        <w:rPr>
          <w:rFonts w:cs="Arial"/>
          <w:bCs/>
          <w:color w:val="auto"/>
          <w:sz w:val="20"/>
          <w:szCs w:val="20"/>
        </w:rPr>
        <w:t>c</w:t>
      </w:r>
      <w:r w:rsidR="002E7E9D">
        <w:rPr>
          <w:rFonts w:cs="Arial"/>
          <w:bCs/>
          <w:color w:val="auto"/>
          <w:sz w:val="20"/>
          <w:szCs w:val="20"/>
        </w:rPr>
        <w:t>ourt orders that publication is permitted</w:t>
      </w:r>
      <w:r>
        <w:rPr>
          <w:rFonts w:cs="Arial"/>
          <w:bCs/>
          <w:color w:val="auto"/>
          <w:sz w:val="20"/>
          <w:szCs w:val="20"/>
        </w:rPr>
        <w:t xml:space="preserve"> [s.</w:t>
      </w:r>
      <w:r w:rsidRPr="007C03CD">
        <w:rPr>
          <w:rFonts w:cs="Arial"/>
          <w:b/>
          <w:color w:val="auto"/>
          <w:sz w:val="20"/>
          <w:szCs w:val="20"/>
        </w:rPr>
        <w:t>22EB</w:t>
      </w:r>
      <w:r w:rsidRPr="004A5A5D">
        <w:rPr>
          <w:rFonts w:cs="Arial"/>
          <w:bCs/>
          <w:color w:val="auto"/>
          <w:sz w:val="20"/>
          <w:szCs w:val="20"/>
        </w:rPr>
        <w:t>]</w:t>
      </w:r>
      <w:r>
        <w:rPr>
          <w:rFonts w:cs="Arial"/>
          <w:bCs/>
          <w:color w:val="auto"/>
          <w:sz w:val="20"/>
          <w:szCs w:val="20"/>
        </w:rPr>
        <w:t xml:space="preserve">. </w:t>
      </w:r>
      <w:r w:rsidR="002E7E9D">
        <w:rPr>
          <w:rFonts w:cs="Arial"/>
          <w:bCs/>
          <w:color w:val="auto"/>
          <w:sz w:val="20"/>
          <w:szCs w:val="20"/>
        </w:rPr>
        <w:t>A non-exhaustive list of identifying particulars is contained in s.</w:t>
      </w:r>
      <w:r w:rsidR="002E7E9D" w:rsidRPr="001F7EDE">
        <w:rPr>
          <w:rFonts w:cs="Arial"/>
          <w:b/>
          <w:color w:val="auto"/>
          <w:sz w:val="20"/>
          <w:szCs w:val="20"/>
        </w:rPr>
        <w:t>22ED</w:t>
      </w:r>
      <w:r w:rsidR="002E7E9D">
        <w:rPr>
          <w:rFonts w:cs="Arial"/>
          <w:bCs/>
          <w:color w:val="auto"/>
          <w:sz w:val="20"/>
          <w:szCs w:val="20"/>
        </w:rPr>
        <w:t>.</w:t>
      </w:r>
    </w:p>
    <w:p w14:paraId="45220FE3" w14:textId="77777777" w:rsidR="002E7E9D" w:rsidRPr="009974FF" w:rsidRDefault="002E7E9D" w:rsidP="004A5A5D">
      <w:pPr>
        <w:pStyle w:val="HeadingTwo"/>
        <w:spacing w:after="0"/>
        <w:jc w:val="both"/>
        <w:rPr>
          <w:rFonts w:cs="Arial"/>
          <w:bCs/>
          <w:color w:val="auto"/>
          <w:sz w:val="16"/>
          <w:szCs w:val="16"/>
        </w:rPr>
      </w:pPr>
    </w:p>
    <w:p w14:paraId="4E23CC0E" w14:textId="0DD2D65E" w:rsidR="008D774D" w:rsidRDefault="00D45A15" w:rsidP="004A5A5D">
      <w:pPr>
        <w:pStyle w:val="HeadingTwo"/>
        <w:spacing w:after="0"/>
        <w:jc w:val="both"/>
        <w:rPr>
          <w:rFonts w:cs="Arial"/>
          <w:bCs/>
          <w:color w:val="auto"/>
          <w:sz w:val="20"/>
          <w:szCs w:val="20"/>
        </w:rPr>
      </w:pPr>
      <w:r>
        <w:rPr>
          <w:rFonts w:cs="Arial"/>
          <w:bCs/>
          <w:color w:val="auto"/>
          <w:sz w:val="20"/>
          <w:szCs w:val="20"/>
        </w:rPr>
        <w:t>T</w:t>
      </w:r>
      <w:r w:rsidR="002E7E9D">
        <w:rPr>
          <w:rFonts w:cs="Arial"/>
          <w:bCs/>
          <w:color w:val="auto"/>
          <w:sz w:val="20"/>
          <w:szCs w:val="20"/>
        </w:rPr>
        <w:t>his penalty provision does not apply to information sharing in accordance with Division 6 [s.</w:t>
      </w:r>
      <w:r w:rsidR="002E7E9D" w:rsidRPr="002E7E9D">
        <w:rPr>
          <w:rFonts w:cs="Arial"/>
          <w:b/>
          <w:color w:val="auto"/>
          <w:sz w:val="20"/>
          <w:szCs w:val="20"/>
        </w:rPr>
        <w:t>22EC</w:t>
      </w:r>
      <w:r w:rsidR="002E7E9D">
        <w:rPr>
          <w:rFonts w:cs="Arial"/>
          <w:bCs/>
          <w:color w:val="auto"/>
          <w:sz w:val="20"/>
          <w:szCs w:val="20"/>
        </w:rPr>
        <w:t>].</w:t>
      </w:r>
      <w:r w:rsidR="003218CF">
        <w:rPr>
          <w:rFonts w:cs="Arial"/>
          <w:bCs/>
          <w:color w:val="auto"/>
          <w:sz w:val="20"/>
          <w:szCs w:val="20"/>
        </w:rPr>
        <w:t xml:space="preserve">  </w:t>
      </w:r>
      <w:r w:rsidR="002E7E9D">
        <w:rPr>
          <w:rFonts w:cs="Arial"/>
          <w:bCs/>
          <w:color w:val="auto"/>
          <w:sz w:val="20"/>
          <w:szCs w:val="20"/>
        </w:rPr>
        <w:t xml:space="preserve">Further, </w:t>
      </w:r>
      <w:r w:rsidR="001F7EDE">
        <w:rPr>
          <w:rFonts w:cs="Arial"/>
          <w:bCs/>
          <w:color w:val="auto"/>
          <w:sz w:val="20"/>
          <w:szCs w:val="20"/>
        </w:rPr>
        <w:t>t</w:t>
      </w:r>
      <w:r w:rsidR="008D774D" w:rsidRPr="008D774D">
        <w:rPr>
          <w:rFonts w:cs="Arial"/>
          <w:bCs/>
          <w:color w:val="auto"/>
          <w:sz w:val="20"/>
          <w:szCs w:val="20"/>
        </w:rPr>
        <w:t xml:space="preserve">he </w:t>
      </w:r>
      <w:r w:rsidR="00433B20">
        <w:rPr>
          <w:rFonts w:cs="Arial"/>
          <w:bCs/>
          <w:color w:val="auto"/>
          <w:sz w:val="20"/>
          <w:szCs w:val="20"/>
        </w:rPr>
        <w:t>c</w:t>
      </w:r>
      <w:r w:rsidR="008D774D" w:rsidRPr="008D774D">
        <w:rPr>
          <w:rFonts w:cs="Arial"/>
          <w:bCs/>
          <w:color w:val="auto"/>
          <w:sz w:val="20"/>
          <w:szCs w:val="20"/>
        </w:rPr>
        <w:t xml:space="preserve">ourt may make an order permitting the publication if the </w:t>
      </w:r>
      <w:r w:rsidR="00433B20">
        <w:rPr>
          <w:rFonts w:cs="Arial"/>
          <w:bCs/>
          <w:color w:val="auto"/>
          <w:sz w:val="20"/>
          <w:szCs w:val="20"/>
        </w:rPr>
        <w:t>c</w:t>
      </w:r>
      <w:r w:rsidR="008D774D" w:rsidRPr="008D774D">
        <w:rPr>
          <w:rFonts w:cs="Arial"/>
          <w:bCs/>
          <w:color w:val="auto"/>
          <w:sz w:val="20"/>
          <w:szCs w:val="20"/>
        </w:rPr>
        <w:t>ourt reasonably considers it is in the public interest and that it is just to allow the publication in the circumstances</w:t>
      </w:r>
      <w:r w:rsidR="002E7E9D">
        <w:rPr>
          <w:rFonts w:cs="Arial"/>
          <w:bCs/>
          <w:color w:val="auto"/>
          <w:sz w:val="20"/>
          <w:szCs w:val="20"/>
        </w:rPr>
        <w:t xml:space="preserve"> [</w:t>
      </w:r>
      <w:r w:rsidR="002E7E9D" w:rsidRPr="002E7E9D">
        <w:rPr>
          <w:rFonts w:cs="Arial"/>
          <w:bCs/>
          <w:color w:val="auto"/>
          <w:sz w:val="20"/>
          <w:szCs w:val="20"/>
        </w:rPr>
        <w:t>s.</w:t>
      </w:r>
      <w:r w:rsidR="002E7E9D" w:rsidRPr="001F7EDE">
        <w:rPr>
          <w:rFonts w:cs="Arial"/>
          <w:b/>
          <w:color w:val="auto"/>
          <w:sz w:val="20"/>
          <w:szCs w:val="20"/>
        </w:rPr>
        <w:t>22EE</w:t>
      </w:r>
      <w:r w:rsidR="002E7E9D" w:rsidRPr="002E7E9D">
        <w:rPr>
          <w:rFonts w:cs="Arial"/>
          <w:bCs/>
          <w:color w:val="auto"/>
          <w:sz w:val="20"/>
          <w:szCs w:val="20"/>
        </w:rPr>
        <w:t>]</w:t>
      </w:r>
      <w:r w:rsidR="008D774D" w:rsidRPr="002E7E9D">
        <w:rPr>
          <w:rFonts w:cs="Arial"/>
          <w:bCs/>
          <w:color w:val="auto"/>
          <w:sz w:val="20"/>
          <w:szCs w:val="20"/>
        </w:rPr>
        <w:t>.</w:t>
      </w:r>
      <w:r w:rsidR="008D774D" w:rsidRPr="008D774D">
        <w:rPr>
          <w:rFonts w:cs="Arial"/>
          <w:bCs/>
          <w:color w:val="auto"/>
          <w:sz w:val="20"/>
          <w:szCs w:val="20"/>
        </w:rPr>
        <w:t xml:space="preserve"> </w:t>
      </w:r>
      <w:r w:rsidR="001F7EDE">
        <w:rPr>
          <w:rFonts w:cs="Arial"/>
          <w:bCs/>
          <w:color w:val="auto"/>
          <w:sz w:val="20"/>
          <w:szCs w:val="20"/>
        </w:rPr>
        <w:t>However, n</w:t>
      </w:r>
      <w:r w:rsidR="008D774D" w:rsidRPr="008D774D">
        <w:rPr>
          <w:rFonts w:cs="Arial"/>
          <w:bCs/>
          <w:color w:val="auto"/>
          <w:sz w:val="20"/>
          <w:szCs w:val="20"/>
        </w:rPr>
        <w:t>o publication is allowed in respect of protected counter-terrorism intelligence matters.</w:t>
      </w:r>
    </w:p>
    <w:p w14:paraId="01822A50" w14:textId="77777777" w:rsidR="003218CF" w:rsidRDefault="003218CF" w:rsidP="003218CF">
      <w:pPr>
        <w:jc w:val="both"/>
        <w:rPr>
          <w:rFonts w:ascii="Arial" w:hAnsi="Arial" w:cs="Arial"/>
          <w:sz w:val="20"/>
          <w:szCs w:val="20"/>
        </w:rPr>
      </w:pPr>
    </w:p>
    <w:p w14:paraId="799DEBF1" w14:textId="799AA3F7" w:rsidR="003218CF" w:rsidRPr="00220B9E" w:rsidRDefault="003218CF" w:rsidP="003218CF">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 xml:space="preserve">FLOWCHARTS FOR CHILDREN’S COURT SEO PROCESSES </w:t>
      </w:r>
    </w:p>
    <w:p w14:paraId="52901A90" w14:textId="78BFE37F" w:rsidR="003218CF" w:rsidRDefault="003218CF" w:rsidP="009974FF">
      <w:pPr>
        <w:spacing w:before="120" w:after="120"/>
        <w:jc w:val="both"/>
        <w:rPr>
          <w:rFonts w:ascii="Arial" w:hAnsi="Arial" w:cs="Arial"/>
          <w:sz w:val="20"/>
          <w:szCs w:val="20"/>
        </w:rPr>
      </w:pPr>
      <w:r w:rsidRPr="004743DB">
        <w:rPr>
          <w:rFonts w:ascii="Arial" w:hAnsi="Arial" w:cs="Arial"/>
          <w:b/>
          <w:bCs/>
          <w:sz w:val="20"/>
          <w:szCs w:val="20"/>
        </w:rPr>
        <w:t>Flowcharts 1A &amp; 1B</w:t>
      </w:r>
      <w:r>
        <w:rPr>
          <w:rFonts w:ascii="Arial" w:hAnsi="Arial" w:cs="Arial"/>
          <w:sz w:val="20"/>
          <w:szCs w:val="20"/>
        </w:rPr>
        <w:t xml:space="preserve"> below depict the processes in the Children’s Court for applications and orders to make, vary, revoke and extend SEOs.</w:t>
      </w:r>
    </w:p>
    <w:p w14:paraId="12493B10" w14:textId="66D0099E" w:rsidR="006C1AE0" w:rsidRDefault="003178FE" w:rsidP="006C1AE0">
      <w:pPr>
        <w:ind w:left="-1134" w:right="-1134"/>
        <w:jc w:val="center"/>
        <w:rPr>
          <w:rFonts w:ascii="Arial" w:hAnsi="Arial" w:cs="Arial"/>
          <w:sz w:val="20"/>
        </w:rPr>
      </w:pPr>
      <w:r>
        <w:rPr>
          <w:rFonts w:ascii="Arial" w:hAnsi="Arial" w:cs="Arial"/>
          <w:b/>
          <w:bCs/>
          <w:noProof/>
          <w:sz w:val="20"/>
          <w:szCs w:val="20"/>
        </w:rPr>
        <mc:AlternateContent>
          <mc:Choice Requires="wps">
            <w:drawing>
              <wp:anchor distT="45720" distB="45720" distL="114300" distR="114300" simplePos="0" relativeHeight="251716608" behindDoc="0" locked="0" layoutInCell="1" allowOverlap="1" wp14:anchorId="52C3D9BF" wp14:editId="4D9EF955">
                <wp:simplePos x="0" y="0"/>
                <wp:positionH relativeFrom="column">
                  <wp:posOffset>-56515</wp:posOffset>
                </wp:positionH>
                <wp:positionV relativeFrom="paragraph">
                  <wp:posOffset>2486025</wp:posOffset>
                </wp:positionV>
                <wp:extent cx="443865" cy="431165"/>
                <wp:effectExtent l="8255" t="8255" r="5080" b="8255"/>
                <wp:wrapNone/>
                <wp:docPr id="144571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31165"/>
                        </a:xfrm>
                        <a:prstGeom prst="rect">
                          <a:avLst/>
                        </a:prstGeom>
                        <a:solidFill>
                          <a:srgbClr val="FFFFFF"/>
                        </a:solidFill>
                        <a:ln w="9525">
                          <a:solidFill>
                            <a:srgbClr val="FFFFFF"/>
                          </a:solidFill>
                          <a:miter lim="800000"/>
                          <a:headEnd/>
                          <a:tailEnd/>
                        </a:ln>
                      </wps:spPr>
                      <wps:txbx>
                        <w:txbxContent>
                          <w:p w14:paraId="70A4B41F" w14:textId="77777777" w:rsidR="00CE09D6" w:rsidRDefault="00CE09D6" w:rsidP="00CE0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3D9BF" id="Text Box 2" o:spid="_x0000_s1028" type="#_x0000_t202" style="position:absolute;left:0;text-align:left;margin-left:-4.45pt;margin-top:195.75pt;width:34.95pt;height:33.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" strokecolor="white">
                <v:textbox>
                  <w:txbxContent>
                    <w:p w14:paraId="70A4B41F" w14:textId="77777777" w:rsidR="00CE09D6" w:rsidRDefault="00CE09D6" w:rsidP="00CE09D6"/>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8A886C2" wp14:editId="08EA48ED">
                <wp:simplePos x="0" y="0"/>
                <wp:positionH relativeFrom="column">
                  <wp:posOffset>-118110</wp:posOffset>
                </wp:positionH>
                <wp:positionV relativeFrom="paragraph">
                  <wp:posOffset>2738120</wp:posOffset>
                </wp:positionV>
                <wp:extent cx="183515" cy="251460"/>
                <wp:effectExtent l="0" t="0" r="0" b="0"/>
                <wp:wrapNone/>
                <wp:docPr id="1036930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4D2C1C" id="Rectangle 3" o:spid="_x0000_s1026" style="position:absolute;margin-left:-9.3pt;margin-top:215.6pt;width:14.45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" fillcolor="white [3212]" stroked="f" strokeweight="1pt"/>
            </w:pict>
          </mc:Fallback>
        </mc:AlternateContent>
      </w:r>
      <w:r w:rsidR="006C1AE0" w:rsidRPr="006C1AE0">
        <w:rPr>
          <w:rFonts w:ascii="Arial" w:hAnsi="Arial" w:cs="Arial"/>
          <w:noProof/>
          <w:sz w:val="20"/>
          <w:bdr w:val="single" w:sz="8" w:space="0" w:color="auto"/>
        </w:rPr>
        <w:drawing>
          <wp:inline distT="0" distB="0" distL="0" distR="0" wp14:anchorId="7048F9A4" wp14:editId="3F5FD602">
            <wp:extent cx="5868000" cy="8248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00" cy="8248612"/>
                    </a:xfrm>
                    <a:prstGeom prst="rect">
                      <a:avLst/>
                    </a:prstGeom>
                  </pic:spPr>
                </pic:pic>
              </a:graphicData>
            </a:graphic>
          </wp:inline>
        </w:drawing>
      </w:r>
    </w:p>
    <w:p w14:paraId="28041C6B" w14:textId="41B3A9DF" w:rsidR="00F52117" w:rsidRDefault="00F52117" w:rsidP="00F52117">
      <w:pPr>
        <w:ind w:left="-1134" w:right="-1134"/>
        <w:jc w:val="center"/>
        <w:rPr>
          <w:rFonts w:ascii="Arial" w:hAnsi="Arial" w:cs="Arial"/>
          <w:b/>
          <w:bCs/>
        </w:rPr>
      </w:pPr>
      <w:bookmarkStart w:id="376" w:name="_4.4_Definitions_of"/>
      <w:bookmarkStart w:id="377" w:name="B44"/>
      <w:bookmarkStart w:id="378" w:name="_Toc30644239"/>
      <w:bookmarkStart w:id="379" w:name="_Toc30644642"/>
      <w:bookmarkStart w:id="380" w:name="_Toc30645192"/>
      <w:bookmarkStart w:id="381" w:name="_Toc30646403"/>
      <w:bookmarkStart w:id="382" w:name="_Toc30646698"/>
      <w:bookmarkStart w:id="383" w:name="_Toc30646809"/>
      <w:bookmarkStart w:id="384" w:name="_Toc30648166"/>
      <w:bookmarkStart w:id="385" w:name="_Toc30649064"/>
      <w:bookmarkStart w:id="386" w:name="_Toc30649140"/>
      <w:bookmarkStart w:id="387" w:name="_Toc30649401"/>
      <w:bookmarkStart w:id="388" w:name="_Toc30649726"/>
      <w:bookmarkStart w:id="389" w:name="_Toc30651666"/>
      <w:bookmarkStart w:id="390" w:name="_Toc30652656"/>
      <w:bookmarkStart w:id="391" w:name="_Toc30652752"/>
      <w:bookmarkStart w:id="392" w:name="_Toc30654097"/>
      <w:bookmarkStart w:id="393" w:name="_Toc30654448"/>
      <w:bookmarkStart w:id="394" w:name="_Toc30655067"/>
      <w:bookmarkStart w:id="395" w:name="_Toc30655324"/>
      <w:bookmarkStart w:id="396" w:name="_Toc30657002"/>
      <w:bookmarkStart w:id="397" w:name="_Toc30661751"/>
      <w:bookmarkStart w:id="398" w:name="_Toc30666439"/>
      <w:bookmarkStart w:id="399" w:name="_Toc30666669"/>
      <w:bookmarkStart w:id="400" w:name="_Toc30667844"/>
      <w:bookmarkStart w:id="401" w:name="_Toc30669222"/>
      <w:bookmarkStart w:id="402" w:name="_Toc30671438"/>
      <w:bookmarkStart w:id="403" w:name="_Toc30673965"/>
      <w:bookmarkStart w:id="404" w:name="_Toc30691187"/>
      <w:bookmarkStart w:id="405" w:name="_Toc30691560"/>
      <w:bookmarkStart w:id="406" w:name="_Toc30691940"/>
      <w:bookmarkStart w:id="407" w:name="_Toc30692699"/>
      <w:bookmarkStart w:id="408" w:name="_Toc30693078"/>
      <w:bookmarkStart w:id="409" w:name="_Toc30693456"/>
      <w:bookmarkStart w:id="410" w:name="_Toc30693834"/>
      <w:bookmarkStart w:id="411" w:name="_Toc30694215"/>
      <w:bookmarkStart w:id="412" w:name="_Toc30698804"/>
      <w:bookmarkStart w:id="413" w:name="_Toc30699182"/>
      <w:bookmarkStart w:id="414" w:name="_Toc30699567"/>
      <w:bookmarkStart w:id="415" w:name="_Toc30700722"/>
      <w:bookmarkStart w:id="416" w:name="_Toc30701109"/>
      <w:bookmarkStart w:id="417" w:name="_Toc30743718"/>
      <w:bookmarkStart w:id="418" w:name="_Toc30754541"/>
      <w:bookmarkStart w:id="419" w:name="_Toc30756981"/>
      <w:bookmarkStart w:id="420" w:name="_Toc30757530"/>
      <w:bookmarkStart w:id="421" w:name="_Toc30757930"/>
      <w:bookmarkStart w:id="422" w:name="_Toc30762691"/>
      <w:bookmarkStart w:id="423" w:name="_Toc30767345"/>
      <w:bookmarkStart w:id="424" w:name="_Toc34823361"/>
      <w:bookmarkStart w:id="425" w:name="_Toc60399996"/>
      <w:bookmarkEnd w:id="376"/>
      <w:bookmarkEnd w:id="377"/>
      <w:r w:rsidRPr="00F52117">
        <w:rPr>
          <w:rFonts w:ascii="Arial" w:hAnsi="Arial" w:cs="Arial"/>
          <w:b/>
          <w:bCs/>
          <w:noProof/>
          <w:bdr w:val="single" w:sz="8" w:space="0" w:color="auto"/>
        </w:rPr>
        <w:lastRenderedPageBreak/>
        <w:drawing>
          <wp:inline distT="0" distB="0" distL="0" distR="0" wp14:anchorId="2488A6D9" wp14:editId="12EED8FF">
            <wp:extent cx="6321600" cy="88488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1600" cy="8848800"/>
                    </a:xfrm>
                    <a:prstGeom prst="rect">
                      <a:avLst/>
                    </a:prstGeom>
                  </pic:spPr>
                </pic:pic>
              </a:graphicData>
            </a:graphic>
          </wp:inline>
        </w:drawing>
      </w:r>
    </w:p>
    <w:p w14:paraId="62414DC4" w14:textId="77777777" w:rsidR="008664F6" w:rsidRDefault="008664F6" w:rsidP="008664F6">
      <w:pPr>
        <w:jc w:val="both"/>
        <w:rPr>
          <w:rFonts w:ascii="Arial" w:hAnsi="Arial" w:cs="Arial"/>
          <w:sz w:val="20"/>
          <w:szCs w:val="20"/>
        </w:rPr>
      </w:pPr>
    </w:p>
    <w:p w14:paraId="7E513111" w14:textId="41AF44FC" w:rsidR="008664F6" w:rsidRDefault="008664F6" w:rsidP="00C15FCF">
      <w:pPr>
        <w:jc w:val="center"/>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COUNTER-TERRORISM INTELLIGENCE PROTECTION ORDERS</w:t>
      </w:r>
      <w:r w:rsidR="004F6FB1">
        <w:rPr>
          <w:rFonts w:ascii="Arial" w:hAnsi="Arial" w:cs="Arial"/>
          <w:b/>
          <w:bCs/>
          <w:color w:val="FFFFFF" w:themeColor="background1"/>
          <w:sz w:val="20"/>
          <w:shd w:val="clear" w:color="auto" w:fill="000000" w:themeFill="text1"/>
        </w:rPr>
        <w:t xml:space="preserve"> (CTIPOs)</w:t>
      </w:r>
      <w:r>
        <w:rPr>
          <w:rFonts w:ascii="Arial" w:hAnsi="Arial" w:cs="Arial"/>
          <w:b/>
          <w:bCs/>
          <w:color w:val="FFFFFF" w:themeColor="background1"/>
          <w:sz w:val="20"/>
          <w:shd w:val="clear" w:color="auto" w:fill="000000" w:themeFill="text1"/>
        </w:rPr>
        <w:t xml:space="preserve"> </w:t>
      </w:r>
    </w:p>
    <w:p w14:paraId="0BD4435A" w14:textId="2623B1A2" w:rsidR="008664F6" w:rsidRPr="00220B9E" w:rsidRDefault="008664F6" w:rsidP="008664F6">
      <w:pPr>
        <w:jc w:val="center"/>
        <w:rPr>
          <w:rFonts w:ascii="Arial" w:hAnsi="Arial" w:cs="Arial"/>
          <w:b/>
          <w:bCs/>
          <w:color w:val="000000"/>
          <w:sz w:val="20"/>
        </w:rPr>
      </w:pPr>
      <w:r>
        <w:rPr>
          <w:rFonts w:ascii="Arial" w:hAnsi="Arial" w:cs="Arial"/>
          <w:b/>
          <w:bCs/>
          <w:color w:val="FFFFFF" w:themeColor="background1"/>
          <w:sz w:val="20"/>
          <w:shd w:val="clear" w:color="auto" w:fill="000000" w:themeFill="text1"/>
        </w:rPr>
        <w:t>IN THE SUPREME COURT</w:t>
      </w:r>
      <w:r w:rsidR="006E3AE6">
        <w:rPr>
          <w:rFonts w:ascii="Arial" w:hAnsi="Arial" w:cs="Arial"/>
          <w:b/>
          <w:bCs/>
          <w:color w:val="FFFFFF" w:themeColor="background1"/>
          <w:sz w:val="20"/>
          <w:shd w:val="clear" w:color="auto" w:fill="000000" w:themeFill="text1"/>
        </w:rPr>
        <w:t xml:space="preserve"> AND THEIR IMPACT ON THE CHILDREN’S COURT</w:t>
      </w:r>
    </w:p>
    <w:p w14:paraId="69289601" w14:textId="77777777" w:rsidR="008664F6" w:rsidRDefault="008664F6" w:rsidP="008664F6">
      <w:pPr>
        <w:jc w:val="both"/>
        <w:rPr>
          <w:rFonts w:ascii="Arial" w:hAnsi="Arial" w:cs="Arial"/>
          <w:sz w:val="20"/>
          <w:szCs w:val="20"/>
        </w:rPr>
      </w:pPr>
    </w:p>
    <w:p w14:paraId="6B1233CC" w14:textId="4A9A748C" w:rsidR="008664F6" w:rsidRPr="00C15FCF" w:rsidRDefault="008664F6">
      <w:pPr>
        <w:pStyle w:val="HeadingTwo"/>
        <w:numPr>
          <w:ilvl w:val="0"/>
          <w:numId w:val="67"/>
        </w:numPr>
        <w:spacing w:after="0"/>
        <w:ind w:left="357" w:hanging="357"/>
        <w:jc w:val="both"/>
        <w:rPr>
          <w:rFonts w:cs="Arial"/>
          <w:bCs/>
          <w:color w:val="000000" w:themeColor="text1"/>
          <w:sz w:val="20"/>
          <w:szCs w:val="20"/>
        </w:rPr>
      </w:pPr>
      <w:r w:rsidRPr="00C15FCF">
        <w:rPr>
          <w:rFonts w:cs="Arial"/>
          <w:bCs/>
          <w:color w:val="000000" w:themeColor="text1"/>
          <w:sz w:val="20"/>
          <w:szCs w:val="20"/>
        </w:rPr>
        <w:t>The</w:t>
      </w:r>
      <w:r w:rsidR="00193BF2">
        <w:rPr>
          <w:rFonts w:cs="Arial"/>
          <w:bCs/>
          <w:color w:val="000000" w:themeColor="text1"/>
          <w:sz w:val="20"/>
          <w:szCs w:val="20"/>
        </w:rPr>
        <w:t xml:space="preserve"> 2021 amending Act</w:t>
      </w:r>
      <w:r w:rsidR="0004634A">
        <w:rPr>
          <w:rFonts w:cs="Arial"/>
          <w:bCs/>
          <w:color w:val="000000" w:themeColor="text1"/>
          <w:sz w:val="20"/>
          <w:szCs w:val="20"/>
        </w:rPr>
        <w:t xml:space="preserve"> </w:t>
      </w:r>
      <w:r w:rsidR="00C15FCF" w:rsidRPr="00C15FCF">
        <w:rPr>
          <w:rFonts w:cs="Arial"/>
          <w:bCs/>
          <w:color w:val="000000" w:themeColor="text1"/>
          <w:sz w:val="20"/>
          <w:szCs w:val="20"/>
        </w:rPr>
        <w:t xml:space="preserve">expands the existing </w:t>
      </w:r>
      <w:r w:rsidR="00C15FCF" w:rsidRPr="00C15FCF">
        <w:rPr>
          <w:rFonts w:cs="Arial"/>
          <w:bCs/>
          <w:color w:val="000000" w:themeColor="text1"/>
          <w:sz w:val="20"/>
          <w:szCs w:val="18"/>
          <w:shd w:val="clear" w:color="auto" w:fill="FFFFFF"/>
        </w:rPr>
        <w:t>counter-terrorism intelligence protection order scheme (CTIPO)</w:t>
      </w:r>
      <w:r w:rsidR="00C15FCF">
        <w:rPr>
          <w:rFonts w:cs="Arial"/>
          <w:bCs/>
          <w:color w:val="000000" w:themeColor="text1"/>
          <w:sz w:val="20"/>
          <w:szCs w:val="18"/>
          <w:shd w:val="clear" w:color="auto" w:fill="FFFFFF"/>
        </w:rPr>
        <w:t xml:space="preserve"> in </w:t>
      </w:r>
      <w:r w:rsidR="00C15FCF" w:rsidRPr="003868C1">
        <w:rPr>
          <w:rFonts w:cs="Arial"/>
          <w:b/>
          <w:color w:val="000000" w:themeColor="text1"/>
          <w:sz w:val="20"/>
          <w:szCs w:val="18"/>
          <w:shd w:val="clear" w:color="auto" w:fill="FFFFFF"/>
        </w:rPr>
        <w:t>Part 5</w:t>
      </w:r>
      <w:r w:rsidR="00C15FCF">
        <w:rPr>
          <w:rFonts w:cs="Arial"/>
          <w:bCs/>
          <w:color w:val="000000" w:themeColor="text1"/>
          <w:sz w:val="20"/>
          <w:szCs w:val="18"/>
          <w:shd w:val="clear" w:color="auto" w:fill="FFFFFF"/>
        </w:rPr>
        <w:t xml:space="preserve"> of the TCPA</w:t>
      </w:r>
      <w:r w:rsidR="003868C1">
        <w:rPr>
          <w:rFonts w:cs="Arial"/>
          <w:bCs/>
          <w:color w:val="000000" w:themeColor="text1"/>
          <w:sz w:val="20"/>
          <w:szCs w:val="18"/>
          <w:shd w:val="clear" w:color="auto" w:fill="FFFFFF"/>
        </w:rPr>
        <w:t>.  Amended s.</w:t>
      </w:r>
      <w:r w:rsidR="003868C1" w:rsidRPr="003868C1">
        <w:rPr>
          <w:rFonts w:cs="Arial"/>
          <w:b/>
          <w:color w:val="000000" w:themeColor="text1"/>
          <w:sz w:val="20"/>
          <w:szCs w:val="18"/>
          <w:shd w:val="clear" w:color="auto" w:fill="FFFFFF"/>
        </w:rPr>
        <w:t>25</w:t>
      </w:r>
      <w:r w:rsidR="00C15FCF">
        <w:rPr>
          <w:rFonts w:cs="Arial"/>
          <w:bCs/>
          <w:color w:val="000000" w:themeColor="text1"/>
          <w:sz w:val="20"/>
          <w:szCs w:val="18"/>
          <w:shd w:val="clear" w:color="auto" w:fill="FFFFFF"/>
        </w:rPr>
        <w:t xml:space="preserve"> allow</w:t>
      </w:r>
      <w:r w:rsidR="003868C1">
        <w:rPr>
          <w:rFonts w:cs="Arial"/>
          <w:bCs/>
          <w:color w:val="000000" w:themeColor="text1"/>
          <w:sz w:val="20"/>
          <w:szCs w:val="18"/>
          <w:shd w:val="clear" w:color="auto" w:fill="FFFFFF"/>
        </w:rPr>
        <w:t>s</w:t>
      </w:r>
      <w:r w:rsidR="00C15FCF">
        <w:rPr>
          <w:rFonts w:cs="Arial"/>
          <w:bCs/>
          <w:color w:val="000000" w:themeColor="text1"/>
          <w:sz w:val="20"/>
          <w:szCs w:val="18"/>
          <w:shd w:val="clear" w:color="auto" w:fill="FFFFFF"/>
        </w:rPr>
        <w:t xml:space="preserve"> an APO who is making an SEO application to apply to the Supreme Court for a CTIPO in relation to any information</w:t>
      </w:r>
      <w:r w:rsidR="003868C1">
        <w:rPr>
          <w:rFonts w:cs="Arial"/>
          <w:bCs/>
          <w:color w:val="000000" w:themeColor="text1"/>
          <w:sz w:val="20"/>
          <w:szCs w:val="18"/>
          <w:shd w:val="clear" w:color="auto" w:fill="FFFFFF"/>
        </w:rPr>
        <w:t>,</w:t>
      </w:r>
      <w:r w:rsidR="00C15FCF">
        <w:rPr>
          <w:rFonts w:cs="Arial"/>
          <w:bCs/>
          <w:color w:val="000000" w:themeColor="text1"/>
          <w:sz w:val="20"/>
          <w:szCs w:val="18"/>
          <w:shd w:val="clear" w:color="auto" w:fill="FFFFFF"/>
        </w:rPr>
        <w:t xml:space="preserve"> document or other thing related to the SEO hearing that the APO believes on reasonable grounds is counter-terrorism intelligence.</w:t>
      </w:r>
    </w:p>
    <w:p w14:paraId="5A5FEAA2" w14:textId="2ACFE367" w:rsidR="00C15FCF" w:rsidRPr="00F3187F" w:rsidRDefault="00C15FC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w:t>
      </w:r>
      <w:r w:rsidR="00F3187F">
        <w:rPr>
          <w:rFonts w:cs="Arial"/>
          <w:bCs/>
          <w:color w:val="000000" w:themeColor="text1"/>
          <w:sz w:val="20"/>
          <w:szCs w:val="20"/>
        </w:rPr>
        <w:t xml:space="preserve"> </w:t>
      </w:r>
      <w:r w:rsidR="00F3187F">
        <w:rPr>
          <w:rFonts w:cs="Arial"/>
          <w:color w:val="000000"/>
          <w:sz w:val="20"/>
        </w:rPr>
        <w:t>an application for an SEO or an APO application for the variation or extension of an SEO must be made no later than 3 days after the substantive application is made [s.</w:t>
      </w:r>
      <w:r w:rsidR="00F3187F" w:rsidRPr="00F3187F">
        <w:rPr>
          <w:rFonts w:cs="Arial"/>
          <w:b/>
          <w:bCs/>
          <w:color w:val="000000"/>
          <w:sz w:val="20"/>
        </w:rPr>
        <w:t>2</w:t>
      </w:r>
      <w:r w:rsidR="00F3187F">
        <w:rPr>
          <w:rFonts w:cs="Arial"/>
          <w:b/>
          <w:bCs/>
          <w:color w:val="000000"/>
          <w:sz w:val="20"/>
        </w:rPr>
        <w:t>5</w:t>
      </w:r>
      <w:r w:rsidR="00F3187F" w:rsidRPr="00F3187F">
        <w:rPr>
          <w:rFonts w:cs="Arial"/>
          <w:b/>
          <w:bCs/>
          <w:color w:val="000000"/>
          <w:sz w:val="20"/>
        </w:rPr>
        <w:t>(1C)</w:t>
      </w:r>
      <w:r w:rsidR="00F3187F">
        <w:rPr>
          <w:rFonts w:cs="Arial"/>
          <w:color w:val="000000"/>
          <w:sz w:val="20"/>
        </w:rPr>
        <w:t>].</w:t>
      </w:r>
    </w:p>
    <w:p w14:paraId="0453BAB7" w14:textId="3C266FD4"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application by an SP for the variation, extension or revocation of an SEO must be made as soon as practicable after the substantive application is made [s.</w:t>
      </w:r>
      <w:r w:rsidRPr="00F3187F">
        <w:rPr>
          <w:rFonts w:cs="Arial"/>
          <w:b/>
          <w:color w:val="000000" w:themeColor="text1"/>
          <w:sz w:val="20"/>
          <w:szCs w:val="20"/>
        </w:rPr>
        <w:t>25(1D)</w:t>
      </w:r>
      <w:r>
        <w:rPr>
          <w:rFonts w:cs="Arial"/>
          <w:bCs/>
          <w:color w:val="000000" w:themeColor="text1"/>
          <w:sz w:val="20"/>
          <w:szCs w:val="20"/>
        </w:rPr>
        <w:t>].</w:t>
      </w:r>
    </w:p>
    <w:p w14:paraId="299CF501" w14:textId="384995E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A CTIPO application that relates to an SEO review hearing must be made as soon as practicable after the lower court has directed under s.</w:t>
      </w:r>
      <w:r w:rsidRPr="00F3187F">
        <w:rPr>
          <w:rFonts w:cs="Arial"/>
          <w:b/>
          <w:color w:val="000000" w:themeColor="text1"/>
          <w:sz w:val="20"/>
          <w:szCs w:val="20"/>
        </w:rPr>
        <w:t>22CW(1)</w:t>
      </w:r>
      <w:r>
        <w:rPr>
          <w:rFonts w:cs="Arial"/>
          <w:bCs/>
          <w:color w:val="000000" w:themeColor="text1"/>
          <w:sz w:val="20"/>
          <w:szCs w:val="20"/>
        </w:rPr>
        <w:t xml:space="preserve"> that a review hearing is to be held [s.</w:t>
      </w:r>
      <w:r w:rsidRPr="00F3187F">
        <w:rPr>
          <w:rFonts w:cs="Arial"/>
          <w:b/>
          <w:color w:val="000000" w:themeColor="text1"/>
          <w:sz w:val="20"/>
          <w:szCs w:val="20"/>
        </w:rPr>
        <w:t>25(1E)</w:t>
      </w:r>
      <w:r>
        <w:rPr>
          <w:rFonts w:cs="Arial"/>
          <w:bCs/>
          <w:color w:val="000000" w:themeColor="text1"/>
          <w:sz w:val="20"/>
          <w:szCs w:val="20"/>
        </w:rPr>
        <w:t>].</w:t>
      </w:r>
    </w:p>
    <w:p w14:paraId="7A0961DC" w14:textId="584671AC" w:rsidR="00F3187F" w:rsidRDefault="00F3187F">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Section </w:t>
      </w:r>
      <w:r w:rsidRPr="00A752FB">
        <w:rPr>
          <w:rFonts w:cs="Arial"/>
          <w:b/>
          <w:color w:val="000000" w:themeColor="text1"/>
          <w:sz w:val="20"/>
          <w:szCs w:val="20"/>
        </w:rPr>
        <w:t>27(1)</w:t>
      </w:r>
      <w:r>
        <w:rPr>
          <w:rFonts w:cs="Arial"/>
          <w:bCs/>
          <w:color w:val="000000" w:themeColor="text1"/>
          <w:sz w:val="20"/>
          <w:szCs w:val="20"/>
        </w:rPr>
        <w:t xml:space="preserve"> provides that the Supreme Court may make a CTIPO in respect of all or part of the information, document or other thing to which the application relates if the </w:t>
      </w:r>
      <w:r w:rsidR="009B7030">
        <w:rPr>
          <w:rFonts w:cs="Arial"/>
          <w:bCs/>
          <w:color w:val="000000" w:themeColor="text1"/>
          <w:sz w:val="20"/>
          <w:szCs w:val="20"/>
        </w:rPr>
        <w:t>c</w:t>
      </w:r>
      <w:r>
        <w:rPr>
          <w:rFonts w:cs="Arial"/>
          <w:bCs/>
          <w:color w:val="000000" w:themeColor="text1"/>
          <w:sz w:val="20"/>
          <w:szCs w:val="20"/>
        </w:rPr>
        <w:t>ourt is satisfied that</w:t>
      </w:r>
      <w:r w:rsidR="00013698">
        <w:rPr>
          <w:rFonts w:cs="Arial"/>
          <w:bCs/>
          <w:color w:val="000000" w:themeColor="text1"/>
          <w:sz w:val="20"/>
          <w:szCs w:val="20"/>
        </w:rPr>
        <w:t>–</w:t>
      </w:r>
    </w:p>
    <w:p w14:paraId="126F703C" w14:textId="0D440C59"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the information, document, thing or part is counter-terrorism intelligence; and</w:t>
      </w:r>
    </w:p>
    <w:p w14:paraId="4A1065E3" w14:textId="06C46F6F" w:rsidR="00A752FB" w:rsidRDefault="00A752FB">
      <w:pPr>
        <w:pStyle w:val="ListParagraph"/>
        <w:numPr>
          <w:ilvl w:val="0"/>
          <w:numId w:val="68"/>
        </w:numPr>
        <w:jc w:val="both"/>
        <w:rPr>
          <w:rFonts w:ascii="Arial" w:hAnsi="Arial" w:cs="Arial"/>
          <w:color w:val="000000"/>
          <w:sz w:val="20"/>
        </w:rPr>
      </w:pPr>
      <w:r>
        <w:rPr>
          <w:rFonts w:ascii="Arial" w:hAnsi="Arial" w:cs="Arial"/>
          <w:color w:val="000000"/>
          <w:sz w:val="20"/>
        </w:rPr>
        <w:t xml:space="preserve">the reasons for maintaining the confidentiality of the intelligence outweigh any prejudice or unfairness to the subject of the substantive </w:t>
      </w:r>
      <w:r w:rsidR="00862742">
        <w:rPr>
          <w:rFonts w:ascii="Arial" w:hAnsi="Arial" w:cs="Arial"/>
          <w:color w:val="000000"/>
          <w:sz w:val="20"/>
        </w:rPr>
        <w:t xml:space="preserve">SEO </w:t>
      </w:r>
      <w:r>
        <w:rPr>
          <w:rFonts w:ascii="Arial" w:hAnsi="Arial" w:cs="Arial"/>
          <w:color w:val="000000"/>
          <w:sz w:val="20"/>
        </w:rPr>
        <w:t>application.</w:t>
      </w:r>
    </w:p>
    <w:p w14:paraId="09D10004" w14:textId="29E3161A"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The making of a CTIPO is not determinative of the admissibility of the protected counter-terrorism intelligence in evidence in the proceeding on the substantive application or hearing [s.</w:t>
      </w:r>
      <w:r w:rsidRPr="0032173E">
        <w:rPr>
          <w:rFonts w:cs="Arial"/>
          <w:b/>
          <w:color w:val="000000" w:themeColor="text1"/>
          <w:sz w:val="20"/>
          <w:szCs w:val="20"/>
        </w:rPr>
        <w:t>29</w:t>
      </w:r>
      <w:r>
        <w:rPr>
          <w:rFonts w:cs="Arial"/>
          <w:bCs/>
          <w:color w:val="000000" w:themeColor="text1"/>
          <w:sz w:val="20"/>
          <w:szCs w:val="20"/>
        </w:rPr>
        <w:t>].</w:t>
      </w:r>
    </w:p>
    <w:p w14:paraId="07D3A1A4" w14:textId="56F7A2BE" w:rsidR="0032173E" w:rsidRDefault="0032173E">
      <w:pPr>
        <w:pStyle w:val="HeadingTwo"/>
        <w:numPr>
          <w:ilvl w:val="0"/>
          <w:numId w:val="67"/>
        </w:numPr>
        <w:spacing w:before="120" w:after="0"/>
        <w:ind w:left="357" w:hanging="357"/>
        <w:jc w:val="both"/>
        <w:rPr>
          <w:rFonts w:cs="Arial"/>
          <w:bCs/>
          <w:color w:val="000000" w:themeColor="text1"/>
          <w:sz w:val="20"/>
          <w:szCs w:val="20"/>
        </w:rPr>
      </w:pPr>
      <w:r>
        <w:rPr>
          <w:rFonts w:cs="Arial"/>
          <w:bCs/>
          <w:color w:val="000000" w:themeColor="text1"/>
          <w:sz w:val="20"/>
          <w:szCs w:val="20"/>
        </w:rPr>
        <w:t xml:space="preserve">However, </w:t>
      </w:r>
      <w:r w:rsidR="00425497">
        <w:rPr>
          <w:rFonts w:cs="Arial"/>
          <w:bCs/>
          <w:color w:val="000000" w:themeColor="text1"/>
          <w:sz w:val="20"/>
          <w:szCs w:val="20"/>
        </w:rPr>
        <w:t>s.</w:t>
      </w:r>
      <w:r w:rsidR="00425497" w:rsidRPr="00425497">
        <w:rPr>
          <w:rFonts w:cs="Arial"/>
          <w:b/>
          <w:color w:val="000000" w:themeColor="text1"/>
          <w:sz w:val="20"/>
          <w:szCs w:val="20"/>
        </w:rPr>
        <w:t>31A</w:t>
      </w:r>
      <w:r w:rsidR="00425497">
        <w:rPr>
          <w:rFonts w:cs="Arial"/>
          <w:bCs/>
          <w:color w:val="000000" w:themeColor="text1"/>
          <w:sz w:val="20"/>
          <w:szCs w:val="20"/>
        </w:rPr>
        <w:t xml:space="preserve"> requires that </w:t>
      </w:r>
      <w:r>
        <w:rPr>
          <w:rFonts w:cs="Arial"/>
          <w:bCs/>
          <w:color w:val="000000" w:themeColor="text1"/>
          <w:sz w:val="20"/>
          <w:szCs w:val="20"/>
        </w:rPr>
        <w:t xml:space="preserve">unless the </w:t>
      </w:r>
      <w:r w:rsidR="00425497">
        <w:rPr>
          <w:rFonts w:cs="Arial"/>
          <w:bCs/>
          <w:color w:val="000000" w:themeColor="text1"/>
          <w:sz w:val="20"/>
          <w:szCs w:val="20"/>
        </w:rPr>
        <w:t>Supreme Court orders otherwise, the relevant part of</w:t>
      </w:r>
      <w:r w:rsidR="00013698">
        <w:rPr>
          <w:rFonts w:cs="Arial"/>
          <w:bCs/>
          <w:color w:val="000000" w:themeColor="text1"/>
          <w:sz w:val="20"/>
          <w:szCs w:val="20"/>
        </w:rPr>
        <w:t>–</w:t>
      </w:r>
    </w:p>
    <w:p w14:paraId="32261355" w14:textId="3E914AFF"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the hearing of the substantive SEO application; or</w:t>
      </w:r>
    </w:p>
    <w:p w14:paraId="090F523D" w14:textId="530F3C11" w:rsidR="00425497" w:rsidRDefault="00425497">
      <w:pPr>
        <w:pStyle w:val="ListParagraph"/>
        <w:numPr>
          <w:ilvl w:val="0"/>
          <w:numId w:val="69"/>
        </w:numPr>
        <w:jc w:val="both"/>
        <w:rPr>
          <w:rFonts w:ascii="Arial" w:hAnsi="Arial" w:cs="Arial"/>
          <w:color w:val="000000"/>
          <w:sz w:val="20"/>
        </w:rPr>
      </w:pPr>
      <w:r>
        <w:rPr>
          <w:rFonts w:ascii="Arial" w:hAnsi="Arial" w:cs="Arial"/>
          <w:color w:val="000000"/>
          <w:sz w:val="20"/>
        </w:rPr>
        <w:t>an SEO review hearing-</w:t>
      </w:r>
    </w:p>
    <w:p w14:paraId="7B234087" w14:textId="13BC5D31" w:rsidR="00A752FB" w:rsidRDefault="00425497" w:rsidP="00425497">
      <w:pPr>
        <w:pStyle w:val="HeadingTwo"/>
        <w:spacing w:after="0"/>
        <w:ind w:left="357"/>
        <w:jc w:val="both"/>
        <w:rPr>
          <w:rFonts w:cs="Arial"/>
          <w:bCs/>
          <w:color w:val="000000" w:themeColor="text1"/>
          <w:sz w:val="20"/>
          <w:szCs w:val="20"/>
        </w:rPr>
      </w:pPr>
      <w:r>
        <w:rPr>
          <w:rFonts w:cs="Arial"/>
          <w:bCs/>
          <w:color w:val="000000" w:themeColor="text1"/>
          <w:sz w:val="20"/>
          <w:szCs w:val="20"/>
        </w:rPr>
        <w:t>must be heard in closed court.  If the relevant part is heard in closed court, the only persons who may be present are-</w:t>
      </w:r>
    </w:p>
    <w:p w14:paraId="1A0DD514" w14:textId="0767F81C" w:rsidR="00425497" w:rsidRDefault="00425497">
      <w:pPr>
        <w:pStyle w:val="ListParagraph"/>
        <w:numPr>
          <w:ilvl w:val="0"/>
          <w:numId w:val="57"/>
        </w:numPr>
        <w:ind w:left="714" w:hanging="357"/>
        <w:jc w:val="both"/>
        <w:rPr>
          <w:rFonts w:ascii="Arial" w:hAnsi="Arial" w:cs="Arial"/>
          <w:color w:val="000000"/>
          <w:sz w:val="20"/>
        </w:rPr>
      </w:pPr>
      <w:r>
        <w:rPr>
          <w:rFonts w:ascii="Arial" w:hAnsi="Arial" w:cs="Arial"/>
          <w:color w:val="000000"/>
          <w:sz w:val="20"/>
        </w:rPr>
        <w:t>the APO who made the CTIPO application and his or her legal representatives;</w:t>
      </w:r>
    </w:p>
    <w:p w14:paraId="37AA2292" w14:textId="2CE224DE" w:rsidR="00425497" w:rsidRPr="00425497" w:rsidRDefault="00425497">
      <w:pPr>
        <w:pStyle w:val="ListParagraph"/>
        <w:numPr>
          <w:ilvl w:val="0"/>
          <w:numId w:val="57"/>
        </w:numPr>
        <w:ind w:left="714" w:hanging="357"/>
        <w:jc w:val="both"/>
        <w:rPr>
          <w:rFonts w:ascii="Arial" w:hAnsi="Arial" w:cs="Arial"/>
          <w:color w:val="000000"/>
          <w:sz w:val="20"/>
        </w:rPr>
      </w:pPr>
      <w:r w:rsidRPr="00425497">
        <w:rPr>
          <w:rFonts w:ascii="Arial" w:hAnsi="Arial" w:cs="Arial"/>
          <w:color w:val="000000"/>
          <w:sz w:val="20"/>
        </w:rPr>
        <w:t>a</w:t>
      </w:r>
      <w:r>
        <w:rPr>
          <w:rFonts w:ascii="Arial" w:hAnsi="Arial" w:cs="Arial"/>
          <w:color w:val="000000"/>
          <w:sz w:val="20"/>
        </w:rPr>
        <w:t>ny</w:t>
      </w:r>
      <w:r w:rsidRPr="00425497">
        <w:rPr>
          <w:rFonts w:ascii="Arial" w:hAnsi="Arial" w:cs="Arial"/>
          <w:color w:val="000000"/>
          <w:sz w:val="20"/>
        </w:rPr>
        <w:t xml:space="preserve"> special counsel appointed under s.</w:t>
      </w:r>
      <w:r w:rsidRPr="00425497">
        <w:rPr>
          <w:rFonts w:ascii="Arial" w:hAnsi="Arial" w:cs="Arial"/>
          <w:b/>
          <w:bCs/>
          <w:color w:val="000000"/>
          <w:sz w:val="20"/>
        </w:rPr>
        <w:t>32</w:t>
      </w:r>
      <w:r w:rsidRPr="00425497">
        <w:rPr>
          <w:rFonts w:ascii="Arial" w:hAnsi="Arial" w:cs="Arial"/>
          <w:color w:val="000000"/>
          <w:sz w:val="20"/>
        </w:rPr>
        <w:t xml:space="preserve"> to </w:t>
      </w:r>
      <w:r w:rsidRPr="00425497">
        <w:rPr>
          <w:rFonts w:ascii="Arial" w:hAnsi="Arial" w:cs="Arial"/>
          <w:sz w:val="20"/>
        </w:rPr>
        <w:t>represent the interests of the subject of the substantive application at the hearing of a protection application and the relevant part of the proceeding on the substantive application</w:t>
      </w:r>
      <w:r>
        <w:rPr>
          <w:rFonts w:ascii="Arial" w:hAnsi="Arial" w:cs="Arial"/>
          <w:sz w:val="20"/>
        </w:rPr>
        <w:t>;</w:t>
      </w:r>
    </w:p>
    <w:p w14:paraId="7AAD30C3" w14:textId="1720CBB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any witnesses who may be called to give evidence;</w:t>
      </w:r>
    </w:p>
    <w:p w14:paraId="6033A260" w14:textId="1116F995" w:rsidR="00425497" w:rsidRPr="00425497" w:rsidRDefault="00425497">
      <w:pPr>
        <w:pStyle w:val="ListParagraph"/>
        <w:numPr>
          <w:ilvl w:val="0"/>
          <w:numId w:val="57"/>
        </w:numPr>
        <w:ind w:left="714" w:hanging="357"/>
        <w:jc w:val="both"/>
        <w:rPr>
          <w:rFonts w:ascii="Arial" w:hAnsi="Arial" w:cs="Arial"/>
          <w:color w:val="000000"/>
          <w:sz w:val="20"/>
        </w:rPr>
      </w:pPr>
      <w:r>
        <w:rPr>
          <w:rFonts w:ascii="Arial" w:hAnsi="Arial" w:cs="Arial"/>
          <w:sz w:val="20"/>
        </w:rPr>
        <w:t>the presiding judicial officer and any necessary court staff; and</w:t>
      </w:r>
    </w:p>
    <w:p w14:paraId="3971739D" w14:textId="7A73DA61" w:rsidR="00425497" w:rsidRPr="00862742" w:rsidRDefault="00862742">
      <w:pPr>
        <w:pStyle w:val="ListParagraph"/>
        <w:numPr>
          <w:ilvl w:val="0"/>
          <w:numId w:val="57"/>
        </w:numPr>
        <w:ind w:left="714" w:hanging="357"/>
        <w:jc w:val="both"/>
        <w:rPr>
          <w:rFonts w:ascii="Arial" w:hAnsi="Arial" w:cs="Arial"/>
          <w:color w:val="000000"/>
          <w:sz w:val="20"/>
        </w:rPr>
      </w:pPr>
      <w:r>
        <w:rPr>
          <w:rFonts w:ascii="Arial" w:hAnsi="Arial" w:cs="Arial"/>
          <w:sz w:val="20"/>
        </w:rPr>
        <w:t>the</w:t>
      </w:r>
      <w:r w:rsidR="00425497">
        <w:rPr>
          <w:rFonts w:ascii="Arial" w:hAnsi="Arial" w:cs="Arial"/>
          <w:sz w:val="20"/>
        </w:rPr>
        <w:t xml:space="preserve"> Public Interest Monitor </w:t>
      </w:r>
      <w:r>
        <w:rPr>
          <w:rFonts w:ascii="Arial" w:hAnsi="Arial" w:cs="Arial"/>
          <w:sz w:val="20"/>
        </w:rPr>
        <w:t>notified under s.</w:t>
      </w:r>
      <w:r w:rsidRPr="00862742">
        <w:rPr>
          <w:rFonts w:ascii="Arial" w:hAnsi="Arial" w:cs="Arial"/>
          <w:b/>
          <w:bCs/>
          <w:sz w:val="20"/>
        </w:rPr>
        <w:t>26</w:t>
      </w:r>
      <w:r>
        <w:rPr>
          <w:rFonts w:ascii="Arial" w:hAnsi="Arial" w:cs="Arial"/>
          <w:sz w:val="20"/>
        </w:rPr>
        <w:t>.</w:t>
      </w:r>
    </w:p>
    <w:p w14:paraId="34BE77D6" w14:textId="585902A2" w:rsidR="00350F3B" w:rsidRDefault="00350F3B" w:rsidP="00350F3B">
      <w:pPr>
        <w:pStyle w:val="HeadingTwo"/>
        <w:spacing w:after="0"/>
        <w:ind w:left="357"/>
        <w:jc w:val="both"/>
        <w:rPr>
          <w:rFonts w:cs="Arial"/>
          <w:bCs/>
          <w:color w:val="000000" w:themeColor="text1"/>
          <w:sz w:val="20"/>
          <w:szCs w:val="20"/>
        </w:rPr>
      </w:pPr>
      <w:r>
        <w:rPr>
          <w:rFonts w:cs="Arial"/>
          <w:bCs/>
          <w:color w:val="000000" w:themeColor="text1"/>
          <w:sz w:val="20"/>
          <w:szCs w:val="20"/>
        </w:rPr>
        <w:t xml:space="preserve">This list of persons entitled to be present does not include the respondent or his or her legal representative, the respondent’s interests </w:t>
      </w:r>
      <w:r w:rsidR="00D45A15">
        <w:rPr>
          <w:rFonts w:cs="Arial"/>
          <w:bCs/>
          <w:color w:val="000000" w:themeColor="text1"/>
          <w:sz w:val="20"/>
          <w:szCs w:val="20"/>
        </w:rPr>
        <w:t xml:space="preserve">in the relevant part </w:t>
      </w:r>
      <w:r>
        <w:rPr>
          <w:rFonts w:cs="Arial"/>
          <w:bCs/>
          <w:color w:val="000000" w:themeColor="text1"/>
          <w:sz w:val="20"/>
          <w:szCs w:val="20"/>
        </w:rPr>
        <w:t>being represented by a special counsel.</w:t>
      </w:r>
    </w:p>
    <w:p w14:paraId="4BFC20D1" w14:textId="0FED07AA" w:rsidR="00862742" w:rsidRPr="00862742" w:rsidRDefault="003218CF">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I</w:t>
      </w:r>
      <w:r w:rsidR="00862742" w:rsidRPr="00862742">
        <w:rPr>
          <w:rFonts w:cs="Arial"/>
          <w:color w:val="000000" w:themeColor="text1"/>
          <w:sz w:val="20"/>
          <w:szCs w:val="18"/>
        </w:rPr>
        <w:t>t is an offence to disclose, receive or solicit any information document or other thing if the person knows or is reckless as to the fact that the thing is protected counter</w:t>
      </w:r>
      <w:r>
        <w:rPr>
          <w:rFonts w:cs="Arial"/>
          <w:color w:val="000000" w:themeColor="text1"/>
          <w:sz w:val="20"/>
          <w:szCs w:val="18"/>
        </w:rPr>
        <w:t>-</w:t>
      </w:r>
      <w:r w:rsidR="00862742" w:rsidRPr="00862742">
        <w:rPr>
          <w:rFonts w:cs="Arial"/>
          <w:color w:val="000000" w:themeColor="text1"/>
          <w:sz w:val="20"/>
          <w:szCs w:val="18"/>
        </w:rPr>
        <w:t>terrorism intelligence</w:t>
      </w:r>
      <w:r>
        <w:rPr>
          <w:rFonts w:cs="Arial"/>
          <w:color w:val="000000" w:themeColor="text1"/>
          <w:sz w:val="20"/>
          <w:szCs w:val="18"/>
        </w:rPr>
        <w:t xml:space="preserve"> [s.</w:t>
      </w:r>
      <w:r w:rsidRPr="003218CF">
        <w:rPr>
          <w:rFonts w:cs="Arial"/>
          <w:b/>
          <w:bCs/>
          <w:color w:val="000000" w:themeColor="text1"/>
          <w:sz w:val="20"/>
          <w:szCs w:val="18"/>
        </w:rPr>
        <w:t>37</w:t>
      </w:r>
      <w:r>
        <w:rPr>
          <w:rFonts w:cs="Arial"/>
          <w:color w:val="000000" w:themeColor="text1"/>
          <w:sz w:val="20"/>
          <w:szCs w:val="18"/>
        </w:rPr>
        <w:t>]</w:t>
      </w:r>
      <w:r w:rsidR="00862742" w:rsidRPr="00862742">
        <w:rPr>
          <w:rFonts w:cs="Arial"/>
          <w:color w:val="000000" w:themeColor="text1"/>
          <w:sz w:val="20"/>
          <w:szCs w:val="18"/>
        </w:rPr>
        <w:t>.</w:t>
      </w:r>
    </w:p>
    <w:p w14:paraId="48F8ABC1" w14:textId="16F44E79" w:rsidR="00862742" w:rsidRPr="00862742" w:rsidRDefault="00862742">
      <w:pPr>
        <w:pStyle w:val="HeadingTwo"/>
        <w:numPr>
          <w:ilvl w:val="0"/>
          <w:numId w:val="70"/>
        </w:numPr>
        <w:spacing w:before="120" w:after="0"/>
        <w:ind w:left="357" w:hanging="357"/>
        <w:jc w:val="both"/>
        <w:rPr>
          <w:rFonts w:cs="Arial"/>
          <w:bCs/>
          <w:color w:val="000000" w:themeColor="text1"/>
          <w:sz w:val="16"/>
          <w:szCs w:val="16"/>
        </w:rPr>
      </w:pPr>
      <w:r>
        <w:rPr>
          <w:rFonts w:cs="Arial"/>
          <w:color w:val="000000" w:themeColor="text1"/>
          <w:sz w:val="20"/>
          <w:szCs w:val="18"/>
        </w:rPr>
        <w:t>Under s.</w:t>
      </w:r>
      <w:r w:rsidRPr="00862742">
        <w:rPr>
          <w:rFonts w:cs="Arial"/>
          <w:b/>
          <w:bCs/>
          <w:color w:val="000000" w:themeColor="text1"/>
          <w:sz w:val="20"/>
          <w:szCs w:val="18"/>
        </w:rPr>
        <w:t>27(3)</w:t>
      </w:r>
      <w:r>
        <w:rPr>
          <w:rFonts w:cs="Arial"/>
          <w:color w:val="000000" w:themeColor="text1"/>
          <w:sz w:val="20"/>
          <w:szCs w:val="18"/>
        </w:rPr>
        <w:t>, if the Supreme Court declines to make a CTIPO in respect of all or any part of the information, document or other thing</w:t>
      </w:r>
      <w:r w:rsidR="00013698">
        <w:rPr>
          <w:rFonts w:cs="Arial"/>
          <w:bCs/>
          <w:color w:val="000000" w:themeColor="text1"/>
          <w:sz w:val="20"/>
          <w:szCs w:val="20"/>
        </w:rPr>
        <w:t>–</w:t>
      </w:r>
    </w:p>
    <w:p w14:paraId="0E625404" w14:textId="1EC690F9"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no party to the substantive application or hearing is obliged to adduce that material in evidence in the SEO proceeding or hearing; and</w:t>
      </w:r>
    </w:p>
    <w:p w14:paraId="42B46C82" w14:textId="643A29D3" w:rsidR="00862742" w:rsidRDefault="00862742">
      <w:pPr>
        <w:pStyle w:val="ListParagraph"/>
        <w:numPr>
          <w:ilvl w:val="0"/>
          <w:numId w:val="71"/>
        </w:numPr>
        <w:jc w:val="both"/>
        <w:rPr>
          <w:rFonts w:ascii="Arial" w:hAnsi="Arial" w:cs="Arial"/>
          <w:color w:val="000000"/>
          <w:sz w:val="20"/>
        </w:rPr>
      </w:pPr>
      <w:r>
        <w:rPr>
          <w:rFonts w:ascii="Arial" w:hAnsi="Arial" w:cs="Arial"/>
          <w:color w:val="000000"/>
          <w:sz w:val="20"/>
        </w:rPr>
        <w:t>if the application for a CTIPO was made in respect of a substantive application, the applicant may withdraw the substantive application.</w:t>
      </w:r>
    </w:p>
    <w:p w14:paraId="36DD7F69" w14:textId="5E80974B" w:rsidR="008664F6" w:rsidRPr="00E63D32" w:rsidRDefault="00D2723C">
      <w:pPr>
        <w:pStyle w:val="HeadingTwo"/>
        <w:numPr>
          <w:ilvl w:val="0"/>
          <w:numId w:val="70"/>
        </w:numPr>
        <w:spacing w:before="120" w:after="0"/>
        <w:ind w:left="357" w:hanging="357"/>
        <w:jc w:val="both"/>
        <w:rPr>
          <w:rFonts w:cs="Arial"/>
          <w:bCs/>
          <w:color w:val="000000" w:themeColor="text1"/>
          <w:sz w:val="16"/>
          <w:szCs w:val="16"/>
        </w:rPr>
      </w:pPr>
      <w:r w:rsidRPr="00E63D32">
        <w:rPr>
          <w:rFonts w:cs="Arial"/>
          <w:b/>
          <w:bCs/>
          <w:color w:val="000000" w:themeColor="text1"/>
          <w:sz w:val="20"/>
          <w:szCs w:val="20"/>
        </w:rPr>
        <w:t>Flowchart 2</w:t>
      </w:r>
      <w:r w:rsidRPr="00E63D32">
        <w:rPr>
          <w:rFonts w:cs="Arial"/>
          <w:color w:val="000000" w:themeColor="text1"/>
          <w:sz w:val="20"/>
          <w:szCs w:val="20"/>
        </w:rPr>
        <w:t xml:space="preserve"> below depicts the processes in the Children’s Court </w:t>
      </w:r>
      <w:r w:rsidR="003218CF">
        <w:rPr>
          <w:rFonts w:cs="Arial"/>
          <w:color w:val="000000" w:themeColor="text1"/>
          <w:sz w:val="20"/>
          <w:szCs w:val="20"/>
        </w:rPr>
        <w:t xml:space="preserve">where an application has been made </w:t>
      </w:r>
      <w:r w:rsidR="003218CF" w:rsidRPr="00E63D32">
        <w:rPr>
          <w:rFonts w:cs="Arial"/>
          <w:color w:val="000000" w:themeColor="text1"/>
          <w:sz w:val="20"/>
          <w:szCs w:val="20"/>
        </w:rPr>
        <w:t xml:space="preserve">to make, vary, revoke </w:t>
      </w:r>
      <w:r w:rsidR="003218CF">
        <w:rPr>
          <w:rFonts w:cs="Arial"/>
          <w:color w:val="000000" w:themeColor="text1"/>
          <w:sz w:val="20"/>
          <w:szCs w:val="20"/>
        </w:rPr>
        <w:t>or</w:t>
      </w:r>
      <w:r w:rsidR="003218CF" w:rsidRPr="00E63D32">
        <w:rPr>
          <w:rFonts w:cs="Arial"/>
          <w:color w:val="000000" w:themeColor="text1"/>
          <w:sz w:val="20"/>
          <w:szCs w:val="20"/>
        </w:rPr>
        <w:t xml:space="preserve"> extend </w:t>
      </w:r>
      <w:r w:rsidR="003218CF">
        <w:rPr>
          <w:rFonts w:cs="Arial"/>
          <w:color w:val="000000" w:themeColor="text1"/>
          <w:sz w:val="20"/>
          <w:szCs w:val="20"/>
        </w:rPr>
        <w:t xml:space="preserve">an </w:t>
      </w:r>
      <w:r w:rsidR="003218CF" w:rsidRPr="00E63D32">
        <w:rPr>
          <w:rFonts w:cs="Arial"/>
          <w:color w:val="000000" w:themeColor="text1"/>
          <w:sz w:val="20"/>
          <w:szCs w:val="20"/>
        </w:rPr>
        <w:t>SEO</w:t>
      </w:r>
      <w:r w:rsidR="003218CF">
        <w:rPr>
          <w:rFonts w:cs="Arial"/>
          <w:color w:val="000000" w:themeColor="text1"/>
          <w:sz w:val="20"/>
          <w:szCs w:val="20"/>
        </w:rPr>
        <w:t xml:space="preserve"> and a CTIPO </w:t>
      </w:r>
      <w:r w:rsidRPr="00E63D32">
        <w:rPr>
          <w:rFonts w:cs="Arial"/>
          <w:color w:val="000000" w:themeColor="text1"/>
          <w:sz w:val="20"/>
          <w:szCs w:val="20"/>
        </w:rPr>
        <w:t xml:space="preserve">application </w:t>
      </w:r>
      <w:r w:rsidR="003218CF">
        <w:rPr>
          <w:rFonts w:cs="Arial"/>
          <w:color w:val="000000" w:themeColor="text1"/>
          <w:sz w:val="20"/>
          <w:szCs w:val="20"/>
        </w:rPr>
        <w:t xml:space="preserve">is </w:t>
      </w:r>
      <w:r w:rsidR="00D45A15">
        <w:rPr>
          <w:rFonts w:cs="Arial"/>
          <w:color w:val="000000" w:themeColor="text1"/>
          <w:sz w:val="20"/>
          <w:szCs w:val="20"/>
        </w:rPr>
        <w:t xml:space="preserve">also </w:t>
      </w:r>
      <w:r w:rsidR="003218CF">
        <w:rPr>
          <w:rFonts w:cs="Arial"/>
          <w:color w:val="000000" w:themeColor="text1"/>
          <w:sz w:val="20"/>
          <w:szCs w:val="20"/>
        </w:rPr>
        <w:t>made in the Supreme Court.</w:t>
      </w:r>
    </w:p>
    <w:p w14:paraId="192E427E" w14:textId="1EB99DB6" w:rsidR="00C16E97" w:rsidRDefault="00C16E97">
      <w:pPr>
        <w:rPr>
          <w:rFonts w:ascii="Arial" w:hAnsi="Arial" w:cs="Arial"/>
          <w:b/>
          <w:bCs/>
        </w:rPr>
      </w:pPr>
      <w:r>
        <w:rPr>
          <w:rFonts w:ascii="Arial" w:hAnsi="Arial" w:cs="Arial"/>
          <w:b/>
          <w:bCs/>
        </w:rPr>
        <w:br w:type="page"/>
      </w:r>
    </w:p>
    <w:p w14:paraId="7486F557" w14:textId="77777777" w:rsidR="002E7E9D" w:rsidRDefault="002E7E9D" w:rsidP="002E7E9D">
      <w:pPr>
        <w:ind w:left="-851" w:right="-1134"/>
        <w:jc w:val="both"/>
        <w:rPr>
          <w:rFonts w:ascii="Arial" w:hAnsi="Arial" w:cs="Arial"/>
          <w:b/>
          <w:bCs/>
        </w:rPr>
      </w:pPr>
    </w:p>
    <w:p w14:paraId="51E422F6" w14:textId="4EBEA557" w:rsidR="00C16E97" w:rsidRDefault="003178FE" w:rsidP="002E7E9D">
      <w:pPr>
        <w:ind w:left="-1134" w:right="-1134"/>
        <w:jc w:val="center"/>
        <w:rPr>
          <w:rFonts w:ascii="Arial" w:hAnsi="Arial" w:cs="Arial"/>
          <w:b/>
          <w:bCs/>
        </w:rPr>
      </w:pPr>
      <w:r>
        <w:rPr>
          <w:noProof/>
        </w:rPr>
        <mc:AlternateContent>
          <mc:Choice Requires="wps">
            <w:drawing>
              <wp:anchor distT="0" distB="0" distL="114300" distR="114300" simplePos="0" relativeHeight="251712512" behindDoc="0" locked="0" layoutInCell="1" allowOverlap="1" wp14:anchorId="245D082D" wp14:editId="24223100">
                <wp:simplePos x="0" y="0"/>
                <wp:positionH relativeFrom="column">
                  <wp:posOffset>2652395</wp:posOffset>
                </wp:positionH>
                <wp:positionV relativeFrom="paragraph">
                  <wp:posOffset>128905</wp:posOffset>
                </wp:positionV>
                <wp:extent cx="210820" cy="193675"/>
                <wp:effectExtent l="0" t="0" r="0" b="0"/>
                <wp:wrapNone/>
                <wp:docPr id="9715723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93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8BF652" id="Rectangle 2" o:spid="_x0000_s1026" style="position:absolute;margin-left:208.85pt;margin-top:10.15pt;width:16.6pt;height:1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" fillcolor="white [3212]" stroked="f" strokeweight="1pt"/>
            </w:pict>
          </mc:Fallback>
        </mc:AlternateContent>
      </w:r>
      <w:r w:rsidR="002E7E9D" w:rsidRPr="002E7E9D">
        <w:rPr>
          <w:rFonts w:ascii="Arial" w:hAnsi="Arial" w:cs="Arial"/>
          <w:b/>
          <w:bCs/>
          <w:noProof/>
          <w:bdr w:val="single" w:sz="8" w:space="0" w:color="auto"/>
        </w:rPr>
        <w:drawing>
          <wp:inline distT="0" distB="0" distL="0" distR="0" wp14:anchorId="37C0AADE" wp14:editId="00ED1056">
            <wp:extent cx="6300000" cy="816529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000" cy="8165291"/>
                    </a:xfrm>
                    <a:prstGeom prst="rect">
                      <a:avLst/>
                    </a:prstGeom>
                  </pic:spPr>
                </pic:pic>
              </a:graphicData>
            </a:graphic>
          </wp:inline>
        </w:drawing>
      </w:r>
    </w:p>
    <w:p w14:paraId="708E3532" w14:textId="77777777" w:rsidR="00C86D00" w:rsidRPr="00B578F2" w:rsidRDefault="00C86D00">
      <w:pPr>
        <w:rPr>
          <w:rFonts w:ascii="Arial" w:hAnsi="Arial" w:cs="Arial"/>
          <w:b/>
          <w:bCs/>
          <w:sz w:val="20"/>
          <w:szCs w:val="20"/>
        </w:rPr>
      </w:pPr>
    </w:p>
    <w:p w14:paraId="695C1B47" w14:textId="0D8F6D14" w:rsidR="004F0E1A" w:rsidRPr="004F0E1A" w:rsidRDefault="00642FB1" w:rsidP="004F0E1A">
      <w:pPr>
        <w:pBdr>
          <w:top w:val="single" w:sz="8" w:space="1" w:color="auto"/>
          <w:left w:val="single" w:sz="8" w:space="4" w:color="auto"/>
          <w:bottom w:val="single" w:sz="8" w:space="1" w:color="auto"/>
          <w:right w:val="single" w:sz="8" w:space="4" w:color="auto"/>
        </w:pBdr>
        <w:ind w:left="-737" w:right="-737"/>
        <w:jc w:val="both"/>
        <w:rPr>
          <w:rFonts w:ascii="Arial" w:hAnsi="Arial" w:cs="Arial"/>
          <w:b/>
          <w:bCs/>
          <w:sz w:val="20"/>
          <w:szCs w:val="20"/>
        </w:rPr>
      </w:pPr>
      <w:r>
        <w:rPr>
          <w:rFonts w:ascii="Arial" w:hAnsi="Arial" w:cs="Arial"/>
          <w:b/>
          <w:bCs/>
          <w:sz w:val="20"/>
          <w:szCs w:val="20"/>
        </w:rPr>
        <w:t>F</w:t>
      </w:r>
      <w:r w:rsidR="00C86D00" w:rsidRPr="00C86D00">
        <w:rPr>
          <w:rFonts w:ascii="Arial" w:hAnsi="Arial" w:cs="Arial"/>
          <w:b/>
          <w:bCs/>
          <w:sz w:val="20"/>
          <w:szCs w:val="20"/>
        </w:rPr>
        <w:t xml:space="preserve">lowcharts </w:t>
      </w:r>
      <w:r>
        <w:rPr>
          <w:rFonts w:ascii="Arial" w:hAnsi="Arial" w:cs="Arial"/>
          <w:b/>
          <w:bCs/>
          <w:sz w:val="20"/>
          <w:szCs w:val="20"/>
        </w:rPr>
        <w:t>1A &amp; 1B</w:t>
      </w:r>
      <w:r w:rsidR="00C86D00" w:rsidRPr="00C86D00">
        <w:rPr>
          <w:rFonts w:ascii="Arial" w:hAnsi="Arial" w:cs="Arial"/>
          <w:b/>
          <w:bCs/>
          <w:sz w:val="20"/>
          <w:szCs w:val="20"/>
        </w:rPr>
        <w:t xml:space="preserve"> were created by Dr Lisa Lee (Senior Legal Officer, Children’s Court</w:t>
      </w:r>
      <w:r w:rsidR="00C86D00">
        <w:rPr>
          <w:rFonts w:ascii="Arial" w:hAnsi="Arial" w:cs="Arial"/>
          <w:b/>
          <w:bCs/>
          <w:sz w:val="20"/>
          <w:szCs w:val="20"/>
        </w:rPr>
        <w:t>)</w:t>
      </w:r>
      <w:r w:rsidR="00C86D00" w:rsidRPr="00C86D00">
        <w:rPr>
          <w:rFonts w:ascii="Arial" w:hAnsi="Arial" w:cs="Arial"/>
          <w:b/>
          <w:bCs/>
          <w:sz w:val="20"/>
          <w:szCs w:val="20"/>
        </w:rPr>
        <w:t xml:space="preserve">.  </w:t>
      </w:r>
      <w:r>
        <w:rPr>
          <w:rFonts w:ascii="Arial" w:hAnsi="Arial" w:cs="Arial"/>
          <w:b/>
          <w:bCs/>
          <w:sz w:val="20"/>
          <w:szCs w:val="20"/>
        </w:rPr>
        <w:t xml:space="preserve">Flowchart 2 was created by DJCS.  </w:t>
      </w:r>
      <w:r w:rsidR="00C86D00">
        <w:rPr>
          <w:rFonts w:ascii="Arial" w:hAnsi="Arial" w:cs="Arial"/>
          <w:b/>
          <w:bCs/>
          <w:sz w:val="20"/>
          <w:szCs w:val="20"/>
        </w:rPr>
        <w:t xml:space="preserve">The structure </w:t>
      </w:r>
      <w:r>
        <w:rPr>
          <w:rFonts w:ascii="Arial" w:hAnsi="Arial" w:cs="Arial"/>
          <w:b/>
          <w:bCs/>
          <w:sz w:val="20"/>
          <w:szCs w:val="20"/>
        </w:rPr>
        <w:t xml:space="preserve">and much of the content </w:t>
      </w:r>
      <w:r w:rsidR="00C86D00">
        <w:rPr>
          <w:rFonts w:ascii="Arial" w:hAnsi="Arial" w:cs="Arial"/>
          <w:b/>
          <w:bCs/>
          <w:sz w:val="20"/>
          <w:szCs w:val="20"/>
        </w:rPr>
        <w:t xml:space="preserve">of this </w:t>
      </w:r>
      <w:r w:rsidR="00C86D00" w:rsidRPr="00A40A28">
        <w:rPr>
          <w:rFonts w:ascii="Arial" w:hAnsi="Arial" w:cs="Arial"/>
          <w:b/>
          <w:bCs/>
          <w:sz w:val="20"/>
          <w:szCs w:val="20"/>
          <w:shd w:val="clear" w:color="auto" w:fill="C5E0B3"/>
        </w:rPr>
        <w:t>section</w:t>
      </w:r>
      <w:r w:rsidR="00C86D00">
        <w:rPr>
          <w:rFonts w:ascii="Arial" w:hAnsi="Arial" w:cs="Arial"/>
          <w:b/>
          <w:bCs/>
          <w:sz w:val="20"/>
          <w:szCs w:val="20"/>
        </w:rPr>
        <w:t xml:space="preserve"> </w:t>
      </w:r>
      <w:r w:rsidR="004676AE">
        <w:rPr>
          <w:rFonts w:ascii="Arial" w:hAnsi="Arial" w:cs="Arial"/>
          <w:b/>
          <w:bCs/>
          <w:sz w:val="20"/>
          <w:szCs w:val="20"/>
        </w:rPr>
        <w:t>derives from</w:t>
      </w:r>
      <w:r w:rsidR="00C86D00">
        <w:rPr>
          <w:rFonts w:ascii="Arial" w:hAnsi="Arial" w:cs="Arial"/>
          <w:b/>
          <w:bCs/>
          <w:sz w:val="20"/>
          <w:szCs w:val="20"/>
        </w:rPr>
        <w:t xml:space="preserve"> a memorandum created by Ms Catherine Thwaite (</w:t>
      </w:r>
      <w:r>
        <w:rPr>
          <w:rFonts w:ascii="Arial" w:hAnsi="Arial" w:cs="Arial"/>
          <w:b/>
          <w:bCs/>
          <w:sz w:val="20"/>
          <w:szCs w:val="20"/>
        </w:rPr>
        <w:t xml:space="preserve">Senior </w:t>
      </w:r>
      <w:r w:rsidR="00C86D00">
        <w:rPr>
          <w:rFonts w:ascii="Arial" w:hAnsi="Arial" w:cs="Arial"/>
          <w:b/>
          <w:bCs/>
          <w:sz w:val="20"/>
          <w:szCs w:val="20"/>
        </w:rPr>
        <w:t>Legal Policy Advisor, Magistrates’ Court).</w:t>
      </w:r>
      <w:bookmarkStart w:id="426" w:name="_4.3.4__No"/>
      <w:bookmarkEnd w:id="426"/>
      <w:r w:rsidR="004F0E1A">
        <w:rPr>
          <w:rFonts w:ascii="Arial" w:hAnsi="Arial" w:cs="Arial"/>
          <w:b/>
          <w:bCs/>
          <w:sz w:val="20"/>
        </w:rPr>
        <w:br w:type="page"/>
      </w:r>
    </w:p>
    <w:p w14:paraId="3EDDD0F0" w14:textId="36C65BAF" w:rsidR="00715D6B" w:rsidRDefault="00715D6B" w:rsidP="00715D6B">
      <w:pPr>
        <w:pStyle w:val="Heading3"/>
        <w:widowControl/>
        <w:spacing w:line="240" w:lineRule="auto"/>
        <w:rPr>
          <w:rFonts w:ascii="Arial" w:hAnsi="Arial" w:cs="Arial"/>
          <w:b/>
          <w:bCs/>
          <w:sz w:val="20"/>
        </w:rPr>
      </w:pPr>
      <w:r>
        <w:rPr>
          <w:rFonts w:ascii="Arial" w:hAnsi="Arial" w:cs="Arial"/>
          <w:b/>
          <w:bCs/>
          <w:sz w:val="20"/>
        </w:rPr>
        <w:lastRenderedPageBreak/>
        <w:t>4.3.4</w:t>
      </w:r>
      <w:r>
        <w:rPr>
          <w:rFonts w:ascii="Arial" w:hAnsi="Arial" w:cs="Arial"/>
          <w:b/>
          <w:bCs/>
          <w:sz w:val="20"/>
        </w:rPr>
        <w:tab/>
      </w:r>
      <w:bookmarkStart w:id="427" w:name="_Hlk146877139"/>
      <w:r w:rsidR="00CB58D8">
        <w:rPr>
          <w:rFonts w:ascii="Arial" w:hAnsi="Arial" w:cs="Arial"/>
          <w:b/>
          <w:bCs/>
          <w:sz w:val="20"/>
        </w:rPr>
        <w:t>Limited</w:t>
      </w:r>
      <w:r>
        <w:rPr>
          <w:rFonts w:ascii="Arial" w:hAnsi="Arial" w:cs="Arial"/>
          <w:b/>
          <w:bCs/>
          <w:sz w:val="20"/>
        </w:rPr>
        <w:t xml:space="preserve"> </w:t>
      </w:r>
      <w:r w:rsidR="0003013B">
        <w:rPr>
          <w:rFonts w:ascii="Arial" w:hAnsi="Arial" w:cs="Arial"/>
          <w:b/>
          <w:bCs/>
          <w:sz w:val="20"/>
        </w:rPr>
        <w:t>powers</w:t>
      </w:r>
      <w:r>
        <w:rPr>
          <w:rFonts w:ascii="Arial" w:hAnsi="Arial" w:cs="Arial"/>
          <w:b/>
          <w:bCs/>
          <w:sz w:val="20"/>
        </w:rPr>
        <w:t xml:space="preserve"> under the Births, Deaths </w:t>
      </w:r>
      <w:r w:rsidR="0060228E">
        <w:rPr>
          <w:rFonts w:ascii="Arial" w:hAnsi="Arial" w:cs="Arial"/>
          <w:b/>
          <w:bCs/>
          <w:sz w:val="20"/>
        </w:rPr>
        <w:t>and</w:t>
      </w:r>
      <w:r>
        <w:rPr>
          <w:rFonts w:ascii="Arial" w:hAnsi="Arial" w:cs="Arial"/>
          <w:b/>
          <w:bCs/>
          <w:sz w:val="20"/>
        </w:rPr>
        <w:t xml:space="preserve"> Marriages </w:t>
      </w:r>
      <w:r w:rsidR="0060228E">
        <w:rPr>
          <w:rFonts w:ascii="Arial" w:hAnsi="Arial" w:cs="Arial"/>
          <w:b/>
          <w:bCs/>
          <w:sz w:val="20"/>
        </w:rPr>
        <w:t xml:space="preserve">Registration </w:t>
      </w:r>
      <w:r>
        <w:rPr>
          <w:rFonts w:ascii="Arial" w:hAnsi="Arial" w:cs="Arial"/>
          <w:b/>
          <w:bCs/>
          <w:sz w:val="20"/>
        </w:rPr>
        <w:t>Act 1996</w:t>
      </w:r>
      <w:bookmarkEnd w:id="427"/>
    </w:p>
    <w:p w14:paraId="53F484D8" w14:textId="77777777" w:rsidR="00C7413C" w:rsidRPr="00C7413C" w:rsidRDefault="00C7413C" w:rsidP="00C7413C">
      <w:pPr>
        <w:jc w:val="both"/>
        <w:rPr>
          <w:rFonts w:ascii="Arial" w:hAnsi="Arial" w:cs="Arial"/>
          <w:sz w:val="16"/>
          <w:szCs w:val="20"/>
        </w:rPr>
      </w:pPr>
    </w:p>
    <w:p w14:paraId="669942C9" w14:textId="1696FC3D" w:rsidR="00C7413C" w:rsidRPr="00F57FCC" w:rsidRDefault="00C7413C" w:rsidP="00C7413C">
      <w:pPr>
        <w:shd w:val="clear" w:color="auto" w:fill="000000" w:themeFill="text1"/>
        <w:jc w:val="center"/>
        <w:rPr>
          <w:rFonts w:ascii="Arial" w:hAnsi="Arial" w:cs="Arial"/>
          <w:b/>
          <w:bCs/>
          <w:color w:val="FFFFFF" w:themeColor="background1"/>
          <w:sz w:val="22"/>
          <w:szCs w:val="28"/>
        </w:rPr>
      </w:pPr>
      <w:r>
        <w:rPr>
          <w:rFonts w:ascii="Arial" w:hAnsi="Arial" w:cs="Arial"/>
          <w:b/>
          <w:bCs/>
          <w:color w:val="FFFFFF" w:themeColor="background1"/>
          <w:sz w:val="22"/>
          <w:szCs w:val="28"/>
        </w:rPr>
        <w:t>INTRODUCTION</w:t>
      </w:r>
    </w:p>
    <w:p w14:paraId="5E724F93" w14:textId="77777777" w:rsidR="00487F4A" w:rsidRPr="00C7413C" w:rsidRDefault="00487F4A" w:rsidP="006A2AF6">
      <w:pPr>
        <w:jc w:val="both"/>
        <w:rPr>
          <w:rFonts w:ascii="Arial" w:hAnsi="Arial" w:cs="Arial"/>
          <w:sz w:val="16"/>
          <w:szCs w:val="16"/>
        </w:rPr>
      </w:pPr>
      <w:bookmarkStart w:id="428" w:name="_Hlk148701033"/>
    </w:p>
    <w:bookmarkEnd w:id="428"/>
    <w:p w14:paraId="305B4A3B" w14:textId="42E49AF6" w:rsidR="00850EF9" w:rsidRDefault="00850EF9" w:rsidP="00850EF9">
      <w:pPr>
        <w:jc w:val="both"/>
        <w:rPr>
          <w:rFonts w:ascii="Arial" w:hAnsi="Arial" w:cs="Arial"/>
          <w:sz w:val="20"/>
          <w:szCs w:val="16"/>
        </w:rPr>
      </w:pPr>
      <w:r>
        <w:rPr>
          <w:rFonts w:ascii="Arial" w:hAnsi="Arial" w:cs="Arial"/>
          <w:sz w:val="20"/>
        </w:rPr>
        <w:t xml:space="preserve">Under s.3 the objects of the </w:t>
      </w:r>
      <w:r w:rsidR="00EF5014" w:rsidRPr="007A2814">
        <w:rPr>
          <w:rFonts w:ascii="Arial" w:hAnsi="Arial" w:cs="Arial"/>
          <w:i/>
          <w:iCs/>
          <w:sz w:val="20"/>
        </w:rPr>
        <w:t xml:space="preserve">Births, Deaths </w:t>
      </w:r>
      <w:r w:rsidR="00EF5014">
        <w:rPr>
          <w:rFonts w:ascii="Arial" w:hAnsi="Arial" w:cs="Arial"/>
          <w:i/>
          <w:iCs/>
          <w:sz w:val="20"/>
        </w:rPr>
        <w:t>and</w:t>
      </w:r>
      <w:r w:rsidR="00EF5014" w:rsidRPr="007A2814">
        <w:rPr>
          <w:rFonts w:ascii="Arial" w:hAnsi="Arial" w:cs="Arial"/>
          <w:i/>
          <w:iCs/>
          <w:sz w:val="20"/>
        </w:rPr>
        <w:t xml:space="preserve"> Marriages Registration Act 1996</w:t>
      </w:r>
      <w:r w:rsidR="00EF5014" w:rsidRPr="007A2814">
        <w:rPr>
          <w:rFonts w:ascii="Arial" w:hAnsi="Arial" w:cs="Arial"/>
          <w:sz w:val="20"/>
        </w:rPr>
        <w:t xml:space="preserve"> (Vic)</w:t>
      </w:r>
      <w:r w:rsidR="00EF5014">
        <w:rPr>
          <w:rFonts w:ascii="Arial" w:hAnsi="Arial" w:cs="Arial"/>
          <w:sz w:val="20"/>
        </w:rPr>
        <w:t xml:space="preserve"> [the BDMR Act] are </w:t>
      </w:r>
      <w:r>
        <w:rPr>
          <w:rFonts w:ascii="Arial" w:hAnsi="Arial" w:cs="Arial"/>
          <w:sz w:val="20"/>
        </w:rPr>
        <w:t>to provide for</w:t>
      </w:r>
      <w:r w:rsidRPr="00483341">
        <w:rPr>
          <w:rFonts w:ascii="Arial" w:hAnsi="Arial" w:cs="Arial"/>
          <w:sz w:val="20"/>
          <w:szCs w:val="16"/>
        </w:rPr>
        <w:t>—</w:t>
      </w:r>
    </w:p>
    <w:p w14:paraId="393B7F1E" w14:textId="77777777" w:rsidR="00850EF9" w:rsidRDefault="00850EF9" w:rsidP="00850EF9">
      <w:pPr>
        <w:ind w:left="567" w:hanging="567"/>
        <w:jc w:val="both"/>
        <w:rPr>
          <w:rFonts w:ascii="Arial" w:hAnsi="Arial" w:cs="Arial"/>
          <w:sz w:val="20"/>
        </w:rPr>
      </w:pPr>
      <w:r>
        <w:rPr>
          <w:rFonts w:ascii="Arial" w:hAnsi="Arial" w:cs="Arial"/>
          <w:sz w:val="20"/>
          <w:szCs w:val="16"/>
        </w:rPr>
        <w:t>(a)</w:t>
      </w:r>
      <w:r>
        <w:rPr>
          <w:rFonts w:ascii="Arial" w:hAnsi="Arial" w:cs="Arial"/>
          <w:sz w:val="20"/>
          <w:szCs w:val="16"/>
        </w:rPr>
        <w:tab/>
        <w:t>the registration of births, deaths and marriages in Victoria;</w:t>
      </w:r>
    </w:p>
    <w:p w14:paraId="3A8878E4" w14:textId="77777777" w:rsidR="00850EF9" w:rsidRDefault="00850EF9">
      <w:pPr>
        <w:pStyle w:val="ListParagraph"/>
        <w:numPr>
          <w:ilvl w:val="0"/>
          <w:numId w:val="82"/>
        </w:numPr>
        <w:ind w:left="567" w:hanging="567"/>
        <w:jc w:val="both"/>
        <w:rPr>
          <w:rFonts w:ascii="Arial" w:hAnsi="Arial" w:cs="Arial"/>
          <w:sz w:val="20"/>
        </w:rPr>
      </w:pPr>
      <w:r w:rsidRPr="00FD4DC1">
        <w:rPr>
          <w:rFonts w:ascii="Arial" w:hAnsi="Arial" w:cs="Arial"/>
          <w:sz w:val="20"/>
        </w:rPr>
        <w:t>the registration of changes of name;</w:t>
      </w:r>
    </w:p>
    <w:p w14:paraId="20929840" w14:textId="77777777" w:rsidR="00850EF9" w:rsidRDefault="00850EF9">
      <w:pPr>
        <w:pStyle w:val="ListParagraph"/>
        <w:numPr>
          <w:ilvl w:val="0"/>
          <w:numId w:val="82"/>
        </w:numPr>
        <w:ind w:left="567" w:hanging="567"/>
        <w:jc w:val="both"/>
        <w:rPr>
          <w:rFonts w:ascii="Arial" w:hAnsi="Arial" w:cs="Arial"/>
          <w:sz w:val="20"/>
        </w:rPr>
      </w:pPr>
      <w:r>
        <w:rPr>
          <w:rFonts w:ascii="Arial" w:hAnsi="Arial" w:cs="Arial"/>
          <w:sz w:val="20"/>
        </w:rPr>
        <w:t>the keeping of registers for recording and preserving information about births, deaths, marriages, changes of name and adoptions in perpetuity;</w:t>
      </w:r>
    </w:p>
    <w:p w14:paraId="32E7856D" w14:textId="77777777" w:rsidR="00850EF9" w:rsidRPr="00955EB8" w:rsidRDefault="00850EF9" w:rsidP="00850EF9">
      <w:pPr>
        <w:ind w:left="567" w:hanging="567"/>
        <w:jc w:val="both"/>
        <w:rPr>
          <w:rFonts w:ascii="Arial" w:hAnsi="Arial" w:cs="Arial"/>
          <w:sz w:val="20"/>
        </w:rPr>
      </w:pPr>
      <w:r>
        <w:rPr>
          <w:rFonts w:ascii="Arial" w:hAnsi="Arial" w:cs="Arial"/>
          <w:sz w:val="20"/>
        </w:rPr>
        <w:t>(caa)</w:t>
      </w:r>
      <w:r>
        <w:rPr>
          <w:rFonts w:ascii="Arial" w:hAnsi="Arial" w:cs="Arial"/>
          <w:sz w:val="20"/>
        </w:rPr>
        <w:tab/>
      </w:r>
      <w:r w:rsidRPr="00955EB8">
        <w:rPr>
          <w:rFonts w:ascii="Arial" w:hAnsi="Arial" w:cs="Arial"/>
          <w:sz w:val="20"/>
          <w:szCs w:val="16"/>
        </w:rPr>
        <w:t xml:space="preserve">the keeping of information relating to donors and surrogacy arrangements under the </w:t>
      </w:r>
      <w:r w:rsidRPr="00955EB8">
        <w:rPr>
          <w:rFonts w:ascii="Arial" w:hAnsi="Arial" w:cs="Arial"/>
          <w:bCs/>
          <w:i/>
          <w:iCs/>
          <w:sz w:val="20"/>
          <w:szCs w:val="16"/>
        </w:rPr>
        <w:t>Assisted Reproductive Treatment Act 2008</w:t>
      </w:r>
      <w:r w:rsidRPr="00955EB8">
        <w:rPr>
          <w:rFonts w:ascii="Arial" w:hAnsi="Arial" w:cs="Arial"/>
          <w:sz w:val="20"/>
          <w:szCs w:val="16"/>
        </w:rPr>
        <w:t>;</w:t>
      </w:r>
    </w:p>
    <w:p w14:paraId="76F66695" w14:textId="77777777" w:rsidR="00850EF9" w:rsidRDefault="00850EF9" w:rsidP="00850EF9">
      <w:pPr>
        <w:ind w:left="567" w:hanging="567"/>
        <w:jc w:val="both"/>
        <w:rPr>
          <w:rFonts w:ascii="Arial" w:hAnsi="Arial" w:cs="Arial"/>
          <w:sz w:val="20"/>
        </w:rPr>
      </w:pPr>
      <w:r>
        <w:rPr>
          <w:rFonts w:ascii="Arial" w:hAnsi="Arial" w:cs="Arial"/>
          <w:sz w:val="20"/>
        </w:rPr>
        <w:t>(ca)</w:t>
      </w:r>
      <w:r>
        <w:rPr>
          <w:rFonts w:ascii="Arial" w:hAnsi="Arial" w:cs="Arial"/>
          <w:sz w:val="20"/>
        </w:rPr>
        <w:tab/>
      </w:r>
      <w:r w:rsidRPr="00FD4DC1">
        <w:rPr>
          <w:rFonts w:ascii="Arial" w:hAnsi="Arial" w:cs="Arial"/>
          <w:sz w:val="20"/>
        </w:rPr>
        <w:t>the alteration of the record of sex in a birth registration</w:t>
      </w:r>
      <w:r>
        <w:rPr>
          <w:rFonts w:ascii="Arial" w:hAnsi="Arial" w:cs="Arial"/>
          <w:sz w:val="20"/>
        </w:rPr>
        <w:t>;</w:t>
      </w:r>
    </w:p>
    <w:p w14:paraId="65CA66FA" w14:textId="77777777" w:rsidR="00850EF9" w:rsidRDefault="00850EF9" w:rsidP="00850EF9">
      <w:pPr>
        <w:ind w:left="567" w:hanging="567"/>
        <w:jc w:val="both"/>
        <w:rPr>
          <w:rFonts w:ascii="Arial" w:hAnsi="Arial" w:cs="Arial"/>
          <w:sz w:val="20"/>
        </w:rPr>
      </w:pPr>
      <w:r>
        <w:rPr>
          <w:rFonts w:ascii="Arial" w:hAnsi="Arial" w:cs="Arial"/>
          <w:sz w:val="20"/>
        </w:rPr>
        <w:t>(d)</w:t>
      </w:r>
      <w:r>
        <w:rPr>
          <w:rFonts w:ascii="Arial" w:hAnsi="Arial" w:cs="Arial"/>
          <w:sz w:val="20"/>
        </w:rPr>
        <w:tab/>
      </w:r>
      <w:r w:rsidRPr="00955EB8">
        <w:rPr>
          <w:rFonts w:ascii="Arial" w:hAnsi="Arial" w:cs="Arial"/>
          <w:sz w:val="20"/>
          <w:szCs w:val="16"/>
        </w:rPr>
        <w:t>access to the information in the registers in appropriate cases by government or private agencies and members of the public, from within and outside the State;</w:t>
      </w:r>
    </w:p>
    <w:p w14:paraId="20DD609C" w14:textId="77777777" w:rsidR="00850EF9" w:rsidRPr="00FD4DC1" w:rsidRDefault="00850EF9" w:rsidP="00850EF9">
      <w:pPr>
        <w:ind w:left="567" w:hanging="567"/>
        <w:jc w:val="both"/>
        <w:rPr>
          <w:rFonts w:ascii="Arial" w:hAnsi="Arial" w:cs="Arial"/>
          <w:sz w:val="20"/>
        </w:rPr>
      </w:pPr>
      <w:r>
        <w:rPr>
          <w:rFonts w:ascii="Arial" w:hAnsi="Arial" w:cs="Arial"/>
          <w:sz w:val="20"/>
        </w:rPr>
        <w:t>(e)</w:t>
      </w:r>
      <w:r>
        <w:rPr>
          <w:rFonts w:ascii="Arial" w:hAnsi="Arial" w:cs="Arial"/>
          <w:sz w:val="20"/>
        </w:rPr>
        <w:tab/>
        <w:t>the issue of certified and uncertified information from the registers;</w:t>
      </w:r>
    </w:p>
    <w:p w14:paraId="67D007B4" w14:textId="77777777" w:rsidR="00850EF9" w:rsidRDefault="00850EF9" w:rsidP="00850EF9">
      <w:pPr>
        <w:ind w:left="567" w:hanging="567"/>
        <w:jc w:val="both"/>
        <w:rPr>
          <w:rFonts w:ascii="Arial" w:hAnsi="Arial" w:cs="Arial"/>
          <w:sz w:val="20"/>
        </w:rPr>
      </w:pPr>
      <w:r>
        <w:rPr>
          <w:rFonts w:ascii="Arial" w:hAnsi="Arial" w:cs="Arial"/>
          <w:sz w:val="20"/>
        </w:rPr>
        <w:t>(ea)</w:t>
      </w:r>
      <w:r>
        <w:rPr>
          <w:rFonts w:ascii="Arial" w:hAnsi="Arial" w:cs="Arial"/>
          <w:sz w:val="20"/>
        </w:rPr>
        <w:tab/>
        <w:t>the issue of documents acknowledging the name and sex of persons whose birth is registered in a place other than Victoria;</w:t>
      </w:r>
    </w:p>
    <w:p w14:paraId="32C465B9" w14:textId="77777777" w:rsidR="00850EF9" w:rsidRPr="00CC37A8" w:rsidRDefault="00850EF9" w:rsidP="00850EF9">
      <w:pPr>
        <w:ind w:left="567" w:hanging="567"/>
        <w:jc w:val="both"/>
        <w:rPr>
          <w:rFonts w:ascii="Arial" w:hAnsi="Arial" w:cs="Arial"/>
          <w:sz w:val="20"/>
          <w:szCs w:val="20"/>
        </w:rPr>
      </w:pPr>
      <w:r w:rsidRPr="00CC37A8">
        <w:rPr>
          <w:rFonts w:ascii="Arial" w:hAnsi="Arial" w:cs="Arial"/>
          <w:sz w:val="20"/>
          <w:szCs w:val="20"/>
        </w:rPr>
        <w:t>(eb)</w:t>
      </w:r>
      <w:r w:rsidRPr="00CC37A8">
        <w:rPr>
          <w:rFonts w:ascii="Arial" w:hAnsi="Arial" w:cs="Arial"/>
          <w:sz w:val="20"/>
          <w:szCs w:val="20"/>
        </w:rPr>
        <w:tab/>
        <w:t>the issue of integrated birth certificates to adopted persons; and</w:t>
      </w:r>
    </w:p>
    <w:p w14:paraId="337F422D" w14:textId="77777777" w:rsidR="00850EF9" w:rsidRDefault="00850EF9" w:rsidP="00850EF9">
      <w:pPr>
        <w:ind w:left="567" w:hanging="567"/>
        <w:jc w:val="both"/>
        <w:rPr>
          <w:rFonts w:ascii="Arial" w:hAnsi="Arial" w:cs="Arial"/>
          <w:sz w:val="20"/>
        </w:rPr>
      </w:pPr>
      <w:r>
        <w:rPr>
          <w:rFonts w:ascii="Arial" w:hAnsi="Arial" w:cs="Arial"/>
          <w:sz w:val="20"/>
        </w:rPr>
        <w:t>(f)</w:t>
      </w:r>
      <w:r>
        <w:rPr>
          <w:rFonts w:ascii="Arial" w:hAnsi="Arial" w:cs="Arial"/>
          <w:sz w:val="20"/>
        </w:rPr>
        <w:tab/>
        <w:t>the collection and dissemination of statistical information.</w:t>
      </w:r>
    </w:p>
    <w:p w14:paraId="341A7544" w14:textId="77777777" w:rsidR="00850EF9" w:rsidRDefault="00850EF9" w:rsidP="00850EF9">
      <w:pPr>
        <w:jc w:val="both"/>
        <w:rPr>
          <w:rFonts w:ascii="Arial" w:hAnsi="Arial" w:cs="Arial"/>
          <w:sz w:val="20"/>
        </w:rPr>
      </w:pPr>
    </w:p>
    <w:p w14:paraId="76117F07" w14:textId="7A24093C" w:rsidR="00850EF9" w:rsidRDefault="00850EF9" w:rsidP="00850EF9">
      <w:pPr>
        <w:jc w:val="both"/>
        <w:rPr>
          <w:rFonts w:ascii="Arial" w:hAnsi="Arial" w:cs="Arial"/>
          <w:sz w:val="20"/>
        </w:rPr>
      </w:pPr>
      <w:r>
        <w:rPr>
          <w:rFonts w:ascii="Arial" w:hAnsi="Arial" w:cs="Arial"/>
          <w:sz w:val="20"/>
        </w:rPr>
        <w:t xml:space="preserve">In the Second Reading Speech in the Legislative Assembly on 17/10/1966 [Hansard, p.754] it was said in relation to the </w:t>
      </w:r>
      <w:r w:rsidR="00505C3D">
        <w:rPr>
          <w:rFonts w:ascii="Arial" w:hAnsi="Arial" w:cs="Arial"/>
          <w:sz w:val="20"/>
        </w:rPr>
        <w:t>R</w:t>
      </w:r>
      <w:r>
        <w:rPr>
          <w:rFonts w:ascii="Arial" w:hAnsi="Arial" w:cs="Arial"/>
          <w:sz w:val="20"/>
        </w:rPr>
        <w:t>egister [emphasis added]:</w:t>
      </w:r>
    </w:p>
    <w:p w14:paraId="18431AC5" w14:textId="77777777" w:rsidR="00850EF9" w:rsidRPr="00ED1F5A" w:rsidRDefault="00850EF9" w:rsidP="00850EF9">
      <w:pPr>
        <w:spacing w:before="60"/>
        <w:ind w:left="567" w:right="567"/>
        <w:jc w:val="both"/>
        <w:rPr>
          <w:rFonts w:ascii="Arial" w:hAnsi="Arial" w:cs="Arial"/>
          <w:color w:val="000000"/>
          <w:sz w:val="20"/>
        </w:rPr>
      </w:pPr>
      <w:r>
        <w:rPr>
          <w:rFonts w:ascii="Arial" w:hAnsi="Arial" w:cs="Arial"/>
          <w:color w:val="000000"/>
          <w:sz w:val="20"/>
        </w:rPr>
        <w:t xml:space="preserve">“The Bill obliges the registrar to maintain a register of registrable events – that is, births, changes of name, deaths, marriages or adoptions.  The registrar is empowered to conduct an enquiry to find out whether a registrable event has occurred or to find out particulars of a registrable event.  </w:t>
      </w:r>
      <w:r w:rsidRPr="006C4D53">
        <w:rPr>
          <w:rFonts w:ascii="Arial" w:hAnsi="Arial" w:cs="Arial"/>
          <w:b/>
          <w:bCs/>
          <w:color w:val="000000"/>
          <w:sz w:val="20"/>
        </w:rPr>
        <w:t>The registrar can correct the register</w:t>
      </w:r>
      <w:r>
        <w:rPr>
          <w:rFonts w:ascii="Arial" w:hAnsi="Arial" w:cs="Arial"/>
          <w:color w:val="000000"/>
          <w:sz w:val="20"/>
        </w:rPr>
        <w:t xml:space="preserve"> to reflect the findings of an inquiry to bring an entry about a particular registrable event into conformity with the most reliable information available to the registrar or </w:t>
      </w:r>
      <w:r w:rsidRPr="006C4D53">
        <w:rPr>
          <w:rFonts w:ascii="Arial" w:hAnsi="Arial" w:cs="Arial"/>
          <w:b/>
          <w:bCs/>
          <w:color w:val="000000"/>
          <w:sz w:val="20"/>
        </w:rPr>
        <w:t>at the direction of a court</w:t>
      </w:r>
      <w:r>
        <w:rPr>
          <w:rFonts w:ascii="Arial" w:hAnsi="Arial" w:cs="Arial"/>
          <w:color w:val="000000"/>
          <w:sz w:val="20"/>
        </w:rPr>
        <w:t>.”</w:t>
      </w:r>
    </w:p>
    <w:p w14:paraId="6166A858" w14:textId="77777777" w:rsidR="00850EF9" w:rsidRDefault="00850EF9" w:rsidP="00850EF9">
      <w:pPr>
        <w:jc w:val="both"/>
        <w:rPr>
          <w:rFonts w:ascii="Arial" w:hAnsi="Arial" w:cs="Arial"/>
          <w:sz w:val="20"/>
        </w:rPr>
      </w:pPr>
    </w:p>
    <w:p w14:paraId="3A551B53" w14:textId="2C4F326D" w:rsidR="00850EF9" w:rsidRDefault="00850EF9" w:rsidP="00850EF9">
      <w:pPr>
        <w:jc w:val="both"/>
        <w:rPr>
          <w:rFonts w:ascii="Arial" w:hAnsi="Arial" w:cs="Arial"/>
          <w:sz w:val="20"/>
        </w:rPr>
      </w:pPr>
      <w:r>
        <w:rPr>
          <w:rFonts w:ascii="Arial" w:hAnsi="Arial" w:cs="Arial"/>
          <w:sz w:val="20"/>
        </w:rPr>
        <w:t>Section 13 of the BDMR Act lists the cases in which registration of a birth is required or authorised:</w:t>
      </w:r>
    </w:p>
    <w:p w14:paraId="6E061372" w14:textId="77777777" w:rsidR="00850EF9" w:rsidRPr="00437452" w:rsidRDefault="00850EF9" w:rsidP="00850EF9">
      <w:pPr>
        <w:pStyle w:val="DraftHeading2"/>
        <w:tabs>
          <w:tab w:val="right" w:pos="1247"/>
        </w:tabs>
        <w:spacing w:before="60"/>
        <w:ind w:left="1021" w:right="567" w:hanging="454"/>
        <w:jc w:val="both"/>
        <w:rPr>
          <w:rFonts w:ascii="Arial" w:hAnsi="Arial" w:cs="Arial"/>
          <w:b/>
          <w:bCs/>
          <w:sz w:val="20"/>
          <w:szCs w:val="16"/>
        </w:rPr>
      </w:pPr>
      <w:r>
        <w:rPr>
          <w:rFonts w:ascii="Arial" w:hAnsi="Arial" w:cs="Arial"/>
          <w:b/>
          <w:bCs/>
          <w:sz w:val="20"/>
          <w:szCs w:val="16"/>
        </w:rPr>
        <w:t>13</w:t>
      </w:r>
      <w:r w:rsidRPr="001C508D">
        <w:rPr>
          <w:rFonts w:ascii="Arial" w:hAnsi="Arial" w:cs="Arial"/>
          <w:b/>
          <w:bCs/>
          <w:sz w:val="20"/>
          <w:szCs w:val="16"/>
        </w:rPr>
        <w:tab/>
      </w:r>
      <w:r w:rsidRPr="001C508D">
        <w:rPr>
          <w:rFonts w:ascii="Arial" w:hAnsi="Arial" w:cs="Arial"/>
          <w:b/>
          <w:bCs/>
          <w:sz w:val="20"/>
        </w:rPr>
        <w:t>Cases in which registration of birth is required or authorised</w:t>
      </w:r>
    </w:p>
    <w:p w14:paraId="7A24E383" w14:textId="77777777" w:rsidR="00850EF9" w:rsidRDefault="00850EF9">
      <w:pPr>
        <w:pStyle w:val="DraftHeading2"/>
        <w:numPr>
          <w:ilvl w:val="5"/>
          <w:numId w:val="64"/>
        </w:numPr>
        <w:tabs>
          <w:tab w:val="right" w:pos="1247"/>
        </w:tabs>
        <w:spacing w:before="60"/>
        <w:ind w:left="1021" w:right="567" w:hanging="454"/>
        <w:jc w:val="both"/>
        <w:rPr>
          <w:rFonts w:ascii="Arial" w:hAnsi="Arial" w:cs="Arial"/>
          <w:sz w:val="20"/>
          <w:szCs w:val="16"/>
        </w:rPr>
      </w:pPr>
      <w:r>
        <w:rPr>
          <w:rFonts w:ascii="Arial" w:hAnsi="Arial" w:cs="Arial"/>
          <w:sz w:val="20"/>
          <w:szCs w:val="16"/>
        </w:rPr>
        <w:t>If a child is born in the State, the birth must be registered under this Act.</w:t>
      </w:r>
    </w:p>
    <w:p w14:paraId="74391664"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court orders the registration of a birth, the birth must be registered under this Act.</w:t>
      </w:r>
    </w:p>
    <w:p w14:paraId="4D1CF9A1"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A birth may be registered under this Act if a child is born</w:t>
      </w:r>
      <w:r w:rsidRPr="00483341">
        <w:rPr>
          <w:rFonts w:ascii="Arial" w:hAnsi="Arial" w:cs="Arial"/>
          <w:sz w:val="20"/>
          <w:szCs w:val="16"/>
        </w:rPr>
        <w:t>—</w:t>
      </w:r>
    </w:p>
    <w:p w14:paraId="6BA186B4" w14:textId="77777777" w:rsidR="00850EF9" w:rsidRPr="00483341"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(a)</w:t>
      </w:r>
      <w:r w:rsidRPr="00483341">
        <w:rPr>
          <w:rFonts w:ascii="Arial" w:hAnsi="Arial" w:cs="Arial"/>
          <w:sz w:val="20"/>
          <w:szCs w:val="16"/>
        </w:rPr>
        <w:tab/>
      </w:r>
      <w:r>
        <w:rPr>
          <w:rFonts w:ascii="Arial" w:hAnsi="Arial" w:cs="Arial"/>
          <w:sz w:val="20"/>
          <w:szCs w:val="16"/>
        </w:rPr>
        <w:t>in an aircraft during a flight to a place of disembarkation in the State; or</w:t>
      </w:r>
    </w:p>
    <w:p w14:paraId="2EB992D7" w14:textId="77777777" w:rsidR="00850EF9" w:rsidRDefault="00850EF9" w:rsidP="00850EF9">
      <w:pPr>
        <w:pStyle w:val="DraftHeading3"/>
        <w:tabs>
          <w:tab w:val="right" w:pos="1758"/>
        </w:tabs>
        <w:spacing w:before="0"/>
        <w:ind w:left="1475" w:right="567" w:hanging="454"/>
        <w:jc w:val="both"/>
        <w:rPr>
          <w:rFonts w:ascii="Arial" w:hAnsi="Arial" w:cs="Arial"/>
          <w:sz w:val="20"/>
          <w:szCs w:val="16"/>
        </w:rPr>
      </w:pPr>
      <w:r w:rsidRPr="00483341">
        <w:rPr>
          <w:rFonts w:ascii="Arial" w:hAnsi="Arial" w:cs="Arial"/>
          <w:sz w:val="20"/>
          <w:szCs w:val="16"/>
        </w:rPr>
        <w:t>(b)</w:t>
      </w:r>
      <w:r w:rsidRPr="00483341">
        <w:rPr>
          <w:rFonts w:ascii="Arial" w:hAnsi="Arial" w:cs="Arial"/>
          <w:sz w:val="20"/>
          <w:szCs w:val="16"/>
        </w:rPr>
        <w:tab/>
      </w:r>
      <w:r>
        <w:rPr>
          <w:rFonts w:ascii="Arial" w:hAnsi="Arial" w:cs="Arial"/>
          <w:sz w:val="20"/>
          <w:szCs w:val="16"/>
        </w:rPr>
        <w:t>on a vessel during a voyage to a place of disembarkation in the State.</w:t>
      </w:r>
    </w:p>
    <w:p w14:paraId="204307DE"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If a child is born outside the Commonwealth, but the child is to become a resident of the State, the birth may be registered under this Act.</w:t>
      </w:r>
    </w:p>
    <w:p w14:paraId="4691873F" w14:textId="77777777" w:rsidR="00850EF9" w:rsidRPr="001C508D" w:rsidRDefault="00850EF9">
      <w:pPr>
        <w:pStyle w:val="ListParagraph"/>
        <w:numPr>
          <w:ilvl w:val="5"/>
          <w:numId w:val="64"/>
        </w:numPr>
        <w:spacing w:before="60"/>
        <w:ind w:left="1015" w:right="567" w:hanging="448"/>
        <w:jc w:val="both"/>
        <w:rPr>
          <w:rFonts w:ascii="Arial" w:hAnsi="Arial" w:cs="Arial"/>
          <w:sz w:val="20"/>
        </w:rPr>
      </w:pPr>
      <w:r>
        <w:rPr>
          <w:rFonts w:ascii="Arial" w:hAnsi="Arial" w:cs="Arial"/>
          <w:sz w:val="20"/>
        </w:rPr>
        <w:t>The Registrar of Births, Deaths and Marriages Victoria [the Registrar BDMV] may refuse to register a birth under subsection (3) or (4) if the birth is registered under a corresponding law.</w:t>
      </w:r>
    </w:p>
    <w:p w14:paraId="57FE4D2F" w14:textId="77777777" w:rsidR="00850EF9" w:rsidRDefault="00850EF9" w:rsidP="00850EF9">
      <w:pPr>
        <w:jc w:val="both"/>
        <w:rPr>
          <w:rFonts w:ascii="Arial" w:hAnsi="Arial" w:cs="Arial"/>
          <w:sz w:val="20"/>
        </w:rPr>
      </w:pPr>
    </w:p>
    <w:p w14:paraId="485C85DC" w14:textId="77777777" w:rsidR="00850EF9" w:rsidRDefault="00850EF9" w:rsidP="00850EF9">
      <w:pPr>
        <w:jc w:val="both"/>
        <w:rPr>
          <w:rFonts w:ascii="Arial" w:hAnsi="Arial" w:cs="Arial"/>
          <w:sz w:val="20"/>
        </w:rPr>
      </w:pPr>
      <w:r>
        <w:rPr>
          <w:rFonts w:ascii="Arial" w:hAnsi="Arial" w:cs="Arial"/>
          <w:sz w:val="20"/>
        </w:rPr>
        <w:t xml:space="preserve">Section 14 of the BdMR Act provides: </w:t>
      </w:r>
    </w:p>
    <w:p w14:paraId="29813122" w14:textId="76AC3AE6" w:rsidR="00850EF9" w:rsidRPr="00850EF9" w:rsidRDefault="00850EF9" w:rsidP="00850EF9">
      <w:pPr>
        <w:spacing w:before="60"/>
        <w:ind w:left="567" w:right="567"/>
        <w:jc w:val="both"/>
        <w:rPr>
          <w:rFonts w:ascii="Arial" w:hAnsi="Arial" w:cs="Arial"/>
          <w:sz w:val="20"/>
        </w:rPr>
      </w:pPr>
      <w:r w:rsidRPr="00850EF9">
        <w:rPr>
          <w:rFonts w:ascii="Arial" w:hAnsi="Arial" w:cs="Arial"/>
          <w:sz w:val="20"/>
        </w:rPr>
        <w:t>“A person has the birth of a child registered under this Act by lodging a birth</w:t>
      </w:r>
      <w:r w:rsidRPr="00850EF9">
        <w:rPr>
          <w:rFonts w:ascii="Arial" w:hAnsi="Arial" w:cs="Arial"/>
          <w:b/>
          <w:sz w:val="20"/>
        </w:rPr>
        <w:t xml:space="preserve"> </w:t>
      </w:r>
      <w:r w:rsidRPr="00850EF9">
        <w:rPr>
          <w:rFonts w:ascii="Arial" w:hAnsi="Arial" w:cs="Arial"/>
          <w:sz w:val="20"/>
        </w:rPr>
        <w:t>registration statement with the Registrar in a form and manner required by the Registrar specifying any prescribed particulars.”</w:t>
      </w:r>
    </w:p>
    <w:p w14:paraId="1D1C7AC6" w14:textId="77777777" w:rsidR="00850EF9" w:rsidRPr="00850EF9" w:rsidRDefault="00850EF9" w:rsidP="00850EF9">
      <w:pPr>
        <w:spacing w:before="60"/>
        <w:jc w:val="both"/>
        <w:rPr>
          <w:rFonts w:ascii="Arial" w:hAnsi="Arial" w:cs="Arial"/>
          <w:sz w:val="20"/>
          <w:szCs w:val="20"/>
        </w:rPr>
      </w:pPr>
      <w:r w:rsidRPr="00850EF9">
        <w:rPr>
          <w:rFonts w:ascii="Arial" w:hAnsi="Arial" w:cs="Arial"/>
          <w:sz w:val="20"/>
          <w:szCs w:val="20"/>
        </w:rPr>
        <w:t xml:space="preserve">The prescribed particulars are detailed in regulation 7 of the </w:t>
      </w:r>
      <w:r w:rsidRPr="00850EF9">
        <w:rPr>
          <w:rFonts w:ascii="Arial" w:hAnsi="Arial" w:cs="Arial"/>
          <w:i/>
          <w:iCs/>
          <w:sz w:val="20"/>
          <w:szCs w:val="20"/>
        </w:rPr>
        <w:t>Births, Deaths and Marriages Registration Regulations 2019</w:t>
      </w:r>
      <w:r w:rsidRPr="00850EF9">
        <w:rPr>
          <w:rFonts w:ascii="Arial" w:hAnsi="Arial" w:cs="Arial"/>
          <w:sz w:val="20"/>
          <w:szCs w:val="20"/>
        </w:rPr>
        <w:t xml:space="preserve"> and are as follows–</w:t>
      </w:r>
    </w:p>
    <w:p w14:paraId="689EC27D" w14:textId="77777777" w:rsidR="00850EF9" w:rsidRPr="00850EF9" w:rsidRDefault="00850EF9">
      <w:pPr>
        <w:pStyle w:val="DraftHeading3"/>
        <w:numPr>
          <w:ilvl w:val="1"/>
          <w:numId w:val="97"/>
        </w:numPr>
        <w:tabs>
          <w:tab w:val="right" w:pos="1757"/>
        </w:tabs>
        <w:spacing w:before="0"/>
        <w:ind w:left="454" w:hanging="454"/>
        <w:jc w:val="both"/>
        <w:rPr>
          <w:rFonts w:ascii="Arial" w:hAnsi="Arial" w:cs="Arial"/>
          <w:sz w:val="20"/>
        </w:rPr>
      </w:pPr>
      <w:r w:rsidRPr="00850EF9">
        <w:rPr>
          <w:rFonts w:ascii="Arial" w:hAnsi="Arial" w:cs="Arial"/>
          <w:sz w:val="20"/>
        </w:rPr>
        <w:t>whether the child was born alive or stillborn;</w:t>
      </w:r>
    </w:p>
    <w:p w14:paraId="2D9816F8"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(b)</w:t>
      </w:r>
      <w:r w:rsidRPr="00850EF9">
        <w:rPr>
          <w:rFonts w:ascii="Arial" w:hAnsi="Arial" w:cs="Arial"/>
          <w:sz w:val="20"/>
        </w:rPr>
        <w:tab/>
        <w:t>the child's full name;</w:t>
      </w:r>
    </w:p>
    <w:p w14:paraId="3EB5EE9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(c)</w:t>
      </w:r>
      <w:r w:rsidRPr="00850EF9">
        <w:rPr>
          <w:rFonts w:ascii="Arial" w:hAnsi="Arial" w:cs="Arial"/>
          <w:sz w:val="20"/>
        </w:rPr>
        <w:tab/>
        <w:t>the child's sex;</w:t>
      </w:r>
    </w:p>
    <w:p w14:paraId="648F60D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(d)</w:t>
      </w:r>
      <w:r w:rsidRPr="00850EF9">
        <w:rPr>
          <w:rFonts w:ascii="Arial" w:hAnsi="Arial" w:cs="Arial"/>
          <w:sz w:val="20"/>
        </w:rPr>
        <w:tab/>
        <w:t>the child's date of birth;</w:t>
      </w:r>
    </w:p>
    <w:p w14:paraId="6B83CCB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(e)</w:t>
      </w:r>
      <w:r w:rsidRPr="00850EF9">
        <w:rPr>
          <w:rFonts w:ascii="Arial" w:hAnsi="Arial" w:cs="Arial"/>
          <w:sz w:val="20"/>
        </w:rPr>
        <w:tab/>
        <w:t>whether the birth was a multiple birth;</w:t>
      </w:r>
    </w:p>
    <w:p w14:paraId="3A5228F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(f)</w:t>
      </w:r>
      <w:r w:rsidRPr="00850EF9">
        <w:rPr>
          <w:rFonts w:ascii="Arial" w:hAnsi="Arial" w:cs="Arial"/>
          <w:sz w:val="20"/>
        </w:rPr>
        <w:tab/>
        <w:t>the name of the hospital or medical facility the child was born in, or the place of birth, and full name and contact details of the doctor, midwife or other person present at the birth;</w:t>
      </w:r>
    </w:p>
    <w:p w14:paraId="7CF9FEC4"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lastRenderedPageBreak/>
        <w:t>(g)</w:t>
      </w:r>
      <w:r w:rsidRPr="00850EF9">
        <w:rPr>
          <w:rFonts w:ascii="Arial" w:hAnsi="Arial" w:cs="Arial"/>
          <w:sz w:val="20"/>
        </w:rPr>
        <w:tab/>
        <w:t>whether the child was conceived by a donor treatment procedure, and, if so, the name and business address of the registered ART provider or full name of the doctor who carried out the donor treatment procedure;</w:t>
      </w:r>
    </w:p>
    <w:p w14:paraId="1DAF9526"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(h)</w:t>
      </w:r>
      <w:r w:rsidRPr="00850EF9">
        <w:rPr>
          <w:rFonts w:ascii="Arial" w:hAnsi="Arial" w:cs="Arial"/>
          <w:sz w:val="20"/>
        </w:rPr>
        <w:tab/>
        <w:t>the full name, birth name, occupation and usual place of residence of each parent of the child;</w:t>
      </w:r>
    </w:p>
    <w:p w14:paraId="73F994AA"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(i)</w:t>
      </w:r>
      <w:r w:rsidRPr="00850EF9">
        <w:rPr>
          <w:rFonts w:ascii="Arial" w:hAnsi="Arial" w:cs="Arial"/>
          <w:sz w:val="20"/>
        </w:rPr>
        <w:tab/>
        <w:t>the date of birth (or, if unknown, age at the time of the child's birth) and place of birth of each parent of the child;</w:t>
      </w:r>
    </w:p>
    <w:p w14:paraId="48C930F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(j)</w:t>
      </w:r>
      <w:r w:rsidRPr="00850EF9">
        <w:rPr>
          <w:rFonts w:ascii="Arial" w:hAnsi="Arial" w:cs="Arial"/>
          <w:sz w:val="20"/>
        </w:rPr>
        <w:tab/>
        <w:t>whether the parents of the child were married and the date and place of that marriage;</w:t>
      </w:r>
    </w:p>
    <w:p w14:paraId="69698E8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(k)</w:t>
      </w:r>
      <w:r w:rsidRPr="00850EF9">
        <w:rPr>
          <w:rFonts w:ascii="Arial" w:hAnsi="Arial" w:cs="Arial"/>
          <w:sz w:val="20"/>
        </w:rPr>
        <w:tab/>
        <w:t>whether the parents of the child were in a domestic relationship and the date and place of the registration of that domestic relationship (if applicable);</w:t>
      </w:r>
    </w:p>
    <w:p w14:paraId="118F01AF"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(l)</w:t>
      </w:r>
      <w:r w:rsidRPr="00850EF9">
        <w:rPr>
          <w:rFonts w:ascii="Arial" w:hAnsi="Arial" w:cs="Arial"/>
          <w:sz w:val="20"/>
        </w:rPr>
        <w:tab/>
        <w:t>the full name and date of birth of each previous child of both parents of the child;</w:t>
      </w:r>
    </w:p>
    <w:p w14:paraId="3640421C" w14:textId="77777777" w:rsidR="00850EF9" w:rsidRPr="00850EF9" w:rsidRDefault="00850EF9" w:rsidP="00850EF9">
      <w:pPr>
        <w:pStyle w:val="DraftHeading3"/>
        <w:tabs>
          <w:tab w:val="right" w:pos="1757"/>
        </w:tabs>
        <w:spacing w:before="0"/>
        <w:ind w:left="454" w:hanging="454"/>
        <w:jc w:val="both"/>
        <w:rPr>
          <w:rFonts w:ascii="Arial" w:hAnsi="Arial" w:cs="Arial"/>
          <w:sz w:val="20"/>
        </w:rPr>
      </w:pPr>
      <w:r w:rsidRPr="00850EF9">
        <w:rPr>
          <w:rFonts w:ascii="Arial" w:hAnsi="Arial" w:cs="Arial"/>
          <w:sz w:val="20"/>
        </w:rPr>
        <w:t>(m)</w:t>
      </w:r>
      <w:r w:rsidRPr="00850EF9">
        <w:rPr>
          <w:rFonts w:ascii="Arial" w:hAnsi="Arial" w:cs="Arial"/>
          <w:sz w:val="20"/>
        </w:rPr>
        <w:tab/>
        <w:t>the full name and date of birth of each previous child of each parent of the child;</w:t>
      </w:r>
    </w:p>
    <w:p w14:paraId="5A34F41A" w14:textId="77777777" w:rsidR="00850EF9" w:rsidRPr="00850EF9" w:rsidRDefault="00850EF9" w:rsidP="00850EF9">
      <w:pPr>
        <w:pStyle w:val="DraftHeading3"/>
        <w:tabs>
          <w:tab w:val="right" w:pos="1757"/>
        </w:tabs>
        <w:spacing w:before="0"/>
        <w:ind w:left="454" w:right="567" w:hanging="454"/>
        <w:jc w:val="both"/>
        <w:rPr>
          <w:rFonts w:ascii="Arial" w:hAnsi="Arial" w:cs="Arial"/>
          <w:sz w:val="20"/>
        </w:rPr>
      </w:pPr>
      <w:r w:rsidRPr="00850EF9">
        <w:rPr>
          <w:rFonts w:ascii="Arial" w:hAnsi="Arial" w:cs="Arial"/>
          <w:sz w:val="20"/>
        </w:rPr>
        <w:t>(n)</w:t>
      </w:r>
      <w:r w:rsidRPr="00850EF9">
        <w:rPr>
          <w:rFonts w:ascii="Arial" w:hAnsi="Arial" w:cs="Arial"/>
          <w:sz w:val="20"/>
        </w:rPr>
        <w:tab/>
        <w:t>whether a parent of the child is Aboriginal or Torres Strait Islander.</w:t>
      </w:r>
    </w:p>
    <w:p w14:paraId="3C8571AC" w14:textId="77777777" w:rsidR="00850EF9" w:rsidRPr="00850EF9" w:rsidRDefault="00850EF9" w:rsidP="00850EF9">
      <w:pPr>
        <w:jc w:val="both"/>
        <w:rPr>
          <w:rFonts w:ascii="Arial" w:hAnsi="Arial" w:cs="Arial"/>
          <w:sz w:val="20"/>
          <w:szCs w:val="20"/>
        </w:rPr>
      </w:pPr>
    </w:p>
    <w:p w14:paraId="6666A05C"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POWER TO MAKE ORDERS UNDER THE BDMR ACT GENERALLY</w:t>
      </w:r>
    </w:p>
    <w:p w14:paraId="0A22D133" w14:textId="77777777" w:rsidR="00850EF9" w:rsidRPr="00850EF9" w:rsidRDefault="00850EF9" w:rsidP="00850EF9">
      <w:pPr>
        <w:jc w:val="both"/>
        <w:rPr>
          <w:rFonts w:ascii="Arial" w:hAnsi="Arial" w:cs="Arial"/>
          <w:sz w:val="20"/>
          <w:szCs w:val="20"/>
        </w:rPr>
      </w:pPr>
    </w:p>
    <w:p w14:paraId="74C05AF4" w14:textId="77777777" w:rsidR="00850EF9" w:rsidRPr="00850EF9" w:rsidRDefault="00850EF9" w:rsidP="00850EF9">
      <w:pPr>
        <w:jc w:val="both"/>
        <w:rPr>
          <w:rFonts w:ascii="Arial" w:hAnsi="Arial" w:cs="Arial"/>
          <w:sz w:val="20"/>
          <w:szCs w:val="20"/>
        </w:rPr>
      </w:pPr>
      <w:r w:rsidRPr="00850EF9">
        <w:rPr>
          <w:rFonts w:ascii="Arial" w:hAnsi="Arial" w:cs="Arial"/>
          <w:b/>
          <w:bCs/>
          <w:sz w:val="20"/>
          <w:szCs w:val="20"/>
        </w:rPr>
        <w:t>Power to make orders under the BDMR Act is primarily conferred on the County Court of Victoria.  The Children’s Court has only limited incidental powers.</w:t>
      </w:r>
      <w:r w:rsidRPr="00850EF9">
        <w:rPr>
          <w:rFonts w:ascii="Arial" w:hAnsi="Arial" w:cs="Arial"/>
          <w:sz w:val="20"/>
          <w:szCs w:val="20"/>
        </w:rPr>
        <w:t xml:space="preserve">  Throughout the BDMR Act, the term “Court” [with a capital C] is used frequently and is defined in s.4(1) as the County Court.  By contrast “court” [with a small c] – which refers to any court – is used infrequently.</w:t>
      </w:r>
    </w:p>
    <w:p w14:paraId="126E4325" w14:textId="77777777" w:rsidR="00850EF9" w:rsidRPr="00850EF9" w:rsidRDefault="00850EF9" w:rsidP="00850EF9">
      <w:pPr>
        <w:jc w:val="both"/>
        <w:rPr>
          <w:rFonts w:ascii="Arial" w:hAnsi="Arial" w:cs="Arial"/>
          <w:color w:val="000000"/>
          <w:sz w:val="20"/>
          <w:szCs w:val="20"/>
        </w:rPr>
      </w:pPr>
    </w:p>
    <w:p w14:paraId="2B12A9B3"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20 provides an illustration of the distinction between “Court” [with a capital C] and “court” [with a small c].  Subsection (1) confers power on the County Court:</w:t>
      </w:r>
    </w:p>
    <w:p w14:paraId="060507E8" w14:textId="77777777" w:rsidR="00850EF9" w:rsidRPr="00850EF9" w:rsidRDefault="00850EF9">
      <w:pPr>
        <w:pStyle w:val="DraftHeading2"/>
        <w:numPr>
          <w:ilvl w:val="6"/>
          <w:numId w:val="64"/>
        </w:numPr>
        <w:tabs>
          <w:tab w:val="right" w:pos="1247"/>
        </w:tabs>
        <w:spacing w:before="60"/>
        <w:ind w:left="1021" w:right="567" w:hanging="454"/>
        <w:jc w:val="both"/>
        <w:rPr>
          <w:rFonts w:ascii="Arial" w:hAnsi="Arial" w:cs="Arial"/>
          <w:sz w:val="20"/>
        </w:rPr>
      </w:pPr>
      <w:r w:rsidRPr="00850EF9">
        <w:rPr>
          <w:rFonts w:ascii="Arial" w:hAnsi="Arial" w:cs="Arial"/>
          <w:sz w:val="20"/>
        </w:rPr>
        <w:t>The Court may, on application by an interested person or on its own initiative, order—</w:t>
      </w:r>
    </w:p>
    <w:p w14:paraId="0A0CF486"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t>the registration of a birth; or</w:t>
      </w:r>
    </w:p>
    <w:p w14:paraId="2E0D76B9"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t>the inclusion of registrable information about a birth or a child’s parents in the Register.</w:t>
      </w:r>
    </w:p>
    <w:p w14:paraId="559059F8" w14:textId="77777777" w:rsidR="00850EF9" w:rsidRPr="00850EF9" w:rsidRDefault="00850EF9" w:rsidP="00850EF9">
      <w:pPr>
        <w:jc w:val="both"/>
        <w:rPr>
          <w:rFonts w:ascii="Arial" w:hAnsi="Arial" w:cs="Arial"/>
          <w:sz w:val="20"/>
          <w:szCs w:val="20"/>
        </w:rPr>
      </w:pPr>
    </w:p>
    <w:p w14:paraId="1DD852DE"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By contrast subsection (2) confers limited incidental power on a broad range of courts, including the Children’s Court:</w:t>
      </w:r>
    </w:p>
    <w:p w14:paraId="0EEFC4FA" w14:textId="77777777" w:rsidR="00850EF9" w:rsidRPr="00850EF9" w:rsidRDefault="00850EF9">
      <w:pPr>
        <w:pStyle w:val="DraftHeading2"/>
        <w:numPr>
          <w:ilvl w:val="0"/>
          <w:numId w:val="95"/>
        </w:numPr>
        <w:tabs>
          <w:tab w:val="right" w:pos="1247"/>
        </w:tabs>
        <w:spacing w:before="60"/>
        <w:ind w:left="1015" w:right="567" w:hanging="448"/>
        <w:jc w:val="both"/>
        <w:rPr>
          <w:rFonts w:ascii="Arial" w:hAnsi="Arial" w:cs="Arial"/>
          <w:b/>
          <w:bCs/>
          <w:sz w:val="20"/>
        </w:rPr>
      </w:pPr>
      <w:r w:rsidRPr="00850EF9">
        <w:rPr>
          <w:rFonts w:ascii="Arial" w:hAnsi="Arial" w:cs="Arial"/>
          <w:b/>
          <w:bCs/>
          <w:sz w:val="20"/>
        </w:rPr>
        <w:t>If a court (including a court of another State or the Commonwealth) finds that—</w:t>
      </w:r>
    </w:p>
    <w:p w14:paraId="1F645263"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(a)</w:t>
      </w:r>
      <w:r w:rsidRPr="00850EF9">
        <w:rPr>
          <w:rFonts w:ascii="Arial" w:hAnsi="Arial" w:cs="Arial"/>
          <w:b/>
          <w:bCs/>
          <w:sz w:val="20"/>
        </w:rPr>
        <w:tab/>
        <w:t>the birth of a person is not registered as required under this Act or a corresponding law [of another State]; or</w:t>
      </w:r>
    </w:p>
    <w:p w14:paraId="66B94FD8" w14:textId="77777777" w:rsidR="00850EF9" w:rsidRPr="00850EF9" w:rsidRDefault="00850EF9" w:rsidP="00850EF9">
      <w:pPr>
        <w:pStyle w:val="DraftHeading3"/>
        <w:tabs>
          <w:tab w:val="right" w:pos="1758"/>
        </w:tabs>
        <w:spacing w:before="0"/>
        <w:ind w:left="1475" w:right="567" w:hanging="454"/>
        <w:jc w:val="both"/>
        <w:rPr>
          <w:rFonts w:ascii="Arial" w:hAnsi="Arial" w:cs="Arial"/>
          <w:b/>
          <w:bCs/>
          <w:sz w:val="20"/>
        </w:rPr>
      </w:pPr>
      <w:r w:rsidRPr="00850EF9">
        <w:rPr>
          <w:rFonts w:ascii="Arial" w:hAnsi="Arial" w:cs="Arial"/>
          <w:b/>
          <w:bCs/>
          <w:sz w:val="20"/>
        </w:rPr>
        <w:t>(b)</w:t>
      </w:r>
      <w:r w:rsidRPr="00850EF9">
        <w:rPr>
          <w:rFonts w:ascii="Arial" w:hAnsi="Arial" w:cs="Arial"/>
          <w:b/>
          <w:bCs/>
          <w:sz w:val="20"/>
        </w:rPr>
        <w:tab/>
        <w:t>the registrable information [defined in s.4(1)] contained in an entry about a birth in the Register under this Act or a corresponding law is incomplete or incorrect—</w:t>
      </w:r>
    </w:p>
    <w:p w14:paraId="6E38EDEE" w14:textId="77777777" w:rsidR="00850EF9" w:rsidRPr="00850EF9" w:rsidRDefault="00850EF9" w:rsidP="00850EF9">
      <w:pPr>
        <w:pStyle w:val="BodySection"/>
        <w:spacing w:before="0"/>
        <w:ind w:left="1021" w:right="567"/>
        <w:jc w:val="both"/>
        <w:rPr>
          <w:rFonts w:ascii="Arial" w:hAnsi="Arial" w:cs="Arial"/>
          <w:b/>
          <w:bCs/>
          <w:sz w:val="20"/>
        </w:rPr>
      </w:pPr>
      <w:r w:rsidRPr="00850EF9">
        <w:rPr>
          <w:rFonts w:ascii="Arial" w:hAnsi="Arial" w:cs="Arial"/>
          <w:b/>
          <w:bCs/>
          <w:sz w:val="20"/>
        </w:rPr>
        <w:t>the court may direct registration of the birth or the inclusion or correction of registrable information in the Register under this Act or the corresponding law (as the case may require).</w:t>
      </w:r>
    </w:p>
    <w:p w14:paraId="190CA2D9" w14:textId="77777777" w:rsidR="00850EF9" w:rsidRPr="00850EF9" w:rsidRDefault="00850EF9" w:rsidP="00850EF9">
      <w:pPr>
        <w:jc w:val="both"/>
        <w:rPr>
          <w:rFonts w:ascii="Arial" w:hAnsi="Arial" w:cs="Arial"/>
          <w:color w:val="000000"/>
          <w:sz w:val="20"/>
          <w:szCs w:val="20"/>
        </w:rPr>
      </w:pPr>
    </w:p>
    <w:p w14:paraId="14D01B27" w14:textId="4E3CB46E" w:rsidR="00850EF9" w:rsidRPr="00850EF9" w:rsidRDefault="00850EF9" w:rsidP="00850EF9">
      <w:pPr>
        <w:jc w:val="both"/>
        <w:rPr>
          <w:rFonts w:ascii="Arial" w:hAnsi="Arial" w:cs="Arial"/>
          <w:color w:val="000000"/>
          <w:sz w:val="20"/>
          <w:szCs w:val="20"/>
        </w:rPr>
      </w:pPr>
      <w:r w:rsidRPr="00850EF9">
        <w:rPr>
          <w:rFonts w:ascii="Arial" w:hAnsi="Arial" w:cs="Arial"/>
          <w:color w:val="000000"/>
          <w:sz w:val="20"/>
          <w:szCs w:val="20"/>
        </w:rPr>
        <w:t xml:space="preserve">In </w:t>
      </w:r>
      <w:r w:rsidRPr="00850EF9">
        <w:rPr>
          <w:rFonts w:ascii="Arial" w:hAnsi="Arial" w:cs="Arial"/>
          <w:i/>
          <w:iCs/>
          <w:color w:val="000000"/>
          <w:sz w:val="20"/>
          <w:szCs w:val="20"/>
        </w:rPr>
        <w:t>Clarkson &amp; Zammit</w:t>
      </w:r>
      <w:r w:rsidRPr="00850EF9">
        <w:rPr>
          <w:rFonts w:ascii="Arial" w:hAnsi="Arial" w:cs="Arial"/>
          <w:color w:val="000000"/>
          <w:sz w:val="20"/>
          <w:szCs w:val="20"/>
        </w:rPr>
        <w:t xml:space="preserve"> [2014] FCCA 1099 at [53]-[54] the respondent – who was not a party to the proceeding in the Federal Circuit Court of Australia – was named as the father on the child’s birth certificate but he was not the biological father.  The applicant mother, supported by the </w:t>
      </w:r>
      <w:r w:rsidR="00AF7ECC">
        <w:rPr>
          <w:rFonts w:ascii="Arial" w:hAnsi="Arial" w:cs="Arial"/>
          <w:color w:val="000000"/>
          <w:sz w:val="20"/>
          <w:szCs w:val="20"/>
        </w:rPr>
        <w:t>best interest</w:t>
      </w:r>
      <w:r w:rsidRPr="00850EF9">
        <w:rPr>
          <w:rFonts w:ascii="Arial" w:hAnsi="Arial" w:cs="Arial"/>
          <w:color w:val="000000"/>
          <w:sz w:val="20"/>
          <w:szCs w:val="20"/>
        </w:rPr>
        <w:t xml:space="preserve">s </w:t>
      </w:r>
      <w:r w:rsidR="00AF7ECC">
        <w:rPr>
          <w:rFonts w:ascii="Arial" w:hAnsi="Arial" w:cs="Arial"/>
          <w:color w:val="000000"/>
          <w:sz w:val="20"/>
          <w:szCs w:val="20"/>
        </w:rPr>
        <w:t>l</w:t>
      </w:r>
      <w:r w:rsidRPr="00850EF9">
        <w:rPr>
          <w:rFonts w:ascii="Arial" w:hAnsi="Arial" w:cs="Arial"/>
          <w:color w:val="000000"/>
          <w:sz w:val="20"/>
          <w:szCs w:val="20"/>
        </w:rPr>
        <w:t xml:space="preserve">awyer, proposed orders that the respondent’s name be removed from the child’s birth certificate.  After detailing s.20(2) of the BDMR Act, Phibbs J said at [54]: “The respondent is not the father of the child, should not be registered as the father of the child and so an order must be made under this section.”  See also </w:t>
      </w:r>
      <w:r w:rsidRPr="00850EF9">
        <w:rPr>
          <w:rFonts w:ascii="Arial" w:hAnsi="Arial" w:cs="Arial"/>
          <w:i/>
          <w:iCs/>
          <w:color w:val="000000"/>
          <w:sz w:val="20"/>
          <w:szCs w:val="20"/>
        </w:rPr>
        <w:t>Sofia &amp; Treacy</w:t>
      </w:r>
      <w:r w:rsidRPr="00850EF9">
        <w:rPr>
          <w:rFonts w:ascii="Arial" w:hAnsi="Arial" w:cs="Arial"/>
          <w:color w:val="000000"/>
          <w:sz w:val="20"/>
          <w:szCs w:val="20"/>
        </w:rPr>
        <w:t xml:space="preserve"> [2021] FamCA 647 at [15]-[16].</w:t>
      </w:r>
    </w:p>
    <w:p w14:paraId="0EAE631D" w14:textId="77777777" w:rsidR="00850EF9" w:rsidRPr="00850EF9" w:rsidRDefault="00850EF9" w:rsidP="00850EF9">
      <w:pPr>
        <w:jc w:val="both"/>
        <w:rPr>
          <w:rFonts w:ascii="Arial" w:hAnsi="Arial" w:cs="Arial"/>
          <w:sz w:val="20"/>
          <w:szCs w:val="20"/>
        </w:rPr>
      </w:pPr>
    </w:p>
    <w:p w14:paraId="531D0F00"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CHILDREN’S COURT HAS INCIDENTAL POWER TO DIRECT REGISTRATION OF A BIRTH OR INCLUSION OR CORRECTION OF REGISTRABLE INFORMATION</w:t>
      </w:r>
    </w:p>
    <w:p w14:paraId="1CD54712" w14:textId="77777777" w:rsidR="00850EF9" w:rsidRPr="00850EF9" w:rsidRDefault="00850EF9" w:rsidP="00850EF9">
      <w:pPr>
        <w:jc w:val="both"/>
        <w:rPr>
          <w:rFonts w:ascii="Arial" w:hAnsi="Arial" w:cs="Arial"/>
          <w:sz w:val="20"/>
          <w:szCs w:val="20"/>
        </w:rPr>
      </w:pPr>
    </w:p>
    <w:p w14:paraId="3D144FBC" w14:textId="1A97EDA2" w:rsidR="00850EF9" w:rsidRPr="000770AB" w:rsidRDefault="00505C3D" w:rsidP="00850EF9">
      <w:pPr>
        <w:pStyle w:val="Heading2"/>
        <w:tabs>
          <w:tab w:val="left" w:pos="567"/>
        </w:tabs>
        <w:spacing w:line="240" w:lineRule="auto"/>
        <w:rPr>
          <w:rFonts w:ascii="Arial" w:hAnsi="Arial" w:cs="Arial"/>
          <w:b/>
          <w:bCs/>
          <w:i/>
          <w:iCs/>
          <w:sz w:val="20"/>
        </w:rPr>
      </w:pPr>
      <w:r w:rsidRPr="000770AB">
        <w:rPr>
          <w:rFonts w:ascii="Arial" w:hAnsi="Arial" w:cs="Arial"/>
          <w:b/>
          <w:bCs/>
          <w:sz w:val="20"/>
        </w:rPr>
        <w:t xml:space="preserve">Section </w:t>
      </w:r>
      <w:r w:rsidR="00850EF9" w:rsidRPr="000770AB">
        <w:rPr>
          <w:rFonts w:ascii="Arial" w:hAnsi="Arial" w:cs="Arial"/>
          <w:b/>
          <w:bCs/>
          <w:sz w:val="20"/>
        </w:rPr>
        <w:t xml:space="preserve">20(2) </w:t>
      </w:r>
      <w:r w:rsidRPr="000770AB">
        <w:rPr>
          <w:rFonts w:ascii="Arial" w:hAnsi="Arial" w:cs="Arial"/>
          <w:b/>
          <w:bCs/>
          <w:sz w:val="20"/>
        </w:rPr>
        <w:t>appears to be</w:t>
      </w:r>
      <w:r w:rsidR="00850EF9" w:rsidRPr="000770AB">
        <w:rPr>
          <w:rFonts w:ascii="Arial" w:hAnsi="Arial" w:cs="Arial"/>
          <w:b/>
          <w:bCs/>
          <w:sz w:val="20"/>
        </w:rPr>
        <w:t xml:space="preserve"> the only source of power in the BDMR Act that is expressly vested in the Children’s Court.  It is effectively an incidental power and the pre</w:t>
      </w:r>
      <w:r w:rsidR="00850EF9" w:rsidRPr="000770AB">
        <w:rPr>
          <w:rFonts w:ascii="Arial" w:hAnsi="Arial" w:cs="Arial"/>
          <w:b/>
          <w:bCs/>
          <w:sz w:val="20"/>
        </w:rPr>
        <w:noBreakHyphen/>
        <w:t>condition for its exercise is either that—</w:t>
      </w:r>
    </w:p>
    <w:p w14:paraId="4F43C31A"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a child’s birth is not registered as required; or</w:t>
      </w:r>
    </w:p>
    <w:p w14:paraId="75A0942F" w14:textId="77777777" w:rsidR="00850EF9" w:rsidRPr="00850EF9" w:rsidRDefault="00850EF9">
      <w:pPr>
        <w:pStyle w:val="ListParagraph"/>
        <w:numPr>
          <w:ilvl w:val="0"/>
          <w:numId w:val="98"/>
        </w:numPr>
        <w:ind w:left="357" w:hanging="357"/>
        <w:contextualSpacing/>
        <w:jc w:val="both"/>
        <w:rPr>
          <w:rFonts w:ascii="Arial" w:hAnsi="Arial" w:cs="Arial"/>
          <w:sz w:val="20"/>
        </w:rPr>
      </w:pPr>
      <w:r w:rsidRPr="00850EF9">
        <w:rPr>
          <w:rFonts w:ascii="Arial" w:hAnsi="Arial" w:cs="Arial"/>
          <w:b/>
          <w:bCs/>
          <w:sz w:val="20"/>
        </w:rPr>
        <w:t>the registrable information about a child’s birth is incomplete or incorrect.</w:t>
      </w:r>
    </w:p>
    <w:p w14:paraId="2C61C3D0" w14:textId="77777777" w:rsidR="00850EF9" w:rsidRPr="00850EF9" w:rsidRDefault="00850EF9" w:rsidP="00850EF9">
      <w:pPr>
        <w:jc w:val="both"/>
        <w:rPr>
          <w:rFonts w:ascii="Arial" w:hAnsi="Arial" w:cs="Arial"/>
          <w:sz w:val="20"/>
          <w:szCs w:val="20"/>
        </w:rPr>
      </w:pPr>
    </w:p>
    <w:p w14:paraId="3DA1DC67"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CHANGE A CHILD’S NAME IN VICTORIA VESTS IN BDMV OR THE COUNTY COURT</w:t>
      </w:r>
    </w:p>
    <w:p w14:paraId="05912D18" w14:textId="77777777" w:rsidR="00850EF9" w:rsidRPr="00850EF9" w:rsidRDefault="00850EF9" w:rsidP="00850EF9">
      <w:pPr>
        <w:jc w:val="both"/>
        <w:rPr>
          <w:rFonts w:ascii="Arial" w:hAnsi="Arial" w:cs="Arial"/>
          <w:sz w:val="20"/>
          <w:szCs w:val="20"/>
        </w:rPr>
      </w:pPr>
    </w:p>
    <w:p w14:paraId="2D7BA4B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Part 4 of the BDMR [ss.24-30] is headed “</w:t>
      </w:r>
      <w:r w:rsidRPr="00850EF9">
        <w:rPr>
          <w:rFonts w:ascii="Arial" w:hAnsi="Arial" w:cs="Arial"/>
          <w:b/>
          <w:bCs/>
          <w:sz w:val="20"/>
          <w:szCs w:val="20"/>
        </w:rPr>
        <w:t>Change of Name</w:t>
      </w:r>
      <w:r w:rsidRPr="00850EF9">
        <w:rPr>
          <w:rFonts w:ascii="Arial" w:hAnsi="Arial" w:cs="Arial"/>
          <w:sz w:val="20"/>
          <w:szCs w:val="20"/>
        </w:rPr>
        <w:t>”.  A new name can be recognised if it is established by repute or usage: see s.30 of the BDMR Act.  However, many organisations require written evidence of a change of name.</w:t>
      </w:r>
    </w:p>
    <w:p w14:paraId="7B6C019C" w14:textId="77777777" w:rsidR="00850EF9" w:rsidRPr="00850EF9" w:rsidRDefault="00850EF9" w:rsidP="00850EF9">
      <w:pPr>
        <w:jc w:val="both"/>
        <w:rPr>
          <w:rFonts w:ascii="Arial" w:hAnsi="Arial" w:cs="Arial"/>
          <w:sz w:val="20"/>
          <w:szCs w:val="20"/>
        </w:rPr>
      </w:pPr>
    </w:p>
    <w:p w14:paraId="7986AFC9"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 xml:space="preserve">Application for registration of a change in a child’s name can be made to the Registrar Births, Deaths and Marriages Victoria [BDMV] in the circumstances set out in ss.24-29 BDMR Act: see </w:t>
      </w:r>
      <w:hyperlink r:id="rId15" w:history="1">
        <w:r w:rsidRPr="00850EF9">
          <w:rPr>
            <w:rStyle w:val="Hyperlink"/>
            <w:rFonts w:ascii="Arial" w:hAnsi="Arial" w:cs="Arial"/>
            <w:sz w:val="20"/>
            <w:szCs w:val="20"/>
          </w:rPr>
          <w:t>https://www.bdm.vic.gov.au/changes-and-corrections/change-your-childs-name/child-born-in-victoria</w:t>
        </w:r>
      </w:hyperlink>
      <w:r w:rsidRPr="00850EF9">
        <w:rPr>
          <w:rStyle w:val="Hyperlink"/>
          <w:rFonts w:ascii="Arial" w:hAnsi="Arial" w:cs="Arial"/>
          <w:sz w:val="20"/>
          <w:szCs w:val="20"/>
        </w:rPr>
        <w:t>.</w:t>
      </w:r>
    </w:p>
    <w:p w14:paraId="3F12A46F" w14:textId="77777777" w:rsidR="00850EF9" w:rsidRPr="00850EF9" w:rsidRDefault="00850EF9" w:rsidP="00850EF9">
      <w:pPr>
        <w:ind w:left="454" w:hanging="454"/>
        <w:jc w:val="both"/>
        <w:rPr>
          <w:rFonts w:ascii="Arial" w:hAnsi="Arial" w:cs="Arial"/>
          <w:sz w:val="20"/>
          <w:szCs w:val="20"/>
        </w:rPr>
      </w:pPr>
    </w:p>
    <w:p w14:paraId="493B1E40"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Pursuant to s.26(1) of the BDMR Act, the parents of a child under 18 years of age may apply to the Registrar BDMV for registration of a change of a child’s name if—</w:t>
      </w:r>
    </w:p>
    <w:p w14:paraId="7C04549D" w14:textId="77777777" w:rsidR="00850EF9" w:rsidRPr="00850EF9" w:rsidRDefault="00850EF9" w:rsidP="00850EF9">
      <w:pPr>
        <w:ind w:left="454" w:hanging="454"/>
        <w:jc w:val="both"/>
        <w:rPr>
          <w:rFonts w:ascii="Arial" w:hAnsi="Arial" w:cs="Arial"/>
          <w:sz w:val="20"/>
          <w:szCs w:val="20"/>
        </w:rPr>
      </w:pPr>
      <w:r w:rsidRPr="00850EF9">
        <w:rPr>
          <w:rFonts w:ascii="Arial" w:hAnsi="Arial" w:cs="Arial"/>
          <w:sz w:val="20"/>
          <w:szCs w:val="20"/>
        </w:rPr>
        <w:t>(a)</w:t>
      </w:r>
      <w:r w:rsidRPr="00850EF9">
        <w:rPr>
          <w:rFonts w:ascii="Arial" w:hAnsi="Arial" w:cs="Arial"/>
          <w:sz w:val="20"/>
          <w:szCs w:val="20"/>
        </w:rPr>
        <w:tab/>
        <w:t>the child’s birth is registered in Victoria; or</w:t>
      </w:r>
    </w:p>
    <w:p w14:paraId="4D2F034B" w14:textId="77777777" w:rsidR="00850EF9" w:rsidRPr="00850EF9" w:rsidRDefault="00850EF9">
      <w:pPr>
        <w:pStyle w:val="ListParagraph"/>
        <w:numPr>
          <w:ilvl w:val="0"/>
          <w:numId w:val="96"/>
        </w:numPr>
        <w:ind w:left="454" w:hanging="454"/>
        <w:jc w:val="both"/>
        <w:rPr>
          <w:rFonts w:ascii="Arial" w:hAnsi="Arial" w:cs="Arial"/>
          <w:sz w:val="20"/>
        </w:rPr>
      </w:pPr>
      <w:r w:rsidRPr="00850EF9">
        <w:rPr>
          <w:rFonts w:ascii="Arial" w:hAnsi="Arial" w:cs="Arial"/>
          <w:sz w:val="20"/>
        </w:rPr>
        <w:t>the child-</w:t>
      </w:r>
    </w:p>
    <w:p w14:paraId="1F9E429E"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was born outside Australia; and</w:t>
      </w:r>
    </w:p>
    <w:p w14:paraId="156E703B"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is a child whose birth is not registered in Victoria or another State or a Territory; and</w:t>
      </w:r>
    </w:p>
    <w:p w14:paraId="48D45030" w14:textId="77777777" w:rsidR="00850EF9" w:rsidRPr="00850EF9" w:rsidRDefault="00850EF9">
      <w:pPr>
        <w:pStyle w:val="ListParagraph"/>
        <w:numPr>
          <w:ilvl w:val="4"/>
          <w:numId w:val="72"/>
        </w:numPr>
        <w:ind w:left="908" w:hanging="454"/>
        <w:jc w:val="both"/>
        <w:rPr>
          <w:rFonts w:ascii="Arial" w:hAnsi="Arial" w:cs="Arial"/>
          <w:sz w:val="20"/>
        </w:rPr>
      </w:pPr>
      <w:r w:rsidRPr="00850EF9">
        <w:rPr>
          <w:rFonts w:ascii="Arial" w:hAnsi="Arial" w:cs="Arial"/>
          <w:sz w:val="20"/>
        </w:rPr>
        <w:t>has been ordinarily resident in Victoria for at least 12 months immediately before the application is made.</w:t>
      </w:r>
    </w:p>
    <w:p w14:paraId="14152997"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The Registrar BDMV may waive the 12 month requirement under s.26(1)(b)(iii) in the circumstances set out in ss.26(1A) &amp; 26(1B).</w:t>
      </w:r>
    </w:p>
    <w:p w14:paraId="0AE94BC4" w14:textId="77777777" w:rsidR="00850EF9" w:rsidRPr="00850EF9" w:rsidRDefault="00850EF9" w:rsidP="00850EF9">
      <w:pPr>
        <w:jc w:val="both"/>
        <w:rPr>
          <w:rFonts w:ascii="Arial" w:hAnsi="Arial" w:cs="Arial"/>
          <w:sz w:val="20"/>
          <w:szCs w:val="20"/>
        </w:rPr>
      </w:pPr>
    </w:p>
    <w:p w14:paraId="330C63B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In most cases both parents named on the birth certificate need to complete a change of name application to the Registrar BDMV.  If one parent does not agree to the proposed alteration, an order made by a court which has the appropriate power will be necessary to effect an alteration.  In this connection s.23 of the BDMR Act provides:</w:t>
      </w:r>
    </w:p>
    <w:p w14:paraId="7D5B12B6"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(1)</w:t>
      </w:r>
      <w:r w:rsidRPr="00850EF9">
        <w:rPr>
          <w:rFonts w:ascii="Arial" w:hAnsi="Arial" w:cs="Arial"/>
          <w:sz w:val="20"/>
        </w:rPr>
        <w:tab/>
        <w:t>If there is a dispute between parents about a child’s name, either parent may apply to the [County] Court for a resolution of the dispute.</w:t>
      </w:r>
    </w:p>
    <w:p w14:paraId="29E9D424" w14:textId="77777777" w:rsidR="00850EF9" w:rsidRPr="00850EF9" w:rsidRDefault="00850EF9" w:rsidP="00850EF9">
      <w:pPr>
        <w:pStyle w:val="DraftHeading2"/>
        <w:tabs>
          <w:tab w:val="right" w:pos="1247"/>
        </w:tabs>
        <w:spacing w:before="0"/>
        <w:ind w:left="1021" w:right="567" w:hanging="454"/>
        <w:jc w:val="both"/>
        <w:rPr>
          <w:rFonts w:ascii="Arial" w:hAnsi="Arial" w:cs="Arial"/>
          <w:sz w:val="20"/>
        </w:rPr>
      </w:pPr>
      <w:r w:rsidRPr="00850EF9">
        <w:rPr>
          <w:rFonts w:ascii="Arial" w:hAnsi="Arial" w:cs="Arial"/>
          <w:sz w:val="20"/>
        </w:rPr>
        <w:t>(2)</w:t>
      </w:r>
      <w:r w:rsidRPr="00850EF9">
        <w:rPr>
          <w:rFonts w:ascii="Arial" w:hAnsi="Arial" w:cs="Arial"/>
          <w:sz w:val="20"/>
        </w:rPr>
        <w:tab/>
        <w:t>On an application under subsection (1), the [County] Court may—</w:t>
      </w:r>
    </w:p>
    <w:p w14:paraId="0A7C4505"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(a)</w:t>
      </w:r>
      <w:r w:rsidRPr="00850EF9">
        <w:rPr>
          <w:rFonts w:ascii="Arial" w:hAnsi="Arial" w:cs="Arial"/>
          <w:sz w:val="20"/>
        </w:rPr>
        <w:tab/>
      </w:r>
      <w:r w:rsidRPr="00850EF9">
        <w:rPr>
          <w:rFonts w:ascii="Arial" w:hAnsi="Arial" w:cs="Arial"/>
          <w:sz w:val="20"/>
        </w:rPr>
        <w:tab/>
        <w:t>resolve the dispute about the child’s name as the Court considers appropriate; and</w:t>
      </w:r>
    </w:p>
    <w:p w14:paraId="5C707F6C" w14:textId="77777777" w:rsidR="00850EF9" w:rsidRPr="00850EF9" w:rsidRDefault="00850EF9" w:rsidP="00850EF9">
      <w:pPr>
        <w:pStyle w:val="DraftHeading3"/>
        <w:tabs>
          <w:tab w:val="right" w:pos="1758"/>
        </w:tabs>
        <w:spacing w:before="0"/>
        <w:ind w:left="1475" w:right="567" w:hanging="454"/>
        <w:jc w:val="both"/>
        <w:rPr>
          <w:rFonts w:ascii="Arial" w:hAnsi="Arial" w:cs="Arial"/>
          <w:sz w:val="20"/>
        </w:rPr>
      </w:pPr>
      <w:r w:rsidRPr="00850EF9">
        <w:rPr>
          <w:rFonts w:ascii="Arial" w:hAnsi="Arial" w:cs="Arial"/>
          <w:sz w:val="20"/>
        </w:rPr>
        <w:t>(b)</w:t>
      </w:r>
      <w:r w:rsidRPr="00850EF9">
        <w:rPr>
          <w:rFonts w:ascii="Arial" w:hAnsi="Arial" w:cs="Arial"/>
          <w:sz w:val="20"/>
        </w:rPr>
        <w:tab/>
      </w:r>
      <w:r w:rsidRPr="00850EF9">
        <w:rPr>
          <w:rFonts w:ascii="Arial" w:hAnsi="Arial" w:cs="Arial"/>
          <w:sz w:val="20"/>
        </w:rPr>
        <w:tab/>
        <w:t>order the Registrar BDMV to register the child’s name in a form specified in the order.</w:t>
      </w:r>
    </w:p>
    <w:p w14:paraId="62D52B53" w14:textId="77777777" w:rsidR="00850EF9" w:rsidRPr="00850EF9" w:rsidRDefault="00850EF9" w:rsidP="00850EF9">
      <w:pPr>
        <w:jc w:val="both"/>
        <w:rPr>
          <w:rFonts w:ascii="Arial" w:hAnsi="Arial" w:cs="Arial"/>
          <w:sz w:val="20"/>
          <w:szCs w:val="20"/>
        </w:rPr>
      </w:pPr>
    </w:p>
    <w:p w14:paraId="26EBE7D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26(3) provides that an application for registration of a change of a child’s name may be made by one parent if—</w:t>
      </w:r>
    </w:p>
    <w:p w14:paraId="432B0BE3"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applicant is the sole parent named in the registration of the child’s birth under the BDMR Act or any other law; or</w:t>
      </w:r>
    </w:p>
    <w:p w14:paraId="6573CDF1"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there is no other surviving parent of the child; or</w:t>
      </w:r>
    </w:p>
    <w:p w14:paraId="26B08585" w14:textId="77777777" w:rsidR="00850EF9" w:rsidRPr="00850EF9" w:rsidRDefault="00850EF9">
      <w:pPr>
        <w:pStyle w:val="ListParagraph"/>
        <w:numPr>
          <w:ilvl w:val="0"/>
          <w:numId w:val="93"/>
        </w:numPr>
        <w:ind w:left="454" w:hanging="454"/>
        <w:jc w:val="both"/>
        <w:rPr>
          <w:rFonts w:ascii="Arial" w:hAnsi="Arial" w:cs="Arial"/>
          <w:sz w:val="20"/>
        </w:rPr>
      </w:pPr>
      <w:r w:rsidRPr="00850EF9">
        <w:rPr>
          <w:rFonts w:ascii="Arial" w:hAnsi="Arial" w:cs="Arial"/>
          <w:sz w:val="20"/>
        </w:rPr>
        <w:t>the [County] Court approves the proposed change of name.</w:t>
      </w:r>
    </w:p>
    <w:p w14:paraId="5CFF1987" w14:textId="77777777" w:rsidR="00850EF9" w:rsidRPr="00850EF9" w:rsidRDefault="00850EF9" w:rsidP="00850EF9">
      <w:pPr>
        <w:jc w:val="both"/>
        <w:rPr>
          <w:rFonts w:ascii="Arial" w:hAnsi="Arial" w:cs="Arial"/>
          <w:sz w:val="20"/>
          <w:szCs w:val="20"/>
        </w:rPr>
      </w:pPr>
    </w:p>
    <w:p w14:paraId="4183448F"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26(4) provides: “The [County] Court may, on application by a child’s parent, approve a proposed change of name for the child if satisfied that the change is in the child’s best interests.”</w:t>
      </w:r>
    </w:p>
    <w:p w14:paraId="63E9E6BB" w14:textId="77777777" w:rsidR="00850EF9" w:rsidRPr="00850EF9" w:rsidRDefault="00850EF9" w:rsidP="00850EF9">
      <w:pPr>
        <w:jc w:val="both"/>
        <w:rPr>
          <w:rFonts w:ascii="Arial" w:hAnsi="Arial" w:cs="Arial"/>
          <w:sz w:val="20"/>
          <w:szCs w:val="20"/>
        </w:rPr>
      </w:pPr>
    </w:p>
    <w:p w14:paraId="1F458A66"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26(5) provides: “If the parents of a child are dead, cannot be found, or for some other reason cannot exercise their parental responsibilities to a child, the child’s guardian may apply for registration of a change of the child’s name.”  The term ‘guardian’ is not expressly defined in the BDMR Act.</w:t>
      </w:r>
    </w:p>
    <w:p w14:paraId="49DB2533" w14:textId="77777777" w:rsidR="00850EF9" w:rsidRPr="00850EF9" w:rsidRDefault="00850EF9" w:rsidP="00850EF9">
      <w:pPr>
        <w:jc w:val="both"/>
        <w:rPr>
          <w:rFonts w:ascii="Arial" w:hAnsi="Arial" w:cs="Arial"/>
          <w:sz w:val="20"/>
          <w:szCs w:val="20"/>
        </w:rPr>
      </w:pPr>
    </w:p>
    <w:p w14:paraId="772EED91"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27 provides that a change of a name of a child aged 12 years or more must not be registered unless—</w:t>
      </w:r>
    </w:p>
    <w:p w14:paraId="5E5CBDEC"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consents to the change of name; or</w:t>
      </w:r>
    </w:p>
    <w:p w14:paraId="26EEF674" w14:textId="77777777" w:rsidR="00850EF9" w:rsidRPr="00850EF9" w:rsidRDefault="00850EF9">
      <w:pPr>
        <w:pStyle w:val="ListParagraph"/>
        <w:numPr>
          <w:ilvl w:val="0"/>
          <w:numId w:val="94"/>
        </w:numPr>
        <w:ind w:left="454" w:hanging="454"/>
        <w:jc w:val="both"/>
        <w:rPr>
          <w:rFonts w:ascii="Arial" w:hAnsi="Arial" w:cs="Arial"/>
          <w:sz w:val="20"/>
        </w:rPr>
      </w:pPr>
      <w:r w:rsidRPr="00850EF9">
        <w:rPr>
          <w:rFonts w:ascii="Arial" w:hAnsi="Arial" w:cs="Arial"/>
          <w:sz w:val="20"/>
        </w:rPr>
        <w:t>the child is unable to understand the meaning and implications of the change of name.</w:t>
      </w:r>
    </w:p>
    <w:p w14:paraId="38719350" w14:textId="77777777" w:rsidR="00850EF9" w:rsidRPr="00850EF9" w:rsidRDefault="00850EF9" w:rsidP="00850EF9">
      <w:pPr>
        <w:jc w:val="both"/>
        <w:rPr>
          <w:rFonts w:ascii="Arial" w:hAnsi="Arial" w:cs="Arial"/>
          <w:sz w:val="20"/>
          <w:szCs w:val="20"/>
        </w:rPr>
      </w:pPr>
    </w:p>
    <w:p w14:paraId="782D2F5D" w14:textId="77777777" w:rsidR="00850EF9" w:rsidRPr="00850EF9" w:rsidRDefault="00850EF9" w:rsidP="00850EF9">
      <w:pPr>
        <w:jc w:val="both"/>
        <w:rPr>
          <w:rFonts w:ascii="Arial" w:hAnsi="Arial" w:cs="Arial"/>
          <w:sz w:val="20"/>
          <w:szCs w:val="20"/>
        </w:rPr>
      </w:pPr>
      <w:r w:rsidRPr="00850EF9">
        <w:rPr>
          <w:rFonts w:ascii="Arial" w:hAnsi="Arial" w:cs="Arial"/>
          <w:sz w:val="20"/>
          <w:szCs w:val="20"/>
        </w:rPr>
        <w:t>Section 28 details the powers of the Registrar BDMV to register a change of name.</w:t>
      </w:r>
    </w:p>
    <w:p w14:paraId="787EF1AD" w14:textId="77777777" w:rsidR="00850EF9" w:rsidRPr="00850EF9" w:rsidRDefault="00850EF9" w:rsidP="00850EF9">
      <w:pPr>
        <w:jc w:val="both"/>
        <w:rPr>
          <w:rFonts w:ascii="Arial" w:hAnsi="Arial" w:cs="Arial"/>
          <w:sz w:val="20"/>
          <w:szCs w:val="20"/>
        </w:rPr>
      </w:pPr>
    </w:p>
    <w:p w14:paraId="390A7375" w14:textId="77777777" w:rsidR="00850EF9" w:rsidRPr="00850EF9" w:rsidRDefault="00850EF9" w:rsidP="00850EF9">
      <w:pPr>
        <w:keepNext/>
        <w:keepLines/>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lastRenderedPageBreak/>
        <w:t>PRIMARY POWER TO ALTER THE RECORD OF SEX OF A PERSON BORN IN VICTORIA VESTS IN BDMV OR THE COUNTY COURT</w:t>
      </w:r>
    </w:p>
    <w:p w14:paraId="60FC21D9" w14:textId="77777777" w:rsidR="00850EF9" w:rsidRPr="00850EF9" w:rsidRDefault="00850EF9" w:rsidP="00EF5014">
      <w:pPr>
        <w:keepNext/>
        <w:keepLines/>
        <w:jc w:val="both"/>
        <w:rPr>
          <w:rFonts w:ascii="Arial" w:hAnsi="Arial" w:cs="Arial"/>
          <w:sz w:val="20"/>
          <w:szCs w:val="20"/>
        </w:rPr>
      </w:pPr>
    </w:p>
    <w:p w14:paraId="43AB7393" w14:textId="77777777" w:rsidR="00850EF9" w:rsidRPr="00850EF9" w:rsidRDefault="00850EF9" w:rsidP="00850EF9">
      <w:pPr>
        <w:jc w:val="both"/>
        <w:rPr>
          <w:rFonts w:ascii="Arial" w:hAnsi="Arial" w:cs="Arial"/>
          <w:sz w:val="20"/>
          <w:szCs w:val="20"/>
        </w:rPr>
      </w:pPr>
      <w:r w:rsidRPr="00850EF9">
        <w:rPr>
          <w:rFonts w:ascii="Arial" w:hAnsi="Arial" w:cs="Arial"/>
          <w:color w:val="000000"/>
          <w:sz w:val="20"/>
          <w:szCs w:val="20"/>
        </w:rPr>
        <w:t>In terms which are fairly similar to Part 4 of the BDMR Act, Division 1 of Part 4A [ss.30B</w:t>
      </w:r>
      <w:r w:rsidRPr="00850EF9">
        <w:rPr>
          <w:rFonts w:ascii="Arial" w:hAnsi="Arial" w:cs="Arial"/>
          <w:color w:val="000000"/>
          <w:sz w:val="20"/>
          <w:szCs w:val="20"/>
        </w:rPr>
        <w:noBreakHyphen/>
        <w:t>30D] – headed “</w:t>
      </w:r>
      <w:r w:rsidRPr="00850EF9">
        <w:rPr>
          <w:rFonts w:ascii="Arial" w:hAnsi="Arial" w:cs="Arial"/>
          <w:b/>
          <w:bCs/>
          <w:color w:val="000000"/>
          <w:sz w:val="20"/>
          <w:szCs w:val="20"/>
        </w:rPr>
        <w:t>Acknowledgement of sex</w:t>
      </w:r>
      <w:r w:rsidRPr="00850EF9">
        <w:rPr>
          <w:rFonts w:ascii="Arial" w:hAnsi="Arial" w:cs="Arial"/>
          <w:color w:val="000000"/>
          <w:sz w:val="20"/>
          <w:szCs w:val="20"/>
        </w:rPr>
        <w:t>” – vests in BDMV and the County Court primary power in relation to altering the record of sex in a child’s birth registration for persons born in Victoria. See in particular</w:t>
      </w:r>
      <w:r w:rsidRPr="00850EF9">
        <w:rPr>
          <w:rFonts w:ascii="Arial" w:hAnsi="Arial" w:cs="Arial"/>
          <w:sz w:val="20"/>
          <w:szCs w:val="20"/>
        </w:rPr>
        <w:t>—</w:t>
      </w:r>
    </w:p>
    <w:p w14:paraId="237D9DE7"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1—Persons born in Victoria</w:t>
      </w:r>
    </w:p>
    <w:p w14:paraId="251F760B"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s.30B</w:t>
      </w:r>
      <w:r w:rsidRPr="00850EF9">
        <w:rPr>
          <w:rFonts w:ascii="Arial" w:hAnsi="Arial" w:cs="Arial"/>
          <w:sz w:val="20"/>
        </w:rPr>
        <w:tab/>
        <w:t>Application to alter record of sex in child’s birth registration</w:t>
      </w:r>
    </w:p>
    <w:p w14:paraId="430056A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s.30BA</w:t>
      </w:r>
      <w:r w:rsidRPr="00850EF9">
        <w:rPr>
          <w:rFonts w:ascii="Arial" w:hAnsi="Arial" w:cs="Arial"/>
          <w:sz w:val="20"/>
        </w:rPr>
        <w:tab/>
      </w:r>
      <w:r w:rsidRPr="00850EF9">
        <w:rPr>
          <w:rFonts w:ascii="Arial" w:hAnsi="Arial" w:cs="Arial"/>
          <w:noProof/>
          <w:sz w:val="20"/>
        </w:rPr>
        <w:t>Application made by one parent or guardian to alter record of sex in child's birth registration</w:t>
      </w:r>
    </w:p>
    <w:p w14:paraId="7F08B8D3"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s.30BB</w:t>
      </w:r>
      <w:r w:rsidRPr="00850EF9">
        <w:rPr>
          <w:rFonts w:ascii="Arial" w:hAnsi="Arial" w:cs="Arial"/>
          <w:noProof/>
          <w:sz w:val="20"/>
        </w:rPr>
        <w:tab/>
        <w:t>County court order approving alteration of record of sex in child’s birth registration</w:t>
      </w:r>
    </w:p>
    <w:p w14:paraId="0CA78266"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s.30C</w:t>
      </w:r>
      <w:r w:rsidRPr="00850EF9">
        <w:rPr>
          <w:rFonts w:ascii="Arial" w:hAnsi="Arial" w:cs="Arial"/>
          <w:noProof/>
          <w:sz w:val="20"/>
        </w:rPr>
        <w:tab/>
        <w:t>Alteration of register</w:t>
      </w:r>
    </w:p>
    <w:p w14:paraId="11422D64"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s.30D</w:t>
      </w:r>
      <w:r w:rsidRPr="00850EF9">
        <w:rPr>
          <w:rFonts w:ascii="Arial" w:hAnsi="Arial" w:cs="Arial"/>
          <w:sz w:val="20"/>
        </w:rPr>
        <w:tab/>
        <w:t>Issue of new birth certificate.</w:t>
      </w:r>
    </w:p>
    <w:p w14:paraId="32D420DB" w14:textId="77777777" w:rsidR="00850EF9" w:rsidRPr="00850EF9" w:rsidRDefault="00850EF9" w:rsidP="00850EF9">
      <w:pPr>
        <w:jc w:val="both"/>
        <w:rPr>
          <w:rFonts w:ascii="Arial" w:hAnsi="Arial" w:cs="Arial"/>
          <w:sz w:val="20"/>
          <w:szCs w:val="20"/>
        </w:rPr>
      </w:pPr>
    </w:p>
    <w:p w14:paraId="0EFD4EFF" w14:textId="77777777" w:rsidR="00850EF9" w:rsidRPr="00850EF9" w:rsidRDefault="00850EF9" w:rsidP="00850EF9">
      <w:pPr>
        <w:shd w:val="clear" w:color="auto" w:fill="000000" w:themeFill="text1"/>
        <w:jc w:val="center"/>
        <w:rPr>
          <w:rFonts w:ascii="Arial" w:hAnsi="Arial" w:cs="Arial"/>
          <w:b/>
          <w:bCs/>
          <w:color w:val="FFFFFF" w:themeColor="background1"/>
          <w:sz w:val="20"/>
          <w:szCs w:val="20"/>
        </w:rPr>
      </w:pPr>
      <w:r w:rsidRPr="00850EF9">
        <w:rPr>
          <w:rFonts w:ascii="Arial" w:hAnsi="Arial" w:cs="Arial"/>
          <w:b/>
          <w:bCs/>
          <w:color w:val="FFFFFF" w:themeColor="background1"/>
          <w:sz w:val="20"/>
          <w:szCs w:val="20"/>
        </w:rPr>
        <w:t>PRIMARY POWER TO ISSUE DOCUMENTS ACKNOWLEDGING THE NAME AND SEX OF VICTORIAN RESIDENTS BORN ELSEWHERE VESTS IN BDMV – PRIMARY POWER TO ORDER SUCH ISSUE VESTS IN THE COUNTY COURT</w:t>
      </w:r>
    </w:p>
    <w:p w14:paraId="26CC5385" w14:textId="77777777" w:rsidR="00850EF9" w:rsidRPr="00850EF9" w:rsidRDefault="00850EF9" w:rsidP="00850EF9">
      <w:pPr>
        <w:jc w:val="both"/>
        <w:rPr>
          <w:rFonts w:ascii="Arial" w:hAnsi="Arial" w:cs="Arial"/>
          <w:sz w:val="20"/>
          <w:szCs w:val="20"/>
        </w:rPr>
      </w:pPr>
    </w:p>
    <w:p w14:paraId="07ACE8B7" w14:textId="77777777" w:rsidR="00850EF9" w:rsidRPr="00850EF9" w:rsidRDefault="00850EF9" w:rsidP="00850EF9">
      <w:pPr>
        <w:jc w:val="both"/>
        <w:rPr>
          <w:rFonts w:ascii="Arial" w:hAnsi="Arial" w:cs="Arial"/>
          <w:noProof/>
          <w:sz w:val="20"/>
          <w:szCs w:val="20"/>
        </w:rPr>
      </w:pPr>
      <w:r w:rsidRPr="00850EF9">
        <w:rPr>
          <w:rFonts w:ascii="Arial" w:hAnsi="Arial" w:cs="Arial"/>
          <w:color w:val="000000"/>
          <w:sz w:val="20"/>
          <w:szCs w:val="20"/>
        </w:rPr>
        <w:t>Division 2 of Part 4A [ss.30E</w:t>
      </w:r>
      <w:r w:rsidRPr="00850EF9">
        <w:rPr>
          <w:rFonts w:ascii="Arial" w:hAnsi="Arial" w:cs="Arial"/>
          <w:color w:val="000000"/>
          <w:sz w:val="20"/>
          <w:szCs w:val="20"/>
        </w:rPr>
        <w:noBreakHyphen/>
        <w:t>30FA] deals with applications and orders for the issue by the Registrar BDMV of a document acknowledging the name and sex of a Victorian resident who was born elsewhere.  See in particular</w:t>
      </w:r>
      <w:r w:rsidRPr="00850EF9">
        <w:rPr>
          <w:rFonts w:ascii="Arial" w:hAnsi="Arial" w:cs="Arial"/>
          <w:sz w:val="20"/>
          <w:szCs w:val="20"/>
        </w:rPr>
        <w:t>—</w:t>
      </w:r>
    </w:p>
    <w:p w14:paraId="0F686E54" w14:textId="77777777" w:rsidR="00850EF9" w:rsidRPr="00850EF9" w:rsidRDefault="00850EF9" w:rsidP="00850EF9">
      <w:pPr>
        <w:spacing w:before="60"/>
        <w:jc w:val="center"/>
        <w:rPr>
          <w:rFonts w:ascii="Arial" w:hAnsi="Arial" w:cs="Arial"/>
          <w:b/>
          <w:bCs/>
          <w:color w:val="000000"/>
          <w:sz w:val="20"/>
          <w:szCs w:val="20"/>
        </w:rPr>
      </w:pPr>
      <w:r w:rsidRPr="00850EF9">
        <w:rPr>
          <w:rFonts w:ascii="Arial" w:hAnsi="Arial" w:cs="Arial"/>
          <w:b/>
          <w:bCs/>
          <w:noProof/>
          <w:sz w:val="20"/>
          <w:szCs w:val="20"/>
        </w:rPr>
        <w:t>Part 4A, Division 2—Victorian residents born elsewhere</w:t>
      </w:r>
    </w:p>
    <w:p w14:paraId="345D48AF"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ss.30E</w:t>
      </w:r>
      <w:r w:rsidRPr="00850EF9">
        <w:rPr>
          <w:rFonts w:ascii="Arial" w:hAnsi="Arial" w:cs="Arial"/>
          <w:sz w:val="20"/>
        </w:rPr>
        <w:tab/>
        <w:t>Application for document acknowledging name and sex</w:t>
      </w:r>
    </w:p>
    <w:p w14:paraId="79BA35F1" w14:textId="77777777" w:rsidR="00850EF9" w:rsidRPr="00850EF9" w:rsidRDefault="00850EF9">
      <w:pPr>
        <w:pStyle w:val="ListParagraph"/>
        <w:numPr>
          <w:ilvl w:val="0"/>
          <w:numId w:val="98"/>
        </w:numPr>
        <w:tabs>
          <w:tab w:val="left" w:pos="357"/>
        </w:tabs>
        <w:spacing w:before="60"/>
        <w:ind w:left="1247" w:hanging="1247"/>
        <w:contextualSpacing/>
        <w:jc w:val="both"/>
        <w:rPr>
          <w:rFonts w:ascii="Arial" w:hAnsi="Arial" w:cs="Arial"/>
          <w:sz w:val="20"/>
        </w:rPr>
      </w:pPr>
      <w:r w:rsidRPr="00850EF9">
        <w:rPr>
          <w:rFonts w:ascii="Arial" w:hAnsi="Arial" w:cs="Arial"/>
          <w:sz w:val="20"/>
        </w:rPr>
        <w:t>s.30EA</w:t>
      </w:r>
      <w:r w:rsidRPr="00850EF9">
        <w:rPr>
          <w:rFonts w:ascii="Arial" w:hAnsi="Arial" w:cs="Arial"/>
          <w:sz w:val="20"/>
        </w:rPr>
        <w:tab/>
        <w:t>Application for document acknowledging child’s name and sex</w:t>
      </w:r>
    </w:p>
    <w:p w14:paraId="77B44C9E"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sz w:val="20"/>
        </w:rPr>
        <w:t>s.30EB</w:t>
      </w:r>
      <w:r w:rsidRPr="00850EF9">
        <w:rPr>
          <w:rFonts w:ascii="Arial" w:hAnsi="Arial" w:cs="Arial"/>
          <w:sz w:val="20"/>
        </w:rPr>
        <w:tab/>
      </w:r>
      <w:r w:rsidRPr="00850EF9">
        <w:rPr>
          <w:rFonts w:ascii="Arial" w:hAnsi="Arial" w:cs="Arial"/>
          <w:noProof/>
          <w:sz w:val="20"/>
        </w:rPr>
        <w:t xml:space="preserve">Application made by one parent or guardian for document acknowledging child’s name and sex </w:t>
      </w:r>
    </w:p>
    <w:p w14:paraId="5AEC4328"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s.30EC</w:t>
      </w:r>
      <w:r w:rsidRPr="00850EF9">
        <w:rPr>
          <w:rFonts w:ascii="Arial" w:hAnsi="Arial" w:cs="Arial"/>
          <w:noProof/>
          <w:sz w:val="20"/>
        </w:rPr>
        <w:tab/>
        <w:t>County court order for issue of document acknowledging child’s name and sex</w:t>
      </w:r>
    </w:p>
    <w:p w14:paraId="34D935D1" w14:textId="77777777" w:rsidR="00850EF9" w:rsidRPr="00850EF9" w:rsidRDefault="00850EF9">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w:t>
      </w:r>
      <w:r w:rsidRPr="00850EF9">
        <w:rPr>
          <w:rFonts w:ascii="Arial" w:hAnsi="Arial" w:cs="Arial"/>
          <w:noProof/>
          <w:sz w:val="20"/>
        </w:rPr>
        <w:tab/>
        <w:t>Issue of document acknowleding name and sex</w:t>
      </w:r>
    </w:p>
    <w:p w14:paraId="0BF25611" w14:textId="77777777" w:rsidR="00850EF9" w:rsidRPr="00850EF9" w:rsidRDefault="00850EF9" w:rsidP="007F2D3B">
      <w:pPr>
        <w:pStyle w:val="ListParagraph"/>
        <w:numPr>
          <w:ilvl w:val="0"/>
          <w:numId w:val="98"/>
        </w:numPr>
        <w:tabs>
          <w:tab w:val="left" w:pos="357"/>
        </w:tabs>
        <w:ind w:left="1247" w:hanging="1247"/>
        <w:contextualSpacing/>
        <w:jc w:val="both"/>
        <w:rPr>
          <w:rFonts w:ascii="Arial" w:hAnsi="Arial" w:cs="Arial"/>
          <w:sz w:val="20"/>
        </w:rPr>
      </w:pPr>
      <w:r w:rsidRPr="00850EF9">
        <w:rPr>
          <w:rFonts w:ascii="Arial" w:hAnsi="Arial" w:cs="Arial"/>
          <w:noProof/>
          <w:sz w:val="20"/>
        </w:rPr>
        <w:t>s.30FA</w:t>
      </w:r>
      <w:r w:rsidRPr="00850EF9">
        <w:rPr>
          <w:rFonts w:ascii="Arial" w:hAnsi="Arial" w:cs="Arial"/>
          <w:noProof/>
          <w:sz w:val="20"/>
        </w:rPr>
        <w:tab/>
        <w:t>Notification to registering authority of issuing of document acknowledging name and sex.</w:t>
      </w:r>
    </w:p>
    <w:p w14:paraId="46EFC977" w14:textId="77777777" w:rsidR="00237AC3" w:rsidRDefault="00237AC3" w:rsidP="007F2D3B">
      <w:pPr>
        <w:jc w:val="both"/>
        <w:rPr>
          <w:rFonts w:ascii="Arial" w:hAnsi="Arial" w:cs="Arial"/>
          <w:sz w:val="20"/>
        </w:rPr>
      </w:pPr>
    </w:p>
    <w:p w14:paraId="701CD0F5" w14:textId="024D35D7" w:rsidR="00951CEE" w:rsidRDefault="00951CEE" w:rsidP="00951CEE">
      <w:pPr>
        <w:pStyle w:val="Heading3"/>
        <w:widowControl/>
        <w:spacing w:line="240" w:lineRule="auto"/>
        <w:rPr>
          <w:rFonts w:ascii="Arial" w:hAnsi="Arial" w:cs="Arial"/>
          <w:b/>
          <w:bCs/>
          <w:sz w:val="20"/>
        </w:rPr>
      </w:pPr>
      <w:bookmarkStart w:id="429" w:name="_4.3.5_Jurisdiction_under"/>
      <w:bookmarkEnd w:id="429"/>
      <w:r>
        <w:rPr>
          <w:rFonts w:ascii="Arial" w:hAnsi="Arial" w:cs="Arial"/>
          <w:b/>
          <w:bCs/>
          <w:sz w:val="20"/>
        </w:rPr>
        <w:t>4.3.5</w:t>
      </w:r>
      <w:r>
        <w:rPr>
          <w:rFonts w:ascii="Arial" w:hAnsi="Arial" w:cs="Arial"/>
          <w:b/>
          <w:bCs/>
          <w:sz w:val="20"/>
        </w:rPr>
        <w:tab/>
        <w:t>Jurisdiction under the Firearms Act 1996</w:t>
      </w:r>
    </w:p>
    <w:p w14:paraId="1C894AA8" w14:textId="77777777" w:rsidR="00951CEE" w:rsidRPr="00951CEE" w:rsidRDefault="00951CEE" w:rsidP="00951CEE">
      <w:pPr>
        <w:jc w:val="both"/>
        <w:rPr>
          <w:rFonts w:ascii="Arial" w:hAnsi="Arial" w:cs="Arial"/>
          <w:sz w:val="20"/>
          <w:szCs w:val="20"/>
        </w:rPr>
      </w:pPr>
    </w:p>
    <w:p w14:paraId="5E6F5B63" w14:textId="279E36AC"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S</w:t>
      </w:r>
      <w:r w:rsidR="000609E5">
        <w:rPr>
          <w:rFonts w:ascii="Arial" w:hAnsi="Arial" w:cs="Arial"/>
          <w:b w:val="0"/>
          <w:bCs/>
          <w:sz w:val="20"/>
          <w:szCs w:val="20"/>
        </w:rPr>
        <w:t>ubsections (1), (1AA), (1A) &amp; (1B) of s.</w:t>
      </w:r>
      <w:r w:rsidRPr="00227168">
        <w:rPr>
          <w:rFonts w:ascii="Arial" w:hAnsi="Arial" w:cs="Arial"/>
          <w:b w:val="0"/>
          <w:bCs/>
          <w:sz w:val="20"/>
          <w:szCs w:val="20"/>
        </w:rPr>
        <w:t xml:space="preserve">189 of the </w:t>
      </w:r>
      <w:r w:rsidRPr="00227168">
        <w:rPr>
          <w:rFonts w:ascii="Arial" w:hAnsi="Arial" w:cs="Arial"/>
          <w:b w:val="0"/>
          <w:bCs/>
          <w:i/>
          <w:iCs/>
          <w:sz w:val="20"/>
          <w:szCs w:val="20"/>
        </w:rPr>
        <w:t>Firearms Act 1996</w:t>
      </w:r>
      <w:r w:rsidRPr="00227168">
        <w:rPr>
          <w:rFonts w:ascii="Arial" w:hAnsi="Arial" w:cs="Arial"/>
          <w:b w:val="0"/>
          <w:bCs/>
          <w:sz w:val="20"/>
          <w:szCs w:val="20"/>
        </w:rPr>
        <w:t xml:space="preserve"> (the Act) provide that a person who is any one of four of the many types of “</w:t>
      </w:r>
      <w:r w:rsidRPr="00227168">
        <w:rPr>
          <w:rFonts w:ascii="Arial" w:hAnsi="Arial" w:cs="Arial"/>
          <w:sz w:val="20"/>
          <w:szCs w:val="20"/>
        </w:rPr>
        <w:t>prohibited persons</w:t>
      </w:r>
      <w:r w:rsidRPr="00227168">
        <w:rPr>
          <w:rFonts w:ascii="Arial" w:hAnsi="Arial" w:cs="Arial"/>
          <w:b w:val="0"/>
          <w:bCs/>
          <w:sz w:val="20"/>
          <w:szCs w:val="20"/>
        </w:rPr>
        <w:t xml:space="preserve">” defined in s.3(1) of the Act may apply to the </w:t>
      </w:r>
      <w:r w:rsidRPr="001C277C">
        <w:rPr>
          <w:rFonts w:ascii="Arial" w:hAnsi="Arial" w:cs="Arial"/>
          <w:sz w:val="20"/>
          <w:szCs w:val="20"/>
        </w:rPr>
        <w:t>Court</w:t>
      </w:r>
      <w:r w:rsidRPr="00227168">
        <w:rPr>
          <w:rFonts w:ascii="Arial" w:hAnsi="Arial" w:cs="Arial"/>
          <w:b w:val="0"/>
          <w:bCs/>
          <w:sz w:val="20"/>
          <w:szCs w:val="20"/>
        </w:rPr>
        <w:t xml:space="preserve"> for a declaration that the person–</w:t>
      </w:r>
    </w:p>
    <w:p w14:paraId="7111C026"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deemed not to be a prohibited person; or</w:t>
      </w:r>
    </w:p>
    <w:p w14:paraId="5105742E" w14:textId="77777777" w:rsidR="00951CEE" w:rsidRPr="00227168" w:rsidRDefault="00951CEE">
      <w:pPr>
        <w:pStyle w:val="DraftHeading1"/>
        <w:numPr>
          <w:ilvl w:val="0"/>
          <w:numId w:val="107"/>
        </w:numPr>
        <w:tabs>
          <w:tab w:val="right" w:pos="680"/>
        </w:tabs>
        <w:spacing w:before="0"/>
        <w:ind w:left="357" w:hanging="357"/>
        <w:rPr>
          <w:rFonts w:ascii="Arial" w:hAnsi="Arial" w:cs="Arial"/>
          <w:b w:val="0"/>
          <w:bCs/>
          <w:sz w:val="20"/>
          <w:szCs w:val="20"/>
        </w:rPr>
      </w:pPr>
      <w:r w:rsidRPr="00227168">
        <w:rPr>
          <w:rFonts w:ascii="Arial" w:hAnsi="Arial" w:cs="Arial"/>
          <w:b w:val="0"/>
          <w:bCs/>
          <w:sz w:val="20"/>
          <w:szCs w:val="20"/>
        </w:rPr>
        <w:t>is so deemed for limited purposes only.</w:t>
      </w:r>
    </w:p>
    <w:p w14:paraId="08F181E0" w14:textId="77777777" w:rsidR="00951CEE" w:rsidRDefault="00951CEE" w:rsidP="00951CEE">
      <w:pPr>
        <w:pStyle w:val="DraftHeading1"/>
        <w:spacing w:before="0"/>
        <w:jc w:val="both"/>
        <w:rPr>
          <w:rFonts w:ascii="Arial" w:hAnsi="Arial" w:cs="Arial"/>
          <w:b w:val="0"/>
          <w:bCs/>
          <w:sz w:val="20"/>
          <w:szCs w:val="20"/>
        </w:rPr>
      </w:pPr>
    </w:p>
    <w:p w14:paraId="6D72C30F" w14:textId="76E6F9DC" w:rsidR="000609E5" w:rsidRPr="000609E5" w:rsidRDefault="000609E5" w:rsidP="000609E5">
      <w:pPr>
        <w:jc w:val="both"/>
        <w:rPr>
          <w:rFonts w:ascii="Arial" w:hAnsi="Arial" w:cs="Arial"/>
          <w:sz w:val="20"/>
          <w:szCs w:val="20"/>
        </w:rPr>
      </w:pPr>
      <w:r>
        <w:rPr>
          <w:rFonts w:ascii="Arial" w:hAnsi="Arial" w:cs="Arial"/>
          <w:sz w:val="20"/>
          <w:szCs w:val="20"/>
        </w:rPr>
        <w:t>Section 189(2A) of the Act provides that a person who is making an application under s.189 must give 28 days written notice of the application to–</w:t>
      </w:r>
    </w:p>
    <w:p w14:paraId="57B286B7" w14:textId="5B98BEE6"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registrar of the Court; and</w:t>
      </w:r>
    </w:p>
    <w:p w14:paraId="4289283D" w14:textId="17931991"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the Chief Commissioner; and</w:t>
      </w:r>
    </w:p>
    <w:p w14:paraId="10802273" w14:textId="7B2CCF8D" w:rsidR="000609E5" w:rsidRDefault="000609E5">
      <w:pPr>
        <w:pStyle w:val="DraftHeading1"/>
        <w:numPr>
          <w:ilvl w:val="0"/>
          <w:numId w:val="107"/>
        </w:numPr>
        <w:tabs>
          <w:tab w:val="right" w:pos="680"/>
        </w:tabs>
        <w:spacing w:before="0"/>
        <w:ind w:left="357" w:hanging="357"/>
        <w:rPr>
          <w:rFonts w:ascii="Arial" w:hAnsi="Arial" w:cs="Arial"/>
          <w:b w:val="0"/>
          <w:bCs/>
          <w:sz w:val="20"/>
          <w:szCs w:val="20"/>
        </w:rPr>
      </w:pPr>
      <w:r>
        <w:rPr>
          <w:rFonts w:ascii="Arial" w:hAnsi="Arial" w:cs="Arial"/>
          <w:b w:val="0"/>
          <w:bCs/>
          <w:sz w:val="20"/>
          <w:szCs w:val="20"/>
        </w:rPr>
        <w:t>in the case of an application under subsection (1) or (1AA), the person protected by the final order.</w:t>
      </w:r>
    </w:p>
    <w:p w14:paraId="56027A1C" w14:textId="77777777" w:rsidR="000609E5" w:rsidRPr="000609E5" w:rsidRDefault="000609E5" w:rsidP="000609E5">
      <w:pPr>
        <w:rPr>
          <w:rFonts w:ascii="Arial" w:hAnsi="Arial" w:cs="Arial"/>
          <w:sz w:val="20"/>
          <w:szCs w:val="20"/>
        </w:rPr>
      </w:pPr>
    </w:p>
    <w:p w14:paraId="13107340" w14:textId="7B6076C5" w:rsidR="00A20D3E" w:rsidRPr="00227168" w:rsidRDefault="00A20D3E" w:rsidP="00A20D3E">
      <w:pPr>
        <w:pStyle w:val="DraftHeading1"/>
        <w:spacing w:before="0"/>
        <w:jc w:val="both"/>
        <w:rPr>
          <w:rFonts w:ascii="Arial" w:hAnsi="Arial" w:cs="Arial"/>
          <w:b w:val="0"/>
          <w:bCs/>
          <w:sz w:val="20"/>
          <w:szCs w:val="20"/>
        </w:rPr>
      </w:pPr>
      <w:r>
        <w:rPr>
          <w:rFonts w:ascii="Arial" w:hAnsi="Arial" w:cs="Arial"/>
          <w:b w:val="0"/>
          <w:bCs/>
          <w:sz w:val="20"/>
          <w:szCs w:val="20"/>
        </w:rPr>
        <w:t xml:space="preserve">Section </w:t>
      </w:r>
      <w:r w:rsidR="000609E5">
        <w:rPr>
          <w:rFonts w:ascii="Arial" w:hAnsi="Arial" w:cs="Arial"/>
          <w:b w:val="0"/>
          <w:bCs/>
          <w:sz w:val="20"/>
          <w:szCs w:val="20"/>
        </w:rPr>
        <w:t xml:space="preserve">189(3) of the Act provides </w:t>
      </w:r>
      <w:r w:rsidRPr="00227168">
        <w:rPr>
          <w:rFonts w:ascii="Arial" w:hAnsi="Arial" w:cs="Arial"/>
          <w:b w:val="0"/>
          <w:bCs/>
          <w:sz w:val="20"/>
          <w:szCs w:val="20"/>
        </w:rPr>
        <w:t xml:space="preserve">that in s.189 </w:t>
      </w:r>
      <w:r w:rsidRPr="00227168">
        <w:rPr>
          <w:rFonts w:ascii="Arial" w:hAnsi="Arial" w:cs="Arial"/>
          <w:sz w:val="20"/>
          <w:szCs w:val="20"/>
        </w:rPr>
        <w:t>Court</w:t>
      </w:r>
      <w:r w:rsidRPr="00227168">
        <w:rPr>
          <w:rFonts w:ascii="Arial" w:hAnsi="Arial" w:cs="Arial"/>
          <w:b w:val="0"/>
          <w:bCs/>
          <w:sz w:val="20"/>
          <w:szCs w:val="20"/>
        </w:rPr>
        <w:t xml:space="preserve"> means–</w:t>
      </w:r>
    </w:p>
    <w:p w14:paraId="79220D74"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189(3)(a)</w:t>
      </w:r>
      <w:r w:rsidRPr="00227168">
        <w:rPr>
          <w:rFonts w:ascii="Arial" w:hAnsi="Arial" w:cs="Arial"/>
          <w:b w:val="0"/>
          <w:bCs/>
          <w:sz w:val="20"/>
          <w:szCs w:val="20"/>
          <w:lang w:eastAsia="en-AU"/>
        </w:rPr>
        <w:t>: In the case of a person who was made the subject of an order referred to in s.189(1) or s.189(1AA)–</w:t>
      </w:r>
    </w:p>
    <w:p w14:paraId="2A6B059E"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Victoria, the court which made the order; or</w:t>
      </w:r>
    </w:p>
    <w:p w14:paraId="66C33638" w14:textId="77777777" w:rsidR="00A20D3E" w:rsidRPr="00227168" w:rsidRDefault="00A20D3E">
      <w:pPr>
        <w:numPr>
          <w:ilvl w:val="0"/>
          <w:numId w:val="109"/>
        </w:numPr>
        <w:ind w:left="867" w:hanging="510"/>
        <w:rPr>
          <w:rFonts w:ascii="Arial" w:hAnsi="Arial" w:cs="Arial"/>
          <w:sz w:val="20"/>
          <w:szCs w:val="20"/>
        </w:rPr>
      </w:pPr>
      <w:r w:rsidRPr="00227168">
        <w:rPr>
          <w:rFonts w:ascii="Arial" w:hAnsi="Arial" w:cs="Arial"/>
          <w:sz w:val="20"/>
          <w:szCs w:val="20"/>
        </w:rPr>
        <w:t>in another State or a Territory or in New Zealand, the Supreme Court.</w:t>
      </w:r>
    </w:p>
    <w:p w14:paraId="6A03E88B" w14:textId="77777777" w:rsidR="00A20D3E" w:rsidRPr="00227168" w:rsidRDefault="00A20D3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t>Section 189(3)(b)</w:t>
      </w:r>
      <w:r w:rsidRPr="00227168">
        <w:rPr>
          <w:rFonts w:ascii="Arial" w:hAnsi="Arial" w:cs="Arial"/>
          <w:b w:val="0"/>
          <w:bCs/>
          <w:sz w:val="20"/>
          <w:szCs w:val="20"/>
          <w:lang w:eastAsia="en-AU"/>
        </w:rPr>
        <w:t>: In the case of a person to whom s.189(1A) applies–</w:t>
      </w:r>
    </w:p>
    <w:p w14:paraId="32FD1369" w14:textId="77777777" w:rsidR="00A20D3E" w:rsidRPr="00227168" w:rsidRDefault="00A20D3E">
      <w:pPr>
        <w:numPr>
          <w:ilvl w:val="0"/>
          <w:numId w:val="110"/>
        </w:numPr>
        <w:ind w:left="867" w:hanging="510"/>
        <w:rPr>
          <w:rFonts w:ascii="Arial" w:hAnsi="Arial" w:cs="Arial"/>
          <w:sz w:val="20"/>
          <w:szCs w:val="20"/>
        </w:rPr>
      </w:pPr>
      <w:r w:rsidRPr="00227168">
        <w:rPr>
          <w:rFonts w:ascii="Arial" w:hAnsi="Arial" w:cs="Arial"/>
          <w:sz w:val="20"/>
          <w:szCs w:val="20"/>
        </w:rPr>
        <w:t>if a Victorian court found the person guilty, that court; or</w:t>
      </w:r>
    </w:p>
    <w:p w14:paraId="31DE60BD" w14:textId="77777777" w:rsidR="00A20D3E" w:rsidRDefault="00A20D3E">
      <w:pPr>
        <w:numPr>
          <w:ilvl w:val="0"/>
          <w:numId w:val="110"/>
        </w:numPr>
        <w:ind w:left="867" w:hanging="510"/>
        <w:rPr>
          <w:rFonts w:ascii="Arial" w:hAnsi="Arial" w:cs="Arial"/>
          <w:sz w:val="20"/>
          <w:szCs w:val="20"/>
        </w:rPr>
      </w:pPr>
      <w:r w:rsidRPr="00227168">
        <w:rPr>
          <w:rFonts w:ascii="Arial" w:hAnsi="Arial" w:cs="Arial"/>
          <w:sz w:val="20"/>
          <w:szCs w:val="20"/>
        </w:rPr>
        <w:t>if a court in another State or a Territory found the person guilty, the Supreme Court.</w:t>
      </w:r>
    </w:p>
    <w:p w14:paraId="27CD8913" w14:textId="77777777" w:rsidR="00A20D3E" w:rsidRPr="00A20D3E" w:rsidRDefault="00A20D3E" w:rsidP="00A20D3E"/>
    <w:p w14:paraId="5946E4A6" w14:textId="4D8DFFCD" w:rsidR="00951CEE" w:rsidRPr="00227168" w:rsidRDefault="00951CEE" w:rsidP="00951CEE">
      <w:pPr>
        <w:pStyle w:val="DraftHeading1"/>
        <w:spacing w:before="0"/>
        <w:jc w:val="both"/>
        <w:rPr>
          <w:rFonts w:ascii="Arial" w:hAnsi="Arial" w:cs="Arial"/>
          <w:b w:val="0"/>
          <w:bCs/>
          <w:sz w:val="20"/>
          <w:szCs w:val="20"/>
        </w:rPr>
      </w:pPr>
      <w:r w:rsidRPr="00227168">
        <w:rPr>
          <w:rFonts w:ascii="Arial" w:hAnsi="Arial" w:cs="Arial"/>
          <w:b w:val="0"/>
          <w:bCs/>
          <w:sz w:val="20"/>
          <w:szCs w:val="20"/>
        </w:rPr>
        <w:t xml:space="preserve">So far as s.189 applies to a person who is the subject of an order made by the Children’s Court of Victoria, 3 of those 4 types </w:t>
      </w:r>
      <w:r w:rsidR="000609E5">
        <w:rPr>
          <w:rFonts w:ascii="Arial" w:hAnsi="Arial" w:cs="Arial"/>
          <w:b w:val="0"/>
          <w:bCs/>
          <w:sz w:val="20"/>
          <w:szCs w:val="20"/>
        </w:rPr>
        <w:t xml:space="preserve">of “prohibited persons” </w:t>
      </w:r>
      <w:r w:rsidRPr="00227168">
        <w:rPr>
          <w:rFonts w:ascii="Arial" w:hAnsi="Arial" w:cs="Arial"/>
          <w:b w:val="0"/>
          <w:bCs/>
          <w:sz w:val="20"/>
          <w:szCs w:val="20"/>
        </w:rPr>
        <w:t xml:space="preserve">are </w:t>
      </w:r>
      <w:r w:rsidR="000609E5">
        <w:rPr>
          <w:rFonts w:ascii="Arial" w:hAnsi="Arial" w:cs="Arial"/>
          <w:b w:val="0"/>
          <w:bCs/>
          <w:sz w:val="20"/>
          <w:szCs w:val="20"/>
        </w:rPr>
        <w:t>relevant</w:t>
      </w:r>
      <w:r w:rsidRPr="00227168">
        <w:rPr>
          <w:rFonts w:ascii="Arial" w:hAnsi="Arial" w:cs="Arial"/>
          <w:b w:val="0"/>
          <w:bCs/>
          <w:sz w:val="20"/>
          <w:szCs w:val="20"/>
        </w:rPr>
        <w:t>.  These are–</w:t>
      </w:r>
    </w:p>
    <w:p w14:paraId="0FBE8947" w14:textId="77777777" w:rsidR="00951CEE" w:rsidRPr="00227168" w:rsidRDefault="00951CEE">
      <w:pPr>
        <w:pStyle w:val="DraftHeading1"/>
        <w:keepNext/>
        <w:keepLines/>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lang w:eastAsia="en-AU"/>
        </w:rPr>
        <w:lastRenderedPageBreak/>
        <w:t>Section 189(1) – Paragraph (c)(i) of definition</w:t>
      </w:r>
      <w:r w:rsidRPr="00227168">
        <w:rPr>
          <w:rFonts w:ascii="Arial" w:hAnsi="Arial" w:cs="Arial"/>
          <w:b w:val="0"/>
          <w:bCs/>
          <w:sz w:val="20"/>
          <w:szCs w:val="20"/>
          <w:lang w:eastAsia="en-AU"/>
        </w:rPr>
        <w:t>:</w:t>
      </w:r>
    </w:p>
    <w:p w14:paraId="1BA51B86" w14:textId="21011C53" w:rsidR="00951CEE" w:rsidRPr="00227168" w:rsidRDefault="00951CEE" w:rsidP="00951CEE">
      <w:pPr>
        <w:pStyle w:val="DraftHeading1"/>
        <w:tabs>
          <w:tab w:val="right" w:pos="680"/>
        </w:tabs>
        <w:spacing w:before="0"/>
        <w:jc w:val="both"/>
        <w:rPr>
          <w:rFonts w:ascii="Arial" w:hAnsi="Arial" w:cs="Arial"/>
          <w:b w:val="0"/>
          <w:bCs/>
          <w:sz w:val="20"/>
          <w:szCs w:val="20"/>
          <w:lang w:eastAsia="en-AU"/>
        </w:rPr>
      </w:pPr>
      <w:r w:rsidRPr="00227168">
        <w:rPr>
          <w:rFonts w:ascii="Arial" w:hAnsi="Arial" w:cs="Arial"/>
          <w:b w:val="0"/>
          <w:bCs/>
          <w:sz w:val="20"/>
          <w:szCs w:val="20"/>
        </w:rPr>
        <w:t xml:space="preserve">A person who is subject to </w:t>
      </w:r>
      <w:r w:rsidRPr="00227168">
        <w:rPr>
          <w:rFonts w:ascii="Arial" w:hAnsi="Arial" w:cs="Arial"/>
          <w:b w:val="0"/>
          <w:bCs/>
          <w:sz w:val="20"/>
          <w:szCs w:val="20"/>
          <w:lang w:eastAsia="en-AU"/>
        </w:rPr>
        <w:t xml:space="preserve">a final order under the </w:t>
      </w:r>
      <w:r w:rsidRPr="00227168">
        <w:rPr>
          <w:rFonts w:ascii="Arial" w:hAnsi="Arial" w:cs="Arial"/>
          <w:b w:val="0"/>
          <w:bCs/>
          <w:i/>
          <w:iCs/>
          <w:sz w:val="20"/>
          <w:szCs w:val="20"/>
          <w:lang w:eastAsia="en-AU"/>
        </w:rPr>
        <w:t>Family Violence Protection Act 2008</w:t>
      </w:r>
      <w:r w:rsidRPr="00227168">
        <w:rPr>
          <w:rFonts w:ascii="Arial" w:hAnsi="Arial" w:cs="Arial"/>
          <w:b w:val="0"/>
          <w:bCs/>
          <w:sz w:val="20"/>
          <w:szCs w:val="20"/>
          <w:lang w:eastAsia="en-AU"/>
        </w:rPr>
        <w:t xml:space="preserve"> that does not include conditions cancelling or revoking a licence, permit or authority under the Act; or</w:t>
      </w:r>
    </w:p>
    <w:p w14:paraId="281D9609"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sz w:val="20"/>
          <w:szCs w:val="20"/>
        </w:rPr>
        <w:t>Section 189(1AA) – Pa</w:t>
      </w:r>
      <w:r w:rsidRPr="00227168">
        <w:rPr>
          <w:rFonts w:ascii="Arial" w:hAnsi="Arial" w:cs="Arial"/>
          <w:bCs/>
          <w:sz w:val="20"/>
          <w:szCs w:val="20"/>
        </w:rPr>
        <w:t>ragraph (c)(ib) of definition</w:t>
      </w:r>
      <w:r w:rsidRPr="00227168">
        <w:rPr>
          <w:rFonts w:ascii="Arial" w:hAnsi="Arial" w:cs="Arial"/>
          <w:sz w:val="20"/>
          <w:szCs w:val="20"/>
        </w:rPr>
        <w:t>:</w:t>
      </w:r>
    </w:p>
    <w:p w14:paraId="12118D25" w14:textId="6A955E19" w:rsidR="00951CEE" w:rsidRPr="00227168" w:rsidRDefault="00951CEE" w:rsidP="00951CEE">
      <w:pPr>
        <w:pStyle w:val="DraftHeading4"/>
        <w:tabs>
          <w:tab w:val="right" w:pos="2268"/>
        </w:tabs>
        <w:spacing w:before="0"/>
        <w:jc w:val="both"/>
        <w:rPr>
          <w:rFonts w:ascii="Arial" w:hAnsi="Arial" w:cs="Arial"/>
          <w:sz w:val="20"/>
        </w:rPr>
      </w:pPr>
      <w:r w:rsidRPr="00227168">
        <w:rPr>
          <w:rFonts w:ascii="Arial" w:hAnsi="Arial" w:cs="Arial"/>
          <w:sz w:val="20"/>
        </w:rPr>
        <w:t xml:space="preserve">A person who is subject to a final order under the </w:t>
      </w:r>
      <w:r w:rsidRPr="00227168">
        <w:rPr>
          <w:rFonts w:ascii="Arial" w:hAnsi="Arial" w:cs="Arial"/>
          <w:bCs/>
          <w:i/>
          <w:iCs/>
          <w:sz w:val="20"/>
          <w:lang w:eastAsia="en-AU"/>
        </w:rPr>
        <w:t>Personal Safety Intervention Orders Act 2010</w:t>
      </w:r>
      <w:r w:rsidRPr="00227168">
        <w:rPr>
          <w:rFonts w:ascii="Arial" w:hAnsi="Arial" w:cs="Arial"/>
          <w:b/>
          <w:sz w:val="20"/>
          <w:lang w:eastAsia="en-AU"/>
        </w:rPr>
        <w:t xml:space="preserve"> </w:t>
      </w:r>
      <w:r w:rsidRPr="00227168">
        <w:rPr>
          <w:rFonts w:ascii="Arial" w:hAnsi="Arial" w:cs="Arial"/>
          <w:sz w:val="20"/>
        </w:rPr>
        <w:t>that does not cancel or suspend a licence, permit or authority under this Act; or</w:t>
      </w:r>
    </w:p>
    <w:p w14:paraId="46608EEC" w14:textId="77777777" w:rsidR="00951CEE" w:rsidRPr="00227168" w:rsidRDefault="00951CEE">
      <w:pPr>
        <w:pStyle w:val="DraftHeading1"/>
        <w:numPr>
          <w:ilvl w:val="0"/>
          <w:numId w:val="107"/>
        </w:numPr>
        <w:tabs>
          <w:tab w:val="right" w:pos="680"/>
        </w:tabs>
        <w:spacing w:before="0"/>
        <w:ind w:left="357" w:hanging="357"/>
        <w:jc w:val="both"/>
        <w:rPr>
          <w:rFonts w:ascii="Arial" w:hAnsi="Arial" w:cs="Arial"/>
          <w:b w:val="0"/>
          <w:bCs/>
          <w:sz w:val="20"/>
          <w:szCs w:val="20"/>
          <w:lang w:eastAsia="en-AU"/>
        </w:rPr>
      </w:pPr>
      <w:r w:rsidRPr="00227168">
        <w:rPr>
          <w:rFonts w:ascii="Arial" w:hAnsi="Arial" w:cs="Arial"/>
          <w:bCs/>
          <w:sz w:val="20"/>
          <w:szCs w:val="20"/>
          <w:lang w:eastAsia="en-AU"/>
        </w:rPr>
        <w:t>Section 189(1A) – Paragraph (d) of definition</w:t>
      </w:r>
      <w:r w:rsidRPr="00227168">
        <w:rPr>
          <w:rFonts w:ascii="Arial" w:hAnsi="Arial" w:cs="Arial"/>
          <w:sz w:val="20"/>
          <w:szCs w:val="20"/>
          <w:lang w:eastAsia="en-AU"/>
        </w:rPr>
        <w:t>:</w:t>
      </w:r>
    </w:p>
    <w:p w14:paraId="0157BC58" w14:textId="77777777" w:rsidR="00951CEE" w:rsidRPr="00227168" w:rsidRDefault="00951CEE" w:rsidP="00951CEE">
      <w:pPr>
        <w:pStyle w:val="DraftHeading5"/>
        <w:tabs>
          <w:tab w:val="right" w:pos="2778"/>
        </w:tabs>
        <w:spacing w:before="0"/>
        <w:jc w:val="both"/>
        <w:rPr>
          <w:rFonts w:ascii="Arial" w:hAnsi="Arial" w:cs="Arial"/>
          <w:b/>
          <w:bCs/>
          <w:sz w:val="20"/>
          <w:lang w:eastAsia="en-AU"/>
        </w:rPr>
      </w:pPr>
      <w:r w:rsidRPr="00227168">
        <w:rPr>
          <w:rFonts w:ascii="Arial" w:hAnsi="Arial" w:cs="Arial"/>
          <w:sz w:val="20"/>
          <w:lang w:eastAsia="en-AU"/>
        </w:rPr>
        <w:t>A person in relation to whom not more than 12 months have expired since that person was found guilty by the Children’s Court of Victoria of</w:t>
      </w:r>
      <w:r w:rsidRPr="00227168">
        <w:rPr>
          <w:rFonts w:ascii="Arial" w:hAnsi="Arial" w:cs="Arial"/>
          <w:b/>
          <w:bCs/>
          <w:sz w:val="20"/>
        </w:rPr>
        <w:t>–</w:t>
      </w:r>
    </w:p>
    <w:p w14:paraId="1DE12FD2"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the Firearms Act 1996, in relation to which it was open to the court to impose a term of imprisonment; or</w:t>
      </w:r>
    </w:p>
    <w:p w14:paraId="62F45970"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offence against any other Act involving the possession or use of firearms and in relation to which it was open to the court to impose a term of imprisonment; or</w:t>
      </w:r>
    </w:p>
    <w:p w14:paraId="53181456" w14:textId="77777777" w:rsidR="00951CEE" w:rsidRPr="00227168" w:rsidRDefault="00951CEE">
      <w:pPr>
        <w:pStyle w:val="ListParagraph"/>
        <w:numPr>
          <w:ilvl w:val="0"/>
          <w:numId w:val="108"/>
        </w:numPr>
        <w:overflowPunct w:val="0"/>
        <w:autoSpaceDE w:val="0"/>
        <w:autoSpaceDN w:val="0"/>
        <w:adjustRightInd w:val="0"/>
        <w:ind w:left="510" w:hanging="510"/>
        <w:contextualSpacing/>
        <w:jc w:val="both"/>
        <w:textAlignment w:val="baseline"/>
        <w:rPr>
          <w:rFonts w:ascii="Arial" w:hAnsi="Arial" w:cs="Arial"/>
          <w:sz w:val="20"/>
        </w:rPr>
      </w:pPr>
      <w:r w:rsidRPr="00227168">
        <w:rPr>
          <w:rFonts w:ascii="Arial" w:hAnsi="Arial" w:cs="Arial"/>
          <w:sz w:val="20"/>
        </w:rPr>
        <w:t>an indictable offence</w:t>
      </w:r>
      <w:r w:rsidRPr="00227168">
        <w:rPr>
          <w:rFonts w:ascii="Arial" w:hAnsi="Arial" w:cs="Arial"/>
          <w:b/>
          <w:bCs/>
          <w:sz w:val="20"/>
        </w:rPr>
        <w:t>–</w:t>
      </w:r>
    </w:p>
    <w:p w14:paraId="5DD105F3" w14:textId="77777777" w:rsidR="00951CEE" w:rsidRDefault="00951CEE" w:rsidP="00951CEE">
      <w:pPr>
        <w:jc w:val="both"/>
        <w:rPr>
          <w:rFonts w:ascii="Arial" w:hAnsi="Arial" w:cs="Arial"/>
          <w:sz w:val="20"/>
          <w:szCs w:val="20"/>
        </w:rPr>
      </w:pPr>
      <w:r w:rsidRPr="00227168">
        <w:rPr>
          <w:rFonts w:ascii="Arial" w:hAnsi="Arial" w:cs="Arial"/>
          <w:sz w:val="20"/>
          <w:szCs w:val="20"/>
        </w:rPr>
        <w:t>and who is not, by virtue of the operation of any other paragraph of this definition, a prohibited person.</w:t>
      </w:r>
    </w:p>
    <w:p w14:paraId="75DD1CD5" w14:textId="77777777" w:rsidR="007F2D3B" w:rsidRPr="00227168" w:rsidRDefault="007F2D3B" w:rsidP="00951CEE">
      <w:pPr>
        <w:jc w:val="both"/>
        <w:rPr>
          <w:rFonts w:ascii="Arial" w:hAnsi="Arial" w:cs="Arial"/>
          <w:sz w:val="20"/>
          <w:szCs w:val="20"/>
        </w:rPr>
      </w:pPr>
    </w:p>
    <w:p w14:paraId="0399F4FF" w14:textId="5D0B2ECD" w:rsidR="007F2D3B" w:rsidRPr="00227168" w:rsidRDefault="007F2D3B" w:rsidP="007F2D3B">
      <w:pPr>
        <w:jc w:val="both"/>
        <w:rPr>
          <w:rFonts w:ascii="Arial" w:hAnsi="Arial" w:cs="Arial"/>
          <w:sz w:val="20"/>
          <w:szCs w:val="20"/>
        </w:rPr>
      </w:pPr>
      <w:r>
        <w:rPr>
          <w:rFonts w:ascii="Arial" w:hAnsi="Arial" w:cs="Arial"/>
          <w:sz w:val="20"/>
          <w:szCs w:val="20"/>
        </w:rPr>
        <w:t>Not only does the Children’s Court have jurisdiction to hear and determine applications under s.189 of the Act in some fact situations, it also has exclusive jurisdiction in those situations.  Further, the applicant does not have to be a child at the time of filing the application or at the time the application is heard and determined if the other statutory pre-requisites are satisfied.</w:t>
      </w:r>
    </w:p>
    <w:p w14:paraId="3A41245D" w14:textId="77777777" w:rsidR="00951CEE" w:rsidRDefault="00951CEE" w:rsidP="006A2AF6">
      <w:pPr>
        <w:jc w:val="both"/>
        <w:rPr>
          <w:rFonts w:ascii="Arial" w:hAnsi="Arial" w:cs="Arial"/>
          <w:sz w:val="20"/>
        </w:rPr>
      </w:pPr>
    </w:p>
    <w:p w14:paraId="7138F639" w14:textId="310D775D" w:rsidR="004B44C6" w:rsidRPr="004B44C6" w:rsidRDefault="004B44C6" w:rsidP="006A2AF6">
      <w:pPr>
        <w:jc w:val="both"/>
        <w:rPr>
          <w:rFonts w:ascii="Arial" w:hAnsi="Arial" w:cs="Arial"/>
          <w:sz w:val="20"/>
          <w:szCs w:val="20"/>
        </w:rPr>
      </w:pPr>
      <w:r w:rsidRPr="004B44C6">
        <w:rPr>
          <w:rFonts w:ascii="Arial" w:hAnsi="Arial" w:cs="Arial"/>
          <w:sz w:val="20"/>
          <w:szCs w:val="20"/>
        </w:rPr>
        <w:t xml:space="preserve">Cases </w:t>
      </w:r>
      <w:r w:rsidR="00350997">
        <w:rPr>
          <w:rFonts w:ascii="Arial" w:hAnsi="Arial" w:cs="Arial"/>
          <w:sz w:val="20"/>
          <w:szCs w:val="20"/>
        </w:rPr>
        <w:t xml:space="preserve">in which s.189 of the </w:t>
      </w:r>
      <w:r w:rsidR="00D31584">
        <w:rPr>
          <w:rFonts w:ascii="Arial" w:hAnsi="Arial" w:cs="Arial"/>
          <w:sz w:val="20"/>
          <w:szCs w:val="20"/>
        </w:rPr>
        <w:t xml:space="preserve">Firearms </w:t>
      </w:r>
      <w:r w:rsidR="00350997">
        <w:rPr>
          <w:rFonts w:ascii="Arial" w:hAnsi="Arial" w:cs="Arial"/>
          <w:sz w:val="20"/>
          <w:szCs w:val="20"/>
        </w:rPr>
        <w:t xml:space="preserve">Act </w:t>
      </w:r>
      <w:r w:rsidR="00D31584">
        <w:rPr>
          <w:rFonts w:ascii="Arial" w:hAnsi="Arial" w:cs="Arial"/>
          <w:sz w:val="20"/>
          <w:szCs w:val="20"/>
        </w:rPr>
        <w:t xml:space="preserve">1996 </w:t>
      </w:r>
      <w:r w:rsidR="00350997">
        <w:rPr>
          <w:rFonts w:ascii="Arial" w:hAnsi="Arial" w:cs="Arial"/>
          <w:sz w:val="20"/>
          <w:szCs w:val="20"/>
        </w:rPr>
        <w:t xml:space="preserve">has been discussed </w:t>
      </w:r>
      <w:r w:rsidRPr="004B44C6">
        <w:rPr>
          <w:rFonts w:ascii="Arial" w:hAnsi="Arial" w:cs="Arial"/>
          <w:sz w:val="20"/>
          <w:szCs w:val="20"/>
        </w:rPr>
        <w:t xml:space="preserve">include </w:t>
      </w:r>
      <w:r w:rsidRPr="004B44C6">
        <w:rPr>
          <w:rFonts w:ascii="Arial" w:hAnsi="Arial" w:cs="Arial"/>
          <w:i/>
          <w:iCs/>
          <w:sz w:val="20"/>
          <w:szCs w:val="20"/>
        </w:rPr>
        <w:t>Russo v The Chief Commissioner of Police</w:t>
      </w:r>
      <w:r w:rsidRPr="004B44C6">
        <w:rPr>
          <w:rFonts w:ascii="Arial" w:hAnsi="Arial" w:cs="Arial"/>
          <w:sz w:val="20"/>
          <w:szCs w:val="20"/>
        </w:rPr>
        <w:t xml:space="preserve"> [2024] VSC 179 esp. at [31]-[37] &amp; [45]-[53]; </w:t>
      </w:r>
      <w:r w:rsidRPr="004B44C6">
        <w:rPr>
          <w:rFonts w:ascii="Arial" w:hAnsi="Arial" w:cs="Arial"/>
          <w:i/>
          <w:iCs/>
          <w:sz w:val="20"/>
          <w:szCs w:val="20"/>
        </w:rPr>
        <w:t>Pickford v Chief Commissioner of Police</w:t>
      </w:r>
      <w:r w:rsidRPr="004B44C6">
        <w:rPr>
          <w:rFonts w:ascii="Arial" w:hAnsi="Arial" w:cs="Arial"/>
          <w:sz w:val="20"/>
          <w:szCs w:val="20"/>
        </w:rPr>
        <w:t xml:space="preserve"> [2002] VSC </w:t>
      </w:r>
      <w:r>
        <w:rPr>
          <w:rFonts w:ascii="Arial" w:hAnsi="Arial" w:cs="Arial"/>
          <w:sz w:val="20"/>
          <w:szCs w:val="20"/>
        </w:rPr>
        <w:t xml:space="preserve">435 </w:t>
      </w:r>
      <w:r w:rsidRPr="004B44C6">
        <w:rPr>
          <w:rFonts w:ascii="Arial" w:hAnsi="Arial" w:cs="Arial"/>
          <w:sz w:val="20"/>
          <w:szCs w:val="20"/>
        </w:rPr>
        <w:t xml:space="preserve">at [6]-[7]; </w:t>
      </w:r>
      <w:r w:rsidRPr="004F401A">
        <w:rPr>
          <w:rFonts w:ascii="Arial" w:hAnsi="Arial" w:cs="Arial"/>
          <w:i/>
          <w:iCs/>
          <w:sz w:val="20"/>
          <w:szCs w:val="20"/>
        </w:rPr>
        <w:t>Clark v Chief Commissioner of Police</w:t>
      </w:r>
      <w:r>
        <w:rPr>
          <w:rFonts w:ascii="Arial" w:hAnsi="Arial" w:cs="Arial"/>
          <w:sz w:val="20"/>
          <w:szCs w:val="20"/>
        </w:rPr>
        <w:t xml:space="preserve"> [</w:t>
      </w:r>
      <w:r w:rsidR="004F401A">
        <w:rPr>
          <w:rFonts w:ascii="Arial" w:hAnsi="Arial" w:cs="Arial"/>
          <w:sz w:val="20"/>
          <w:szCs w:val="20"/>
        </w:rPr>
        <w:t>2010</w:t>
      </w:r>
      <w:r>
        <w:rPr>
          <w:rFonts w:ascii="Arial" w:hAnsi="Arial" w:cs="Arial"/>
          <w:sz w:val="20"/>
          <w:szCs w:val="20"/>
        </w:rPr>
        <w:t>]</w:t>
      </w:r>
      <w:r w:rsidR="004F401A">
        <w:rPr>
          <w:rFonts w:ascii="Arial" w:hAnsi="Arial" w:cs="Arial"/>
          <w:sz w:val="20"/>
          <w:szCs w:val="20"/>
        </w:rPr>
        <w:t xml:space="preserve"> VSC 144; </w:t>
      </w:r>
      <w:r w:rsidR="004F401A" w:rsidRPr="004F401A">
        <w:rPr>
          <w:rFonts w:ascii="Arial" w:hAnsi="Arial" w:cs="Arial"/>
          <w:i/>
          <w:iCs/>
          <w:sz w:val="20"/>
          <w:szCs w:val="20"/>
        </w:rPr>
        <w:t>Swebbs v Magistrates’ Court of Victoria</w:t>
      </w:r>
      <w:r w:rsidR="004F401A">
        <w:rPr>
          <w:rFonts w:ascii="Arial" w:hAnsi="Arial" w:cs="Arial"/>
          <w:sz w:val="20"/>
          <w:szCs w:val="20"/>
        </w:rPr>
        <w:t xml:space="preserve"> [2017] VSC 229 at [13]; </w:t>
      </w:r>
      <w:r w:rsidR="004F401A" w:rsidRPr="004F401A">
        <w:rPr>
          <w:rFonts w:ascii="Arial" w:hAnsi="Arial" w:cs="Arial"/>
          <w:i/>
          <w:iCs/>
          <w:sz w:val="20"/>
          <w:szCs w:val="20"/>
        </w:rPr>
        <w:t>SBW v Chief Commissioner of Police</w:t>
      </w:r>
      <w:r w:rsidR="004F401A">
        <w:rPr>
          <w:rFonts w:ascii="Arial" w:hAnsi="Arial" w:cs="Arial"/>
          <w:sz w:val="20"/>
          <w:szCs w:val="20"/>
        </w:rPr>
        <w:t xml:space="preserve"> [2023] VSC 447 at [30]-[32].</w:t>
      </w:r>
    </w:p>
    <w:p w14:paraId="1FA29DBE" w14:textId="5C52074D" w:rsidR="004B44C6" w:rsidRDefault="004B44C6" w:rsidP="006A2AF6">
      <w:pPr>
        <w:jc w:val="both"/>
        <w:rPr>
          <w:rFonts w:ascii="Arial" w:hAnsi="Arial" w:cs="Arial"/>
          <w:sz w:val="20"/>
        </w:rPr>
      </w:pPr>
    </w:p>
    <w:p w14:paraId="6DF13B67" w14:textId="039E4F66" w:rsidR="00693223" w:rsidRDefault="00693223" w:rsidP="00715D6B">
      <w:pPr>
        <w:pStyle w:val="Heading2"/>
        <w:widowControl/>
        <w:tabs>
          <w:tab w:val="left" w:pos="567"/>
        </w:tabs>
        <w:spacing w:line="240" w:lineRule="auto"/>
        <w:rPr>
          <w:rFonts w:ascii="Arial" w:hAnsi="Arial" w:cs="Arial"/>
          <w:b/>
          <w:bCs/>
        </w:rPr>
      </w:pPr>
      <w:bookmarkStart w:id="430" w:name="_4.4_Definitions_of_1"/>
      <w:bookmarkEnd w:id="430"/>
      <w:r>
        <w:rPr>
          <w:rFonts w:ascii="Arial" w:hAnsi="Arial" w:cs="Arial"/>
          <w:b/>
          <w:bCs/>
        </w:rPr>
        <w:t>4.</w:t>
      </w:r>
      <w:r w:rsidR="005D57AF">
        <w:rPr>
          <w:rFonts w:ascii="Arial" w:hAnsi="Arial" w:cs="Arial"/>
          <w:b/>
          <w:bCs/>
        </w:rPr>
        <w:t>4</w:t>
      </w:r>
      <w:r>
        <w:rPr>
          <w:rFonts w:ascii="Arial" w:hAnsi="Arial" w:cs="Arial"/>
          <w:b/>
          <w:bCs/>
        </w:rPr>
        <w:tab/>
        <w:t>Definition</w:t>
      </w:r>
      <w:r w:rsidR="005D57AF">
        <w:rPr>
          <w:rFonts w:ascii="Arial" w:hAnsi="Arial" w:cs="Arial"/>
          <w:b/>
          <w:bCs/>
        </w:rPr>
        <w:t>s</w:t>
      </w:r>
      <w:r>
        <w:rPr>
          <w:rFonts w:ascii="Arial" w:hAnsi="Arial" w:cs="Arial"/>
          <w:b/>
          <w:bCs/>
        </w:rPr>
        <w:t xml:space="preserve"> of 'child'</w:t>
      </w:r>
      <w:bookmarkEnd w:id="365"/>
      <w:bookmarkEnd w:id="366"/>
      <w:bookmarkEnd w:id="367"/>
      <w:bookmarkEnd w:id="368"/>
      <w:bookmarkEnd w:id="369"/>
      <w:bookmarkEnd w:id="370"/>
      <w:bookmarkEnd w:id="371"/>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005D57AF">
        <w:rPr>
          <w:rFonts w:ascii="Arial" w:hAnsi="Arial" w:cs="Arial"/>
          <w:b/>
          <w:bCs/>
        </w:rPr>
        <w:t xml:space="preserve"> &amp; ‘parent’</w:t>
      </w:r>
    </w:p>
    <w:p w14:paraId="5A80D40E" w14:textId="77777777" w:rsidR="00693223" w:rsidRDefault="00693223" w:rsidP="00715D6B">
      <w:pPr>
        <w:jc w:val="both"/>
        <w:rPr>
          <w:rFonts w:ascii="Arial" w:hAnsi="Arial" w:cs="Arial"/>
          <w:sz w:val="20"/>
        </w:rPr>
      </w:pPr>
    </w:p>
    <w:p w14:paraId="1B53FDD2" w14:textId="77777777" w:rsidR="000841DD" w:rsidRDefault="000841DD" w:rsidP="00715D6B">
      <w:pPr>
        <w:jc w:val="both"/>
        <w:rPr>
          <w:rFonts w:ascii="Arial" w:hAnsi="Arial" w:cs="Arial"/>
          <w:sz w:val="20"/>
        </w:rPr>
      </w:pPr>
      <w:r>
        <w:rPr>
          <w:rFonts w:ascii="Arial" w:hAnsi="Arial" w:cs="Arial"/>
          <w:sz w:val="20"/>
        </w:rPr>
        <w:t>As defined in s.3(1) of the CYFA</w:t>
      </w:r>
      <w:r w:rsidR="003126C2">
        <w:rPr>
          <w:rFonts w:ascii="Arial" w:hAnsi="Arial" w:cs="Arial"/>
          <w:sz w:val="20"/>
        </w:rPr>
        <w:t>,</w:t>
      </w:r>
      <w:r>
        <w:rPr>
          <w:rFonts w:ascii="Arial" w:hAnsi="Arial" w:cs="Arial"/>
          <w:sz w:val="20"/>
        </w:rPr>
        <w:t xml:space="preserve"> ‘</w:t>
      </w:r>
      <w:r w:rsidRPr="00D5161E">
        <w:rPr>
          <w:rFonts w:ascii="Arial" w:hAnsi="Arial" w:cs="Arial"/>
          <w:b/>
          <w:bCs/>
          <w:sz w:val="20"/>
        </w:rPr>
        <w:t>child</w:t>
      </w:r>
      <w:r>
        <w:rPr>
          <w:rFonts w:ascii="Arial" w:hAnsi="Arial" w:cs="Arial"/>
          <w:sz w:val="20"/>
        </w:rPr>
        <w:t xml:space="preserve">’ </w:t>
      </w:r>
      <w:r w:rsidR="001D67F1">
        <w:rPr>
          <w:rFonts w:ascii="Arial" w:hAnsi="Arial" w:cs="Arial"/>
          <w:sz w:val="20"/>
        </w:rPr>
        <w:t xml:space="preserve">in Family Division proceedings </w:t>
      </w:r>
      <w:r>
        <w:rPr>
          <w:rFonts w:ascii="Arial" w:hAnsi="Arial" w:cs="Arial"/>
          <w:sz w:val="20"/>
        </w:rPr>
        <w:t>means:</w:t>
      </w:r>
    </w:p>
    <w:p w14:paraId="003D27E0" w14:textId="77777777" w:rsidR="000841DD" w:rsidRDefault="000841DD">
      <w:pPr>
        <w:numPr>
          <w:ilvl w:val="0"/>
          <w:numId w:val="42"/>
        </w:numPr>
        <w:ind w:left="357" w:hanging="357"/>
        <w:jc w:val="both"/>
        <w:rPr>
          <w:rFonts w:ascii="Arial" w:hAnsi="Arial" w:cs="Arial"/>
          <w:sz w:val="20"/>
        </w:rPr>
      </w:pPr>
      <w:r>
        <w:rPr>
          <w:rFonts w:ascii="Arial" w:hAnsi="Arial" w:cs="Arial"/>
          <w:sz w:val="20"/>
        </w:rPr>
        <w:t xml:space="preserve">for the purposes of any application under the </w:t>
      </w:r>
      <w:r>
        <w:rPr>
          <w:rFonts w:ascii="Arial" w:hAnsi="Arial" w:cs="Arial"/>
          <w:sz w:val="20"/>
          <w:u w:val="single"/>
        </w:rPr>
        <w:t>Family Violence Protection Act 2008</w:t>
      </w:r>
      <w:r w:rsidRPr="001C645E">
        <w:rPr>
          <w:rFonts w:ascii="Arial" w:hAnsi="Arial" w:cs="Arial"/>
          <w:sz w:val="20"/>
          <w:u w:val="single"/>
        </w:rPr>
        <w:t xml:space="preserve"> (Vic)</w:t>
      </w:r>
      <w:r w:rsidRPr="00544388">
        <w:rPr>
          <w:rFonts w:ascii="Arial" w:hAnsi="Arial" w:cs="Arial"/>
          <w:sz w:val="20"/>
        </w:rPr>
        <w:t xml:space="preserve"> or </w:t>
      </w:r>
      <w:r w:rsidRPr="008E0B61">
        <w:rPr>
          <w:rFonts w:ascii="Arial" w:hAnsi="Arial" w:cs="Arial"/>
          <w:color w:val="000000"/>
          <w:sz w:val="20"/>
        </w:rPr>
        <w:t xml:space="preserve">the </w:t>
      </w:r>
      <w:r w:rsidRPr="008E0B61">
        <w:rPr>
          <w:rFonts w:ascii="Arial" w:hAnsi="Arial" w:cs="Arial"/>
          <w:color w:val="000000"/>
          <w:sz w:val="20"/>
          <w:u w:val="single"/>
        </w:rPr>
        <w:t>Personal Safety Intervention Orders Act 2010</w:t>
      </w:r>
      <w:r w:rsidRPr="008E0B61">
        <w:rPr>
          <w:rFonts w:ascii="Arial" w:hAnsi="Arial" w:cs="Arial"/>
          <w:color w:val="000000"/>
          <w:sz w:val="20"/>
        </w:rPr>
        <w:t>, a person who is under the</w:t>
      </w:r>
      <w:r>
        <w:rPr>
          <w:rFonts w:ascii="Arial" w:hAnsi="Arial" w:cs="Arial"/>
          <w:sz w:val="20"/>
        </w:rPr>
        <w:t xml:space="preserve"> age of 18 years when an application is made under the respective Act;</w:t>
      </w:r>
    </w:p>
    <w:p w14:paraId="452F73E6"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therapeutic treatment proceedings, a person who is of or above the age of 10 years and under the age of 18 years when the order is made;</w:t>
      </w:r>
    </w:p>
    <w:p w14:paraId="487E08E3" w14:textId="77777777" w:rsidR="000841DD" w:rsidRDefault="000841DD">
      <w:pPr>
        <w:numPr>
          <w:ilvl w:val="0"/>
          <w:numId w:val="42"/>
        </w:numPr>
        <w:ind w:left="357" w:hanging="357"/>
        <w:jc w:val="both"/>
        <w:rPr>
          <w:rFonts w:ascii="Arial" w:hAnsi="Arial" w:cs="Arial"/>
          <w:sz w:val="20"/>
        </w:rPr>
      </w:pPr>
      <w:r>
        <w:rPr>
          <w:rFonts w:ascii="Arial" w:hAnsi="Arial" w:cs="Arial"/>
          <w:sz w:val="20"/>
        </w:rPr>
        <w:t>for the purposes of any other application in the Family Division, a person who is under the age of 17 years or, if a protection order, a child protection order within the meaning of Schedule 1 or an interim order within the meaning of that Schedule continues in force in respect of him or her, a person who is under the age of 18 years.</w:t>
      </w:r>
    </w:p>
    <w:p w14:paraId="2627B586" w14:textId="77777777" w:rsidR="000841DD" w:rsidRDefault="000841DD">
      <w:pPr>
        <w:jc w:val="both"/>
        <w:rPr>
          <w:rFonts w:ascii="Arial" w:hAnsi="Arial" w:cs="Arial"/>
          <w:sz w:val="20"/>
        </w:rPr>
      </w:pPr>
    </w:p>
    <w:p w14:paraId="5C6B8CFA" w14:textId="77777777" w:rsidR="000841DD" w:rsidRDefault="000841DD">
      <w:pPr>
        <w:jc w:val="both"/>
        <w:rPr>
          <w:rFonts w:ascii="Arial" w:hAnsi="Arial" w:cs="Arial"/>
          <w:sz w:val="20"/>
        </w:rPr>
      </w:pPr>
      <w:r>
        <w:rPr>
          <w:rFonts w:ascii="Arial" w:hAnsi="Arial" w:cs="Arial"/>
          <w:sz w:val="20"/>
        </w:rPr>
        <w:t>Note, however, that s.275(3) of the CYFA – introduced by Act No. 8/2016 – provides that a “care by Secretary order or a long-term care order may be made in relation to a child who is under the age of 18 years but ceases to be in force when the child attains the age of 18 years or marries, whichever happens first.”</w:t>
      </w:r>
      <w:r w:rsidR="008253F5">
        <w:rPr>
          <w:rFonts w:ascii="Arial" w:hAnsi="Arial" w:cs="Arial"/>
          <w:sz w:val="20"/>
        </w:rPr>
        <w:t xml:space="preserve">  However, if the ‘child’ referred to in s.275(3) is 17 years old, he or she does not fit within any of the parts of the definition of ‘child’ in s.3(1).  The writer considers that this is probably a drafting error and would not read s.275(3) as constrained by s.3(1).  But a related difficulty is that the term ‘child’ in the interim accommodation order provisions [ss.262-271] is clearly constrained by s.3(1)</w:t>
      </w:r>
      <w:r w:rsidR="00C04B2D">
        <w:rPr>
          <w:rFonts w:ascii="Arial" w:hAnsi="Arial" w:cs="Arial"/>
          <w:sz w:val="20"/>
        </w:rPr>
        <w:t>.  Hence, if the subject child has already turned 17 there appears to be no power in the Court to make or to extend an IAO in relation to the child.</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50C2E9C" w14:textId="77777777" w:rsidR="000841DD" w:rsidRDefault="000841DD">
      <w:pPr>
        <w:rPr>
          <w:rFonts w:ascii="Arial" w:hAnsi="Arial" w:cs="Arial"/>
          <w:sz w:val="20"/>
        </w:rPr>
      </w:pPr>
    </w:p>
    <w:p w14:paraId="5F64DDB4" w14:textId="77777777" w:rsidR="00693223" w:rsidRDefault="00693223" w:rsidP="00242170">
      <w:pPr>
        <w:jc w:val="both"/>
        <w:rPr>
          <w:rFonts w:ascii="Arial" w:hAnsi="Arial" w:cs="Arial"/>
          <w:sz w:val="20"/>
        </w:rPr>
      </w:pPr>
      <w:r>
        <w:rPr>
          <w:rFonts w:ascii="Arial" w:hAnsi="Arial" w:cs="Arial"/>
          <w:sz w:val="20"/>
        </w:rPr>
        <w:t>Though 'family' is not defined in the CY</w:t>
      </w:r>
      <w:r w:rsidR="00242170">
        <w:rPr>
          <w:rFonts w:ascii="Arial" w:hAnsi="Arial" w:cs="Arial"/>
          <w:sz w:val="20"/>
        </w:rPr>
        <w:t>F</w:t>
      </w:r>
      <w:r>
        <w:rPr>
          <w:rFonts w:ascii="Arial" w:hAnsi="Arial" w:cs="Arial"/>
          <w:sz w:val="20"/>
        </w:rPr>
        <w:t>A, '</w:t>
      </w:r>
      <w:r w:rsidRPr="00D5161E">
        <w:rPr>
          <w:rFonts w:ascii="Arial" w:hAnsi="Arial" w:cs="Arial"/>
          <w:b/>
          <w:bCs/>
          <w:sz w:val="20"/>
        </w:rPr>
        <w:t>parent</w:t>
      </w:r>
      <w:r>
        <w:rPr>
          <w:rFonts w:ascii="Arial" w:hAnsi="Arial" w:cs="Arial"/>
          <w:sz w:val="20"/>
        </w:rPr>
        <w:t>', in relation to a child, is defined in very broad terms in s.3</w:t>
      </w:r>
      <w:r w:rsidR="00C04B2D">
        <w:rPr>
          <w:rFonts w:ascii="Arial" w:hAnsi="Arial" w:cs="Arial"/>
          <w:sz w:val="20"/>
        </w:rPr>
        <w:t>(1)</w:t>
      </w:r>
      <w:r>
        <w:rPr>
          <w:rFonts w:ascii="Arial" w:hAnsi="Arial" w:cs="Arial"/>
          <w:sz w:val="20"/>
        </w:rPr>
        <w:t xml:space="preserve"> as </w:t>
      </w:r>
      <w:r w:rsidRPr="00C04B2D">
        <w:rPr>
          <w:rFonts w:ascii="Arial" w:hAnsi="Arial" w:cs="Arial"/>
          <w:b/>
          <w:bCs/>
          <w:sz w:val="20"/>
        </w:rPr>
        <w:t>including</w:t>
      </w:r>
      <w:r>
        <w:rPr>
          <w:rFonts w:ascii="Arial" w:hAnsi="Arial" w:cs="Arial"/>
          <w:sz w:val="20"/>
        </w:rPr>
        <w:t>-</w:t>
      </w:r>
    </w:p>
    <w:p w14:paraId="3B9A23B9" w14:textId="77777777" w:rsidR="00693223" w:rsidRDefault="00693223" w:rsidP="00242170">
      <w:pPr>
        <w:ind w:left="363" w:hanging="363"/>
        <w:jc w:val="both"/>
        <w:rPr>
          <w:rFonts w:ascii="Arial" w:hAnsi="Arial" w:cs="Arial"/>
          <w:sz w:val="20"/>
        </w:rPr>
      </w:pPr>
      <w:r>
        <w:rPr>
          <w:rFonts w:ascii="Arial" w:hAnsi="Arial" w:cs="Arial"/>
          <w:sz w:val="20"/>
        </w:rPr>
        <w:t>(a)</w:t>
      </w:r>
      <w:r>
        <w:rPr>
          <w:rFonts w:ascii="Arial" w:hAnsi="Arial" w:cs="Arial"/>
          <w:sz w:val="20"/>
        </w:rPr>
        <w:tab/>
        <w:t>the father and mother of the child; and</w:t>
      </w:r>
    </w:p>
    <w:p w14:paraId="2359482D" w14:textId="77777777" w:rsidR="00693223" w:rsidRDefault="00693223" w:rsidP="00242170">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3332A344" w14:textId="77777777" w:rsidR="00693223" w:rsidRDefault="00693223" w:rsidP="00242170">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w:t>
      </w:r>
      <w:r w:rsidR="00242170">
        <w:rPr>
          <w:rFonts w:ascii="Arial" w:hAnsi="Arial" w:cs="Arial"/>
          <w:sz w:val="20"/>
        </w:rPr>
        <w:t>o</w:t>
      </w:r>
      <w:r>
        <w:rPr>
          <w:rFonts w:ascii="Arial" w:hAnsi="Arial" w:cs="Arial"/>
          <w:sz w:val="20"/>
        </w:rPr>
        <w:t>ther of the child; and</w:t>
      </w:r>
    </w:p>
    <w:p w14:paraId="38AE3508" w14:textId="77777777" w:rsidR="00693223" w:rsidRDefault="00693223" w:rsidP="00242170">
      <w:pPr>
        <w:ind w:left="363" w:hanging="363"/>
        <w:jc w:val="both"/>
        <w:rPr>
          <w:rFonts w:ascii="Arial" w:hAnsi="Arial" w:cs="Arial"/>
          <w:sz w:val="20"/>
        </w:rPr>
      </w:pPr>
      <w:r>
        <w:rPr>
          <w:rFonts w:ascii="Arial" w:hAnsi="Arial" w:cs="Arial"/>
          <w:sz w:val="20"/>
        </w:rPr>
        <w:t>(d)</w:t>
      </w:r>
      <w:r>
        <w:rPr>
          <w:rFonts w:ascii="Arial" w:hAnsi="Arial" w:cs="Arial"/>
          <w:sz w:val="20"/>
        </w:rPr>
        <w:tab/>
        <w:t>a</w:t>
      </w:r>
      <w:r w:rsidR="003B47AB">
        <w:rPr>
          <w:rFonts w:ascii="Arial" w:hAnsi="Arial" w:cs="Arial"/>
          <w:sz w:val="20"/>
        </w:rPr>
        <w:t>ny</w:t>
      </w:r>
      <w:r>
        <w:rPr>
          <w:rFonts w:ascii="Arial" w:hAnsi="Arial" w:cs="Arial"/>
          <w:sz w:val="20"/>
        </w:rPr>
        <w:t xml:space="preserve"> person who has </w:t>
      </w:r>
      <w:r w:rsidR="003B47AB">
        <w:rPr>
          <w:rFonts w:ascii="Arial" w:hAnsi="Arial" w:cs="Arial"/>
          <w:sz w:val="20"/>
        </w:rPr>
        <w:t>parental responsibility for</w:t>
      </w:r>
      <w:r>
        <w:rPr>
          <w:rFonts w:ascii="Arial" w:hAnsi="Arial" w:cs="Arial"/>
          <w:sz w:val="20"/>
        </w:rPr>
        <w:t xml:space="preserve"> the child</w:t>
      </w:r>
      <w:r w:rsidR="003B47AB">
        <w:rPr>
          <w:rFonts w:ascii="Arial" w:hAnsi="Arial" w:cs="Arial"/>
          <w:sz w:val="20"/>
        </w:rPr>
        <w:t>, other than the Secretary</w:t>
      </w:r>
      <w:r>
        <w:rPr>
          <w:rFonts w:ascii="Arial" w:hAnsi="Arial" w:cs="Arial"/>
          <w:sz w:val="20"/>
        </w:rPr>
        <w:t>; and</w:t>
      </w:r>
    </w:p>
    <w:p w14:paraId="0E3538C5" w14:textId="77777777" w:rsidR="00693223" w:rsidRDefault="00693223" w:rsidP="00242170">
      <w:pPr>
        <w:ind w:left="363" w:hanging="363"/>
        <w:jc w:val="both"/>
        <w:rPr>
          <w:rFonts w:ascii="Arial" w:hAnsi="Arial" w:cs="Arial"/>
          <w:sz w:val="20"/>
        </w:rPr>
      </w:pPr>
      <w:r>
        <w:rPr>
          <w:rFonts w:ascii="Arial" w:hAnsi="Arial" w:cs="Arial"/>
          <w:sz w:val="20"/>
        </w:rPr>
        <w:lastRenderedPageBreak/>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2ACF8E45" w14:textId="77777777" w:rsidR="00693223" w:rsidRDefault="00693223" w:rsidP="00242170">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791C973" w14:textId="77777777" w:rsidR="00693223" w:rsidRDefault="00693223" w:rsidP="00242170">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w:t>
      </w:r>
      <w:r w:rsidR="00242170">
        <w:rPr>
          <w:rFonts w:ascii="Arial" w:hAnsi="Arial" w:cs="Arial"/>
          <w:sz w:val="20"/>
        </w:rPr>
        <w:t xml:space="preserve">ourt has made a declaration </w:t>
      </w:r>
      <w:r>
        <w:rPr>
          <w:rFonts w:ascii="Arial" w:hAnsi="Arial" w:cs="Arial"/>
          <w:sz w:val="20"/>
        </w:rPr>
        <w:t xml:space="preserve">or a finding or order </w:t>
      </w:r>
      <w:r w:rsidR="00242170">
        <w:rPr>
          <w:rFonts w:ascii="Arial" w:hAnsi="Arial" w:cs="Arial"/>
          <w:sz w:val="20"/>
        </w:rPr>
        <w:t>that the person is the father of the child</w:t>
      </w:r>
      <w:r>
        <w:rPr>
          <w:rFonts w:ascii="Arial" w:hAnsi="Arial" w:cs="Arial"/>
          <w:sz w:val="20"/>
        </w:rPr>
        <w:t>.</w:t>
      </w:r>
    </w:p>
    <w:p w14:paraId="2EEA3F8F" w14:textId="77777777" w:rsidR="00693223" w:rsidRDefault="00693223">
      <w:pPr>
        <w:rPr>
          <w:rFonts w:ascii="Arial" w:hAnsi="Arial" w:cs="Arial"/>
          <w:sz w:val="20"/>
        </w:rPr>
      </w:pPr>
    </w:p>
    <w:p w14:paraId="6B95114F" w14:textId="77777777" w:rsidR="00693223" w:rsidRDefault="00693223">
      <w:pPr>
        <w:jc w:val="both"/>
        <w:rPr>
          <w:rFonts w:ascii="Arial" w:hAnsi="Arial" w:cs="Arial"/>
          <w:sz w:val="20"/>
        </w:rPr>
      </w:pPr>
      <w:r>
        <w:rPr>
          <w:rFonts w:ascii="Arial" w:hAnsi="Arial" w:cs="Arial"/>
          <w:sz w:val="20"/>
        </w:rPr>
        <w:t>Prior to the amendments introduced by Act No.72/2001, the CYPA restricted the 'de facto' partner of a parent to a person of the opposite gender.  Now, 'domestic partner' of a person is defined in s.3 as "a person to whom the person is not married but with whom the person is living as a couple on a genuine domestic basis (irrespective of gender)".</w:t>
      </w:r>
    </w:p>
    <w:p w14:paraId="50C60506" w14:textId="77777777" w:rsidR="00693223" w:rsidRDefault="00693223">
      <w:pPr>
        <w:rPr>
          <w:rFonts w:ascii="Arial" w:hAnsi="Arial" w:cs="Arial"/>
          <w:sz w:val="20"/>
        </w:rPr>
      </w:pPr>
    </w:p>
    <w:p w14:paraId="57BBA4CC" w14:textId="77777777" w:rsidR="00C04B2D" w:rsidRDefault="00C04B2D" w:rsidP="00C04B2D">
      <w:pPr>
        <w:jc w:val="both"/>
        <w:rPr>
          <w:rFonts w:ascii="Arial" w:hAnsi="Arial" w:cs="Arial"/>
          <w:sz w:val="20"/>
        </w:rPr>
      </w:pPr>
      <w:r>
        <w:rPr>
          <w:rFonts w:ascii="Arial" w:hAnsi="Arial" w:cs="Arial"/>
          <w:sz w:val="20"/>
        </w:rPr>
        <w:t>Although there appears to be no case law on the issue, the writer thinks it likely that category (d) is intended to be restricted to persons who have legal parental responsibility for a child as opposed to persons who are merely ‘looking after’ a child, even if for an extended period.</w:t>
      </w:r>
    </w:p>
    <w:p w14:paraId="54AE1C58" w14:textId="77777777" w:rsidR="00C04B2D" w:rsidRDefault="00C04B2D">
      <w:pPr>
        <w:rPr>
          <w:rFonts w:ascii="Arial" w:hAnsi="Arial" w:cs="Arial"/>
          <w:sz w:val="20"/>
        </w:rPr>
      </w:pPr>
    </w:p>
    <w:p w14:paraId="36824DF0" w14:textId="77777777" w:rsidR="00C04B2D" w:rsidRPr="00ED1F5A" w:rsidRDefault="00D5161E" w:rsidP="00C04B2D">
      <w:pPr>
        <w:jc w:val="both"/>
        <w:rPr>
          <w:rFonts w:ascii="Arial" w:hAnsi="Arial" w:cs="Arial"/>
          <w:color w:val="000000"/>
          <w:sz w:val="20"/>
        </w:rPr>
      </w:pPr>
      <w:r>
        <w:rPr>
          <w:rFonts w:ascii="Arial" w:hAnsi="Arial" w:cs="Arial"/>
          <w:sz w:val="20"/>
        </w:rPr>
        <w:t>T</w:t>
      </w:r>
      <w:r w:rsidR="00C04B2D">
        <w:rPr>
          <w:rFonts w:ascii="Arial" w:hAnsi="Arial" w:cs="Arial"/>
          <w:sz w:val="20"/>
        </w:rPr>
        <w:t xml:space="preserve">he definition of ‘parent’ in s.3(1) is not expressed to be an exclusive one.  This gives rise to the question whether a person who does not fall within any of categories (a) to (g) may nevertheless be held to be a </w:t>
      </w:r>
      <w:r>
        <w:rPr>
          <w:rFonts w:ascii="Arial" w:hAnsi="Arial" w:cs="Arial"/>
          <w:sz w:val="20"/>
        </w:rPr>
        <w:t>‘</w:t>
      </w:r>
      <w:r w:rsidR="00C04B2D">
        <w:rPr>
          <w:rFonts w:ascii="Arial" w:hAnsi="Arial" w:cs="Arial"/>
          <w:sz w:val="20"/>
        </w:rPr>
        <w:t>parent</w:t>
      </w:r>
      <w:r>
        <w:rPr>
          <w:rFonts w:ascii="Arial" w:hAnsi="Arial" w:cs="Arial"/>
          <w:sz w:val="20"/>
        </w:rPr>
        <w:t>’</w:t>
      </w:r>
      <w:r w:rsidR="00C04B2D">
        <w:rPr>
          <w:rFonts w:ascii="Arial" w:hAnsi="Arial" w:cs="Arial"/>
          <w:sz w:val="20"/>
        </w:rPr>
        <w:t xml:space="preserve"> for the purposes of the CYFA.  </w:t>
      </w:r>
      <w:r>
        <w:rPr>
          <w:rFonts w:ascii="Arial" w:hAnsi="Arial" w:cs="Arial"/>
          <w:sz w:val="20"/>
        </w:rPr>
        <w:t xml:space="preserve">This was alluded to in dicta of the High Court in the joint </w:t>
      </w:r>
      <w:r w:rsidR="00C04B2D" w:rsidRPr="00ED1F5A">
        <w:rPr>
          <w:rFonts w:ascii="Arial" w:hAnsi="Arial" w:cs="Arial"/>
          <w:color w:val="000000"/>
          <w:sz w:val="20"/>
        </w:rPr>
        <w:t xml:space="preserve">judgment in </w:t>
      </w:r>
      <w:r w:rsidR="00C04B2D" w:rsidRPr="00ED1F5A">
        <w:rPr>
          <w:rFonts w:ascii="Arial" w:hAnsi="Arial" w:cs="Arial"/>
          <w:i/>
          <w:iCs/>
          <w:color w:val="000000"/>
          <w:sz w:val="20"/>
        </w:rPr>
        <w:t>Masson v Parsons</w:t>
      </w:r>
      <w:r w:rsidR="00C04B2D" w:rsidRPr="00ED1F5A">
        <w:rPr>
          <w:rFonts w:ascii="Arial" w:hAnsi="Arial" w:cs="Arial"/>
          <w:color w:val="000000"/>
          <w:sz w:val="20"/>
        </w:rPr>
        <w:t xml:space="preserve"> </w:t>
      </w:r>
      <w:r w:rsidRPr="00ED1F5A">
        <w:rPr>
          <w:rFonts w:ascii="Arial" w:hAnsi="Arial" w:cs="Arial"/>
          <w:color w:val="000000"/>
          <w:sz w:val="20"/>
        </w:rPr>
        <w:t xml:space="preserve">[2019] HCA 21 </w:t>
      </w:r>
      <w:r w:rsidR="00C04B2D" w:rsidRPr="00ED1F5A">
        <w:rPr>
          <w:rFonts w:ascii="Arial" w:hAnsi="Arial" w:cs="Arial"/>
          <w:color w:val="000000"/>
          <w:sz w:val="20"/>
        </w:rPr>
        <w:t>at [29]:</w:t>
      </w:r>
    </w:p>
    <w:p w14:paraId="3FF4AE3A" w14:textId="77777777" w:rsidR="00C04B2D" w:rsidRPr="00ED1F5A" w:rsidRDefault="00C04B2D" w:rsidP="00C04B2D">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p>
    <w:p w14:paraId="28CCD032" w14:textId="77777777" w:rsidR="00C04B2D" w:rsidRPr="00C14641" w:rsidRDefault="00C04B2D" w:rsidP="00C04B2D">
      <w:pPr>
        <w:jc w:val="both"/>
        <w:rPr>
          <w:rFonts w:ascii="Arial" w:hAnsi="Arial" w:cs="Arial"/>
          <w:color w:val="000000"/>
          <w:sz w:val="20"/>
        </w:rPr>
      </w:pPr>
    </w:p>
    <w:p w14:paraId="545BE1EF" w14:textId="77777777" w:rsidR="00C04B2D" w:rsidRPr="00287279" w:rsidRDefault="00C04B2D" w:rsidP="00C04B2D">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[Melbourne Children’s Court-Parkinson M, 15/10/2019] the 9 year old child D had lived with and been cared for by his maternal grandmother G all his life.  His mother – who had an intellectual disability – also lived with and was cared for by G.  The case ultimately settled with D being placed by consent on a family preservation order in the care of his grandmother G.  Accordingly, by virtue of the dicta of Baroness Hale in </w:t>
      </w:r>
      <w:r w:rsidRPr="00C14641">
        <w:rPr>
          <w:rFonts w:ascii="Arial" w:hAnsi="Arial" w:cs="Arial"/>
          <w:i/>
          <w:color w:val="000000"/>
          <w:sz w:val="20"/>
          <w:szCs w:val="20"/>
        </w:rPr>
        <w:t>In</w:t>
      </w:r>
      <w:r w:rsidRPr="00C14641">
        <w:rPr>
          <w:rFonts w:ascii="Arial" w:hAnsi="Arial" w:cs="Arial"/>
          <w:color w:val="000000"/>
          <w:sz w:val="20"/>
          <w:szCs w:val="20"/>
        </w:rPr>
        <w:t xml:space="preserve"> </w:t>
      </w:r>
      <w:r w:rsidRPr="00C14641">
        <w:rPr>
          <w:rFonts w:ascii="Arial" w:hAnsi="Arial" w:cs="Arial"/>
          <w:i/>
          <w:color w:val="000000"/>
          <w:sz w:val="20"/>
          <w:szCs w:val="20"/>
        </w:rPr>
        <w:t>re G (Children)</w:t>
      </w:r>
      <w:r w:rsidRPr="00440C1A">
        <w:rPr>
          <w:rFonts w:ascii="Arial" w:hAnsi="Arial" w:cs="Arial"/>
          <w:iCs/>
          <w:color w:val="000000"/>
          <w:sz w:val="20"/>
          <w:szCs w:val="20"/>
        </w:rPr>
        <w:t>,</w:t>
      </w:r>
      <w:r>
        <w:rPr>
          <w:rFonts w:ascii="Arial" w:hAnsi="Arial" w:cs="Arial"/>
          <w:i/>
          <w:color w:val="000000"/>
          <w:sz w:val="20"/>
          <w:szCs w:val="20"/>
        </w:rPr>
        <w:t xml:space="preserve"> </w:t>
      </w:r>
      <w:r w:rsidRPr="00440C1A">
        <w:rPr>
          <w:rFonts w:ascii="Arial" w:hAnsi="Arial" w:cs="Arial"/>
          <w:iCs/>
          <w:color w:val="000000"/>
          <w:sz w:val="20"/>
          <w:szCs w:val="20"/>
        </w:rPr>
        <w:t>as approved by the High Court in</w:t>
      </w:r>
      <w:r>
        <w:rPr>
          <w:rFonts w:ascii="Arial" w:hAnsi="Arial" w:cs="Arial"/>
          <w:i/>
          <w:color w:val="000000"/>
          <w:sz w:val="20"/>
          <w:szCs w:val="20"/>
        </w:rPr>
        <w:t xml:space="preserve"> Masson v Parsons</w:t>
      </w:r>
      <w:r w:rsidRPr="00440C1A">
        <w:rPr>
          <w:rFonts w:ascii="Arial" w:hAnsi="Arial" w:cs="Arial"/>
          <w:iCs/>
          <w:color w:val="000000"/>
          <w:sz w:val="20"/>
          <w:szCs w:val="20"/>
        </w:rPr>
        <w:t>:</w:t>
      </w:r>
    </w:p>
    <w:p w14:paraId="63F76A82"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G either fits within category (a) of the definition of ‘parent’ in s.3(1) of the CYFA; or</w:t>
      </w:r>
    </w:p>
    <w:p w14:paraId="25BDF184" w14:textId="77777777" w:rsidR="00C04B2D" w:rsidRDefault="00C04B2D">
      <w:pPr>
        <w:numPr>
          <w:ilvl w:val="0"/>
          <w:numId w:val="43"/>
        </w:numPr>
        <w:ind w:left="357" w:hanging="357"/>
        <w:jc w:val="both"/>
        <w:rPr>
          <w:rFonts w:ascii="Arial" w:hAnsi="Arial" w:cs="Arial"/>
          <w:color w:val="000000"/>
          <w:sz w:val="20"/>
        </w:rPr>
      </w:pPr>
      <w:r>
        <w:rPr>
          <w:rFonts w:ascii="Arial" w:hAnsi="Arial" w:cs="Arial"/>
          <w:color w:val="000000"/>
          <w:sz w:val="20"/>
        </w:rPr>
        <w:t xml:space="preserve">if not, she is nevertheless a ‘psychological parent’ under the CYFA given that the definition </w:t>
      </w:r>
      <w:r w:rsidRPr="0040107B">
        <w:rPr>
          <w:rFonts w:ascii="Arial" w:hAnsi="Arial" w:cs="Arial"/>
          <w:b/>
          <w:bCs/>
          <w:iCs/>
          <w:color w:val="000000"/>
          <w:sz w:val="20"/>
          <w:szCs w:val="20"/>
        </w:rPr>
        <w:t>includes</w:t>
      </w:r>
      <w:r w:rsidRPr="00C14641">
        <w:rPr>
          <w:rFonts w:ascii="Arial" w:hAnsi="Arial" w:cs="Arial"/>
          <w:iCs/>
          <w:color w:val="000000"/>
          <w:sz w:val="20"/>
          <w:szCs w:val="20"/>
        </w:rPr>
        <w:t xml:space="preserve"> seven specified categories of persons but is not expressed as being limited to those seven categories</w:t>
      </w:r>
      <w:r>
        <w:rPr>
          <w:rFonts w:ascii="Arial" w:hAnsi="Arial" w:cs="Arial"/>
          <w:iCs/>
          <w:color w:val="000000"/>
          <w:sz w:val="20"/>
          <w:szCs w:val="20"/>
        </w:rPr>
        <w:t>.</w:t>
      </w:r>
    </w:p>
    <w:p w14:paraId="02E72B33" w14:textId="77777777" w:rsidR="00D5161E" w:rsidRDefault="00D5161E" w:rsidP="00D5161E">
      <w:pPr>
        <w:spacing w:before="60"/>
        <w:jc w:val="both"/>
        <w:rPr>
          <w:rFonts w:ascii="Arial" w:hAnsi="Arial" w:cs="Arial"/>
          <w:color w:val="000000"/>
          <w:sz w:val="20"/>
        </w:rPr>
      </w:pPr>
      <w:r>
        <w:rPr>
          <w:rFonts w:ascii="Arial" w:hAnsi="Arial" w:cs="Arial"/>
          <w:color w:val="000000"/>
          <w:sz w:val="20"/>
        </w:rPr>
        <w:t>However, in making the finding that in the unusual circumstances of the case G was a ‘parent’ of the child for the purposes of the CYFA, her Honour did place the following reasons on the oral record, being conscious that there must be some boundary around the concept of ‘parent’:</w:t>
      </w:r>
    </w:p>
    <w:p w14:paraId="7970F99F" w14:textId="77777777" w:rsidR="00D5161E" w:rsidRDefault="00D5161E" w:rsidP="00D5161E">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w:t>
      </w:r>
      <w:r>
        <w:rPr>
          <w:rFonts w:ascii="Arial" w:hAnsi="Arial" w:cs="Arial"/>
          <w:color w:val="000000"/>
          <w:sz w:val="20"/>
        </w:rPr>
        <w:lastRenderedPageBreak/>
        <w:t>care or even longer term care under a CBSO would not ordinarily be included in this category.”</w:t>
      </w:r>
    </w:p>
    <w:p w14:paraId="7E254E82" w14:textId="77777777" w:rsidR="00D5161E" w:rsidRDefault="00D5161E">
      <w:pPr>
        <w:rPr>
          <w:rFonts w:ascii="Arial" w:hAnsi="Arial" w:cs="Arial"/>
          <w:sz w:val="20"/>
        </w:rPr>
      </w:pPr>
    </w:p>
    <w:p w14:paraId="7841CAD5" w14:textId="77777777" w:rsidR="00D5161E" w:rsidRPr="00953F9E" w:rsidRDefault="00D5161E" w:rsidP="00D5161E">
      <w:pPr>
        <w:jc w:val="center"/>
        <w:rPr>
          <w:rFonts w:ascii="Arial" w:hAnsi="Arial" w:cs="Arial"/>
          <w:b/>
          <w:bCs/>
          <w:sz w:val="20"/>
        </w:rPr>
      </w:pPr>
      <w:r w:rsidRPr="00953F9E">
        <w:rPr>
          <w:rFonts w:ascii="Arial" w:hAnsi="Arial" w:cs="Arial"/>
          <w:b/>
          <w:bCs/>
          <w:sz w:val="20"/>
          <w:bdr w:val="single" w:sz="4" w:space="0" w:color="auto"/>
          <w:shd w:val="clear" w:color="auto" w:fill="DDDDDD"/>
        </w:rPr>
        <w:t xml:space="preserve">See also </w:t>
      </w:r>
      <w:r w:rsidR="00953F9E" w:rsidRPr="00953F9E">
        <w:rPr>
          <w:rFonts w:ascii="Arial" w:hAnsi="Arial" w:cs="Arial"/>
          <w:b/>
          <w:bCs/>
          <w:sz w:val="20"/>
          <w:bdr w:val="single" w:sz="4" w:space="0" w:color="auto"/>
          <w:shd w:val="clear" w:color="auto" w:fill="DDDDDD"/>
        </w:rPr>
        <w:t>a</w:t>
      </w:r>
      <w:r w:rsidRPr="00953F9E">
        <w:rPr>
          <w:rFonts w:ascii="Arial" w:hAnsi="Arial" w:cs="Arial"/>
          <w:b/>
          <w:bCs/>
          <w:sz w:val="20"/>
          <w:bdr w:val="single" w:sz="4" w:space="0" w:color="auto"/>
          <w:shd w:val="clear" w:color="auto" w:fill="DDDDDD"/>
        </w:rPr>
        <w:t xml:space="preserve"> broader discussion of the concept of ‘parent’ contained in</w:t>
      </w:r>
      <w:r w:rsidR="00F526E6">
        <w:rPr>
          <w:rFonts w:ascii="Arial" w:hAnsi="Arial" w:cs="Arial"/>
          <w:b/>
          <w:bCs/>
          <w:sz w:val="20"/>
          <w:bdr w:val="single" w:sz="4" w:space="0" w:color="auto"/>
          <w:shd w:val="clear" w:color="auto" w:fill="DDDDDD"/>
        </w:rPr>
        <w:t xml:space="preserve"> </w:t>
      </w:r>
      <w:r w:rsidRPr="00A40A28">
        <w:rPr>
          <w:rFonts w:ascii="Arial" w:hAnsi="Arial" w:cs="Arial"/>
          <w:b/>
          <w:bCs/>
          <w:sz w:val="20"/>
          <w:bdr w:val="single" w:sz="4" w:space="0" w:color="auto"/>
          <w:shd w:val="clear" w:color="auto" w:fill="C5E0B3"/>
        </w:rPr>
        <w:t>section 5.2.3</w:t>
      </w:r>
      <w:r w:rsidRPr="00953F9E">
        <w:rPr>
          <w:rFonts w:ascii="Arial" w:hAnsi="Arial" w:cs="Arial"/>
          <w:b/>
          <w:bCs/>
          <w:sz w:val="20"/>
          <w:bdr w:val="single" w:sz="4" w:space="0" w:color="auto"/>
          <w:shd w:val="clear" w:color="auto" w:fill="DDDDDD"/>
        </w:rPr>
        <w:t>.</w:t>
      </w:r>
    </w:p>
    <w:p w14:paraId="0F0F4617" w14:textId="77777777" w:rsidR="00D5161E" w:rsidRDefault="00D5161E">
      <w:pPr>
        <w:rPr>
          <w:rFonts w:ascii="Arial" w:hAnsi="Arial" w:cs="Arial"/>
          <w:sz w:val="20"/>
        </w:rPr>
      </w:pPr>
    </w:p>
    <w:p w14:paraId="285C3D20" w14:textId="57666795" w:rsidR="00693223" w:rsidRPr="008E0B61" w:rsidRDefault="00693223" w:rsidP="00685CB1">
      <w:pPr>
        <w:pStyle w:val="Heading2"/>
        <w:widowControl/>
        <w:tabs>
          <w:tab w:val="left" w:pos="567"/>
        </w:tabs>
        <w:spacing w:line="240" w:lineRule="auto"/>
        <w:rPr>
          <w:rFonts w:ascii="Arial" w:hAnsi="Arial" w:cs="Arial"/>
          <w:b/>
          <w:bCs/>
          <w:color w:val="000000"/>
        </w:rPr>
      </w:pPr>
      <w:bookmarkStart w:id="431" w:name="_4.5_Parental_responsibility"/>
      <w:bookmarkStart w:id="432" w:name="B45"/>
      <w:bookmarkStart w:id="433" w:name="_Toc30607529"/>
      <w:bookmarkStart w:id="434" w:name="_Toc30607658"/>
      <w:bookmarkStart w:id="435" w:name="_Toc30607983"/>
      <w:bookmarkStart w:id="436" w:name="_Toc30608816"/>
      <w:bookmarkStart w:id="437" w:name="_Toc30610030"/>
      <w:bookmarkStart w:id="438" w:name="_Toc30610274"/>
      <w:bookmarkStart w:id="439" w:name="_Toc30638428"/>
      <w:bookmarkStart w:id="440" w:name="_Toc30644241"/>
      <w:bookmarkStart w:id="441" w:name="_Toc30644644"/>
      <w:bookmarkStart w:id="442" w:name="_Toc30645194"/>
      <w:bookmarkStart w:id="443" w:name="_Toc30646405"/>
      <w:bookmarkStart w:id="444" w:name="_Toc30646700"/>
      <w:bookmarkStart w:id="445" w:name="_Toc30646811"/>
      <w:bookmarkStart w:id="446" w:name="_Toc30648168"/>
      <w:bookmarkStart w:id="447" w:name="_Toc30649066"/>
      <w:bookmarkStart w:id="448" w:name="_Toc30649142"/>
      <w:bookmarkStart w:id="449" w:name="_Toc30649403"/>
      <w:bookmarkStart w:id="450" w:name="_Toc30649728"/>
      <w:bookmarkStart w:id="451" w:name="_Toc30651668"/>
      <w:bookmarkStart w:id="452" w:name="_Toc30652658"/>
      <w:bookmarkStart w:id="453" w:name="_Toc30652754"/>
      <w:bookmarkStart w:id="454" w:name="_Toc30654099"/>
      <w:bookmarkStart w:id="455" w:name="_Toc30654450"/>
      <w:bookmarkStart w:id="456" w:name="_Toc30655069"/>
      <w:bookmarkStart w:id="457" w:name="_Toc30655326"/>
      <w:bookmarkStart w:id="458" w:name="_Toc30657004"/>
      <w:bookmarkStart w:id="459" w:name="_Toc30661753"/>
      <w:bookmarkStart w:id="460" w:name="_Toc30666441"/>
      <w:bookmarkStart w:id="461" w:name="_Toc30666671"/>
      <w:bookmarkStart w:id="462" w:name="_Toc30667846"/>
      <w:bookmarkStart w:id="463" w:name="_Toc30669224"/>
      <w:bookmarkStart w:id="464" w:name="_Toc30671440"/>
      <w:bookmarkStart w:id="465" w:name="_Toc30673967"/>
      <w:bookmarkStart w:id="466" w:name="_Toc30691189"/>
      <w:bookmarkStart w:id="467" w:name="_Toc30691562"/>
      <w:bookmarkStart w:id="468" w:name="_Toc30691942"/>
      <w:bookmarkStart w:id="469" w:name="_Toc30692701"/>
      <w:bookmarkStart w:id="470" w:name="_Toc30693080"/>
      <w:bookmarkStart w:id="471" w:name="_Toc30693458"/>
      <w:bookmarkStart w:id="472" w:name="_Toc30693836"/>
      <w:bookmarkStart w:id="473" w:name="_Toc30694217"/>
      <w:bookmarkStart w:id="474" w:name="_Toc30698806"/>
      <w:bookmarkStart w:id="475" w:name="_Toc30699184"/>
      <w:bookmarkStart w:id="476" w:name="_Toc30699569"/>
      <w:bookmarkStart w:id="477" w:name="_Toc30700724"/>
      <w:bookmarkStart w:id="478" w:name="_Toc30701111"/>
      <w:bookmarkStart w:id="479" w:name="_Toc30743720"/>
      <w:bookmarkStart w:id="480" w:name="_Toc30754543"/>
      <w:bookmarkStart w:id="481" w:name="_Toc30756983"/>
      <w:bookmarkStart w:id="482" w:name="_Toc30757532"/>
      <w:bookmarkStart w:id="483" w:name="_Toc30757932"/>
      <w:bookmarkStart w:id="484" w:name="_Toc30762693"/>
      <w:bookmarkStart w:id="485" w:name="_Toc30767347"/>
      <w:bookmarkStart w:id="486" w:name="_Toc34823363"/>
      <w:bookmarkEnd w:id="431"/>
      <w:bookmarkEnd w:id="432"/>
      <w:r w:rsidRPr="008E0B61">
        <w:rPr>
          <w:rFonts w:ascii="Arial" w:hAnsi="Arial" w:cs="Arial"/>
          <w:b/>
          <w:bCs/>
          <w:color w:val="000000"/>
        </w:rPr>
        <w:t>4.5</w:t>
      </w:r>
      <w:r w:rsidRPr="008E0B61">
        <w:rPr>
          <w:rFonts w:ascii="Arial" w:hAnsi="Arial" w:cs="Arial"/>
          <w:b/>
          <w:bCs/>
          <w:color w:val="000000"/>
        </w:rPr>
        <w:tab/>
      </w:r>
      <w:r w:rsidR="00F4004D">
        <w:rPr>
          <w:rFonts w:ascii="Arial" w:hAnsi="Arial" w:cs="Arial"/>
          <w:b/>
          <w:bCs/>
          <w:color w:val="000000"/>
        </w:rPr>
        <w:t xml:space="preserve">Parental responsibility </w:t>
      </w:r>
      <w:r w:rsidRPr="008E0B61">
        <w:rPr>
          <w:rFonts w:ascii="Arial" w:hAnsi="Arial" w:cs="Arial"/>
          <w:b/>
          <w:bCs/>
          <w:color w:val="000000"/>
        </w:rPr>
        <w:t xml:space="preserve">&amp; </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CF6AAD" w:rsidRPr="008E0B61">
        <w:rPr>
          <w:rFonts w:ascii="Arial" w:hAnsi="Arial" w:cs="Arial"/>
          <w:b/>
          <w:bCs/>
          <w:color w:val="000000"/>
        </w:rPr>
        <w:t>contact</w:t>
      </w:r>
    </w:p>
    <w:p w14:paraId="75A1C7A5" w14:textId="77777777" w:rsidR="00693223" w:rsidRPr="008E0B61" w:rsidRDefault="00693223">
      <w:pPr>
        <w:rPr>
          <w:rFonts w:ascii="Arial" w:hAnsi="Arial" w:cs="Arial"/>
          <w:color w:val="000000"/>
          <w:sz w:val="20"/>
        </w:rPr>
      </w:pPr>
    </w:p>
    <w:p w14:paraId="5A74E8AB" w14:textId="77777777" w:rsidR="00F47C45" w:rsidRDefault="00693223">
      <w:pPr>
        <w:jc w:val="both"/>
        <w:rPr>
          <w:rFonts w:ascii="Arial" w:hAnsi="Arial" w:cs="Arial"/>
          <w:color w:val="000000"/>
          <w:sz w:val="20"/>
        </w:rPr>
      </w:pPr>
      <w:r w:rsidRPr="008E0B61">
        <w:rPr>
          <w:rFonts w:ascii="Arial" w:hAnsi="Arial" w:cs="Arial"/>
          <w:color w:val="000000"/>
          <w:sz w:val="20"/>
        </w:rPr>
        <w:t xml:space="preserve">The concepts of </w:t>
      </w:r>
      <w:r w:rsidR="00C31E36">
        <w:rPr>
          <w:rFonts w:ascii="Arial" w:hAnsi="Arial" w:cs="Arial"/>
          <w:color w:val="000000"/>
          <w:sz w:val="20"/>
        </w:rPr>
        <w:t>‘</w:t>
      </w:r>
      <w:r w:rsidRPr="008E0B61">
        <w:rPr>
          <w:rFonts w:ascii="Arial" w:hAnsi="Arial" w:cs="Arial"/>
          <w:color w:val="000000"/>
          <w:sz w:val="20"/>
        </w:rPr>
        <w:t>custody</w:t>
      </w:r>
      <w:r w:rsidR="00C31E36">
        <w:rPr>
          <w:rFonts w:ascii="Arial" w:hAnsi="Arial" w:cs="Arial"/>
          <w:color w:val="000000"/>
          <w:sz w:val="20"/>
        </w:rPr>
        <w:t>’</w:t>
      </w:r>
      <w:r w:rsidRPr="008E0B61">
        <w:rPr>
          <w:rFonts w:ascii="Arial" w:hAnsi="Arial" w:cs="Arial"/>
          <w:color w:val="000000"/>
          <w:sz w:val="20"/>
        </w:rPr>
        <w:t xml:space="preserve"> &amp; </w:t>
      </w:r>
      <w:r w:rsidR="00C31E36">
        <w:rPr>
          <w:rFonts w:ascii="Arial" w:hAnsi="Arial" w:cs="Arial"/>
          <w:color w:val="000000"/>
          <w:sz w:val="20"/>
        </w:rPr>
        <w:t>‘</w:t>
      </w:r>
      <w:r w:rsidRPr="008E0B61">
        <w:rPr>
          <w:rFonts w:ascii="Arial" w:hAnsi="Arial" w:cs="Arial"/>
          <w:color w:val="000000"/>
          <w:sz w:val="20"/>
        </w:rPr>
        <w:t>guardianship</w:t>
      </w:r>
      <w:r w:rsidR="00C31E36">
        <w:rPr>
          <w:rFonts w:ascii="Arial" w:hAnsi="Arial" w:cs="Arial"/>
          <w:color w:val="000000"/>
          <w:sz w:val="20"/>
        </w:rPr>
        <w:t>’</w:t>
      </w:r>
      <w:r w:rsidRPr="008E0B61">
        <w:rPr>
          <w:rFonts w:ascii="Arial" w:hAnsi="Arial" w:cs="Arial"/>
          <w:color w:val="000000"/>
          <w:sz w:val="20"/>
        </w:rPr>
        <w:t xml:space="preserve"> of a child </w:t>
      </w:r>
      <w:r w:rsidR="00F4004D">
        <w:rPr>
          <w:rFonts w:ascii="Arial" w:hAnsi="Arial" w:cs="Arial"/>
          <w:color w:val="000000"/>
          <w:sz w:val="20"/>
        </w:rPr>
        <w:t>were central to many of the orders made by the Family Division of the Children’s Court prior to 01/03/2016.  The</w:t>
      </w:r>
      <w:r w:rsidR="00580B58">
        <w:rPr>
          <w:rFonts w:ascii="Arial" w:hAnsi="Arial" w:cs="Arial"/>
          <w:color w:val="000000"/>
          <w:sz w:val="20"/>
        </w:rPr>
        <w:t xml:space="preserve"> concepts</w:t>
      </w:r>
      <w:r w:rsidR="00F4004D">
        <w:rPr>
          <w:rFonts w:ascii="Arial" w:hAnsi="Arial" w:cs="Arial"/>
          <w:color w:val="000000"/>
          <w:sz w:val="20"/>
        </w:rPr>
        <w:t xml:space="preserve"> were defined in s.5 &amp; s.4 of the CYFA respectively.  </w:t>
      </w:r>
      <w:r w:rsidR="00F47C45">
        <w:rPr>
          <w:rFonts w:ascii="Arial" w:hAnsi="Arial" w:cs="Arial"/>
          <w:color w:val="000000"/>
          <w:sz w:val="20"/>
        </w:rPr>
        <w:t xml:space="preserve">These sections </w:t>
      </w:r>
      <w:r w:rsidR="006909C2">
        <w:rPr>
          <w:rFonts w:ascii="Arial" w:hAnsi="Arial" w:cs="Arial"/>
          <w:color w:val="000000"/>
          <w:sz w:val="20"/>
        </w:rPr>
        <w:t>are now</w:t>
      </w:r>
      <w:r w:rsidR="00F47C45">
        <w:rPr>
          <w:rFonts w:ascii="Arial" w:hAnsi="Arial" w:cs="Arial"/>
          <w:color w:val="000000"/>
          <w:sz w:val="20"/>
        </w:rPr>
        <w:t xml:space="preserve"> repealed and the concept</w:t>
      </w:r>
      <w:r w:rsidR="00C31E36">
        <w:rPr>
          <w:rFonts w:ascii="Arial" w:hAnsi="Arial" w:cs="Arial"/>
          <w:color w:val="000000"/>
          <w:sz w:val="20"/>
        </w:rPr>
        <w:t>s replaced by the new terms ‘</w:t>
      </w:r>
      <w:r w:rsidR="00F47C45">
        <w:rPr>
          <w:rFonts w:ascii="Arial" w:hAnsi="Arial" w:cs="Arial"/>
          <w:color w:val="000000"/>
          <w:sz w:val="20"/>
        </w:rPr>
        <w:t>parental responsibility</w:t>
      </w:r>
      <w:r w:rsidR="00C31E36">
        <w:rPr>
          <w:rFonts w:ascii="Arial" w:hAnsi="Arial" w:cs="Arial"/>
          <w:color w:val="000000"/>
          <w:sz w:val="20"/>
        </w:rPr>
        <w:t>’ and ‘</w:t>
      </w:r>
      <w:r w:rsidR="00F47C45">
        <w:rPr>
          <w:rFonts w:ascii="Arial" w:hAnsi="Arial" w:cs="Arial"/>
          <w:color w:val="000000"/>
          <w:sz w:val="20"/>
        </w:rPr>
        <w:t>major long-term issue</w:t>
      </w:r>
      <w:r w:rsidR="00C31E36">
        <w:rPr>
          <w:rFonts w:ascii="Arial" w:hAnsi="Arial" w:cs="Arial"/>
          <w:color w:val="000000"/>
          <w:sz w:val="20"/>
        </w:rPr>
        <w:t>’</w:t>
      </w:r>
      <w:r w:rsidR="00F47C45">
        <w:rPr>
          <w:rFonts w:ascii="Arial" w:hAnsi="Arial" w:cs="Arial"/>
          <w:color w:val="000000"/>
          <w:sz w:val="20"/>
        </w:rPr>
        <w:t>.  The concept of contact has not been changed.</w:t>
      </w:r>
    </w:p>
    <w:p w14:paraId="520EDF55" w14:textId="77777777" w:rsidR="00F47C45" w:rsidRDefault="00F47C45">
      <w:pPr>
        <w:jc w:val="both"/>
        <w:rPr>
          <w:rFonts w:ascii="Arial" w:hAnsi="Arial" w:cs="Arial"/>
          <w:color w:val="000000"/>
          <w:sz w:val="20"/>
        </w:rPr>
      </w:pPr>
    </w:p>
    <w:p w14:paraId="1F9A9958" w14:textId="77777777" w:rsidR="00693223" w:rsidRDefault="00693223">
      <w:pPr>
        <w:pStyle w:val="Heading3"/>
        <w:spacing w:line="240" w:lineRule="auto"/>
        <w:rPr>
          <w:rFonts w:ascii="Arial" w:hAnsi="Arial" w:cs="Arial"/>
          <w:b/>
          <w:bCs/>
          <w:sz w:val="20"/>
        </w:rPr>
      </w:pPr>
      <w:bookmarkStart w:id="487" w:name="_4.5.1_Parental_responsibility"/>
      <w:bookmarkStart w:id="488" w:name="B451"/>
      <w:bookmarkStart w:id="489" w:name="_Toc30644645"/>
      <w:bookmarkStart w:id="490" w:name="_Toc30645195"/>
      <w:bookmarkStart w:id="491" w:name="_Toc30646406"/>
      <w:bookmarkStart w:id="492" w:name="_Toc30646701"/>
      <w:bookmarkStart w:id="493" w:name="_Toc30646812"/>
      <w:bookmarkStart w:id="494" w:name="_Toc30648169"/>
      <w:bookmarkStart w:id="495" w:name="_Toc30649067"/>
      <w:bookmarkStart w:id="496" w:name="_Toc30649143"/>
      <w:bookmarkStart w:id="497" w:name="_Toc30649404"/>
      <w:bookmarkStart w:id="498" w:name="_Toc30649729"/>
      <w:bookmarkStart w:id="499" w:name="_Toc30651669"/>
      <w:bookmarkStart w:id="500" w:name="_Toc30652659"/>
      <w:bookmarkStart w:id="501" w:name="_Toc30652755"/>
      <w:bookmarkStart w:id="502" w:name="_Toc30654100"/>
      <w:bookmarkStart w:id="503" w:name="_Toc30654451"/>
      <w:bookmarkStart w:id="504" w:name="_Toc30655070"/>
      <w:bookmarkStart w:id="505" w:name="_Toc30655327"/>
      <w:bookmarkStart w:id="506" w:name="_Toc30657005"/>
      <w:bookmarkStart w:id="507" w:name="_Toc30661754"/>
      <w:bookmarkStart w:id="508" w:name="_Toc30666442"/>
      <w:bookmarkStart w:id="509" w:name="_Toc30666672"/>
      <w:bookmarkStart w:id="510" w:name="_Toc30667847"/>
      <w:bookmarkStart w:id="511" w:name="_Toc30669225"/>
      <w:bookmarkStart w:id="512" w:name="_Toc30671441"/>
      <w:bookmarkStart w:id="513" w:name="_Toc30673968"/>
      <w:bookmarkStart w:id="514" w:name="_Toc30691190"/>
      <w:bookmarkStart w:id="515" w:name="_Toc30691563"/>
      <w:bookmarkStart w:id="516" w:name="_Toc30691943"/>
      <w:bookmarkStart w:id="517" w:name="_Toc30692702"/>
      <w:bookmarkStart w:id="518" w:name="_Toc30693081"/>
      <w:bookmarkStart w:id="519" w:name="_Toc30693459"/>
      <w:bookmarkStart w:id="520" w:name="_Toc30693837"/>
      <w:bookmarkStart w:id="521" w:name="_Toc30694218"/>
      <w:bookmarkStart w:id="522" w:name="_Toc30698807"/>
      <w:bookmarkStart w:id="523" w:name="_Toc30699185"/>
      <w:bookmarkStart w:id="524" w:name="_Toc30699570"/>
      <w:bookmarkStart w:id="525" w:name="_Toc30700725"/>
      <w:bookmarkStart w:id="526" w:name="_Toc30701112"/>
      <w:bookmarkStart w:id="527" w:name="_Toc30743721"/>
      <w:bookmarkStart w:id="528" w:name="_Toc30754544"/>
      <w:bookmarkStart w:id="529" w:name="_Toc30756984"/>
      <w:bookmarkStart w:id="530" w:name="_Toc30757533"/>
      <w:bookmarkStart w:id="531" w:name="_Toc30757933"/>
      <w:bookmarkStart w:id="532" w:name="_Toc30762694"/>
      <w:bookmarkStart w:id="533" w:name="_Toc30767348"/>
      <w:bookmarkStart w:id="534" w:name="_Toc34823364"/>
      <w:bookmarkEnd w:id="487"/>
      <w:bookmarkEnd w:id="488"/>
      <w:r>
        <w:rPr>
          <w:rFonts w:ascii="Arial" w:hAnsi="Arial" w:cs="Arial"/>
          <w:b/>
          <w:bCs/>
          <w:sz w:val="20"/>
        </w:rPr>
        <w:t>4.5.1</w:t>
      </w:r>
      <w:r>
        <w:rPr>
          <w:rFonts w:ascii="Arial" w:hAnsi="Arial" w:cs="Arial"/>
          <w:b/>
          <w:bCs/>
          <w:sz w:val="20"/>
        </w:rPr>
        <w:tab/>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F47C45">
        <w:rPr>
          <w:rFonts w:ascii="Arial" w:hAnsi="Arial" w:cs="Arial"/>
          <w:b/>
          <w:bCs/>
          <w:sz w:val="20"/>
        </w:rPr>
        <w:t>Parental responsibility</w:t>
      </w:r>
      <w:r w:rsidR="00BF320F">
        <w:rPr>
          <w:rFonts w:ascii="Arial" w:hAnsi="Arial" w:cs="Arial"/>
          <w:b/>
          <w:bCs/>
          <w:sz w:val="20"/>
        </w:rPr>
        <w:t xml:space="preserve"> – Major long-term issue</w:t>
      </w:r>
    </w:p>
    <w:p w14:paraId="08F99A2A" w14:textId="77777777" w:rsidR="00693223" w:rsidRDefault="00693223">
      <w:pPr>
        <w:jc w:val="both"/>
        <w:rPr>
          <w:rFonts w:ascii="Arial" w:hAnsi="Arial" w:cs="Arial"/>
          <w:sz w:val="20"/>
        </w:rPr>
      </w:pPr>
    </w:p>
    <w:p w14:paraId="6A9C04E3" w14:textId="77777777" w:rsidR="00693223" w:rsidRDefault="00F47C45">
      <w:pPr>
        <w:jc w:val="both"/>
        <w:rPr>
          <w:rFonts w:ascii="Arial" w:hAnsi="Arial" w:cs="Arial"/>
          <w:color w:val="000000"/>
          <w:sz w:val="20"/>
        </w:rPr>
      </w:pPr>
      <w:r>
        <w:rPr>
          <w:rFonts w:ascii="Arial" w:hAnsi="Arial" w:cs="Arial"/>
          <w:sz w:val="20"/>
        </w:rPr>
        <w:t xml:space="preserve">In s.3(1) of the </w:t>
      </w:r>
      <w:r w:rsidR="00693223">
        <w:rPr>
          <w:rFonts w:ascii="Arial" w:hAnsi="Arial" w:cs="Arial"/>
          <w:sz w:val="20"/>
        </w:rPr>
        <w:t>CY</w:t>
      </w:r>
      <w:r w:rsidR="00242170">
        <w:rPr>
          <w:rFonts w:ascii="Arial" w:hAnsi="Arial" w:cs="Arial"/>
          <w:sz w:val="20"/>
        </w:rPr>
        <w:t>F</w:t>
      </w:r>
      <w:r w:rsidR="00693223">
        <w:rPr>
          <w:rFonts w:ascii="Arial" w:hAnsi="Arial" w:cs="Arial"/>
          <w:sz w:val="20"/>
        </w:rPr>
        <w:t xml:space="preserve">A </w:t>
      </w:r>
      <w:r w:rsidR="00C31E36">
        <w:rPr>
          <w:rFonts w:ascii="Arial" w:hAnsi="Arial" w:cs="Arial"/>
          <w:sz w:val="20"/>
        </w:rPr>
        <w:t>‘</w:t>
      </w:r>
      <w:r>
        <w:rPr>
          <w:rFonts w:ascii="Arial" w:hAnsi="Arial" w:cs="Arial"/>
          <w:sz w:val="20"/>
        </w:rPr>
        <w:t>parental responsibility</w:t>
      </w:r>
      <w:r w:rsidR="00C31E36">
        <w:rPr>
          <w:rFonts w:ascii="Arial" w:hAnsi="Arial" w:cs="Arial"/>
          <w:sz w:val="20"/>
        </w:rPr>
        <w:t>’</w:t>
      </w:r>
      <w:r>
        <w:rPr>
          <w:rFonts w:ascii="Arial" w:hAnsi="Arial" w:cs="Arial"/>
          <w:sz w:val="20"/>
        </w:rPr>
        <w:t xml:space="preserve">, in relation to a child, is </w:t>
      </w:r>
      <w:r w:rsidR="00693223">
        <w:rPr>
          <w:rFonts w:ascii="Arial" w:hAnsi="Arial" w:cs="Arial"/>
          <w:sz w:val="20"/>
        </w:rPr>
        <w:t>define</w:t>
      </w:r>
      <w:r>
        <w:rPr>
          <w:rFonts w:ascii="Arial" w:hAnsi="Arial" w:cs="Arial"/>
          <w:sz w:val="20"/>
        </w:rPr>
        <w:t>d</w:t>
      </w:r>
      <w:r w:rsidR="00693223">
        <w:rPr>
          <w:rFonts w:ascii="Arial" w:hAnsi="Arial" w:cs="Arial"/>
          <w:sz w:val="20"/>
        </w:rPr>
        <w:t xml:space="preserve"> </w:t>
      </w:r>
      <w:r w:rsidR="00C31E36">
        <w:rPr>
          <w:rFonts w:ascii="Arial" w:hAnsi="Arial" w:cs="Arial"/>
          <w:sz w:val="20"/>
        </w:rPr>
        <w:t xml:space="preserve">as </w:t>
      </w:r>
      <w:r w:rsidR="00C31E36">
        <w:rPr>
          <w:rFonts w:ascii="Arial" w:hAnsi="Arial" w:cs="Arial"/>
          <w:color w:val="000000"/>
          <w:sz w:val="20"/>
        </w:rPr>
        <w:t>“all the duties, powers, responsibilities and authority which, by law or custom, parents have in relation to children”.</w:t>
      </w:r>
      <w:r w:rsidR="006909C2">
        <w:rPr>
          <w:rFonts w:ascii="Arial" w:hAnsi="Arial" w:cs="Arial"/>
          <w:color w:val="000000"/>
          <w:sz w:val="20"/>
        </w:rPr>
        <w:t xml:space="preserve">  This encompasses all the duties, powers and responsibilities which were previously characterized as relating to ‘custody’ and ‘guardianship’.  In the absence of a court order to the contrary, the parents of a child have joint parental responsibility for the child.</w:t>
      </w:r>
    </w:p>
    <w:p w14:paraId="7E746B2D" w14:textId="77777777" w:rsidR="006909C2" w:rsidRDefault="006909C2" w:rsidP="0014199B">
      <w:pPr>
        <w:jc w:val="both"/>
        <w:rPr>
          <w:rFonts w:ascii="Arial" w:hAnsi="Arial" w:cs="Arial"/>
          <w:sz w:val="20"/>
        </w:rPr>
      </w:pPr>
    </w:p>
    <w:p w14:paraId="5340A112" w14:textId="77777777" w:rsidR="006909C2" w:rsidRPr="006909C2" w:rsidRDefault="006909C2" w:rsidP="006909C2">
      <w:pPr>
        <w:tabs>
          <w:tab w:val="left" w:pos="363"/>
        </w:tabs>
        <w:jc w:val="both"/>
        <w:rPr>
          <w:rFonts w:ascii="Arial" w:hAnsi="Arial" w:cs="Arial"/>
          <w:color w:val="000000"/>
          <w:sz w:val="20"/>
        </w:rPr>
      </w:pPr>
      <w:r>
        <w:rPr>
          <w:rFonts w:ascii="Arial" w:hAnsi="Arial" w:cs="Arial"/>
          <w:sz w:val="20"/>
        </w:rPr>
        <w:t xml:space="preserve">In s.3(1) of the CYFA ‘major long-term issue’, in relation to a child, is defined as </w:t>
      </w:r>
      <w:r>
        <w:rPr>
          <w:rFonts w:ascii="Arial" w:hAnsi="Arial" w:cs="Arial"/>
          <w:color w:val="000000"/>
          <w:sz w:val="20"/>
        </w:rPr>
        <w:t>“</w:t>
      </w:r>
      <w:r w:rsidRPr="006909C2">
        <w:rPr>
          <w:rFonts w:ascii="Arial" w:hAnsi="Arial" w:cs="Arial"/>
          <w:color w:val="000000"/>
          <w:sz w:val="20"/>
        </w:rPr>
        <w:t>an issue about the care, wellbeing and development of the child that is of a long-term nature and includes an issue of that nature about–</w:t>
      </w:r>
    </w:p>
    <w:p w14:paraId="717015F7"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74078A2E"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604D04D0"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health; and</w:t>
      </w:r>
    </w:p>
    <w:p w14:paraId="05BE9461" w14:textId="77777777" w:rsidR="006909C2" w:rsidRPr="006909C2" w:rsidRDefault="006909C2">
      <w:pPr>
        <w:numPr>
          <w:ilvl w:val="0"/>
          <w:numId w:val="37"/>
        </w:numPr>
        <w:tabs>
          <w:tab w:val="clear" w:pos="717"/>
        </w:tabs>
        <w:spacing w:line="240" w:lineRule="exact"/>
        <w:ind w:left="357" w:hanging="357"/>
        <w:jc w:val="both"/>
        <w:rPr>
          <w:rFonts w:ascii="Arial" w:hAnsi="Arial" w:cs="Arial"/>
          <w:color w:val="000000"/>
          <w:sz w:val="20"/>
        </w:rPr>
      </w:pPr>
      <w:r w:rsidRPr="006909C2">
        <w:rPr>
          <w:rFonts w:ascii="Arial" w:hAnsi="Arial" w:cs="Arial"/>
          <w:color w:val="000000"/>
          <w:sz w:val="20"/>
        </w:rPr>
        <w:t>the child’s name.”</w:t>
      </w:r>
    </w:p>
    <w:p w14:paraId="7B4F0787" w14:textId="77777777" w:rsidR="006909C2" w:rsidRDefault="006909C2" w:rsidP="006909C2">
      <w:pPr>
        <w:jc w:val="both"/>
        <w:rPr>
          <w:rFonts w:ascii="Arial" w:hAnsi="Arial" w:cs="Arial"/>
          <w:sz w:val="20"/>
        </w:rPr>
      </w:pPr>
      <w:r>
        <w:rPr>
          <w:rFonts w:ascii="Arial" w:hAnsi="Arial" w:cs="Arial"/>
          <w:sz w:val="20"/>
        </w:rPr>
        <w:t>These are the issues that were previously categorized as ‘guardianship issues’.</w:t>
      </w:r>
    </w:p>
    <w:p w14:paraId="21E0D263" w14:textId="77777777" w:rsidR="006909C2" w:rsidRDefault="006909C2" w:rsidP="006909C2">
      <w:pPr>
        <w:jc w:val="both"/>
        <w:rPr>
          <w:rFonts w:ascii="Arial" w:hAnsi="Arial" w:cs="Arial"/>
          <w:color w:val="000000"/>
          <w:sz w:val="20"/>
        </w:rPr>
      </w:pPr>
    </w:p>
    <w:p w14:paraId="48F3DBAF" w14:textId="77777777" w:rsidR="006909C2" w:rsidRDefault="006909C2" w:rsidP="006909C2">
      <w:pPr>
        <w:pStyle w:val="Heading3"/>
        <w:keepNext/>
        <w:spacing w:line="240" w:lineRule="auto"/>
        <w:rPr>
          <w:rFonts w:ascii="Arial" w:hAnsi="Arial" w:cs="Arial"/>
          <w:b/>
          <w:bCs/>
          <w:sz w:val="20"/>
        </w:rPr>
      </w:pPr>
      <w:bookmarkStart w:id="535" w:name="_4.5.2_Where_carer"/>
      <w:bookmarkStart w:id="536" w:name="B452"/>
      <w:bookmarkEnd w:id="535"/>
      <w:bookmarkEnd w:id="536"/>
      <w:r>
        <w:rPr>
          <w:rFonts w:ascii="Arial" w:hAnsi="Arial" w:cs="Arial"/>
          <w:b/>
          <w:bCs/>
          <w:sz w:val="20"/>
        </w:rPr>
        <w:t>4.5.</w:t>
      </w:r>
      <w:r w:rsidR="00BF320F">
        <w:rPr>
          <w:rFonts w:ascii="Arial" w:hAnsi="Arial" w:cs="Arial"/>
          <w:b/>
          <w:bCs/>
          <w:sz w:val="20"/>
        </w:rPr>
        <w:t>2</w:t>
      </w:r>
      <w:r>
        <w:rPr>
          <w:rFonts w:ascii="Arial" w:hAnsi="Arial" w:cs="Arial"/>
          <w:b/>
          <w:bCs/>
          <w:sz w:val="20"/>
        </w:rPr>
        <w:tab/>
      </w:r>
      <w:r w:rsidR="00787E9B">
        <w:rPr>
          <w:rFonts w:ascii="Arial" w:hAnsi="Arial" w:cs="Arial"/>
          <w:b/>
          <w:bCs/>
          <w:sz w:val="20"/>
        </w:rPr>
        <w:t>W</w:t>
      </w:r>
      <w:r w:rsidR="00646C1A">
        <w:rPr>
          <w:rFonts w:ascii="Arial" w:hAnsi="Arial" w:cs="Arial"/>
          <w:b/>
          <w:bCs/>
          <w:sz w:val="20"/>
        </w:rPr>
        <w:t>here carer may exercise parental responsibility</w:t>
      </w:r>
    </w:p>
    <w:p w14:paraId="4E3F997F" w14:textId="77777777" w:rsidR="006909C2" w:rsidRDefault="006909C2" w:rsidP="0014199B">
      <w:pPr>
        <w:jc w:val="both"/>
        <w:rPr>
          <w:rFonts w:ascii="Arial" w:hAnsi="Arial" w:cs="Arial"/>
          <w:sz w:val="20"/>
        </w:rPr>
      </w:pPr>
    </w:p>
    <w:p w14:paraId="78F07D91" w14:textId="77777777" w:rsidR="00BF320F" w:rsidRPr="00BF320F" w:rsidRDefault="00BF320F" w:rsidP="0014199B">
      <w:pPr>
        <w:jc w:val="both"/>
        <w:rPr>
          <w:rFonts w:ascii="Arial" w:hAnsi="Arial" w:cs="Arial"/>
          <w:color w:val="000000"/>
          <w:sz w:val="20"/>
        </w:rPr>
      </w:pPr>
      <w:r>
        <w:rPr>
          <w:rFonts w:ascii="Arial" w:hAnsi="Arial" w:cs="Arial"/>
          <w:sz w:val="20"/>
        </w:rPr>
        <w:t xml:space="preserve">Section 175A of the CYFA – in operation since 10/09/2014 but amended as and from 01/03/2016 – empowers the Secretary </w:t>
      </w:r>
      <w:r w:rsidR="00785D2D">
        <w:rPr>
          <w:rFonts w:ascii="Arial" w:hAnsi="Arial" w:cs="Arial"/>
          <w:sz w:val="20"/>
        </w:rPr>
        <w:t>DFFH</w:t>
      </w:r>
      <w:r>
        <w:rPr>
          <w:rFonts w:ascii="Arial" w:hAnsi="Arial" w:cs="Arial"/>
          <w:sz w:val="20"/>
        </w:rPr>
        <w:t xml:space="preserve"> to </w:t>
      </w:r>
      <w:r w:rsidRPr="00BF320F">
        <w:rPr>
          <w:rFonts w:ascii="Arial" w:hAnsi="Arial" w:cs="Arial"/>
          <w:color w:val="000000"/>
          <w:sz w:val="20"/>
        </w:rPr>
        <w:t>specify certain issues relating to a child in out of home care about which a person who has care of the child may be authorised under s.175B to make decisions.  Examples given include-</w:t>
      </w:r>
    </w:p>
    <w:p w14:paraId="3D0E1B1D"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signing of school consent forms;</w:t>
      </w:r>
    </w:p>
    <w:p w14:paraId="6132EFB0"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obtaining routine medical care for the child;</w:t>
      </w:r>
    </w:p>
    <w:p w14:paraId="7A223011" w14:textId="77777777" w:rsidR="00BF320F" w:rsidRDefault="00BF320F" w:rsidP="0014199B">
      <w:pPr>
        <w:numPr>
          <w:ilvl w:val="0"/>
          <w:numId w:val="1"/>
        </w:numPr>
        <w:tabs>
          <w:tab w:val="num" w:pos="723"/>
        </w:tabs>
        <w:jc w:val="both"/>
        <w:rPr>
          <w:rFonts w:ascii="Arial" w:hAnsi="Arial" w:cs="Arial"/>
          <w:sz w:val="20"/>
        </w:rPr>
      </w:pPr>
      <w:r w:rsidRPr="00BF320F">
        <w:rPr>
          <w:rFonts w:ascii="Arial" w:hAnsi="Arial" w:cs="Arial"/>
          <w:color w:val="000000"/>
          <w:sz w:val="20"/>
        </w:rPr>
        <w:t>the day to day treatment of a child who suffers from a chronic or serious health condition.</w:t>
      </w:r>
    </w:p>
    <w:p w14:paraId="0C9AE30E" w14:textId="77777777" w:rsidR="006909C2" w:rsidRPr="00BF320F" w:rsidRDefault="00BF320F" w:rsidP="00BF320F">
      <w:pPr>
        <w:jc w:val="both"/>
        <w:rPr>
          <w:rFonts w:ascii="Arial" w:hAnsi="Arial" w:cs="Arial"/>
          <w:color w:val="000000"/>
          <w:sz w:val="16"/>
        </w:rPr>
      </w:pPr>
      <w:r w:rsidRPr="00BF320F">
        <w:rPr>
          <w:rFonts w:ascii="Arial" w:hAnsi="Arial" w:cs="Arial"/>
          <w:color w:val="000000"/>
          <w:sz w:val="20"/>
        </w:rPr>
        <w:t xml:space="preserve">The specification may relate either to a particular child, a child subject to a particular type of order or a person who provides a certain category of care.  </w:t>
      </w:r>
      <w:r>
        <w:rPr>
          <w:rFonts w:ascii="Arial" w:hAnsi="Arial" w:cs="Arial"/>
          <w:color w:val="000000"/>
          <w:sz w:val="20"/>
        </w:rPr>
        <w:t>However, i</w:t>
      </w:r>
      <w:r w:rsidRPr="00BF320F">
        <w:rPr>
          <w:rFonts w:ascii="Arial" w:hAnsi="Arial" w:cs="Arial"/>
          <w:color w:val="000000"/>
          <w:sz w:val="20"/>
        </w:rPr>
        <w:t>f the child is subject to an</w:t>
      </w:r>
      <w:r>
        <w:rPr>
          <w:rFonts w:ascii="Arial" w:hAnsi="Arial" w:cs="Arial"/>
          <w:color w:val="000000"/>
          <w:sz w:val="20"/>
        </w:rPr>
        <w:t xml:space="preserve"> interim accommodation order,</w:t>
      </w:r>
      <w:r w:rsidRPr="00BF320F">
        <w:rPr>
          <w:rFonts w:ascii="Arial" w:hAnsi="Arial" w:cs="Arial"/>
          <w:color w:val="000000"/>
          <w:sz w:val="20"/>
        </w:rPr>
        <w:t xml:space="preserve"> </w:t>
      </w:r>
      <w:r>
        <w:rPr>
          <w:rFonts w:ascii="Arial" w:hAnsi="Arial" w:cs="Arial"/>
          <w:color w:val="000000"/>
          <w:sz w:val="20"/>
        </w:rPr>
        <w:t>a family reunification order or a therapeutic treatment (placement) order</w:t>
      </w:r>
      <w:r w:rsidRPr="00BF320F">
        <w:rPr>
          <w:rFonts w:ascii="Arial" w:hAnsi="Arial" w:cs="Arial"/>
          <w:color w:val="000000"/>
          <w:sz w:val="20"/>
        </w:rPr>
        <w:t>, the specification must not relate to “a major long-term issue”.</w:t>
      </w:r>
    </w:p>
    <w:p w14:paraId="2D0552B3" w14:textId="77777777" w:rsidR="006909C2" w:rsidRDefault="006909C2">
      <w:pPr>
        <w:jc w:val="both"/>
        <w:rPr>
          <w:rFonts w:ascii="Arial" w:hAnsi="Arial" w:cs="Arial"/>
          <w:color w:val="000000"/>
          <w:sz w:val="20"/>
        </w:rPr>
      </w:pPr>
    </w:p>
    <w:p w14:paraId="404262DC" w14:textId="77777777" w:rsidR="00646C1A" w:rsidRDefault="00BF320F">
      <w:pPr>
        <w:jc w:val="both"/>
        <w:rPr>
          <w:rFonts w:ascii="Arial" w:hAnsi="Arial" w:cs="Arial"/>
          <w:color w:val="000000"/>
          <w:sz w:val="20"/>
          <w:szCs w:val="20"/>
        </w:rPr>
      </w:pPr>
      <w:r>
        <w:rPr>
          <w:rFonts w:ascii="Arial" w:hAnsi="Arial" w:cs="Arial"/>
          <w:color w:val="000000"/>
          <w:sz w:val="20"/>
        </w:rPr>
        <w:t>Section 175B of the CYFA – also in operation since 10</w:t>
      </w:r>
      <w:r w:rsidRPr="00BF320F">
        <w:rPr>
          <w:rFonts w:ascii="Arial" w:hAnsi="Arial" w:cs="Arial"/>
          <w:color w:val="000000"/>
          <w:sz w:val="20"/>
          <w:szCs w:val="20"/>
        </w:rPr>
        <w:t xml:space="preserve">/09/2014 but amended as and from 01/03/2016 – empowers the Secretary or the person in charge of an out of home care service to authorise a person who has care of a child placed in out of home care </w:t>
      </w:r>
      <w:r w:rsidR="00646C1A">
        <w:rPr>
          <w:rFonts w:ascii="Arial" w:hAnsi="Arial" w:cs="Arial"/>
          <w:color w:val="000000"/>
          <w:sz w:val="20"/>
          <w:szCs w:val="20"/>
        </w:rPr>
        <w:t>under-</w:t>
      </w:r>
    </w:p>
    <w:p w14:paraId="4DD776DA"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an interim accommodation order; or</w:t>
      </w:r>
    </w:p>
    <w:p w14:paraId="5DF7565F" w14:textId="77777777" w:rsidR="00646C1A" w:rsidRDefault="00646C1A">
      <w:pPr>
        <w:numPr>
          <w:ilvl w:val="0"/>
          <w:numId w:val="38"/>
        </w:numPr>
        <w:ind w:left="357" w:hanging="357"/>
        <w:jc w:val="both"/>
        <w:rPr>
          <w:rFonts w:ascii="Arial" w:hAnsi="Arial" w:cs="Arial"/>
          <w:color w:val="000000"/>
          <w:sz w:val="20"/>
          <w:szCs w:val="20"/>
        </w:rPr>
      </w:pPr>
      <w:r>
        <w:rPr>
          <w:rFonts w:ascii="Arial" w:hAnsi="Arial" w:cs="Arial"/>
          <w:color w:val="000000"/>
          <w:sz w:val="20"/>
          <w:szCs w:val="20"/>
        </w:rPr>
        <w:t>a protection order that confers parental responsibility on the Secretary-</w:t>
      </w:r>
    </w:p>
    <w:p w14:paraId="74B957CB" w14:textId="77777777" w:rsidR="00BF320F" w:rsidRDefault="00BF320F">
      <w:pPr>
        <w:jc w:val="both"/>
        <w:rPr>
          <w:rFonts w:ascii="Arial" w:hAnsi="Arial" w:cs="Arial"/>
          <w:color w:val="000000"/>
          <w:sz w:val="20"/>
        </w:rPr>
      </w:pPr>
      <w:r w:rsidRPr="00BF320F">
        <w:rPr>
          <w:rFonts w:ascii="Arial" w:hAnsi="Arial" w:cs="Arial"/>
          <w:color w:val="000000"/>
          <w:sz w:val="20"/>
          <w:szCs w:val="20"/>
        </w:rPr>
        <w:t xml:space="preserve">to make decisions </w:t>
      </w:r>
      <w:r w:rsidR="00646C1A">
        <w:rPr>
          <w:rFonts w:ascii="Arial" w:hAnsi="Arial" w:cs="Arial"/>
          <w:color w:val="000000"/>
          <w:sz w:val="20"/>
          <w:szCs w:val="20"/>
        </w:rPr>
        <w:t xml:space="preserve">in relation to the child </w:t>
      </w:r>
      <w:r w:rsidRPr="00BF320F">
        <w:rPr>
          <w:rFonts w:ascii="Arial" w:hAnsi="Arial" w:cs="Arial"/>
          <w:color w:val="000000"/>
          <w:sz w:val="20"/>
          <w:szCs w:val="20"/>
        </w:rPr>
        <w:t>on the issues specified by the Secretary under s.175A.</w:t>
      </w:r>
    </w:p>
    <w:p w14:paraId="056A0C6C" w14:textId="77777777" w:rsidR="00BF320F" w:rsidRDefault="00BF320F">
      <w:pPr>
        <w:jc w:val="both"/>
        <w:rPr>
          <w:rFonts w:ascii="Arial" w:hAnsi="Arial" w:cs="Arial"/>
          <w:color w:val="000000"/>
          <w:sz w:val="20"/>
        </w:rPr>
      </w:pPr>
    </w:p>
    <w:p w14:paraId="506B4082" w14:textId="77777777" w:rsidR="00693223" w:rsidRPr="008E0B61" w:rsidRDefault="00693223">
      <w:pPr>
        <w:pStyle w:val="Heading3"/>
        <w:spacing w:line="240" w:lineRule="auto"/>
        <w:rPr>
          <w:rFonts w:ascii="Arial" w:hAnsi="Arial" w:cs="Arial"/>
          <w:b/>
          <w:bCs/>
          <w:color w:val="000000"/>
          <w:sz w:val="20"/>
        </w:rPr>
      </w:pPr>
      <w:bookmarkStart w:id="537" w:name="_4.5.3_Contact"/>
      <w:bookmarkStart w:id="538" w:name="B453"/>
      <w:bookmarkStart w:id="539" w:name="_Toc30644647"/>
      <w:bookmarkStart w:id="540" w:name="_Toc30645197"/>
      <w:bookmarkStart w:id="541" w:name="_Toc30646408"/>
      <w:bookmarkStart w:id="542" w:name="_Toc30646703"/>
      <w:bookmarkStart w:id="543" w:name="_Toc30646814"/>
      <w:bookmarkStart w:id="544" w:name="_Toc30648171"/>
      <w:bookmarkStart w:id="545" w:name="_Toc30649069"/>
      <w:bookmarkStart w:id="546" w:name="_Toc30649145"/>
      <w:bookmarkStart w:id="547" w:name="_Toc30649406"/>
      <w:bookmarkStart w:id="548" w:name="_Toc30649731"/>
      <w:bookmarkStart w:id="549" w:name="_Toc30651671"/>
      <w:bookmarkStart w:id="550" w:name="_Toc30652661"/>
      <w:bookmarkStart w:id="551" w:name="_Toc30652757"/>
      <w:bookmarkStart w:id="552" w:name="_Toc30654102"/>
      <w:bookmarkStart w:id="553" w:name="_Toc30654453"/>
      <w:bookmarkStart w:id="554" w:name="_Toc30655072"/>
      <w:bookmarkStart w:id="555" w:name="_Toc30655329"/>
      <w:bookmarkStart w:id="556" w:name="_Toc30657007"/>
      <w:bookmarkStart w:id="557" w:name="_Toc30661756"/>
      <w:bookmarkStart w:id="558" w:name="_Toc30666444"/>
      <w:bookmarkStart w:id="559" w:name="_Toc30666674"/>
      <w:bookmarkStart w:id="560" w:name="_Toc30667849"/>
      <w:bookmarkStart w:id="561" w:name="_Toc30669227"/>
      <w:bookmarkStart w:id="562" w:name="_Toc30671443"/>
      <w:bookmarkStart w:id="563" w:name="_Toc30673970"/>
      <w:bookmarkStart w:id="564" w:name="_Toc30691192"/>
      <w:bookmarkStart w:id="565" w:name="_Toc30691565"/>
      <w:bookmarkStart w:id="566" w:name="_Toc30691945"/>
      <w:bookmarkStart w:id="567" w:name="_Toc30692704"/>
      <w:bookmarkStart w:id="568" w:name="_Toc30693083"/>
      <w:bookmarkStart w:id="569" w:name="_Toc30693461"/>
      <w:bookmarkStart w:id="570" w:name="_Toc30693839"/>
      <w:bookmarkStart w:id="571" w:name="_Toc30694220"/>
      <w:bookmarkStart w:id="572" w:name="_Toc30698809"/>
      <w:bookmarkStart w:id="573" w:name="_Toc30699187"/>
      <w:bookmarkStart w:id="574" w:name="_Toc30699572"/>
      <w:bookmarkStart w:id="575" w:name="_Toc30700727"/>
      <w:bookmarkStart w:id="576" w:name="_Toc30701114"/>
      <w:bookmarkStart w:id="577" w:name="_Toc30743723"/>
      <w:bookmarkStart w:id="578" w:name="_Toc30754546"/>
      <w:bookmarkStart w:id="579" w:name="_Toc30756986"/>
      <w:bookmarkStart w:id="580" w:name="_Toc30757535"/>
      <w:bookmarkStart w:id="581" w:name="_Toc30757935"/>
      <w:bookmarkStart w:id="582" w:name="_Toc30762696"/>
      <w:bookmarkStart w:id="583" w:name="_Toc30767350"/>
      <w:bookmarkStart w:id="584" w:name="_Toc34823366"/>
      <w:bookmarkEnd w:id="537"/>
      <w:bookmarkEnd w:id="538"/>
      <w:r w:rsidRPr="008E0B61">
        <w:rPr>
          <w:rFonts w:ascii="Arial" w:hAnsi="Arial" w:cs="Arial"/>
          <w:b/>
          <w:bCs/>
          <w:color w:val="000000"/>
          <w:sz w:val="20"/>
        </w:rPr>
        <w:t>4.5.3</w:t>
      </w:r>
      <w:r w:rsidRPr="008E0B61">
        <w:rPr>
          <w:rFonts w:ascii="Arial" w:hAnsi="Arial" w:cs="Arial"/>
          <w:b/>
          <w:bCs/>
          <w:color w:val="000000"/>
          <w:sz w:val="20"/>
        </w:rPr>
        <w:tab/>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502296" w:rsidRPr="008E0B61">
        <w:rPr>
          <w:rFonts w:ascii="Arial" w:hAnsi="Arial" w:cs="Arial"/>
          <w:b/>
          <w:bCs/>
          <w:color w:val="000000"/>
          <w:sz w:val="20"/>
        </w:rPr>
        <w:t>Contact</w:t>
      </w:r>
    </w:p>
    <w:p w14:paraId="3D969AB0" w14:textId="77777777" w:rsidR="00693223" w:rsidRPr="005132A0" w:rsidRDefault="00693223">
      <w:pPr>
        <w:jc w:val="both"/>
        <w:rPr>
          <w:rFonts w:ascii="Arial" w:hAnsi="Arial" w:cs="Arial"/>
          <w:color w:val="000000"/>
          <w:sz w:val="20"/>
        </w:rPr>
      </w:pPr>
    </w:p>
    <w:p w14:paraId="55B91526" w14:textId="77777777" w:rsidR="00693223" w:rsidRPr="008E0B61" w:rsidRDefault="00693223">
      <w:pPr>
        <w:jc w:val="both"/>
        <w:rPr>
          <w:rFonts w:ascii="Arial" w:hAnsi="Arial" w:cs="Arial"/>
          <w:color w:val="000000"/>
          <w:sz w:val="20"/>
        </w:rPr>
      </w:pPr>
      <w:r w:rsidRPr="008E0B61">
        <w:rPr>
          <w:rFonts w:ascii="Arial" w:hAnsi="Arial" w:cs="Arial"/>
          <w:color w:val="000000"/>
          <w:sz w:val="20"/>
        </w:rPr>
        <w:t>In s.3 of the CY</w:t>
      </w:r>
      <w:r w:rsidR="00242170" w:rsidRPr="008E0B61">
        <w:rPr>
          <w:rFonts w:ascii="Arial" w:hAnsi="Arial" w:cs="Arial"/>
          <w:color w:val="000000"/>
          <w:sz w:val="20"/>
        </w:rPr>
        <w:t>F</w:t>
      </w:r>
      <w:r w:rsidRPr="008E0B61">
        <w:rPr>
          <w:rFonts w:ascii="Arial" w:hAnsi="Arial" w:cs="Arial"/>
          <w:color w:val="000000"/>
          <w:sz w:val="20"/>
        </w:rPr>
        <w:t>A, '</w:t>
      </w:r>
      <w:r w:rsidR="00502296" w:rsidRPr="008E0B61">
        <w:rPr>
          <w:rFonts w:ascii="Arial" w:hAnsi="Arial" w:cs="Arial"/>
          <w:color w:val="000000"/>
          <w:sz w:val="20"/>
        </w:rPr>
        <w:t>contact</w:t>
      </w:r>
      <w:r w:rsidRPr="008E0B61">
        <w:rPr>
          <w:rFonts w:ascii="Arial" w:hAnsi="Arial" w:cs="Arial"/>
          <w:color w:val="000000"/>
          <w:sz w:val="20"/>
        </w:rPr>
        <w:t xml:space="preserve">' is defined as the contact of a child with a person who does not have </w:t>
      </w:r>
      <w:r w:rsidR="00646C1A">
        <w:rPr>
          <w:rFonts w:ascii="Arial" w:hAnsi="Arial" w:cs="Arial"/>
          <w:color w:val="000000"/>
          <w:sz w:val="20"/>
        </w:rPr>
        <w:t>care</w:t>
      </w:r>
      <w:r w:rsidRPr="008E0B61">
        <w:rPr>
          <w:rFonts w:ascii="Arial" w:hAnsi="Arial" w:cs="Arial"/>
          <w:color w:val="000000"/>
          <w:sz w:val="20"/>
        </w:rPr>
        <w:t xml:space="preserve"> of the child by way of-</w:t>
      </w:r>
    </w:p>
    <w:p w14:paraId="386D2A06"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(a)</w:t>
      </w:r>
      <w:r w:rsidRPr="008E0B61">
        <w:rPr>
          <w:rFonts w:ascii="Arial" w:hAnsi="Arial" w:cs="Arial"/>
          <w:color w:val="000000"/>
          <w:sz w:val="20"/>
        </w:rPr>
        <w:tab/>
        <w:t>a visit by or to that person, including attendance for a period of time at a place other than the child's usual place of residence; or</w:t>
      </w:r>
    </w:p>
    <w:p w14:paraId="4EF1EC24" w14:textId="77777777" w:rsidR="00242170" w:rsidRPr="008E0B61" w:rsidRDefault="00693223">
      <w:pPr>
        <w:ind w:left="363" w:hanging="363"/>
        <w:jc w:val="both"/>
        <w:rPr>
          <w:rFonts w:ascii="Arial" w:hAnsi="Arial" w:cs="Arial"/>
          <w:color w:val="000000"/>
          <w:sz w:val="20"/>
        </w:rPr>
      </w:pPr>
      <w:r w:rsidRPr="008E0B61">
        <w:rPr>
          <w:rFonts w:ascii="Arial" w:hAnsi="Arial" w:cs="Arial"/>
          <w:color w:val="000000"/>
          <w:sz w:val="20"/>
        </w:rPr>
        <w:t>(b)</w:t>
      </w:r>
      <w:r w:rsidRPr="008E0B61">
        <w:rPr>
          <w:rFonts w:ascii="Arial" w:hAnsi="Arial" w:cs="Arial"/>
          <w:color w:val="000000"/>
          <w:sz w:val="20"/>
        </w:rPr>
        <w:tab/>
        <w:t>communication with that person by letter, telephone or other means</w:t>
      </w:r>
      <w:r w:rsidR="00242170" w:rsidRPr="008E0B61">
        <w:rPr>
          <w:rFonts w:ascii="Arial" w:hAnsi="Arial" w:cs="Arial"/>
          <w:color w:val="000000"/>
          <w:sz w:val="20"/>
        </w:rPr>
        <w:t>-</w:t>
      </w:r>
    </w:p>
    <w:p w14:paraId="31FCF141" w14:textId="77777777" w:rsidR="00693223" w:rsidRPr="008E0B61" w:rsidRDefault="00693223">
      <w:pPr>
        <w:ind w:left="363" w:hanging="363"/>
        <w:jc w:val="both"/>
        <w:rPr>
          <w:rFonts w:ascii="Arial" w:hAnsi="Arial" w:cs="Arial"/>
          <w:color w:val="000000"/>
          <w:sz w:val="20"/>
        </w:rPr>
      </w:pPr>
      <w:r w:rsidRPr="008E0B61">
        <w:rPr>
          <w:rFonts w:ascii="Arial" w:hAnsi="Arial" w:cs="Arial"/>
          <w:color w:val="000000"/>
          <w:sz w:val="20"/>
        </w:rPr>
        <w:t xml:space="preserve">and includes overnight </w:t>
      </w:r>
      <w:r w:rsidR="00502296" w:rsidRPr="008E0B61">
        <w:rPr>
          <w:rFonts w:ascii="Arial" w:hAnsi="Arial" w:cs="Arial"/>
          <w:color w:val="000000"/>
          <w:sz w:val="20"/>
        </w:rPr>
        <w:t>contact</w:t>
      </w:r>
      <w:r w:rsidRPr="008E0B61">
        <w:rPr>
          <w:rFonts w:ascii="Arial" w:hAnsi="Arial" w:cs="Arial"/>
          <w:color w:val="000000"/>
          <w:sz w:val="20"/>
        </w:rPr>
        <w:t>.</w:t>
      </w:r>
    </w:p>
    <w:p w14:paraId="4FC00BBA" w14:textId="77777777" w:rsidR="00693223" w:rsidRPr="008E0B61" w:rsidRDefault="00693223">
      <w:pPr>
        <w:jc w:val="both"/>
        <w:rPr>
          <w:rFonts w:ascii="Arial" w:hAnsi="Arial" w:cs="Arial"/>
          <w:color w:val="000000"/>
          <w:sz w:val="18"/>
        </w:rPr>
      </w:pPr>
    </w:p>
    <w:p w14:paraId="158EB27E" w14:textId="77777777" w:rsidR="002F3870" w:rsidRPr="008E0B61" w:rsidRDefault="003B47AB">
      <w:pPr>
        <w:jc w:val="both"/>
        <w:rPr>
          <w:rFonts w:ascii="Arial" w:hAnsi="Arial" w:cs="Arial"/>
          <w:color w:val="000000"/>
          <w:sz w:val="20"/>
        </w:rPr>
      </w:pPr>
      <w:r>
        <w:rPr>
          <w:rFonts w:ascii="Arial" w:hAnsi="Arial" w:cs="Arial"/>
          <w:color w:val="000000"/>
          <w:sz w:val="20"/>
        </w:rPr>
        <w:lastRenderedPageBreak/>
        <w:t>In the CYFA, ‘</w:t>
      </w:r>
      <w:r w:rsidR="002F3870" w:rsidRPr="008E0B61">
        <w:rPr>
          <w:rFonts w:ascii="Arial" w:hAnsi="Arial" w:cs="Arial"/>
          <w:color w:val="000000"/>
          <w:sz w:val="20"/>
        </w:rPr>
        <w:t>contact</w:t>
      </w:r>
      <w:r>
        <w:rPr>
          <w:rFonts w:ascii="Arial" w:hAnsi="Arial" w:cs="Arial"/>
          <w:color w:val="000000"/>
          <w:sz w:val="20"/>
        </w:rPr>
        <w:t>’</w:t>
      </w:r>
      <w:r w:rsidR="002F3870" w:rsidRPr="008E0B61">
        <w:rPr>
          <w:rFonts w:ascii="Arial" w:hAnsi="Arial" w:cs="Arial"/>
          <w:color w:val="000000"/>
          <w:sz w:val="20"/>
        </w:rPr>
        <w:t xml:space="preserve"> was termed </w:t>
      </w:r>
      <w:r>
        <w:rPr>
          <w:rFonts w:ascii="Arial" w:hAnsi="Arial" w:cs="Arial"/>
          <w:color w:val="000000"/>
          <w:sz w:val="20"/>
        </w:rPr>
        <w:t>‘</w:t>
      </w:r>
      <w:r w:rsidR="002F3870" w:rsidRPr="008E0B61">
        <w:rPr>
          <w:rFonts w:ascii="Arial" w:hAnsi="Arial" w:cs="Arial"/>
          <w:color w:val="000000"/>
          <w:sz w:val="20"/>
        </w:rPr>
        <w:t>access</w:t>
      </w:r>
      <w:r>
        <w:rPr>
          <w:rFonts w:ascii="Arial" w:hAnsi="Arial" w:cs="Arial"/>
          <w:color w:val="000000"/>
          <w:sz w:val="20"/>
        </w:rPr>
        <w:t>’</w:t>
      </w:r>
      <w:r w:rsidR="002F3870" w:rsidRPr="008E0B61">
        <w:rPr>
          <w:rFonts w:ascii="Arial" w:hAnsi="Arial" w:cs="Arial"/>
          <w:color w:val="000000"/>
          <w:sz w:val="20"/>
        </w:rPr>
        <w:t xml:space="preserve"> prior to 01/12/2013.</w:t>
      </w:r>
      <w:r w:rsidR="00B05EC7" w:rsidRPr="008E0B61">
        <w:rPr>
          <w:rFonts w:ascii="Arial" w:hAnsi="Arial" w:cs="Arial"/>
          <w:color w:val="000000"/>
          <w:sz w:val="20"/>
        </w:rPr>
        <w:t xml:space="preserve">  The term</w:t>
      </w:r>
      <w:r w:rsidR="007C5527" w:rsidRPr="008E0B61">
        <w:rPr>
          <w:rFonts w:ascii="Arial" w:hAnsi="Arial" w:cs="Arial"/>
          <w:color w:val="000000"/>
          <w:sz w:val="20"/>
        </w:rPr>
        <w:t>s have exactly the same meaning and are used interchangeably in these materials.</w:t>
      </w:r>
    </w:p>
    <w:p w14:paraId="1E625009" w14:textId="0C80803E" w:rsidR="002F3870" w:rsidRDefault="002F3870">
      <w:pPr>
        <w:jc w:val="both"/>
        <w:rPr>
          <w:rFonts w:ascii="Arial" w:hAnsi="Arial" w:cs="Arial"/>
          <w:sz w:val="18"/>
        </w:rPr>
      </w:pPr>
    </w:p>
    <w:p w14:paraId="70040AA5" w14:textId="12A80576" w:rsidR="004A0EA3" w:rsidRDefault="005132A0" w:rsidP="004A0EA3">
      <w:pPr>
        <w:pStyle w:val="Header"/>
        <w:tabs>
          <w:tab w:val="clear" w:pos="4153"/>
          <w:tab w:val="clear" w:pos="8306"/>
        </w:tabs>
        <w:jc w:val="both"/>
        <w:rPr>
          <w:rFonts w:ascii="Arial" w:hAnsi="Arial" w:cs="Arial"/>
          <w:color w:val="000000"/>
        </w:rPr>
      </w:pPr>
      <w:bookmarkStart w:id="585" w:name="_Toc54407831"/>
      <w:bookmarkStart w:id="586" w:name="_Toc54423759"/>
      <w:bookmarkStart w:id="587" w:name="_Toc54454559"/>
      <w:bookmarkStart w:id="588" w:name="_Toc54544465"/>
      <w:bookmarkStart w:id="589" w:name="_Toc54634504"/>
      <w:r>
        <w:rPr>
          <w:rFonts w:ascii="Arial" w:hAnsi="Arial" w:cs="Arial"/>
        </w:rPr>
        <w:t xml:space="preserve">It is commonly said that contact is </w:t>
      </w:r>
      <w:r w:rsidRPr="005132A0">
        <w:rPr>
          <w:rFonts w:ascii="Arial" w:hAnsi="Arial" w:cs="Arial"/>
          <w:b/>
          <w:bCs/>
        </w:rPr>
        <w:t>the right of the child</w:t>
      </w:r>
      <w:r>
        <w:rPr>
          <w:rFonts w:ascii="Arial" w:hAnsi="Arial" w:cs="Arial"/>
        </w:rPr>
        <w:t>.  T</w:t>
      </w:r>
      <w:r w:rsidR="004A0EA3" w:rsidRPr="008D24AD">
        <w:rPr>
          <w:rFonts w:ascii="Arial" w:hAnsi="Arial" w:cs="Arial"/>
        </w:rPr>
        <w:t xml:space="preserve">he legal basis which grounds the proposition that contact is </w:t>
      </w:r>
      <w:r w:rsidR="004A0EA3" w:rsidRPr="005132A0">
        <w:rPr>
          <w:rFonts w:ascii="Arial" w:hAnsi="Arial" w:cs="Arial"/>
          <w:b/>
          <w:bCs/>
        </w:rPr>
        <w:t>a right of the child</w:t>
      </w:r>
      <w:r w:rsidR="004A0EA3" w:rsidRPr="008D24AD">
        <w:rPr>
          <w:rFonts w:ascii="Arial" w:hAnsi="Arial" w:cs="Arial"/>
        </w:rPr>
        <w:t xml:space="preserve"> derives from the </w:t>
      </w:r>
      <w:r w:rsidR="004A0EA3" w:rsidRPr="008D24AD">
        <w:rPr>
          <w:rFonts w:ascii="Arial" w:hAnsi="Arial" w:cs="Arial"/>
          <w:i/>
          <w:iCs/>
        </w:rPr>
        <w:t>United Nations Convention on the Rights of the Child</w:t>
      </w:r>
      <w:r w:rsidR="004A0EA3" w:rsidRPr="008D24AD">
        <w:rPr>
          <w:rFonts w:ascii="Arial" w:hAnsi="Arial" w:cs="Arial"/>
        </w:rPr>
        <w:t xml:space="preserve"> which was </w:t>
      </w:r>
      <w:r w:rsidR="004A0EA3" w:rsidRPr="008D24AD">
        <w:rPr>
          <w:rFonts w:ascii="Arial" w:hAnsi="Arial" w:cs="Arial"/>
          <w:color w:val="000000"/>
        </w:rPr>
        <w:t>adopted by the United Nations and opened for signature, ratification and accession by General Assembly resolution 44/25 of 20/11/1989.  It entered into force on 02/09/1990 in accordance with Article 49.  Australia became a signatory on 22/08/1990.</w:t>
      </w:r>
      <w:r w:rsidR="004A0EA3">
        <w:rPr>
          <w:rFonts w:ascii="Arial" w:hAnsi="Arial" w:cs="Arial"/>
          <w:color w:val="000000"/>
        </w:rPr>
        <w:t xml:space="preserve">  </w:t>
      </w:r>
      <w:r w:rsidR="004A0EA3" w:rsidRPr="008D24AD">
        <w:rPr>
          <w:rFonts w:ascii="Arial" w:hAnsi="Arial" w:cs="Arial"/>
          <w:color w:val="000000"/>
        </w:rPr>
        <w:t xml:space="preserve">Three Convention provisions of central importance to this </w:t>
      </w:r>
      <w:r w:rsidR="00AA2C2D">
        <w:rPr>
          <w:rFonts w:ascii="Arial" w:hAnsi="Arial" w:cs="Arial"/>
          <w:color w:val="000000"/>
        </w:rPr>
        <w:t>proposition</w:t>
      </w:r>
      <w:r w:rsidR="004A0EA3" w:rsidRPr="008D24AD">
        <w:rPr>
          <w:rFonts w:ascii="Arial" w:hAnsi="Arial" w:cs="Arial"/>
          <w:color w:val="000000"/>
        </w:rPr>
        <w:t xml:space="preserve"> are Articles 7, 9.3 &amp; 12 in Part I of the Convention</w:t>
      </w:r>
      <w:r w:rsidR="004A0EA3">
        <w:rPr>
          <w:rFonts w:ascii="Arial" w:hAnsi="Arial" w:cs="Arial"/>
          <w:color w:val="000000"/>
        </w:rPr>
        <w:t>:</w:t>
      </w:r>
    </w:p>
    <w:p w14:paraId="65BD52F6" w14:textId="24A0F0EB" w:rsidR="004A0EA3" w:rsidRDefault="004A0EA3">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The latter part of Article 7 states</w:t>
      </w:r>
      <w:r w:rsidR="00AA2C2D">
        <w:rPr>
          <w:rFonts w:ascii="Arial" w:hAnsi="Arial" w:cs="Arial"/>
          <w:color w:val="000000"/>
        </w:rPr>
        <w:t xml:space="preserve"> [emphasis added]</w:t>
      </w:r>
      <w:r w:rsidRPr="008D24AD">
        <w:rPr>
          <w:rFonts w:ascii="Arial" w:hAnsi="Arial" w:cs="Arial"/>
          <w:color w:val="000000"/>
        </w:rPr>
        <w:t>:</w:t>
      </w:r>
    </w:p>
    <w:p w14:paraId="6643EFA6" w14:textId="77777777" w:rsidR="004A0EA3" w:rsidRPr="00FA416C" w:rsidRDefault="004A0EA3" w:rsidP="00FA416C">
      <w:pPr>
        <w:spacing w:before="60" w:after="60"/>
        <w:ind w:left="720" w:right="567"/>
        <w:jc w:val="both"/>
        <w:rPr>
          <w:rFonts w:ascii="Arial" w:hAnsi="Arial" w:cs="Arial"/>
          <w:color w:val="000000" w:themeColor="text1"/>
          <w:sz w:val="20"/>
        </w:rPr>
      </w:pPr>
      <w:r w:rsidRPr="00FA416C">
        <w:rPr>
          <w:rFonts w:ascii="Arial" w:hAnsi="Arial" w:cs="Arial"/>
          <w:color w:val="000000" w:themeColor="text1"/>
          <w:sz w:val="20"/>
        </w:rPr>
        <w:t xml:space="preserve">“The child shall be registered immediately after birth and shall have the right from birth to a name, the right to acquire a nationality and, as far as possible, </w:t>
      </w:r>
      <w:r w:rsidRPr="00AA2C2D">
        <w:rPr>
          <w:rFonts w:ascii="Arial" w:hAnsi="Arial" w:cs="Arial"/>
          <w:color w:val="000000" w:themeColor="text1"/>
          <w:sz w:val="20"/>
          <w:u w:val="single"/>
        </w:rPr>
        <w:t>the right to know</w:t>
      </w:r>
      <w:r w:rsidRPr="00FA416C">
        <w:rPr>
          <w:rFonts w:ascii="Arial" w:hAnsi="Arial" w:cs="Arial"/>
          <w:color w:val="000000" w:themeColor="text1"/>
          <w:sz w:val="20"/>
        </w:rPr>
        <w:t xml:space="preserve"> and be cared for by </w:t>
      </w:r>
      <w:r w:rsidRPr="00AA2C2D">
        <w:rPr>
          <w:rFonts w:ascii="Arial" w:hAnsi="Arial" w:cs="Arial"/>
          <w:color w:val="000000" w:themeColor="text1"/>
          <w:sz w:val="20"/>
          <w:u w:val="single"/>
        </w:rPr>
        <w:t>his or her parents</w:t>
      </w:r>
      <w:r w:rsidRPr="00FA416C">
        <w:rPr>
          <w:rFonts w:ascii="Arial" w:hAnsi="Arial" w:cs="Arial"/>
          <w:color w:val="000000" w:themeColor="text1"/>
          <w:sz w:val="20"/>
        </w:rPr>
        <w:t>.”</w:t>
      </w:r>
    </w:p>
    <w:p w14:paraId="00200F3E" w14:textId="255BB926" w:rsidR="00FA416C" w:rsidRDefault="00FA416C">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9.3 states</w:t>
      </w:r>
      <w:r w:rsidR="002D22FD">
        <w:rPr>
          <w:rFonts w:ascii="Arial" w:hAnsi="Arial" w:cs="Arial"/>
          <w:color w:val="000000"/>
        </w:rPr>
        <w:t xml:space="preserve"> [emphasis added]</w:t>
      </w:r>
      <w:r w:rsidRPr="008D24AD">
        <w:rPr>
          <w:rFonts w:ascii="Arial" w:hAnsi="Arial" w:cs="Arial"/>
          <w:color w:val="000000"/>
        </w:rPr>
        <w:t>:</w:t>
      </w:r>
    </w:p>
    <w:p w14:paraId="34B4C918" w14:textId="77777777" w:rsidR="00FA416C" w:rsidRPr="00FA416C" w:rsidRDefault="00FA416C" w:rsidP="00FA416C">
      <w:pPr>
        <w:spacing w:before="60" w:after="60"/>
        <w:ind w:left="720" w:right="567"/>
        <w:jc w:val="both"/>
        <w:rPr>
          <w:rFonts w:ascii="Arial" w:hAnsi="Arial" w:cs="Arial"/>
          <w:color w:val="000000" w:themeColor="text1"/>
          <w:sz w:val="20"/>
          <w:szCs w:val="20"/>
        </w:rPr>
      </w:pPr>
      <w:r w:rsidRPr="00FA416C">
        <w:rPr>
          <w:rFonts w:ascii="Arial" w:hAnsi="Arial" w:cs="Arial"/>
          <w:color w:val="000000" w:themeColor="text1"/>
          <w:sz w:val="20"/>
          <w:szCs w:val="20"/>
        </w:rPr>
        <w:t xml:space="preserve">“Parties shall respect </w:t>
      </w:r>
      <w:r w:rsidRPr="002D22FD">
        <w:rPr>
          <w:rFonts w:ascii="Arial" w:hAnsi="Arial" w:cs="Arial"/>
          <w:color w:val="000000" w:themeColor="text1"/>
          <w:sz w:val="20"/>
          <w:szCs w:val="20"/>
          <w:u w:val="single"/>
        </w:rPr>
        <w:t>the right of the child who is separated from one or both parents to maintain personal relations and direct contact with both parents on a regular basis</w:t>
      </w:r>
      <w:r w:rsidRPr="00FA416C">
        <w:rPr>
          <w:rFonts w:ascii="Arial" w:hAnsi="Arial" w:cs="Arial"/>
          <w:color w:val="000000" w:themeColor="text1"/>
          <w:sz w:val="20"/>
          <w:szCs w:val="20"/>
        </w:rPr>
        <w:t>, except if it is contrary to the child’s best interests.”</w:t>
      </w:r>
    </w:p>
    <w:p w14:paraId="3D922E31" w14:textId="5397CA0B" w:rsidR="00FA416C" w:rsidRDefault="002D22FD">
      <w:pPr>
        <w:pStyle w:val="Header"/>
        <w:numPr>
          <w:ilvl w:val="0"/>
          <w:numId w:val="106"/>
        </w:numPr>
        <w:tabs>
          <w:tab w:val="clear" w:pos="4153"/>
          <w:tab w:val="clear" w:pos="8306"/>
        </w:tabs>
        <w:spacing w:before="60"/>
        <w:ind w:left="357" w:hanging="357"/>
        <w:jc w:val="both"/>
        <w:rPr>
          <w:rFonts w:ascii="Arial" w:hAnsi="Arial" w:cs="Arial"/>
          <w:color w:val="000000"/>
        </w:rPr>
      </w:pPr>
      <w:r w:rsidRPr="008D24AD">
        <w:rPr>
          <w:rFonts w:ascii="Arial" w:hAnsi="Arial" w:cs="Arial"/>
          <w:color w:val="000000"/>
        </w:rPr>
        <w:t>Article 12 states:</w:t>
      </w:r>
    </w:p>
    <w:p w14:paraId="57E5DFC2" w14:textId="77777777" w:rsidR="002D22FD" w:rsidRPr="002D22FD" w:rsidRDefault="002D22FD" w:rsidP="002D22FD">
      <w:pPr>
        <w:spacing w:before="60"/>
        <w:ind w:left="720" w:right="567"/>
        <w:jc w:val="both"/>
        <w:rPr>
          <w:rFonts w:ascii="Arial" w:hAnsi="Arial" w:cs="Arial"/>
          <w:color w:val="000000" w:themeColor="text1"/>
          <w:sz w:val="20"/>
          <w:szCs w:val="20"/>
        </w:rPr>
      </w:pPr>
      <w:r w:rsidRPr="002D22FD">
        <w:rPr>
          <w:rFonts w:ascii="Arial" w:hAnsi="Arial" w:cs="Arial"/>
          <w:color w:val="000000" w:themeColor="text1"/>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0B841BC3" w14:textId="77777777" w:rsidR="00AA2C2D" w:rsidRDefault="00AA2C2D" w:rsidP="002D22FD">
      <w:pPr>
        <w:spacing w:before="120"/>
        <w:jc w:val="both"/>
        <w:rPr>
          <w:rFonts w:ascii="Arial" w:hAnsi="Arial" w:cs="Arial"/>
          <w:color w:val="000000" w:themeColor="text1"/>
          <w:sz w:val="20"/>
          <w:szCs w:val="20"/>
        </w:rPr>
      </w:pPr>
      <w:r>
        <w:rPr>
          <w:rFonts w:ascii="Arial" w:hAnsi="Arial" w:cs="Arial"/>
          <w:color w:val="000000" w:themeColor="text1"/>
          <w:sz w:val="20"/>
          <w:szCs w:val="20"/>
        </w:rPr>
        <w:t>T</w:t>
      </w:r>
      <w:r w:rsidR="002D22FD" w:rsidRPr="002D22FD">
        <w:rPr>
          <w:rFonts w:ascii="Arial" w:hAnsi="Arial" w:cs="Arial"/>
          <w:color w:val="000000" w:themeColor="text1"/>
          <w:sz w:val="20"/>
          <w:szCs w:val="20"/>
        </w:rPr>
        <w:t xml:space="preserve">he Convention has effectively been incorporated into domestic Victorian law, </w:t>
      </w:r>
      <w:r>
        <w:rPr>
          <w:rFonts w:ascii="Arial" w:hAnsi="Arial" w:cs="Arial"/>
          <w:color w:val="000000" w:themeColor="text1"/>
          <w:sz w:val="20"/>
          <w:szCs w:val="20"/>
        </w:rPr>
        <w:t>primarily</w:t>
      </w:r>
      <w:r w:rsidR="002D22FD" w:rsidRPr="002D22FD">
        <w:rPr>
          <w:rFonts w:ascii="Arial" w:hAnsi="Arial" w:cs="Arial"/>
          <w:color w:val="000000" w:themeColor="text1"/>
          <w:sz w:val="20"/>
          <w:szCs w:val="20"/>
        </w:rPr>
        <w:t xml:space="preserve"> in the ‘best interests principles’ in </w:t>
      </w:r>
      <w:r>
        <w:rPr>
          <w:rFonts w:ascii="Arial" w:hAnsi="Arial" w:cs="Arial"/>
          <w:color w:val="000000" w:themeColor="text1"/>
          <w:sz w:val="20"/>
          <w:szCs w:val="20"/>
        </w:rPr>
        <w:t>Part 1.2</w:t>
      </w:r>
      <w:r w:rsidR="002D22FD" w:rsidRPr="002D22FD">
        <w:rPr>
          <w:rFonts w:ascii="Arial" w:hAnsi="Arial" w:cs="Arial"/>
          <w:color w:val="000000" w:themeColor="text1"/>
          <w:sz w:val="20"/>
          <w:szCs w:val="20"/>
        </w:rPr>
        <w:t xml:space="preserve"> of the CYFA.  See also</w:t>
      </w:r>
      <w:r w:rsidRPr="002D22FD">
        <w:rPr>
          <w:rFonts w:ascii="Arial" w:hAnsi="Arial" w:cs="Arial"/>
          <w:color w:val="000000" w:themeColor="text1"/>
          <w:sz w:val="20"/>
          <w:szCs w:val="20"/>
        </w:rPr>
        <w:t>–</w:t>
      </w:r>
    </w:p>
    <w:p w14:paraId="3A22061E" w14:textId="77777777" w:rsidR="00AA2C2D" w:rsidRDefault="002D22FD">
      <w:pPr>
        <w:pStyle w:val="ListParagraph"/>
        <w:numPr>
          <w:ilvl w:val="0"/>
          <w:numId w:val="106"/>
        </w:numPr>
        <w:ind w:left="357" w:hanging="357"/>
        <w:jc w:val="both"/>
        <w:rPr>
          <w:rFonts w:ascii="Arial" w:hAnsi="Arial" w:cs="Arial"/>
          <w:color w:val="000000" w:themeColor="text1"/>
          <w:sz w:val="20"/>
        </w:rPr>
      </w:pPr>
      <w:r w:rsidRPr="00AA2C2D">
        <w:rPr>
          <w:rFonts w:ascii="Arial" w:hAnsi="Arial" w:cs="Arial"/>
          <w:color w:val="000000" w:themeColor="text1"/>
          <w:sz w:val="20"/>
        </w:rPr>
        <w:t xml:space="preserve">s.17 of the </w:t>
      </w:r>
      <w:r w:rsidRPr="00AA2C2D">
        <w:rPr>
          <w:rFonts w:ascii="Arial" w:hAnsi="Arial" w:cs="Arial"/>
          <w:i/>
          <w:iCs/>
          <w:color w:val="000000" w:themeColor="text1"/>
          <w:sz w:val="20"/>
        </w:rPr>
        <w:t>Charter of Human Rights and Responsibilities Act 2006</w:t>
      </w:r>
      <w:r w:rsidRPr="00AA2C2D">
        <w:rPr>
          <w:rFonts w:ascii="Arial" w:hAnsi="Arial" w:cs="Arial"/>
          <w:color w:val="000000" w:themeColor="text1"/>
          <w:sz w:val="20"/>
        </w:rPr>
        <w:t xml:space="preserve"> relating to “Protection of families and children”</w:t>
      </w:r>
      <w:r w:rsidR="00AA2C2D">
        <w:rPr>
          <w:rFonts w:ascii="Arial" w:hAnsi="Arial" w:cs="Arial"/>
          <w:color w:val="000000" w:themeColor="text1"/>
          <w:sz w:val="20"/>
        </w:rPr>
        <w:t>;</w:t>
      </w:r>
    </w:p>
    <w:p w14:paraId="18FFEEDE" w14:textId="3F804538" w:rsidR="002D22FD" w:rsidRPr="00AA2C2D" w:rsidRDefault="00AA2C2D">
      <w:pPr>
        <w:pStyle w:val="ListParagraph"/>
        <w:numPr>
          <w:ilvl w:val="0"/>
          <w:numId w:val="106"/>
        </w:numPr>
        <w:ind w:left="357" w:hanging="357"/>
        <w:jc w:val="both"/>
        <w:rPr>
          <w:rFonts w:ascii="Arial" w:hAnsi="Arial" w:cs="Arial"/>
          <w:color w:val="000000" w:themeColor="text1"/>
          <w:sz w:val="20"/>
        </w:rPr>
      </w:pPr>
      <w:r>
        <w:rPr>
          <w:rFonts w:ascii="Arial" w:hAnsi="Arial" w:cs="Arial"/>
          <w:color w:val="000000" w:themeColor="text1"/>
          <w:sz w:val="20"/>
        </w:rPr>
        <w:t>the judgment of Bell J in DOHS v Sanding [2011] VSC 42</w:t>
      </w:r>
      <w:r w:rsidR="005132A0" w:rsidRPr="008D24AD">
        <w:rPr>
          <w:rFonts w:ascii="Arial" w:hAnsi="Arial" w:cs="Arial"/>
          <w:color w:val="000000"/>
        </w:rPr>
        <w:t xml:space="preserve">; </w:t>
      </w:r>
      <w:r w:rsidR="005132A0" w:rsidRPr="005132A0">
        <w:rPr>
          <w:rFonts w:ascii="Arial" w:hAnsi="Arial" w:cs="Arial"/>
          <w:sz w:val="20"/>
          <w:szCs w:val="16"/>
        </w:rPr>
        <w:t>(2011) 36 VR 221</w:t>
      </w:r>
      <w:r>
        <w:rPr>
          <w:rFonts w:ascii="Arial" w:hAnsi="Arial" w:cs="Arial"/>
          <w:color w:val="000000" w:themeColor="text1"/>
          <w:sz w:val="20"/>
        </w:rPr>
        <w:t>, esp. at [11]</w:t>
      </w:r>
      <w:r w:rsidR="005132A0">
        <w:rPr>
          <w:rFonts w:ascii="Arial" w:hAnsi="Arial" w:cs="Arial"/>
          <w:color w:val="000000" w:themeColor="text1"/>
          <w:sz w:val="20"/>
        </w:rPr>
        <w:noBreakHyphen/>
      </w:r>
      <w:r>
        <w:rPr>
          <w:rFonts w:ascii="Arial" w:hAnsi="Arial" w:cs="Arial"/>
          <w:color w:val="000000" w:themeColor="text1"/>
          <w:sz w:val="20"/>
        </w:rPr>
        <w:t>[21] &amp; [209].</w:t>
      </w:r>
    </w:p>
    <w:p w14:paraId="76848AD0" w14:textId="73A25CB3" w:rsidR="002D22FD" w:rsidRPr="002D22FD" w:rsidRDefault="002D22FD" w:rsidP="002D22FD">
      <w:pPr>
        <w:spacing w:before="120"/>
        <w:jc w:val="both"/>
        <w:rPr>
          <w:rFonts w:ascii="Arial" w:hAnsi="Arial" w:cs="Arial"/>
          <w:color w:val="000000" w:themeColor="text1"/>
          <w:sz w:val="20"/>
          <w:szCs w:val="20"/>
        </w:rPr>
      </w:pPr>
      <w:r w:rsidRPr="002D22FD">
        <w:rPr>
          <w:rFonts w:ascii="Arial" w:hAnsi="Arial" w:cs="Arial"/>
          <w:color w:val="000000" w:themeColor="text1"/>
          <w:sz w:val="20"/>
          <w:szCs w:val="20"/>
        </w:rPr>
        <w:t xml:space="preserve">The goal of Articles 7 &amp; 9.3 of the Convention and s.17 of the Charter </w:t>
      </w:r>
      <w:r>
        <w:rPr>
          <w:rFonts w:ascii="Arial" w:hAnsi="Arial" w:cs="Arial"/>
          <w:color w:val="000000" w:themeColor="text1"/>
          <w:sz w:val="20"/>
          <w:szCs w:val="20"/>
        </w:rPr>
        <w:t>are</w:t>
      </w:r>
      <w:r w:rsidRPr="002D22FD">
        <w:rPr>
          <w:rFonts w:ascii="Arial" w:hAnsi="Arial" w:cs="Arial"/>
          <w:color w:val="000000" w:themeColor="text1"/>
          <w:sz w:val="20"/>
          <w:szCs w:val="20"/>
        </w:rPr>
        <w:t xml:space="preserve"> enshrined in paragraphs (a), (b), (c), (g), (h), (i), (j) &amp; (k) of s.10(3) of the CYFA.</w:t>
      </w:r>
      <w:r>
        <w:rPr>
          <w:rFonts w:ascii="Arial" w:hAnsi="Arial" w:cs="Arial"/>
          <w:color w:val="000000" w:themeColor="text1"/>
          <w:sz w:val="20"/>
          <w:szCs w:val="20"/>
        </w:rPr>
        <w:t xml:space="preserve">  </w:t>
      </w:r>
      <w:r w:rsidRPr="002D22FD">
        <w:rPr>
          <w:rFonts w:ascii="Arial" w:hAnsi="Arial" w:cs="Arial"/>
          <w:color w:val="000000" w:themeColor="text1"/>
          <w:sz w:val="20"/>
          <w:szCs w:val="20"/>
        </w:rPr>
        <w:t>In particular, the child’s “right to know and be cared for his or her parents” detailed in Article 7 and the child’s “right…to maintain personal relations and direct contact with both parents on a regular basis” detailed in Article 9.3 have enlivened the following matters in s.10(3) of the CYFA to which the Court must give consideration when they are relevant to any decision or action the Court has determined to make in proceedings in the Family Division–</w:t>
      </w:r>
    </w:p>
    <w:p w14:paraId="55CE4C31"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p w14:paraId="664DCCB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to strengthen, preserve and promote positive relationships between the child and the child’s parent, family members and persons significant to the child;</w:t>
      </w:r>
    </w:p>
    <w:p w14:paraId="51B45FCD" w14:textId="77777777" w:rsidR="002D22FD" w:rsidRPr="002D22FD" w:rsidRDefault="002D22FD">
      <w:pPr>
        <w:numPr>
          <w:ilvl w:val="0"/>
          <w:numId w:val="101"/>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need, in relation to an Aboriginal child, to protect and promote his or her Aboriginal cultural and spiritual identity and development by, wherever possible, maintaining and building their connections to their Aboriginal family and community;</w:t>
      </w:r>
    </w:p>
    <w:p w14:paraId="0FCC1FF4" w14:textId="77777777" w:rsidR="002D22FD" w:rsidRPr="002D22FD" w:rsidRDefault="002D22FD">
      <w:pPr>
        <w:numPr>
          <w:ilvl w:val="0"/>
          <w:numId w:val="104"/>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a child is only to be removed from the care of his or her parent if there is an unacceptable risk of harm to the child;</w:t>
      </w:r>
    </w:p>
    <w:p w14:paraId="24F29D5F" w14:textId="77777777" w:rsidR="002D22FD" w:rsidRPr="002D22FD" w:rsidRDefault="002D22FD">
      <w:pPr>
        <w:numPr>
          <w:ilvl w:val="0"/>
          <w:numId w:val="102"/>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the desirability, when a child is removed from the care of his or her parent, to plan the reunification of the child with his or her parent;</w:t>
      </w:r>
    </w:p>
    <w:p w14:paraId="0A8C152A" w14:textId="77777777" w:rsidR="002D22FD" w:rsidRPr="002D22FD" w:rsidRDefault="002D22FD">
      <w:pPr>
        <w:numPr>
          <w:ilvl w:val="0"/>
          <w:numId w:val="103"/>
        </w:numPr>
        <w:spacing w:before="60"/>
        <w:ind w:left="573" w:hanging="573"/>
        <w:jc w:val="both"/>
        <w:rPr>
          <w:rFonts w:ascii="Arial" w:hAnsi="Arial" w:cs="Arial"/>
          <w:color w:val="000000" w:themeColor="text1"/>
          <w:sz w:val="20"/>
          <w:szCs w:val="20"/>
        </w:rPr>
      </w:pPr>
      <w:r w:rsidRPr="002D22FD">
        <w:rPr>
          <w:rFonts w:ascii="Arial" w:hAnsi="Arial" w:cs="Arial"/>
          <w:color w:val="000000" w:themeColor="text1"/>
          <w:sz w:val="20"/>
          <w:szCs w:val="20"/>
        </w:rPr>
        <w:t>contact arrangements between the child and the child’s parents, siblings, family members and other persons significant to the child.</w:t>
      </w:r>
    </w:p>
    <w:p w14:paraId="1D5ACE2B" w14:textId="1E2921F1" w:rsidR="002D22FD" w:rsidRPr="008D24AD" w:rsidRDefault="002D22FD" w:rsidP="002D22FD">
      <w:pPr>
        <w:spacing w:before="120"/>
        <w:jc w:val="both"/>
        <w:rPr>
          <w:rFonts w:ascii="Arial" w:hAnsi="Arial" w:cs="Arial"/>
          <w:color w:val="000000"/>
          <w:sz w:val="20"/>
          <w:szCs w:val="20"/>
        </w:rPr>
      </w:pPr>
      <w:r w:rsidRPr="008D24AD">
        <w:rPr>
          <w:rFonts w:ascii="Arial" w:hAnsi="Arial" w:cs="Arial"/>
          <w:color w:val="000000"/>
          <w:sz w:val="20"/>
          <w:szCs w:val="20"/>
        </w:rPr>
        <w:t xml:space="preserve">The goal of Article 12 of the Convention </w:t>
      </w:r>
      <w:r w:rsidR="00AA2C2D">
        <w:rPr>
          <w:rFonts w:ascii="Arial" w:hAnsi="Arial" w:cs="Arial"/>
          <w:color w:val="000000"/>
          <w:sz w:val="20"/>
          <w:szCs w:val="20"/>
        </w:rPr>
        <w:t>is</w:t>
      </w:r>
      <w:r w:rsidRPr="008D24AD">
        <w:rPr>
          <w:rFonts w:ascii="Arial" w:hAnsi="Arial" w:cs="Arial"/>
          <w:color w:val="000000"/>
          <w:sz w:val="20"/>
          <w:szCs w:val="20"/>
        </w:rPr>
        <w:t xml:space="preserve"> enshrined in s.10(3)(d) of the CYFA:</w:t>
      </w:r>
    </w:p>
    <w:p w14:paraId="3FA411CD" w14:textId="77777777" w:rsidR="002D22FD" w:rsidRPr="008D24AD" w:rsidRDefault="002D22FD">
      <w:pPr>
        <w:numPr>
          <w:ilvl w:val="0"/>
          <w:numId w:val="105"/>
        </w:numPr>
        <w:spacing w:before="60"/>
        <w:ind w:left="573" w:hanging="573"/>
        <w:jc w:val="both"/>
        <w:rPr>
          <w:rFonts w:ascii="Arial" w:hAnsi="Arial" w:cs="Arial"/>
          <w:color w:val="000000"/>
          <w:sz w:val="20"/>
          <w:szCs w:val="20"/>
        </w:rPr>
      </w:pPr>
      <w:r w:rsidRPr="008D24AD">
        <w:rPr>
          <w:rFonts w:ascii="Arial" w:hAnsi="Arial" w:cs="Arial"/>
          <w:color w:val="000000"/>
          <w:sz w:val="20"/>
          <w:szCs w:val="20"/>
        </w:rPr>
        <w:t>the child’s views and wishes, if they can be reasonably ascertained, …should be given such weight as is appropriate in the circumstances.</w:t>
      </w:r>
    </w:p>
    <w:p w14:paraId="3B14A2F5" w14:textId="6FEC40C7" w:rsidR="002D22FD" w:rsidRPr="005132A0" w:rsidRDefault="00AA2C2D" w:rsidP="008B0555">
      <w:pPr>
        <w:spacing w:before="120"/>
        <w:jc w:val="both"/>
        <w:rPr>
          <w:rFonts w:ascii="Arial" w:hAnsi="Arial" w:cs="Arial"/>
          <w:color w:val="000000" w:themeColor="text1"/>
          <w:sz w:val="20"/>
          <w:szCs w:val="20"/>
        </w:rPr>
      </w:pPr>
      <w:r w:rsidRPr="005132A0">
        <w:rPr>
          <w:rFonts w:ascii="Arial" w:hAnsi="Arial" w:cs="Arial"/>
          <w:color w:val="000000" w:themeColor="text1"/>
          <w:sz w:val="20"/>
          <w:szCs w:val="20"/>
        </w:rPr>
        <w:lastRenderedPageBreak/>
        <w:t xml:space="preserve">The fact that contact is </w:t>
      </w:r>
      <w:r w:rsidRPr="005132A0">
        <w:rPr>
          <w:rFonts w:ascii="Arial" w:hAnsi="Arial" w:cs="Arial"/>
          <w:b/>
          <w:bCs/>
          <w:color w:val="000000" w:themeColor="text1"/>
          <w:sz w:val="20"/>
          <w:szCs w:val="20"/>
        </w:rPr>
        <w:t>a right</w:t>
      </w:r>
      <w:r w:rsidRPr="005132A0">
        <w:rPr>
          <w:rFonts w:ascii="Arial" w:hAnsi="Arial" w:cs="Arial"/>
          <w:color w:val="000000" w:themeColor="text1"/>
          <w:sz w:val="20"/>
          <w:szCs w:val="20"/>
        </w:rPr>
        <w:t xml:space="preserve"> of the child does not mean that it isn’t a right of the parent as well.  However, it </w:t>
      </w:r>
      <w:r w:rsidR="002D22FD" w:rsidRPr="005132A0">
        <w:rPr>
          <w:rFonts w:ascii="Arial" w:hAnsi="Arial" w:cs="Arial"/>
          <w:color w:val="000000" w:themeColor="text1"/>
          <w:sz w:val="20"/>
          <w:szCs w:val="20"/>
        </w:rPr>
        <w:t xml:space="preserve">appears from the ‘best interests provisions’ in </w:t>
      </w:r>
      <w:r w:rsidR="008B0555" w:rsidRPr="005132A0">
        <w:rPr>
          <w:rFonts w:ascii="Arial" w:hAnsi="Arial" w:cs="Arial"/>
          <w:color w:val="000000" w:themeColor="text1"/>
          <w:sz w:val="20"/>
          <w:szCs w:val="20"/>
        </w:rPr>
        <w:t>Part 1.2 of the CYFA – and especially from s.10(1) which provides that “For the purposes of [the CYFA] the best interests of the child must always be paramount’ – that contact is primar</w:t>
      </w:r>
      <w:r w:rsidR="005132A0" w:rsidRPr="005132A0">
        <w:rPr>
          <w:rFonts w:ascii="Arial" w:hAnsi="Arial" w:cs="Arial"/>
          <w:color w:val="000000" w:themeColor="text1"/>
          <w:sz w:val="20"/>
          <w:szCs w:val="20"/>
        </w:rPr>
        <w:t>il</w:t>
      </w:r>
      <w:r w:rsidR="008B0555" w:rsidRPr="005132A0">
        <w:rPr>
          <w:rFonts w:ascii="Arial" w:hAnsi="Arial" w:cs="Arial"/>
          <w:color w:val="000000" w:themeColor="text1"/>
          <w:sz w:val="20"/>
          <w:szCs w:val="20"/>
        </w:rPr>
        <w:t xml:space="preserve">y </w:t>
      </w:r>
      <w:r w:rsidR="005132A0" w:rsidRPr="005132A0">
        <w:rPr>
          <w:rFonts w:ascii="Arial" w:hAnsi="Arial" w:cs="Arial"/>
          <w:b/>
          <w:bCs/>
          <w:color w:val="000000" w:themeColor="text1"/>
          <w:sz w:val="20"/>
          <w:szCs w:val="20"/>
        </w:rPr>
        <w:t>the</w:t>
      </w:r>
      <w:r w:rsidR="005132A0" w:rsidRPr="005132A0">
        <w:rPr>
          <w:rFonts w:ascii="Arial" w:hAnsi="Arial" w:cs="Arial"/>
          <w:color w:val="000000" w:themeColor="text1"/>
          <w:sz w:val="20"/>
          <w:szCs w:val="20"/>
        </w:rPr>
        <w:t xml:space="preserve"> </w:t>
      </w:r>
      <w:r w:rsidR="008B0555" w:rsidRPr="005132A0">
        <w:rPr>
          <w:rFonts w:ascii="Arial" w:hAnsi="Arial" w:cs="Arial"/>
          <w:color w:val="000000" w:themeColor="text1"/>
          <w:sz w:val="20"/>
          <w:szCs w:val="20"/>
        </w:rPr>
        <w:t xml:space="preserve">right of the child.  </w:t>
      </w:r>
      <w:r w:rsidR="005132A0" w:rsidRPr="005132A0">
        <w:rPr>
          <w:rFonts w:ascii="Arial" w:hAnsi="Arial" w:cs="Arial"/>
          <w:color w:val="000000" w:themeColor="text1"/>
          <w:sz w:val="20"/>
          <w:szCs w:val="20"/>
        </w:rPr>
        <w:t xml:space="preserve">The result is that </w:t>
      </w:r>
      <w:r w:rsidR="005132A0" w:rsidRPr="005132A0">
        <w:rPr>
          <w:rFonts w:ascii="Arial" w:hAnsi="Arial" w:cs="Arial"/>
          <w:sz w:val="20"/>
          <w:szCs w:val="20"/>
        </w:rPr>
        <w:t xml:space="preserve">the rights of the child in relation to contact and everything else trump the corresponding rights of the parent or any other </w:t>
      </w:r>
      <w:r w:rsidR="005132A0">
        <w:rPr>
          <w:rFonts w:ascii="Arial" w:hAnsi="Arial" w:cs="Arial"/>
          <w:sz w:val="20"/>
          <w:szCs w:val="20"/>
        </w:rPr>
        <w:t>adult</w:t>
      </w:r>
      <w:r w:rsidR="005132A0" w:rsidRPr="005132A0">
        <w:rPr>
          <w:rFonts w:ascii="Arial" w:hAnsi="Arial" w:cs="Arial"/>
          <w:sz w:val="20"/>
          <w:szCs w:val="20"/>
        </w:rPr>
        <w:t>.</w:t>
      </w:r>
    </w:p>
    <w:p w14:paraId="3760AAAF" w14:textId="77777777" w:rsidR="004A0EA3" w:rsidRDefault="004A0EA3" w:rsidP="004A0EA3">
      <w:pPr>
        <w:pStyle w:val="Header"/>
        <w:tabs>
          <w:tab w:val="clear" w:pos="4153"/>
          <w:tab w:val="clear" w:pos="8306"/>
        </w:tabs>
        <w:jc w:val="both"/>
        <w:rPr>
          <w:rFonts w:ascii="Arial" w:hAnsi="Arial" w:cs="Arial"/>
          <w:color w:val="000000"/>
        </w:rPr>
      </w:pPr>
    </w:p>
    <w:p w14:paraId="3CA52EF4" w14:textId="77777777" w:rsidR="00693223" w:rsidRDefault="00693223" w:rsidP="00655B47">
      <w:pPr>
        <w:pStyle w:val="Heading3"/>
        <w:keepNext/>
        <w:keepLines/>
        <w:widowControl/>
        <w:spacing w:line="240" w:lineRule="auto"/>
        <w:rPr>
          <w:rFonts w:ascii="Arial" w:hAnsi="Arial" w:cs="Arial"/>
          <w:b/>
          <w:bCs/>
          <w:sz w:val="20"/>
        </w:rPr>
      </w:pPr>
      <w:bookmarkStart w:id="590" w:name="_4.5.4_Terms_used"/>
      <w:bookmarkStart w:id="591" w:name="B454"/>
      <w:bookmarkStart w:id="592" w:name="_Toc30644648"/>
      <w:bookmarkStart w:id="593" w:name="_Toc30645198"/>
      <w:bookmarkStart w:id="594" w:name="_Toc30646409"/>
      <w:bookmarkStart w:id="595" w:name="_Toc30646704"/>
      <w:bookmarkStart w:id="596" w:name="_Toc30646815"/>
      <w:bookmarkStart w:id="597" w:name="_Toc30648172"/>
      <w:bookmarkStart w:id="598" w:name="_Toc30649070"/>
      <w:bookmarkStart w:id="599" w:name="_Toc30649146"/>
      <w:bookmarkStart w:id="600" w:name="_Toc30649407"/>
      <w:bookmarkStart w:id="601" w:name="_Toc30649732"/>
      <w:bookmarkStart w:id="602" w:name="_Toc30651672"/>
      <w:bookmarkStart w:id="603" w:name="_Toc30652662"/>
      <w:bookmarkStart w:id="604" w:name="_Toc30652758"/>
      <w:bookmarkStart w:id="605" w:name="_Toc30654103"/>
      <w:bookmarkStart w:id="606" w:name="_Toc30654454"/>
      <w:bookmarkStart w:id="607" w:name="_Toc30655073"/>
      <w:bookmarkStart w:id="608" w:name="_Toc30655330"/>
      <w:bookmarkStart w:id="609" w:name="_Toc30657008"/>
      <w:bookmarkStart w:id="610" w:name="_Toc30661757"/>
      <w:bookmarkStart w:id="611" w:name="_Toc30666445"/>
      <w:bookmarkStart w:id="612" w:name="_Toc30666675"/>
      <w:bookmarkStart w:id="613" w:name="_Toc30667850"/>
      <w:bookmarkStart w:id="614" w:name="_Toc30669228"/>
      <w:bookmarkStart w:id="615" w:name="_Toc30671444"/>
      <w:bookmarkStart w:id="616" w:name="_Toc30673971"/>
      <w:bookmarkStart w:id="617" w:name="_Toc30691193"/>
      <w:bookmarkStart w:id="618" w:name="_Toc30691566"/>
      <w:bookmarkStart w:id="619" w:name="_Toc30691946"/>
      <w:bookmarkStart w:id="620" w:name="_Toc30692705"/>
      <w:bookmarkStart w:id="621" w:name="_Toc30693084"/>
      <w:bookmarkStart w:id="622" w:name="_Toc30693462"/>
      <w:bookmarkStart w:id="623" w:name="_Toc30693840"/>
      <w:bookmarkStart w:id="624" w:name="_Toc30694221"/>
      <w:bookmarkStart w:id="625" w:name="_Toc30698810"/>
      <w:bookmarkStart w:id="626" w:name="_Toc30699188"/>
      <w:bookmarkStart w:id="627" w:name="_Toc30699573"/>
      <w:bookmarkStart w:id="628" w:name="_Toc30700728"/>
      <w:bookmarkStart w:id="629" w:name="_Toc30701115"/>
      <w:bookmarkStart w:id="630" w:name="_Toc30743724"/>
      <w:bookmarkStart w:id="631" w:name="_Toc30754547"/>
      <w:bookmarkStart w:id="632" w:name="_Toc30756987"/>
      <w:bookmarkStart w:id="633" w:name="_Toc30757536"/>
      <w:bookmarkStart w:id="634" w:name="_Toc30757936"/>
      <w:bookmarkStart w:id="635" w:name="_Toc30762697"/>
      <w:bookmarkStart w:id="636" w:name="_Toc30767351"/>
      <w:bookmarkStart w:id="637" w:name="_Toc34823367"/>
      <w:bookmarkEnd w:id="585"/>
      <w:bookmarkEnd w:id="586"/>
      <w:bookmarkEnd w:id="587"/>
      <w:bookmarkEnd w:id="588"/>
      <w:bookmarkEnd w:id="589"/>
      <w:bookmarkEnd w:id="590"/>
      <w:bookmarkEnd w:id="591"/>
      <w:r>
        <w:rPr>
          <w:rFonts w:ascii="Arial" w:hAnsi="Arial" w:cs="Arial"/>
          <w:b/>
          <w:bCs/>
          <w:sz w:val="20"/>
        </w:rPr>
        <w:t>4.5.4</w:t>
      </w:r>
      <w:r>
        <w:rPr>
          <w:rFonts w:ascii="Arial" w:hAnsi="Arial" w:cs="Arial"/>
          <w:b/>
          <w:bCs/>
          <w:sz w:val="20"/>
        </w:rPr>
        <w:tab/>
        <w:t>Terms used in the Family Law Act</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8071DA2" w14:textId="77777777" w:rsidR="00693223" w:rsidRDefault="00693223" w:rsidP="00655B47">
      <w:pPr>
        <w:keepNext/>
        <w:keepLines/>
        <w:jc w:val="both"/>
        <w:rPr>
          <w:rFonts w:ascii="Arial" w:hAnsi="Arial" w:cs="Arial"/>
          <w:sz w:val="18"/>
        </w:rPr>
      </w:pPr>
    </w:p>
    <w:p w14:paraId="3408A545" w14:textId="77777777" w:rsidR="00D43B59" w:rsidRDefault="00693223" w:rsidP="00D43B59">
      <w:pPr>
        <w:jc w:val="both"/>
        <w:rPr>
          <w:rFonts w:ascii="Arial" w:hAnsi="Arial" w:cs="Arial"/>
          <w:sz w:val="20"/>
        </w:rPr>
      </w:pPr>
      <w:r>
        <w:rPr>
          <w:rFonts w:ascii="Arial" w:hAnsi="Arial" w:cs="Arial"/>
          <w:sz w:val="20"/>
        </w:rPr>
        <w:t xml:space="preserve">Prior to the </w:t>
      </w:r>
      <w:r>
        <w:rPr>
          <w:rFonts w:ascii="Arial" w:hAnsi="Arial" w:cs="Arial"/>
          <w:sz w:val="20"/>
          <w:u w:val="single"/>
        </w:rPr>
        <w:t>Family Law Reform Act 1995 (Cth)</w:t>
      </w:r>
      <w:r>
        <w:rPr>
          <w:rFonts w:ascii="Arial" w:hAnsi="Arial" w:cs="Arial"/>
          <w:sz w:val="20"/>
        </w:rPr>
        <w:t xml:space="preserve"> the terms "custody", "gua</w:t>
      </w:r>
      <w:r w:rsidR="00802CC2">
        <w:rPr>
          <w:rFonts w:ascii="Arial" w:hAnsi="Arial" w:cs="Arial"/>
          <w:sz w:val="20"/>
        </w:rPr>
        <w:t xml:space="preserve">rdianship" &amp; "access" were </w:t>
      </w:r>
      <w:r>
        <w:rPr>
          <w:rFonts w:ascii="Arial" w:hAnsi="Arial" w:cs="Arial"/>
          <w:sz w:val="20"/>
        </w:rPr>
        <w:t xml:space="preserve">central to orders made by the Family Court of Australia.  That Act, which came into force on </w:t>
      </w:r>
      <w:smartTag w:uri="urn:schemas-microsoft-com:office:smarttags" w:element="date">
        <w:smartTagPr>
          <w:attr w:name="Year" w:val="1996"/>
          <w:attr w:name="Day" w:val="11"/>
          <w:attr w:name="Month" w:val="6"/>
        </w:smartTagPr>
        <w:r>
          <w:rPr>
            <w:rFonts w:ascii="Arial" w:hAnsi="Arial" w:cs="Arial"/>
            <w:sz w:val="20"/>
          </w:rPr>
          <w:t>11/06/1996</w:t>
        </w:r>
      </w:smartTag>
      <w:r>
        <w:rPr>
          <w:rFonts w:ascii="Arial" w:hAnsi="Arial" w:cs="Arial"/>
          <w:sz w:val="20"/>
        </w:rPr>
        <w:t>, amended significant sections of the Family Law Act 1975 (Cth) relating to children.  The changes included removal of the old terms and introduction of the concepts of</w:t>
      </w:r>
      <w:r w:rsidR="00D43B59">
        <w:rPr>
          <w:rFonts w:ascii="Arial" w:hAnsi="Arial" w:cs="Arial"/>
          <w:sz w:val="20"/>
        </w:rPr>
        <w:t xml:space="preserve"> "parental responsibility", “residence”, “contact” and “specific issues orders”.  By further amendments made by the </w:t>
      </w:r>
      <w:r w:rsidR="00D43B59" w:rsidRPr="00D43B59">
        <w:rPr>
          <w:rFonts w:ascii="Arial" w:hAnsi="Arial" w:cs="Arial"/>
          <w:sz w:val="20"/>
          <w:u w:val="single"/>
        </w:rPr>
        <w:t>Family Law Amendment (Shared Parental Responsibility) Act 2006 (Cth)</w:t>
      </w:r>
      <w:r w:rsidR="00D43B59">
        <w:rPr>
          <w:rFonts w:ascii="Arial" w:hAnsi="Arial" w:cs="Arial"/>
          <w:sz w:val="20"/>
        </w:rPr>
        <w:t xml:space="preserve"> [No.46 of 2006] as and from 22/05/2006 “residence” is now termed “live with” and “contact” is now termed “spend time with”.</w:t>
      </w:r>
    </w:p>
    <w:p w14:paraId="4AB9249A" w14:textId="77777777" w:rsidR="00D43B59" w:rsidRDefault="00D43B59" w:rsidP="00D43B59">
      <w:pPr>
        <w:rPr>
          <w:rFonts w:ascii="Arial" w:hAnsi="Arial" w:cs="Arial"/>
          <w:sz w:val="20"/>
        </w:rPr>
      </w:pPr>
    </w:p>
    <w:p w14:paraId="3BBE0E4C" w14:textId="77777777" w:rsidR="00693223" w:rsidRDefault="00693223">
      <w:pPr>
        <w:jc w:val="both"/>
        <w:rPr>
          <w:rFonts w:ascii="Arial" w:hAnsi="Arial" w:cs="Arial"/>
          <w:sz w:val="20"/>
        </w:rPr>
      </w:pPr>
      <w:r>
        <w:rPr>
          <w:rFonts w:ascii="Arial" w:hAnsi="Arial" w:cs="Arial"/>
          <w:sz w:val="20"/>
        </w:rPr>
        <w:t>These changes were designed to recognise the desirability of continuing joint responsibility for and co-operation in parenting even though a marriage or relationship had broken down.  They were prompted by the belief of the government of the day that the old concepts were a source of many of the ongoing difficulties between separated parents as they foster a notion of 'property' in children.  The new terminology is not entirely interchangeable with the old: for instance parental responsibility is not exactly the same as guardianship, though they share some common features.</w:t>
      </w:r>
    </w:p>
    <w:p w14:paraId="05375819" w14:textId="77777777" w:rsidR="00D43B59" w:rsidRPr="00655B47" w:rsidRDefault="00D43B59">
      <w:pPr>
        <w:rPr>
          <w:rFonts w:ascii="Arial" w:hAnsi="Arial" w:cs="Arial"/>
          <w:sz w:val="18"/>
          <w:szCs w:val="22"/>
        </w:rPr>
      </w:pPr>
    </w:p>
    <w:p w14:paraId="373B6C6F" w14:textId="382E7082" w:rsidR="00693223" w:rsidRDefault="00693223">
      <w:pPr>
        <w:pStyle w:val="Heading2"/>
        <w:keepNext/>
        <w:tabs>
          <w:tab w:val="left" w:pos="567"/>
        </w:tabs>
        <w:spacing w:line="240" w:lineRule="auto"/>
        <w:rPr>
          <w:rFonts w:ascii="Arial" w:hAnsi="Arial" w:cs="Arial"/>
          <w:b/>
          <w:bCs/>
        </w:rPr>
      </w:pPr>
      <w:bookmarkStart w:id="638" w:name="_4.6_Protective_intervention"/>
      <w:bookmarkStart w:id="639" w:name="B46"/>
      <w:bookmarkStart w:id="640" w:name="_Toc30607530"/>
      <w:bookmarkStart w:id="641" w:name="_Toc30607659"/>
      <w:bookmarkStart w:id="642" w:name="_Toc30607984"/>
      <w:bookmarkStart w:id="643" w:name="_Toc30608817"/>
      <w:bookmarkStart w:id="644" w:name="_Toc30610031"/>
      <w:bookmarkStart w:id="645" w:name="_Toc30610275"/>
      <w:bookmarkStart w:id="646" w:name="_Toc30638429"/>
      <w:bookmarkStart w:id="647" w:name="_Toc30644242"/>
      <w:bookmarkStart w:id="648" w:name="_Toc30644649"/>
      <w:bookmarkStart w:id="649" w:name="_Toc30645199"/>
      <w:bookmarkStart w:id="650" w:name="_Toc30646410"/>
      <w:bookmarkStart w:id="651" w:name="_Toc30646705"/>
      <w:bookmarkStart w:id="652" w:name="_Toc30646816"/>
      <w:bookmarkStart w:id="653" w:name="_Toc30648173"/>
      <w:bookmarkStart w:id="654" w:name="_Toc30649071"/>
      <w:bookmarkStart w:id="655" w:name="_Toc30649147"/>
      <w:bookmarkStart w:id="656" w:name="_Toc30649408"/>
      <w:bookmarkStart w:id="657" w:name="_Toc30649733"/>
      <w:bookmarkStart w:id="658" w:name="_Toc30651673"/>
      <w:bookmarkStart w:id="659" w:name="_Toc30652663"/>
      <w:bookmarkStart w:id="660" w:name="_Toc30652759"/>
      <w:bookmarkStart w:id="661" w:name="_Toc30654104"/>
      <w:bookmarkStart w:id="662" w:name="_Toc30654455"/>
      <w:bookmarkStart w:id="663" w:name="_Toc30655074"/>
      <w:bookmarkStart w:id="664" w:name="_Toc30655331"/>
      <w:bookmarkStart w:id="665" w:name="_Toc30657009"/>
      <w:bookmarkStart w:id="666" w:name="_Toc30661758"/>
      <w:bookmarkStart w:id="667" w:name="_Toc30666446"/>
      <w:bookmarkStart w:id="668" w:name="_Toc30666676"/>
      <w:bookmarkStart w:id="669" w:name="_Toc30667851"/>
      <w:bookmarkStart w:id="670" w:name="_Toc30669229"/>
      <w:bookmarkStart w:id="671" w:name="_Toc30671445"/>
      <w:bookmarkStart w:id="672" w:name="_Toc30673972"/>
      <w:bookmarkStart w:id="673" w:name="_Toc30691194"/>
      <w:bookmarkStart w:id="674" w:name="_Toc30691567"/>
      <w:bookmarkStart w:id="675" w:name="_Toc30691947"/>
      <w:bookmarkStart w:id="676" w:name="_Toc30692706"/>
      <w:bookmarkStart w:id="677" w:name="_Toc30693085"/>
      <w:bookmarkStart w:id="678" w:name="_Toc30693463"/>
      <w:bookmarkStart w:id="679" w:name="_Toc30693841"/>
      <w:bookmarkStart w:id="680" w:name="_Toc30694222"/>
      <w:bookmarkStart w:id="681" w:name="_Toc30698811"/>
      <w:bookmarkStart w:id="682" w:name="_Toc30699189"/>
      <w:bookmarkStart w:id="683" w:name="_Toc30699574"/>
      <w:bookmarkStart w:id="684" w:name="_Toc30700729"/>
      <w:bookmarkStart w:id="685" w:name="_Toc30701116"/>
      <w:bookmarkStart w:id="686" w:name="_Toc30743725"/>
      <w:bookmarkStart w:id="687" w:name="_Toc30754548"/>
      <w:bookmarkStart w:id="688" w:name="_Toc30756988"/>
      <w:bookmarkStart w:id="689" w:name="_Toc30757537"/>
      <w:bookmarkStart w:id="690" w:name="_Toc30757937"/>
      <w:bookmarkStart w:id="691" w:name="_Toc30762698"/>
      <w:bookmarkStart w:id="692" w:name="_Toc30767352"/>
      <w:bookmarkStart w:id="693" w:name="_Toc34823368"/>
      <w:bookmarkEnd w:id="638"/>
      <w:bookmarkEnd w:id="639"/>
      <w:r>
        <w:rPr>
          <w:rFonts w:ascii="Arial" w:hAnsi="Arial" w:cs="Arial"/>
          <w:b/>
          <w:bCs/>
        </w:rPr>
        <w:t>4.6</w:t>
      </w:r>
      <w:r>
        <w:rPr>
          <w:rFonts w:ascii="Arial" w:hAnsi="Arial" w:cs="Arial"/>
          <w:b/>
          <w:bCs/>
        </w:rPr>
        <w:tab/>
      </w:r>
      <w:r w:rsidR="00863BC7">
        <w:rPr>
          <w:rFonts w:ascii="Arial" w:hAnsi="Arial" w:cs="Arial"/>
          <w:b/>
          <w:bCs/>
        </w:rPr>
        <w:t xml:space="preserve">Protective intervention reports [previously termed </w:t>
      </w:r>
      <w:r w:rsidR="00272B88">
        <w:rPr>
          <w:rFonts w:ascii="Arial" w:hAnsi="Arial" w:cs="Arial"/>
          <w:b/>
          <w:bCs/>
        </w:rPr>
        <w:t>“</w:t>
      </w:r>
      <w:r>
        <w:rPr>
          <w:rFonts w:ascii="Arial" w:hAnsi="Arial" w:cs="Arial"/>
          <w:b/>
          <w:bCs/>
        </w:rPr>
        <w:t>Notifications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00272B88">
        <w:rPr>
          <w:rFonts w:ascii="Arial" w:hAnsi="Arial" w:cs="Arial"/>
          <w:b/>
          <w:bCs/>
        </w:rPr>
        <w:t>”</w:t>
      </w:r>
      <w:r w:rsidR="00863BC7">
        <w:rPr>
          <w:rFonts w:ascii="Arial" w:hAnsi="Arial" w:cs="Arial"/>
          <w:b/>
          <w:bCs/>
        </w:rPr>
        <w:t>]</w:t>
      </w:r>
    </w:p>
    <w:p w14:paraId="7DBB9E62" w14:textId="77777777" w:rsidR="00693223" w:rsidRPr="00655B47" w:rsidRDefault="00693223">
      <w:pPr>
        <w:jc w:val="both"/>
        <w:rPr>
          <w:rFonts w:ascii="Arial" w:hAnsi="Arial" w:cs="Arial"/>
          <w:sz w:val="18"/>
          <w:szCs w:val="22"/>
        </w:rPr>
      </w:pPr>
    </w:p>
    <w:p w14:paraId="21B8216C" w14:textId="3B8A6897" w:rsidR="00693223" w:rsidRPr="00785E1A" w:rsidRDefault="00693223">
      <w:pPr>
        <w:jc w:val="both"/>
        <w:rPr>
          <w:rFonts w:ascii="Arial" w:hAnsi="Arial" w:cs="Arial"/>
          <w:color w:val="000000"/>
          <w:sz w:val="20"/>
        </w:rPr>
      </w:pPr>
      <w:r w:rsidRPr="00785E1A">
        <w:rPr>
          <w:rFonts w:ascii="Arial" w:hAnsi="Arial" w:cs="Arial"/>
          <w:color w:val="000000"/>
          <w:sz w:val="20"/>
        </w:rPr>
        <w:t xml:space="preserve">Most </w:t>
      </w:r>
      <w:r w:rsidR="008E10E3" w:rsidRPr="00785E1A">
        <w:rPr>
          <w:rFonts w:ascii="Arial" w:hAnsi="Arial" w:cs="Arial"/>
          <w:color w:val="000000"/>
          <w:sz w:val="20"/>
        </w:rPr>
        <w:t>protection applications and breach notices</w:t>
      </w:r>
      <w:r w:rsidRPr="00785E1A">
        <w:rPr>
          <w:rFonts w:ascii="Arial" w:hAnsi="Arial" w:cs="Arial"/>
          <w:color w:val="000000"/>
          <w:sz w:val="20"/>
        </w:rPr>
        <w:t xml:space="preserve"> in the Family Division of the Children's Court are initiated by the Department as a consequence of a </w:t>
      </w:r>
      <w:r w:rsidR="00863BC7" w:rsidRPr="00785E1A">
        <w:rPr>
          <w:rFonts w:ascii="Arial" w:hAnsi="Arial" w:cs="Arial"/>
          <w:color w:val="000000"/>
          <w:sz w:val="20"/>
        </w:rPr>
        <w:t xml:space="preserve">report </w:t>
      </w:r>
      <w:r w:rsidRPr="00785E1A">
        <w:rPr>
          <w:rFonts w:ascii="Arial" w:hAnsi="Arial" w:cs="Arial"/>
          <w:color w:val="000000"/>
          <w:sz w:val="20"/>
        </w:rPr>
        <w:t>received by it of suspected child abuse.</w:t>
      </w:r>
      <w:r w:rsidR="00272B88" w:rsidRPr="00785E1A">
        <w:rPr>
          <w:rFonts w:ascii="Arial" w:hAnsi="Arial" w:cs="Arial"/>
          <w:color w:val="000000"/>
          <w:sz w:val="20"/>
        </w:rPr>
        <w:t xml:space="preserve">  Under the CYPA these were termed “notifications”.  Under the CYFA they are termed “protective intervention reports”.  Save for the change in terminology, the </w:t>
      </w:r>
      <w:r w:rsidR="00C777FC" w:rsidRPr="00785E1A">
        <w:rPr>
          <w:rFonts w:ascii="Arial" w:hAnsi="Arial" w:cs="Arial"/>
          <w:color w:val="000000"/>
          <w:sz w:val="20"/>
        </w:rPr>
        <w:t xml:space="preserve">provisions </w:t>
      </w:r>
      <w:r w:rsidR="006E5B6E" w:rsidRPr="00785E1A">
        <w:rPr>
          <w:rFonts w:ascii="Arial" w:hAnsi="Arial" w:cs="Arial"/>
          <w:color w:val="000000"/>
          <w:sz w:val="20"/>
        </w:rPr>
        <w:t>in ss.182</w:t>
      </w:r>
      <w:r w:rsidR="00F00C4A">
        <w:rPr>
          <w:rFonts w:ascii="Arial" w:hAnsi="Arial" w:cs="Arial"/>
          <w:color w:val="000000"/>
          <w:sz w:val="20"/>
        </w:rPr>
        <w:noBreakHyphen/>
      </w:r>
      <w:r w:rsidR="006E5B6E" w:rsidRPr="00785E1A">
        <w:rPr>
          <w:rFonts w:ascii="Arial" w:hAnsi="Arial" w:cs="Arial"/>
          <w:color w:val="000000"/>
          <w:sz w:val="20"/>
        </w:rPr>
        <w:t xml:space="preserve">184, 186, 189-191 &amp; 204-209 of the </w:t>
      </w:r>
      <w:r w:rsidR="00C777FC" w:rsidRPr="00785E1A">
        <w:rPr>
          <w:rFonts w:ascii="Arial" w:hAnsi="Arial" w:cs="Arial"/>
          <w:color w:val="000000"/>
          <w:sz w:val="20"/>
        </w:rPr>
        <w:t>CYFA are in substantially the same terms as their predecessors in ss.</w:t>
      </w:r>
      <w:r w:rsidR="006E5B6E" w:rsidRPr="00785E1A">
        <w:rPr>
          <w:rFonts w:ascii="Arial" w:hAnsi="Arial" w:cs="Arial"/>
          <w:color w:val="000000"/>
          <w:sz w:val="20"/>
        </w:rPr>
        <w:t>64, 65(2) &amp; 66-67</w:t>
      </w:r>
      <w:r w:rsidR="00C777FC" w:rsidRPr="00785E1A">
        <w:rPr>
          <w:rFonts w:ascii="Arial" w:hAnsi="Arial" w:cs="Arial"/>
          <w:color w:val="000000"/>
          <w:sz w:val="20"/>
        </w:rPr>
        <w:t xml:space="preserve"> of the CYPA.</w:t>
      </w:r>
    </w:p>
    <w:p w14:paraId="2FE6DD9D" w14:textId="77777777" w:rsidR="00693223" w:rsidRPr="00655B47" w:rsidRDefault="00693223">
      <w:pPr>
        <w:jc w:val="both"/>
        <w:rPr>
          <w:rFonts w:ascii="Arial" w:hAnsi="Arial" w:cs="Arial"/>
          <w:color w:val="000000"/>
          <w:sz w:val="18"/>
          <w:szCs w:val="22"/>
        </w:rPr>
      </w:pPr>
    </w:p>
    <w:p w14:paraId="46D09E69" w14:textId="77777777" w:rsidR="00E732EA" w:rsidRPr="00785E1A" w:rsidRDefault="00E732EA" w:rsidP="00E732EA">
      <w:pPr>
        <w:pStyle w:val="Heading3"/>
        <w:keepNext/>
        <w:keepLines/>
        <w:spacing w:after="120" w:line="240" w:lineRule="auto"/>
        <w:rPr>
          <w:rFonts w:ascii="Arial" w:hAnsi="Arial" w:cs="Arial"/>
          <w:b/>
          <w:bCs/>
          <w:color w:val="000000"/>
          <w:sz w:val="12"/>
        </w:rPr>
      </w:pPr>
      <w:bookmarkStart w:id="694" w:name="_4.6.1_Anonymity_of"/>
      <w:bookmarkStart w:id="695" w:name="B461"/>
      <w:bookmarkEnd w:id="694"/>
      <w:bookmarkEnd w:id="695"/>
      <w:r w:rsidRPr="00785E1A">
        <w:rPr>
          <w:rFonts w:ascii="Arial" w:hAnsi="Arial" w:cs="Arial"/>
          <w:b/>
          <w:bCs/>
          <w:color w:val="000000"/>
          <w:sz w:val="20"/>
        </w:rPr>
        <w:t>4.6.1</w:t>
      </w:r>
      <w:r w:rsidRPr="00785E1A">
        <w:rPr>
          <w:rFonts w:ascii="Arial" w:hAnsi="Arial" w:cs="Arial"/>
          <w:b/>
          <w:bCs/>
          <w:color w:val="000000"/>
          <w:sz w:val="20"/>
        </w:rPr>
        <w:tab/>
        <w:t>Anonymity of protective intervention reporter [notifier]</w:t>
      </w:r>
    </w:p>
    <w:p w14:paraId="4C59FBD5" w14:textId="77777777" w:rsidR="00E732EA" w:rsidRDefault="00E732EA" w:rsidP="00E732EA">
      <w:pPr>
        <w:jc w:val="both"/>
        <w:rPr>
          <w:rFonts w:ascii="Arial" w:hAnsi="Arial" w:cs="Arial"/>
          <w:sz w:val="20"/>
        </w:rPr>
      </w:pPr>
      <w:r>
        <w:rPr>
          <w:rFonts w:ascii="Arial" w:hAnsi="Arial" w:cs="Arial"/>
          <w:sz w:val="20"/>
        </w:rPr>
        <w:t>A reporter is anonymous.  Evidence that identifies the person who made a report as the reporter, or is likely to lead to the identification of that person as the reporter, is only admissible in any legal proceeding if the court or tribunal grants leave for the evidence to be given or if the reporter consents in writing to the admission of that evidence: s.190(2) of the CYFA.  Such leave is very rarely granted and may only be granted under s.190(4) if-</w:t>
      </w:r>
    </w:p>
    <w:p w14:paraId="331F047A" w14:textId="77777777" w:rsidR="00E732EA" w:rsidRDefault="00E732EA" w:rsidP="00E732EA">
      <w:pPr>
        <w:ind w:left="363" w:hanging="363"/>
        <w:jc w:val="both"/>
        <w:rPr>
          <w:rFonts w:ascii="Arial" w:hAnsi="Arial" w:cs="Arial"/>
          <w:sz w:val="20"/>
        </w:rPr>
      </w:pPr>
      <w:r>
        <w:rPr>
          <w:rFonts w:ascii="Arial" w:hAnsi="Arial" w:cs="Arial"/>
          <w:sz w:val="20"/>
        </w:rPr>
        <w:t>(a)</w:t>
      </w:r>
      <w:r>
        <w:rPr>
          <w:rFonts w:ascii="Arial" w:hAnsi="Arial" w:cs="Arial"/>
          <w:sz w:val="20"/>
        </w:rPr>
        <w:tab/>
        <w:t>in the case of a proceeding in a court or VCAT, the court or tribunal is satisfied that it is necessary for the evidence to be given to ensure the safety and well being of the child;</w:t>
      </w:r>
    </w:p>
    <w:p w14:paraId="47FB9DF4" w14:textId="77777777" w:rsidR="00E732EA" w:rsidRDefault="00E732EA" w:rsidP="00E732EA">
      <w:pPr>
        <w:ind w:left="363" w:hanging="363"/>
        <w:jc w:val="both"/>
        <w:rPr>
          <w:rFonts w:ascii="Arial" w:hAnsi="Arial" w:cs="Arial"/>
          <w:sz w:val="20"/>
        </w:rPr>
      </w:pPr>
      <w:r>
        <w:rPr>
          <w:rFonts w:ascii="Arial" w:hAnsi="Arial" w:cs="Arial"/>
          <w:sz w:val="20"/>
        </w:rPr>
        <w:t>(b)</w:t>
      </w:r>
      <w:r>
        <w:rPr>
          <w:rFonts w:ascii="Arial" w:hAnsi="Arial" w:cs="Arial"/>
          <w:sz w:val="20"/>
        </w:rPr>
        <w:tab/>
        <w:t>in any other case, the court or tribunal is satisfied that the interests of justice require the evidence to be given.</w:t>
      </w:r>
    </w:p>
    <w:p w14:paraId="1AE7671E" w14:textId="77777777" w:rsidR="00E732EA" w:rsidRPr="00655B47" w:rsidRDefault="00E732EA" w:rsidP="00E732EA">
      <w:pPr>
        <w:jc w:val="both"/>
        <w:rPr>
          <w:rFonts w:ascii="Arial" w:hAnsi="Arial" w:cs="Arial"/>
          <w:b/>
          <w:bCs/>
          <w:sz w:val="18"/>
          <w:szCs w:val="22"/>
        </w:rPr>
      </w:pPr>
      <w:bookmarkStart w:id="696" w:name="_Hlk149040274"/>
    </w:p>
    <w:p w14:paraId="3A6BBCB2" w14:textId="77777777" w:rsidR="00E732EA" w:rsidRPr="00785E1A" w:rsidRDefault="00E732EA" w:rsidP="00E732EA">
      <w:pPr>
        <w:pStyle w:val="Heading3"/>
        <w:keepNext/>
        <w:keepLines/>
        <w:spacing w:after="120" w:line="240" w:lineRule="auto"/>
        <w:rPr>
          <w:rFonts w:ascii="Arial" w:hAnsi="Arial" w:cs="Arial"/>
          <w:b/>
          <w:bCs/>
          <w:color w:val="000000"/>
          <w:sz w:val="20"/>
        </w:rPr>
      </w:pPr>
      <w:bookmarkStart w:id="697" w:name="_4.6.2_Mandatory_protective"/>
      <w:bookmarkStart w:id="698" w:name="B462"/>
      <w:bookmarkStart w:id="699" w:name="_Toc30648177"/>
      <w:bookmarkStart w:id="700" w:name="_Toc30649075"/>
      <w:bookmarkStart w:id="701" w:name="_Toc30649151"/>
      <w:bookmarkStart w:id="702" w:name="_Toc30649412"/>
      <w:bookmarkStart w:id="703" w:name="_Toc30649737"/>
      <w:bookmarkStart w:id="704" w:name="_Toc30651677"/>
      <w:bookmarkStart w:id="705" w:name="_Toc30652667"/>
      <w:bookmarkStart w:id="706" w:name="_Toc30652763"/>
      <w:bookmarkStart w:id="707" w:name="_Toc30654108"/>
      <w:bookmarkStart w:id="708" w:name="_Toc30654459"/>
      <w:bookmarkStart w:id="709" w:name="_Toc30655078"/>
      <w:bookmarkStart w:id="710" w:name="_Toc30655335"/>
      <w:bookmarkStart w:id="711" w:name="_Toc30657013"/>
      <w:bookmarkStart w:id="712" w:name="_Toc30661762"/>
      <w:bookmarkStart w:id="713" w:name="_Toc30666450"/>
      <w:bookmarkStart w:id="714" w:name="_Toc30666680"/>
      <w:bookmarkStart w:id="715" w:name="_Toc30667855"/>
      <w:bookmarkStart w:id="716" w:name="_Toc30669233"/>
      <w:bookmarkStart w:id="717" w:name="_Toc30671449"/>
      <w:bookmarkStart w:id="718" w:name="_Toc30673976"/>
      <w:bookmarkStart w:id="719" w:name="_Toc30691198"/>
      <w:bookmarkStart w:id="720" w:name="_Toc30691571"/>
      <w:bookmarkStart w:id="721" w:name="_Toc30691951"/>
      <w:bookmarkStart w:id="722" w:name="_Toc30692710"/>
      <w:bookmarkStart w:id="723" w:name="_Toc30693089"/>
      <w:bookmarkStart w:id="724" w:name="_Toc30693467"/>
      <w:bookmarkStart w:id="725" w:name="_Toc30693845"/>
      <w:bookmarkStart w:id="726" w:name="_Toc30694226"/>
      <w:bookmarkStart w:id="727" w:name="_Toc30698815"/>
      <w:bookmarkStart w:id="728" w:name="_Toc30699193"/>
      <w:bookmarkStart w:id="729" w:name="_Toc30699578"/>
      <w:bookmarkStart w:id="730" w:name="_Toc30700733"/>
      <w:bookmarkStart w:id="731" w:name="_Toc30701120"/>
      <w:bookmarkStart w:id="732" w:name="_Toc30743729"/>
      <w:bookmarkStart w:id="733" w:name="_Toc30754552"/>
      <w:bookmarkStart w:id="734" w:name="_Toc30756992"/>
      <w:bookmarkStart w:id="735" w:name="_Toc30757541"/>
      <w:bookmarkStart w:id="736" w:name="_Toc30757941"/>
      <w:bookmarkStart w:id="737" w:name="_Toc30762702"/>
      <w:bookmarkStart w:id="738" w:name="_Toc30767356"/>
      <w:bookmarkStart w:id="739" w:name="_Toc34823372"/>
      <w:bookmarkEnd w:id="697"/>
      <w:bookmarkEnd w:id="698"/>
      <w:r w:rsidRPr="00785E1A">
        <w:rPr>
          <w:rFonts w:ascii="Arial" w:hAnsi="Arial" w:cs="Arial"/>
          <w:b/>
          <w:bCs/>
          <w:color w:val="000000"/>
          <w:sz w:val="20"/>
        </w:rPr>
        <w:t>4.6.2</w:t>
      </w:r>
      <w:r w:rsidRPr="00785E1A">
        <w:rPr>
          <w:rFonts w:ascii="Arial" w:hAnsi="Arial" w:cs="Arial"/>
          <w:b/>
          <w:bCs/>
          <w:color w:val="000000"/>
          <w:sz w:val="20"/>
        </w:rPr>
        <w:tab/>
        <w:t xml:space="preserve">Mandatory </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785E1A">
        <w:rPr>
          <w:rFonts w:ascii="Arial" w:hAnsi="Arial" w:cs="Arial"/>
          <w:b/>
          <w:bCs/>
          <w:color w:val="000000"/>
          <w:sz w:val="20"/>
        </w:rPr>
        <w:t>protective intervention report</w:t>
      </w:r>
    </w:p>
    <w:p w14:paraId="5232C77D" w14:textId="7E9D705A" w:rsidR="00E732EA" w:rsidRPr="00785E1A" w:rsidRDefault="00E732EA" w:rsidP="00790396">
      <w:pPr>
        <w:jc w:val="both"/>
        <w:rPr>
          <w:rFonts w:ascii="Arial" w:hAnsi="Arial" w:cs="Arial"/>
          <w:color w:val="000000"/>
          <w:sz w:val="20"/>
        </w:rPr>
      </w:pPr>
      <w:r w:rsidRPr="00785E1A">
        <w:rPr>
          <w:rFonts w:ascii="Arial" w:hAnsi="Arial" w:cs="Arial"/>
          <w:color w:val="000000"/>
          <w:sz w:val="20"/>
        </w:rPr>
        <w:t>A professional person referred to in s.182 of the CYFA who, in the course of practising his or her profession or carrying out the duties of his or her office, position or employment, forms the belief on reasonable grounds that a child is in need of protection from either physical or sexual abuse is required by s.184(1), under pain of a penalty of 10 penalty units, to report to the Secretary that belief and the reasonable grounds for it as soon as practicable</w:t>
      </w:r>
      <w:r w:rsidR="00E15EE0">
        <w:rPr>
          <w:rFonts w:ascii="Arial" w:hAnsi="Arial" w:cs="Arial"/>
          <w:color w:val="000000"/>
          <w:sz w:val="20"/>
        </w:rPr>
        <w:t>–</w:t>
      </w:r>
    </w:p>
    <w:p w14:paraId="011BE38D"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after forming the belief; and</w:t>
      </w:r>
    </w:p>
    <w:p w14:paraId="25F5433C" w14:textId="77777777" w:rsidR="00E732EA" w:rsidRPr="00785E1A" w:rsidRDefault="00E732EA" w:rsidP="00E732EA">
      <w:pPr>
        <w:tabs>
          <w:tab w:val="left" w:pos="363"/>
        </w:tabs>
        <w:ind w:left="363" w:hanging="363"/>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after each occasion on which he or she becomes aware of any further reasonable grounds for the belief.</w:t>
      </w:r>
    </w:p>
    <w:p w14:paraId="4D211250" w14:textId="77777777" w:rsidR="00E732EA" w:rsidRPr="00655B47" w:rsidRDefault="00E732EA" w:rsidP="00E732EA">
      <w:pPr>
        <w:jc w:val="both"/>
        <w:rPr>
          <w:rFonts w:ascii="Arial" w:hAnsi="Arial" w:cs="Arial"/>
          <w:color w:val="000000"/>
          <w:sz w:val="18"/>
          <w:szCs w:val="22"/>
        </w:rPr>
      </w:pPr>
      <w:bookmarkStart w:id="740" w:name="_Hlk149046324"/>
    </w:p>
    <w:p w14:paraId="08C87147" w14:textId="6EDE2415" w:rsidR="00E732EA" w:rsidRDefault="00E732EA" w:rsidP="00E15EE0">
      <w:pPr>
        <w:spacing w:after="120"/>
        <w:jc w:val="both"/>
        <w:rPr>
          <w:rFonts w:ascii="Arial" w:hAnsi="Arial" w:cs="Arial"/>
          <w:color w:val="000000"/>
          <w:sz w:val="20"/>
        </w:rPr>
      </w:pPr>
      <w:r w:rsidRPr="00785E1A">
        <w:rPr>
          <w:rFonts w:ascii="Arial" w:hAnsi="Arial" w:cs="Arial"/>
          <w:color w:val="000000"/>
          <w:sz w:val="20"/>
        </w:rPr>
        <w:t xml:space="preserve">The professionals referred to in s.182 </w:t>
      </w:r>
      <w:r w:rsidR="00E15EE0">
        <w:rPr>
          <w:rFonts w:ascii="Arial" w:hAnsi="Arial" w:cs="Arial"/>
          <w:color w:val="000000"/>
          <w:sz w:val="20"/>
        </w:rPr>
        <w:t>ar</w:t>
      </w:r>
      <w:r w:rsidRPr="00785E1A">
        <w:rPr>
          <w:rFonts w:ascii="Arial" w:hAnsi="Arial" w:cs="Arial"/>
          <w:color w:val="000000"/>
          <w:sz w:val="20"/>
        </w:rPr>
        <w:t>e</w:t>
      </w:r>
      <w:r w:rsidR="00DD65BB">
        <w:rPr>
          <w:rFonts w:ascii="Arial" w:hAnsi="Arial" w:cs="Arial"/>
          <w:color w:val="000000"/>
          <w:sz w:val="20"/>
        </w:rPr>
        <w:t xml:space="preserve"> </w:t>
      </w:r>
      <w:r w:rsidR="00E94168">
        <w:rPr>
          <w:rFonts w:ascii="Arial" w:hAnsi="Arial" w:cs="Arial"/>
          <w:color w:val="000000"/>
          <w:sz w:val="20"/>
        </w:rPr>
        <w:t>set out in the following table</w:t>
      </w:r>
      <w:r w:rsidR="00790396">
        <w:rPr>
          <w:rFonts w:ascii="Arial" w:hAnsi="Arial" w:cs="Arial"/>
          <w:color w:val="000000"/>
          <w:sz w:val="20"/>
        </w:rPr>
        <w:t>:</w:t>
      </w:r>
    </w:p>
    <w:tbl>
      <w:tblPr>
        <w:tblStyle w:val="TableGrid"/>
        <w:tblW w:w="0" w:type="auto"/>
        <w:tblLook w:val="04A0" w:firstRow="1" w:lastRow="0" w:firstColumn="1" w:lastColumn="0" w:noHBand="0" w:noVBand="1"/>
      </w:tblPr>
      <w:tblGrid>
        <w:gridCol w:w="1315"/>
        <w:gridCol w:w="6985"/>
      </w:tblGrid>
      <w:tr w:rsidR="00387412" w:rsidRPr="00387412" w14:paraId="6E6F5414" w14:textId="77777777" w:rsidTr="00387412">
        <w:tc>
          <w:tcPr>
            <w:tcW w:w="1315" w:type="dxa"/>
            <w:shd w:val="clear" w:color="auto" w:fill="000000" w:themeFill="text1"/>
          </w:tcPr>
          <w:p w14:paraId="6E137E64" w14:textId="44AA6827"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lastRenderedPageBreak/>
              <w:t>CYFA</w:t>
            </w:r>
          </w:p>
        </w:tc>
        <w:tc>
          <w:tcPr>
            <w:tcW w:w="6985" w:type="dxa"/>
            <w:shd w:val="clear" w:color="auto" w:fill="000000" w:themeFill="text1"/>
          </w:tcPr>
          <w:p w14:paraId="7CE4BE8E" w14:textId="45827C59" w:rsidR="00387412" w:rsidRPr="00387412" w:rsidRDefault="00387412" w:rsidP="0083712E">
            <w:pPr>
              <w:keepNext/>
              <w:keepLines/>
              <w:jc w:val="center"/>
              <w:rPr>
                <w:rFonts w:ascii="Arial" w:hAnsi="Arial" w:cs="Arial"/>
                <w:b/>
                <w:bCs/>
                <w:color w:val="FFFFFF" w:themeColor="background1"/>
                <w:sz w:val="20"/>
              </w:rPr>
            </w:pPr>
            <w:r>
              <w:rPr>
                <w:rFonts w:ascii="Arial" w:hAnsi="Arial" w:cs="Arial"/>
                <w:b/>
                <w:bCs/>
                <w:color w:val="FFFFFF" w:themeColor="background1"/>
                <w:sz w:val="20"/>
              </w:rPr>
              <w:t>PROFESSIONAL PERSON</w:t>
            </w:r>
          </w:p>
        </w:tc>
      </w:tr>
      <w:tr w:rsidR="00E15EE0" w14:paraId="2AE82573" w14:textId="77777777" w:rsidTr="00635308">
        <w:tc>
          <w:tcPr>
            <w:tcW w:w="1315" w:type="dxa"/>
          </w:tcPr>
          <w:p w14:paraId="747594B9" w14:textId="77777777" w:rsidR="00E15EE0" w:rsidRDefault="00E15EE0" w:rsidP="0083712E">
            <w:pPr>
              <w:keepNext/>
              <w:keepLines/>
              <w:jc w:val="both"/>
              <w:rPr>
                <w:rFonts w:ascii="Arial" w:hAnsi="Arial" w:cs="Arial"/>
                <w:color w:val="000000"/>
                <w:sz w:val="20"/>
              </w:rPr>
            </w:pPr>
            <w:r>
              <w:rPr>
                <w:rFonts w:ascii="Arial" w:hAnsi="Arial" w:cs="Arial"/>
                <w:color w:val="000000"/>
                <w:sz w:val="20"/>
              </w:rPr>
              <w:t>s.182(1)(a)</w:t>
            </w:r>
          </w:p>
        </w:tc>
        <w:tc>
          <w:tcPr>
            <w:tcW w:w="6985" w:type="dxa"/>
          </w:tcPr>
          <w:p w14:paraId="5DD7626F" w14:textId="21996C58" w:rsidR="00E15EE0" w:rsidRDefault="00E15EE0" w:rsidP="0083712E">
            <w:pPr>
              <w:keepNext/>
              <w:keepLines/>
              <w:jc w:val="both"/>
              <w:rPr>
                <w:rFonts w:ascii="Arial" w:hAnsi="Arial" w:cs="Arial"/>
                <w:color w:val="000000"/>
                <w:sz w:val="20"/>
              </w:rPr>
            </w:pPr>
            <w:r>
              <w:rPr>
                <w:rFonts w:ascii="Arial" w:hAnsi="Arial" w:cs="Arial"/>
                <w:color w:val="000000"/>
                <w:sz w:val="20"/>
              </w:rPr>
              <w:t>a registered medical practitioner</w:t>
            </w:r>
          </w:p>
        </w:tc>
      </w:tr>
      <w:tr w:rsidR="00E15EE0" w14:paraId="6B7BF6A8" w14:textId="77777777" w:rsidTr="00E15EE0">
        <w:tc>
          <w:tcPr>
            <w:tcW w:w="1315" w:type="dxa"/>
            <w:shd w:val="clear" w:color="auto" w:fill="DDDDDD"/>
          </w:tcPr>
          <w:p w14:paraId="71C9FD0F" w14:textId="0A327086" w:rsidR="00E15EE0" w:rsidRDefault="00E15EE0" w:rsidP="0083712E">
            <w:pPr>
              <w:keepNext/>
              <w:keepLines/>
              <w:jc w:val="both"/>
              <w:rPr>
                <w:rFonts w:ascii="Arial" w:hAnsi="Arial" w:cs="Arial"/>
                <w:color w:val="000000"/>
                <w:sz w:val="20"/>
              </w:rPr>
            </w:pPr>
            <w:r>
              <w:rPr>
                <w:rFonts w:ascii="Arial" w:hAnsi="Arial" w:cs="Arial"/>
                <w:color w:val="000000"/>
                <w:sz w:val="20"/>
              </w:rPr>
              <w:t>s.182(1)(b)</w:t>
            </w:r>
          </w:p>
        </w:tc>
        <w:tc>
          <w:tcPr>
            <w:tcW w:w="6985" w:type="dxa"/>
            <w:shd w:val="clear" w:color="auto" w:fill="DDDDDD"/>
          </w:tcPr>
          <w:p w14:paraId="6CFE1BC3" w14:textId="380131EF" w:rsidR="00E15EE0" w:rsidRDefault="00E15EE0" w:rsidP="0083712E">
            <w:pPr>
              <w:keepNext/>
              <w:keepLines/>
              <w:jc w:val="both"/>
              <w:rPr>
                <w:rFonts w:ascii="Arial" w:hAnsi="Arial" w:cs="Arial"/>
                <w:color w:val="000000"/>
                <w:sz w:val="20"/>
              </w:rPr>
            </w:pPr>
            <w:r>
              <w:rPr>
                <w:rFonts w:ascii="Arial" w:hAnsi="Arial" w:cs="Arial"/>
                <w:color w:val="000000"/>
                <w:sz w:val="20"/>
              </w:rPr>
              <w:t>a nurse</w:t>
            </w:r>
          </w:p>
        </w:tc>
      </w:tr>
      <w:tr w:rsidR="00E15EE0" w14:paraId="276B97A2" w14:textId="77777777" w:rsidTr="00E15EE0">
        <w:tc>
          <w:tcPr>
            <w:tcW w:w="1315" w:type="dxa"/>
          </w:tcPr>
          <w:p w14:paraId="4682D92A" w14:textId="1AD74C61" w:rsidR="00E15EE0" w:rsidRDefault="00E15EE0" w:rsidP="00E732EA">
            <w:pPr>
              <w:jc w:val="both"/>
              <w:rPr>
                <w:rFonts w:ascii="Arial" w:hAnsi="Arial" w:cs="Arial"/>
                <w:color w:val="000000"/>
                <w:sz w:val="20"/>
              </w:rPr>
            </w:pPr>
            <w:r>
              <w:rPr>
                <w:rFonts w:ascii="Arial" w:hAnsi="Arial" w:cs="Arial"/>
                <w:color w:val="000000"/>
                <w:sz w:val="20"/>
              </w:rPr>
              <w:t>s.182(1)(ba)</w:t>
            </w:r>
          </w:p>
        </w:tc>
        <w:tc>
          <w:tcPr>
            <w:tcW w:w="6985" w:type="dxa"/>
          </w:tcPr>
          <w:p w14:paraId="24D2008B" w14:textId="730840C3" w:rsidR="00E15EE0" w:rsidRDefault="00E15EE0" w:rsidP="00E732EA">
            <w:pPr>
              <w:jc w:val="both"/>
              <w:rPr>
                <w:rFonts w:ascii="Arial" w:hAnsi="Arial" w:cs="Arial"/>
                <w:color w:val="000000"/>
                <w:sz w:val="20"/>
              </w:rPr>
            </w:pPr>
            <w:r>
              <w:rPr>
                <w:rFonts w:ascii="Arial" w:hAnsi="Arial" w:cs="Arial"/>
                <w:color w:val="000000"/>
                <w:sz w:val="20"/>
              </w:rPr>
              <w:t>a midwife</w:t>
            </w:r>
          </w:p>
        </w:tc>
      </w:tr>
      <w:tr w:rsidR="00E15EE0" w14:paraId="0D09E5D8" w14:textId="77777777" w:rsidTr="00E15EE0">
        <w:tc>
          <w:tcPr>
            <w:tcW w:w="1315" w:type="dxa"/>
            <w:shd w:val="clear" w:color="auto" w:fill="DDDDDD"/>
          </w:tcPr>
          <w:p w14:paraId="65A4F219" w14:textId="66BF0CE8" w:rsidR="00E15EE0" w:rsidRDefault="00E15EE0" w:rsidP="00E732EA">
            <w:pPr>
              <w:jc w:val="both"/>
              <w:rPr>
                <w:rFonts w:ascii="Arial" w:hAnsi="Arial" w:cs="Arial"/>
                <w:color w:val="000000"/>
                <w:sz w:val="20"/>
              </w:rPr>
            </w:pPr>
            <w:r>
              <w:rPr>
                <w:rFonts w:ascii="Arial" w:hAnsi="Arial" w:cs="Arial"/>
                <w:color w:val="000000"/>
                <w:sz w:val="20"/>
              </w:rPr>
              <w:t>s.182(1)(c)</w:t>
            </w:r>
          </w:p>
        </w:tc>
        <w:tc>
          <w:tcPr>
            <w:tcW w:w="6985" w:type="dxa"/>
            <w:shd w:val="clear" w:color="auto" w:fill="DDDDDD"/>
          </w:tcPr>
          <w:p w14:paraId="03E89788" w14:textId="542F9CBD" w:rsidR="00E15EE0" w:rsidRDefault="00E15EE0" w:rsidP="00E732EA">
            <w:pPr>
              <w:jc w:val="both"/>
              <w:rPr>
                <w:rFonts w:ascii="Arial" w:hAnsi="Arial" w:cs="Arial"/>
                <w:color w:val="000000"/>
                <w:sz w:val="20"/>
              </w:rPr>
            </w:pPr>
            <w:r>
              <w:rPr>
                <w:rFonts w:ascii="Arial" w:hAnsi="Arial" w:cs="Arial"/>
                <w:color w:val="000000"/>
                <w:sz w:val="20"/>
              </w:rPr>
              <w:t xml:space="preserve">a person who is registered as a teacher or an early childhood teacher under the </w:t>
            </w:r>
            <w:r w:rsidRPr="00E15EE0">
              <w:rPr>
                <w:rFonts w:ascii="Arial" w:hAnsi="Arial" w:cs="Arial"/>
                <w:i/>
                <w:iCs/>
                <w:color w:val="000000"/>
                <w:sz w:val="20"/>
              </w:rPr>
              <w:t>Education and Training Reform Act 2006</w:t>
            </w:r>
            <w:r>
              <w:rPr>
                <w:rFonts w:ascii="Arial" w:hAnsi="Arial" w:cs="Arial"/>
                <w:color w:val="000000"/>
                <w:sz w:val="20"/>
              </w:rPr>
              <w:t xml:space="preserve"> or has been granted permission to teach under that Act</w:t>
            </w:r>
          </w:p>
        </w:tc>
      </w:tr>
      <w:tr w:rsidR="00E15EE0" w14:paraId="701B7FD7" w14:textId="77777777" w:rsidTr="00E15EE0">
        <w:tc>
          <w:tcPr>
            <w:tcW w:w="1315" w:type="dxa"/>
          </w:tcPr>
          <w:p w14:paraId="4FC3541A" w14:textId="6BD21CFE" w:rsidR="00E15EE0" w:rsidRDefault="00E15EE0" w:rsidP="00E732EA">
            <w:pPr>
              <w:jc w:val="both"/>
              <w:rPr>
                <w:rFonts w:ascii="Arial" w:hAnsi="Arial" w:cs="Arial"/>
                <w:color w:val="000000"/>
                <w:sz w:val="20"/>
              </w:rPr>
            </w:pPr>
            <w:r>
              <w:rPr>
                <w:rFonts w:ascii="Arial" w:hAnsi="Arial" w:cs="Arial"/>
                <w:color w:val="000000"/>
                <w:sz w:val="20"/>
              </w:rPr>
              <w:t>s.182(1)(d)</w:t>
            </w:r>
          </w:p>
        </w:tc>
        <w:tc>
          <w:tcPr>
            <w:tcW w:w="6985" w:type="dxa"/>
          </w:tcPr>
          <w:p w14:paraId="137E51F9" w14:textId="13B68F4E" w:rsidR="00E15EE0" w:rsidRDefault="00E15EE0" w:rsidP="00E732EA">
            <w:pPr>
              <w:jc w:val="both"/>
              <w:rPr>
                <w:rFonts w:ascii="Arial" w:hAnsi="Arial" w:cs="Arial"/>
                <w:color w:val="000000"/>
                <w:sz w:val="20"/>
              </w:rPr>
            </w:pPr>
            <w:r>
              <w:rPr>
                <w:rFonts w:ascii="Arial" w:hAnsi="Arial" w:cs="Arial"/>
                <w:color w:val="000000"/>
                <w:sz w:val="20"/>
              </w:rPr>
              <w:t xml:space="preserve">the principal of a Government school or a non-Government school within the meaning of the </w:t>
            </w:r>
            <w:r w:rsidRPr="00E15EE0">
              <w:rPr>
                <w:rFonts w:ascii="Arial" w:hAnsi="Arial" w:cs="Arial"/>
                <w:i/>
                <w:iCs/>
                <w:color w:val="000000"/>
                <w:sz w:val="20"/>
              </w:rPr>
              <w:t>Education and Training Reform Act 2006</w:t>
            </w:r>
          </w:p>
        </w:tc>
      </w:tr>
      <w:tr w:rsidR="00E15EE0" w14:paraId="55C9790E" w14:textId="77777777" w:rsidTr="00E15EE0">
        <w:tc>
          <w:tcPr>
            <w:tcW w:w="1315" w:type="dxa"/>
            <w:shd w:val="clear" w:color="auto" w:fill="DDDDDD"/>
          </w:tcPr>
          <w:p w14:paraId="2A7E5678" w14:textId="37EED3B5" w:rsidR="00E15EE0" w:rsidRDefault="00E15EE0" w:rsidP="00E732EA">
            <w:pPr>
              <w:jc w:val="both"/>
              <w:rPr>
                <w:rFonts w:ascii="Arial" w:hAnsi="Arial" w:cs="Arial"/>
                <w:color w:val="000000"/>
                <w:sz w:val="20"/>
              </w:rPr>
            </w:pPr>
            <w:r>
              <w:rPr>
                <w:rFonts w:ascii="Arial" w:hAnsi="Arial" w:cs="Arial"/>
                <w:color w:val="000000"/>
                <w:sz w:val="20"/>
              </w:rPr>
              <w:t>s.182(1)(e)</w:t>
            </w:r>
          </w:p>
        </w:tc>
        <w:tc>
          <w:tcPr>
            <w:tcW w:w="6985" w:type="dxa"/>
            <w:shd w:val="clear" w:color="auto" w:fill="DDDDDD"/>
          </w:tcPr>
          <w:p w14:paraId="4BC8148E" w14:textId="6CFC8936" w:rsidR="00E15EE0" w:rsidRDefault="00E15EE0" w:rsidP="00E732EA">
            <w:pPr>
              <w:jc w:val="both"/>
              <w:rPr>
                <w:rFonts w:ascii="Arial" w:hAnsi="Arial" w:cs="Arial"/>
                <w:color w:val="000000"/>
                <w:sz w:val="20"/>
              </w:rPr>
            </w:pPr>
            <w:r>
              <w:rPr>
                <w:rFonts w:ascii="Arial" w:hAnsi="Arial" w:cs="Arial"/>
                <w:color w:val="000000"/>
                <w:sz w:val="20"/>
              </w:rPr>
              <w:t>a police officer</w:t>
            </w:r>
          </w:p>
        </w:tc>
      </w:tr>
      <w:tr w:rsidR="00010C54" w14:paraId="4CC0670F" w14:textId="77777777" w:rsidTr="00010C54">
        <w:tc>
          <w:tcPr>
            <w:tcW w:w="1315" w:type="dxa"/>
            <w:shd w:val="clear" w:color="auto" w:fill="auto"/>
          </w:tcPr>
          <w:p w14:paraId="0E8CE1D0" w14:textId="7346CC9F" w:rsidR="00010C54" w:rsidRDefault="00010C54" w:rsidP="00E732EA">
            <w:pPr>
              <w:jc w:val="both"/>
              <w:rPr>
                <w:rFonts w:ascii="Arial" w:hAnsi="Arial" w:cs="Arial"/>
                <w:color w:val="000000"/>
                <w:sz w:val="20"/>
              </w:rPr>
            </w:pPr>
            <w:r>
              <w:rPr>
                <w:rFonts w:ascii="Arial" w:hAnsi="Arial" w:cs="Arial"/>
                <w:color w:val="000000"/>
                <w:sz w:val="20"/>
              </w:rPr>
              <w:t>s.182(1)(ea)</w:t>
            </w:r>
          </w:p>
        </w:tc>
        <w:tc>
          <w:tcPr>
            <w:tcW w:w="6985" w:type="dxa"/>
            <w:shd w:val="clear" w:color="auto" w:fill="auto"/>
          </w:tcPr>
          <w:p w14:paraId="4DBFA8ED" w14:textId="66175684" w:rsidR="00010C54" w:rsidRDefault="00010C54" w:rsidP="00E732EA">
            <w:pPr>
              <w:jc w:val="both"/>
              <w:rPr>
                <w:rFonts w:ascii="Arial" w:hAnsi="Arial" w:cs="Arial"/>
                <w:color w:val="000000"/>
                <w:sz w:val="20"/>
              </w:rPr>
            </w:pPr>
            <w:r>
              <w:rPr>
                <w:rFonts w:ascii="Arial" w:hAnsi="Arial" w:cs="Arial"/>
                <w:color w:val="000000"/>
                <w:sz w:val="20"/>
              </w:rPr>
              <w:t>a person in religious ministry</w:t>
            </w:r>
          </w:p>
        </w:tc>
      </w:tr>
      <w:tr w:rsidR="00E15EE0" w14:paraId="6509607A" w14:textId="77777777" w:rsidTr="00010C54">
        <w:tc>
          <w:tcPr>
            <w:tcW w:w="1315" w:type="dxa"/>
            <w:shd w:val="clear" w:color="auto" w:fill="DDDDDD"/>
          </w:tcPr>
          <w:p w14:paraId="6F4A73DA" w14:textId="6240AFC2" w:rsidR="00E15EE0" w:rsidRDefault="00E15EE0" w:rsidP="00E732EA">
            <w:pPr>
              <w:jc w:val="both"/>
              <w:rPr>
                <w:rFonts w:ascii="Arial" w:hAnsi="Arial" w:cs="Arial"/>
                <w:color w:val="000000"/>
                <w:sz w:val="20"/>
              </w:rPr>
            </w:pPr>
            <w:r>
              <w:rPr>
                <w:rFonts w:ascii="Arial" w:hAnsi="Arial" w:cs="Arial"/>
                <w:color w:val="000000"/>
                <w:sz w:val="20"/>
              </w:rPr>
              <w:t>s.182(1)(</w:t>
            </w:r>
            <w:r w:rsidR="00010C54">
              <w:rPr>
                <w:rFonts w:ascii="Arial" w:hAnsi="Arial" w:cs="Arial"/>
                <w:color w:val="000000"/>
                <w:sz w:val="20"/>
              </w:rPr>
              <w:t>f)</w:t>
            </w:r>
          </w:p>
        </w:tc>
        <w:tc>
          <w:tcPr>
            <w:tcW w:w="6985" w:type="dxa"/>
            <w:shd w:val="clear" w:color="auto" w:fill="DDDDDD"/>
          </w:tcPr>
          <w:p w14:paraId="164B625E" w14:textId="5B43B0BC" w:rsidR="00E15EE0" w:rsidRDefault="00010C54" w:rsidP="00E732EA">
            <w:pPr>
              <w:jc w:val="both"/>
              <w:rPr>
                <w:rFonts w:ascii="Arial" w:hAnsi="Arial" w:cs="Arial"/>
                <w:color w:val="000000"/>
                <w:sz w:val="20"/>
              </w:rPr>
            </w:pPr>
            <w:r>
              <w:rPr>
                <w:rFonts w:ascii="Arial" w:hAnsi="Arial" w:cs="Arial"/>
                <w:color w:val="000000"/>
                <w:sz w:val="20"/>
              </w:rPr>
              <w:t xml:space="preserve">the proprietor of, or a person with a post-secondary qualification in the care, education or minding of children who is employed by a children’s service to which the </w:t>
            </w:r>
            <w:r w:rsidRPr="00085234">
              <w:rPr>
                <w:rFonts w:ascii="Arial" w:hAnsi="Arial" w:cs="Arial"/>
                <w:i/>
                <w:iCs/>
                <w:color w:val="000000"/>
                <w:sz w:val="20"/>
              </w:rPr>
              <w:t>Children’s Services Act 1996</w:t>
            </w:r>
            <w:r>
              <w:rPr>
                <w:rFonts w:ascii="Arial" w:hAnsi="Arial" w:cs="Arial"/>
                <w:color w:val="000000"/>
                <w:sz w:val="20"/>
              </w:rPr>
              <w:t xml:space="preserve"> applies or a person who is a nominee within the meaning of that Act for the children’s service</w:t>
            </w:r>
          </w:p>
        </w:tc>
      </w:tr>
      <w:tr w:rsidR="00E15EE0" w14:paraId="45CAEDAA" w14:textId="77777777" w:rsidTr="00E15EE0">
        <w:tc>
          <w:tcPr>
            <w:tcW w:w="1315" w:type="dxa"/>
          </w:tcPr>
          <w:p w14:paraId="75A56747" w14:textId="5F36181A" w:rsidR="00E15EE0" w:rsidRDefault="00010C54" w:rsidP="00E732EA">
            <w:pPr>
              <w:jc w:val="both"/>
              <w:rPr>
                <w:rFonts w:ascii="Arial" w:hAnsi="Arial" w:cs="Arial"/>
                <w:color w:val="000000"/>
                <w:sz w:val="20"/>
              </w:rPr>
            </w:pPr>
            <w:r>
              <w:rPr>
                <w:rFonts w:ascii="Arial" w:hAnsi="Arial" w:cs="Arial"/>
                <w:color w:val="000000"/>
                <w:sz w:val="20"/>
              </w:rPr>
              <w:t>s.182(1)(fa)</w:t>
            </w:r>
          </w:p>
        </w:tc>
        <w:tc>
          <w:tcPr>
            <w:tcW w:w="6985" w:type="dxa"/>
          </w:tcPr>
          <w:p w14:paraId="6577F3A5" w14:textId="30C8AFAB" w:rsidR="00E15EE0" w:rsidRDefault="00D132FF" w:rsidP="00E732EA">
            <w:pPr>
              <w:jc w:val="both"/>
              <w:rPr>
                <w:rFonts w:ascii="Arial" w:hAnsi="Arial" w:cs="Arial"/>
                <w:color w:val="000000"/>
                <w:sz w:val="20"/>
              </w:rPr>
            </w:pPr>
            <w:r>
              <w:rPr>
                <w:rFonts w:ascii="Arial" w:hAnsi="Arial" w:cs="Arial"/>
                <w:color w:val="000000"/>
                <w:sz w:val="20"/>
              </w:rPr>
              <w:t>t</w:t>
            </w:r>
            <w:r w:rsidR="00010C54">
              <w:rPr>
                <w:rFonts w:ascii="Arial" w:hAnsi="Arial" w:cs="Arial"/>
                <w:color w:val="000000"/>
                <w:sz w:val="20"/>
              </w:rPr>
              <w:t xml:space="preserve">he approved provider or nominated supervisor of, or a person with a post-secondary qualification in the care, education or minding of children who is employed or engaged by an education and care service within the meaning of the </w:t>
            </w:r>
            <w:r w:rsidR="00010C54" w:rsidRPr="00085234">
              <w:rPr>
                <w:rFonts w:ascii="Arial" w:hAnsi="Arial" w:cs="Arial"/>
                <w:i/>
                <w:iCs/>
                <w:color w:val="000000"/>
                <w:sz w:val="20"/>
              </w:rPr>
              <w:t>Education and Care Services National Law (Victoria)</w:t>
            </w:r>
          </w:p>
        </w:tc>
      </w:tr>
      <w:tr w:rsidR="00E15EE0" w14:paraId="336D3C96" w14:textId="77777777" w:rsidTr="00E15EE0">
        <w:tc>
          <w:tcPr>
            <w:tcW w:w="1315" w:type="dxa"/>
            <w:shd w:val="clear" w:color="auto" w:fill="DDDDDD"/>
          </w:tcPr>
          <w:p w14:paraId="2006B49B" w14:textId="6F76DE0D" w:rsidR="00E15EE0" w:rsidRDefault="00D132FF" w:rsidP="00E732EA">
            <w:pPr>
              <w:jc w:val="both"/>
              <w:rPr>
                <w:rFonts w:ascii="Arial" w:hAnsi="Arial" w:cs="Arial"/>
                <w:color w:val="000000"/>
                <w:sz w:val="20"/>
              </w:rPr>
            </w:pPr>
            <w:r w:rsidRPr="003431A4">
              <w:rPr>
                <w:rFonts w:ascii="Arial" w:hAnsi="Arial" w:cs="Arial"/>
                <w:sz w:val="20"/>
              </w:rPr>
              <w:t>s.182(1)(i)</w:t>
            </w:r>
          </w:p>
        </w:tc>
        <w:tc>
          <w:tcPr>
            <w:tcW w:w="6985" w:type="dxa"/>
            <w:shd w:val="clear" w:color="auto" w:fill="DDDDDD"/>
          </w:tcPr>
          <w:p w14:paraId="3C4B64F7" w14:textId="40A53FF3" w:rsidR="00E15EE0" w:rsidRDefault="00D132FF" w:rsidP="00E732EA">
            <w:pPr>
              <w:jc w:val="both"/>
              <w:rPr>
                <w:rFonts w:ascii="Arial" w:hAnsi="Arial" w:cs="Arial"/>
                <w:color w:val="000000"/>
                <w:sz w:val="20"/>
              </w:rPr>
            </w:pPr>
            <w:r>
              <w:rPr>
                <w:rFonts w:ascii="Arial" w:hAnsi="Arial" w:cs="Arial"/>
                <w:color w:val="000000"/>
                <w:sz w:val="20"/>
              </w:rPr>
              <w:t>a registered psychologist</w:t>
            </w:r>
          </w:p>
        </w:tc>
      </w:tr>
      <w:tr w:rsidR="00E15EE0" w14:paraId="018C0860" w14:textId="77777777" w:rsidTr="00E15EE0">
        <w:tc>
          <w:tcPr>
            <w:tcW w:w="1315" w:type="dxa"/>
          </w:tcPr>
          <w:p w14:paraId="3E315143" w14:textId="402F419F" w:rsidR="00E15EE0" w:rsidRDefault="00D132FF" w:rsidP="00E732EA">
            <w:pPr>
              <w:jc w:val="both"/>
              <w:rPr>
                <w:rFonts w:ascii="Arial" w:hAnsi="Arial" w:cs="Arial"/>
                <w:color w:val="000000"/>
                <w:sz w:val="20"/>
              </w:rPr>
            </w:pPr>
            <w:r>
              <w:rPr>
                <w:rFonts w:ascii="Arial" w:hAnsi="Arial" w:cs="Arial"/>
                <w:color w:val="000000"/>
                <w:sz w:val="20"/>
              </w:rPr>
              <w:t>s.182(1)(j)</w:t>
            </w:r>
          </w:p>
        </w:tc>
        <w:tc>
          <w:tcPr>
            <w:tcW w:w="6985" w:type="dxa"/>
          </w:tcPr>
          <w:p w14:paraId="05073BC1" w14:textId="32CA14DB" w:rsidR="00E15EE0" w:rsidRDefault="00D132FF" w:rsidP="00E732EA">
            <w:pPr>
              <w:jc w:val="both"/>
              <w:rPr>
                <w:rFonts w:ascii="Arial" w:hAnsi="Arial" w:cs="Arial"/>
                <w:color w:val="000000"/>
                <w:sz w:val="20"/>
              </w:rPr>
            </w:pPr>
            <w:r>
              <w:rPr>
                <w:rFonts w:ascii="Arial" w:hAnsi="Arial" w:cs="Arial"/>
                <w:color w:val="000000"/>
                <w:sz w:val="20"/>
              </w:rPr>
              <w:t>a youth justice officer</w:t>
            </w:r>
          </w:p>
        </w:tc>
      </w:tr>
      <w:tr w:rsidR="00010C54" w14:paraId="68622003" w14:textId="77777777" w:rsidTr="00010C54">
        <w:tc>
          <w:tcPr>
            <w:tcW w:w="1315" w:type="dxa"/>
            <w:shd w:val="clear" w:color="auto" w:fill="DDDDDD"/>
          </w:tcPr>
          <w:p w14:paraId="2B457D87" w14:textId="273A3C7F" w:rsidR="00010C54" w:rsidRDefault="00D132FF" w:rsidP="00E732EA">
            <w:pPr>
              <w:jc w:val="both"/>
              <w:rPr>
                <w:rFonts w:ascii="Arial" w:hAnsi="Arial" w:cs="Arial"/>
                <w:color w:val="000000"/>
                <w:sz w:val="20"/>
              </w:rPr>
            </w:pPr>
            <w:r>
              <w:rPr>
                <w:rFonts w:ascii="Arial" w:hAnsi="Arial" w:cs="Arial"/>
                <w:color w:val="000000"/>
                <w:sz w:val="20"/>
              </w:rPr>
              <w:t>s.182(1)(k)</w:t>
            </w:r>
          </w:p>
        </w:tc>
        <w:tc>
          <w:tcPr>
            <w:tcW w:w="6985" w:type="dxa"/>
            <w:shd w:val="clear" w:color="auto" w:fill="DDDDDD"/>
          </w:tcPr>
          <w:p w14:paraId="23ED79B0" w14:textId="668237B9" w:rsidR="00010C54" w:rsidRDefault="00D132FF" w:rsidP="00E732EA">
            <w:pPr>
              <w:jc w:val="both"/>
              <w:rPr>
                <w:rFonts w:ascii="Arial" w:hAnsi="Arial" w:cs="Arial"/>
                <w:color w:val="000000"/>
                <w:sz w:val="20"/>
              </w:rPr>
            </w:pPr>
            <w:r>
              <w:rPr>
                <w:rFonts w:ascii="Arial" w:hAnsi="Arial" w:cs="Arial"/>
                <w:color w:val="000000"/>
                <w:sz w:val="20"/>
              </w:rPr>
              <w:t>a youth parole officer</w:t>
            </w:r>
          </w:p>
        </w:tc>
      </w:tr>
      <w:tr w:rsidR="00010C54" w14:paraId="362BEAD1" w14:textId="77777777" w:rsidTr="00E15EE0">
        <w:tc>
          <w:tcPr>
            <w:tcW w:w="1315" w:type="dxa"/>
          </w:tcPr>
          <w:p w14:paraId="6CEEE58A" w14:textId="366E6FB7" w:rsidR="00010C54" w:rsidRDefault="00D132FF" w:rsidP="00E732EA">
            <w:pPr>
              <w:jc w:val="both"/>
              <w:rPr>
                <w:rFonts w:ascii="Arial" w:hAnsi="Arial" w:cs="Arial"/>
                <w:color w:val="000000"/>
                <w:sz w:val="20"/>
              </w:rPr>
            </w:pPr>
            <w:r>
              <w:rPr>
                <w:rFonts w:ascii="Arial" w:hAnsi="Arial" w:cs="Arial"/>
                <w:color w:val="000000"/>
                <w:sz w:val="20"/>
              </w:rPr>
              <w:t>s.182(1)(l)</w:t>
            </w:r>
          </w:p>
        </w:tc>
        <w:tc>
          <w:tcPr>
            <w:tcW w:w="6985" w:type="dxa"/>
          </w:tcPr>
          <w:p w14:paraId="7E79BD01" w14:textId="601AC945" w:rsidR="00010C54" w:rsidRDefault="00D132FF" w:rsidP="00E732EA">
            <w:pPr>
              <w:jc w:val="both"/>
              <w:rPr>
                <w:rFonts w:ascii="Arial" w:hAnsi="Arial" w:cs="Arial"/>
                <w:color w:val="000000"/>
                <w:sz w:val="20"/>
              </w:rPr>
            </w:pPr>
            <w:r>
              <w:rPr>
                <w:rFonts w:ascii="Arial" w:hAnsi="Arial" w:cs="Arial"/>
                <w:color w:val="000000"/>
                <w:sz w:val="20"/>
              </w:rPr>
              <w:t xml:space="preserve">a member of a prescribed class of persons: by operation of paragraph 13A of the </w:t>
            </w:r>
            <w:r w:rsidRPr="00032ED5">
              <w:rPr>
                <w:rFonts w:ascii="Arial" w:hAnsi="Arial" w:cs="Arial"/>
                <w:i/>
                <w:iCs/>
                <w:color w:val="000000"/>
                <w:sz w:val="20"/>
              </w:rPr>
              <w:t>Children, Youth and Families Regulations 2017</w:t>
            </w:r>
            <w:r>
              <w:rPr>
                <w:rFonts w:ascii="Arial" w:hAnsi="Arial" w:cs="Arial"/>
                <w:color w:val="000000"/>
                <w:sz w:val="20"/>
              </w:rPr>
              <w:t xml:space="preserve"> these </w:t>
            </w:r>
            <w:r w:rsidR="00032ED5">
              <w:rPr>
                <w:rFonts w:ascii="Arial" w:hAnsi="Arial" w:cs="Arial"/>
                <w:color w:val="000000"/>
                <w:sz w:val="20"/>
              </w:rPr>
              <w:t>classes ar</w:t>
            </w:r>
            <w:r>
              <w:rPr>
                <w:rFonts w:ascii="Arial" w:hAnsi="Arial" w:cs="Arial"/>
                <w:color w:val="000000"/>
                <w:sz w:val="20"/>
              </w:rPr>
              <w:t>e:</w:t>
            </w:r>
          </w:p>
          <w:p w14:paraId="0E10F888" w14:textId="65FB0BEF"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out of home care workers;</w:t>
            </w:r>
          </w:p>
          <w:p w14:paraId="7856153B" w14:textId="5BA1C56B" w:rsid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school counsellors;</w:t>
            </w:r>
          </w:p>
          <w:p w14:paraId="23E8D479" w14:textId="6198956E" w:rsidR="00D132FF" w:rsidRPr="00D132FF" w:rsidRDefault="00D132FF">
            <w:pPr>
              <w:pStyle w:val="ListParagraph"/>
              <w:numPr>
                <w:ilvl w:val="1"/>
                <w:numId w:val="71"/>
              </w:numPr>
              <w:ind w:left="448" w:hanging="448"/>
              <w:jc w:val="both"/>
              <w:rPr>
                <w:rFonts w:ascii="Arial" w:hAnsi="Arial" w:cs="Arial"/>
                <w:color w:val="000000"/>
                <w:sz w:val="20"/>
              </w:rPr>
            </w:pPr>
            <w:r>
              <w:rPr>
                <w:rFonts w:ascii="Arial" w:hAnsi="Arial" w:cs="Arial"/>
                <w:color w:val="000000"/>
                <w:sz w:val="20"/>
              </w:rPr>
              <w:t>youth justice custodial workers.</w:t>
            </w:r>
          </w:p>
        </w:tc>
      </w:tr>
    </w:tbl>
    <w:p w14:paraId="42AED0C5" w14:textId="478BDFAC" w:rsidR="00E15EE0" w:rsidRDefault="00E15EE0" w:rsidP="00E732EA">
      <w:pPr>
        <w:jc w:val="both"/>
        <w:rPr>
          <w:rFonts w:ascii="Arial" w:hAnsi="Arial" w:cs="Arial"/>
          <w:color w:val="000000"/>
          <w:sz w:val="20"/>
        </w:rPr>
      </w:pPr>
    </w:p>
    <w:p w14:paraId="5C10959C" w14:textId="26F44288" w:rsidR="00E15EE0" w:rsidRDefault="00D132FF" w:rsidP="00032ED5">
      <w:pPr>
        <w:spacing w:after="120"/>
        <w:jc w:val="both"/>
        <w:rPr>
          <w:rFonts w:ascii="Arial" w:hAnsi="Arial" w:cs="Arial"/>
          <w:color w:val="000000"/>
          <w:sz w:val="20"/>
        </w:rPr>
      </w:pPr>
      <w:r>
        <w:rPr>
          <w:rFonts w:ascii="Arial" w:hAnsi="Arial" w:cs="Arial"/>
          <w:color w:val="000000"/>
          <w:sz w:val="20"/>
        </w:rPr>
        <w:t xml:space="preserve">Additional professionals are referred to in s.182(1)(g) &amp; 182(1)(h) but </w:t>
      </w:r>
      <w:r w:rsidR="00085234">
        <w:rPr>
          <w:rFonts w:ascii="Arial" w:hAnsi="Arial" w:cs="Arial"/>
          <w:color w:val="000000"/>
          <w:sz w:val="20"/>
        </w:rPr>
        <w:t xml:space="preserve">if </w:t>
      </w:r>
      <w:r>
        <w:rPr>
          <w:rFonts w:ascii="Arial" w:hAnsi="Arial" w:cs="Arial"/>
          <w:color w:val="000000"/>
          <w:sz w:val="20"/>
        </w:rPr>
        <w:t xml:space="preserve">these </w:t>
      </w:r>
      <w:r w:rsidR="00032ED5">
        <w:rPr>
          <w:rFonts w:ascii="Arial" w:hAnsi="Arial" w:cs="Arial"/>
          <w:color w:val="000000"/>
          <w:sz w:val="20"/>
        </w:rPr>
        <w:t xml:space="preserve">persons </w:t>
      </w:r>
      <w:r w:rsidR="00085234">
        <w:rPr>
          <w:rFonts w:ascii="Arial" w:hAnsi="Arial" w:cs="Arial"/>
          <w:color w:val="000000"/>
          <w:sz w:val="20"/>
        </w:rPr>
        <w:t xml:space="preserve">do not fall into any of the above categories they </w:t>
      </w:r>
      <w:r>
        <w:rPr>
          <w:rFonts w:ascii="Arial" w:hAnsi="Arial" w:cs="Arial"/>
          <w:color w:val="000000"/>
          <w:sz w:val="20"/>
        </w:rPr>
        <w:t xml:space="preserve">are only mandatory reporters on and from a date which </w:t>
      </w:r>
      <w:r w:rsidR="00387412">
        <w:rPr>
          <w:rFonts w:ascii="Arial" w:hAnsi="Arial" w:cs="Arial"/>
          <w:color w:val="000000"/>
          <w:sz w:val="20"/>
        </w:rPr>
        <w:t xml:space="preserve">the writer </w:t>
      </w:r>
      <w:r w:rsidR="00B17E6E">
        <w:rPr>
          <w:rFonts w:ascii="Arial" w:hAnsi="Arial" w:cs="Arial"/>
          <w:color w:val="000000"/>
          <w:sz w:val="20"/>
        </w:rPr>
        <w:t>believe</w:t>
      </w:r>
      <w:r w:rsidR="00387412">
        <w:rPr>
          <w:rFonts w:ascii="Arial" w:hAnsi="Arial" w:cs="Arial"/>
          <w:color w:val="000000"/>
          <w:sz w:val="20"/>
        </w:rPr>
        <w:t xml:space="preserve">s </w:t>
      </w:r>
      <w:r>
        <w:rPr>
          <w:rFonts w:ascii="Arial" w:hAnsi="Arial" w:cs="Arial"/>
          <w:color w:val="000000"/>
          <w:sz w:val="20"/>
        </w:rPr>
        <w:t>has not yet been prescribed:</w:t>
      </w:r>
    </w:p>
    <w:tbl>
      <w:tblPr>
        <w:tblStyle w:val="TableGrid"/>
        <w:tblW w:w="0" w:type="auto"/>
        <w:tblLook w:val="04A0" w:firstRow="1" w:lastRow="0" w:firstColumn="1" w:lastColumn="0" w:noHBand="0" w:noVBand="1"/>
      </w:tblPr>
      <w:tblGrid>
        <w:gridCol w:w="1315"/>
        <w:gridCol w:w="6985"/>
      </w:tblGrid>
      <w:tr w:rsidR="00032ED5" w14:paraId="5FBFDE96" w14:textId="77777777" w:rsidTr="00635308">
        <w:tc>
          <w:tcPr>
            <w:tcW w:w="1315" w:type="dxa"/>
            <w:shd w:val="clear" w:color="auto" w:fill="DDDDDD"/>
          </w:tcPr>
          <w:p w14:paraId="396B6794" w14:textId="05D27EEC" w:rsidR="00032ED5" w:rsidRDefault="00032ED5" w:rsidP="00635308">
            <w:pPr>
              <w:jc w:val="both"/>
              <w:rPr>
                <w:rFonts w:ascii="Arial" w:hAnsi="Arial" w:cs="Arial"/>
                <w:color w:val="000000"/>
                <w:sz w:val="20"/>
              </w:rPr>
            </w:pPr>
            <w:r>
              <w:rPr>
                <w:rFonts w:ascii="Arial" w:hAnsi="Arial" w:cs="Arial"/>
                <w:color w:val="000000"/>
                <w:sz w:val="20"/>
              </w:rPr>
              <w:t>s.182(1)(g)</w:t>
            </w:r>
          </w:p>
        </w:tc>
        <w:tc>
          <w:tcPr>
            <w:tcW w:w="6985" w:type="dxa"/>
            <w:shd w:val="clear" w:color="auto" w:fill="DDDDDD"/>
          </w:tcPr>
          <w:p w14:paraId="68715B13" w14:textId="18C448FB" w:rsidR="00032ED5" w:rsidRDefault="00032ED5" w:rsidP="00635308">
            <w:pPr>
              <w:jc w:val="both"/>
              <w:rPr>
                <w:rFonts w:ascii="Arial" w:hAnsi="Arial" w:cs="Arial"/>
                <w:color w:val="000000"/>
                <w:sz w:val="20"/>
              </w:rPr>
            </w:pPr>
            <w:r>
              <w:rPr>
                <w:rFonts w:ascii="Arial" w:hAnsi="Arial" w:cs="Arial"/>
                <w:color w:val="000000"/>
                <w:sz w:val="20"/>
              </w:rPr>
              <w:t>a person with a post-secondary qualification in youth, social or welfare work who works in the health, education or community or welfare services field and who is not referred to in s.182(1)(h)</w:t>
            </w:r>
          </w:p>
        </w:tc>
      </w:tr>
      <w:tr w:rsidR="00032ED5" w14:paraId="11A71261" w14:textId="77777777" w:rsidTr="00635308">
        <w:tc>
          <w:tcPr>
            <w:tcW w:w="1315" w:type="dxa"/>
          </w:tcPr>
          <w:p w14:paraId="5ECB15E7" w14:textId="16C6E209" w:rsidR="00032ED5" w:rsidRDefault="00032ED5" w:rsidP="00635308">
            <w:pPr>
              <w:jc w:val="both"/>
              <w:rPr>
                <w:rFonts w:ascii="Arial" w:hAnsi="Arial" w:cs="Arial"/>
                <w:color w:val="000000"/>
                <w:sz w:val="20"/>
              </w:rPr>
            </w:pPr>
            <w:r>
              <w:rPr>
                <w:rFonts w:ascii="Arial" w:hAnsi="Arial" w:cs="Arial"/>
                <w:color w:val="000000"/>
                <w:sz w:val="20"/>
              </w:rPr>
              <w:t>s.182(1)(h)</w:t>
            </w:r>
          </w:p>
        </w:tc>
        <w:tc>
          <w:tcPr>
            <w:tcW w:w="6985" w:type="dxa"/>
          </w:tcPr>
          <w:p w14:paraId="301430F6" w14:textId="3C458169" w:rsidR="00032ED5" w:rsidRDefault="00032ED5" w:rsidP="00635308">
            <w:pPr>
              <w:jc w:val="both"/>
              <w:rPr>
                <w:rFonts w:ascii="Arial" w:hAnsi="Arial" w:cs="Arial"/>
                <w:color w:val="000000"/>
                <w:sz w:val="20"/>
              </w:rPr>
            </w:pPr>
            <w:r>
              <w:rPr>
                <w:rFonts w:ascii="Arial" w:hAnsi="Arial" w:cs="Arial"/>
                <w:color w:val="000000"/>
                <w:sz w:val="20"/>
              </w:rPr>
              <w:t xml:space="preserve">A person employed under Part 3 of the </w:t>
            </w:r>
            <w:r w:rsidRPr="00085234">
              <w:rPr>
                <w:rFonts w:ascii="Arial" w:hAnsi="Arial" w:cs="Arial"/>
                <w:i/>
                <w:iCs/>
                <w:color w:val="000000"/>
                <w:sz w:val="20"/>
              </w:rPr>
              <w:t>Public Administration Act 2004</w:t>
            </w:r>
            <w:r>
              <w:rPr>
                <w:rFonts w:ascii="Arial" w:hAnsi="Arial" w:cs="Arial"/>
                <w:color w:val="000000"/>
                <w:sz w:val="20"/>
              </w:rPr>
              <w:t xml:space="preserve"> to perform the duties of a youth and child welfare worker</w:t>
            </w:r>
          </w:p>
        </w:tc>
      </w:tr>
    </w:tbl>
    <w:p w14:paraId="01BD5FA5" w14:textId="36B4976D" w:rsidR="003431A4" w:rsidRDefault="003431A4" w:rsidP="003431A4">
      <w:pPr>
        <w:jc w:val="both"/>
        <w:rPr>
          <w:rFonts w:ascii="Arial" w:hAnsi="Arial" w:cs="Arial"/>
          <w:bCs/>
          <w:sz w:val="20"/>
          <w:szCs w:val="20"/>
        </w:rPr>
      </w:pPr>
    </w:p>
    <w:p w14:paraId="4921F1B6" w14:textId="49FAE2FA" w:rsidR="003431A4" w:rsidRDefault="003431A4" w:rsidP="003431A4">
      <w:pPr>
        <w:jc w:val="both"/>
        <w:rPr>
          <w:rFonts w:ascii="Arial" w:hAnsi="Arial" w:cs="Arial"/>
          <w:bCs/>
          <w:sz w:val="20"/>
          <w:szCs w:val="20"/>
        </w:rPr>
      </w:pPr>
      <w:r>
        <w:rPr>
          <w:rFonts w:ascii="Arial" w:hAnsi="Arial" w:cs="Arial"/>
          <w:bCs/>
          <w:sz w:val="20"/>
          <w:szCs w:val="20"/>
        </w:rPr>
        <w:t xml:space="preserve">For further information see </w:t>
      </w:r>
      <w:hyperlink r:id="rId16" w:history="1">
        <w:r w:rsidRPr="003431A4">
          <w:rPr>
            <w:rStyle w:val="Hyperlink"/>
            <w:rFonts w:ascii="Arial" w:hAnsi="Arial" w:cs="Arial"/>
            <w:bCs/>
            <w:sz w:val="20"/>
            <w:szCs w:val="20"/>
          </w:rPr>
          <w:t>https://providers.dffh.vic.gov.au/mandatory-reporting</w:t>
        </w:r>
      </w:hyperlink>
      <w:r>
        <w:rPr>
          <w:rFonts w:ascii="Arial" w:hAnsi="Arial" w:cs="Arial"/>
          <w:bCs/>
          <w:sz w:val="20"/>
          <w:szCs w:val="20"/>
        </w:rPr>
        <w:t>.  Th</w:t>
      </w:r>
      <w:r w:rsidR="00A373F4">
        <w:rPr>
          <w:rFonts w:ascii="Arial" w:hAnsi="Arial" w:cs="Arial"/>
          <w:bCs/>
          <w:sz w:val="20"/>
          <w:szCs w:val="20"/>
        </w:rPr>
        <w:t>is </w:t>
      </w:r>
      <w:r>
        <w:rPr>
          <w:rFonts w:ascii="Arial" w:hAnsi="Arial" w:cs="Arial"/>
          <w:bCs/>
          <w:sz w:val="20"/>
          <w:szCs w:val="20"/>
        </w:rPr>
        <w:t xml:space="preserve">document also contains links to the following DFFH fact sheets which </w:t>
      </w:r>
      <w:r w:rsidRPr="003431A4">
        <w:rPr>
          <w:rFonts w:ascii="Arial" w:hAnsi="Arial" w:cs="Arial"/>
          <w:color w:val="0A0A0A"/>
          <w:sz w:val="20"/>
          <w:szCs w:val="20"/>
        </w:rPr>
        <w:t>provide detailed information to assist professional groups to comply with mandatory reporting requirements</w:t>
      </w:r>
      <w:r>
        <w:rPr>
          <w:rFonts w:ascii="Arial" w:hAnsi="Arial" w:cs="Arial"/>
          <w:bCs/>
          <w:sz w:val="20"/>
          <w:szCs w:val="20"/>
        </w:rPr>
        <w:t>:</w:t>
      </w:r>
    </w:p>
    <w:p w14:paraId="14BA4BD8" w14:textId="3A32AF11" w:rsidR="00AF5A59" w:rsidRDefault="00AF5A59">
      <w:pPr>
        <w:numPr>
          <w:ilvl w:val="0"/>
          <w:numId w:val="99"/>
        </w:numPr>
        <w:shd w:val="clear" w:color="auto" w:fill="FFFFFF"/>
        <w:ind w:left="357" w:hanging="357"/>
        <w:rPr>
          <w:rFonts w:ascii="Arial" w:hAnsi="Arial" w:cs="Arial"/>
          <w:color w:val="0A0A0A"/>
          <w:sz w:val="20"/>
          <w:szCs w:val="20"/>
        </w:rPr>
      </w:pPr>
      <w:hyperlink r:id="rId17" w:history="1">
        <w:r w:rsidRPr="00AF5A59">
          <w:rPr>
            <w:rStyle w:val="Hyperlink"/>
            <w:rFonts w:ascii="Arial" w:hAnsi="Arial" w:cs="Arial"/>
            <w:sz w:val="20"/>
            <w:szCs w:val="20"/>
          </w:rPr>
          <w:t>generic fact sheet</w:t>
        </w:r>
      </w:hyperlink>
    </w:p>
    <w:p w14:paraId="4572E3CF" w14:textId="751D8FDD" w:rsidR="00AF5A59" w:rsidRDefault="00AF5A59">
      <w:pPr>
        <w:numPr>
          <w:ilvl w:val="0"/>
          <w:numId w:val="99"/>
        </w:numPr>
        <w:shd w:val="clear" w:color="auto" w:fill="FFFFFF"/>
        <w:ind w:left="357" w:hanging="357"/>
        <w:rPr>
          <w:rFonts w:ascii="Arial" w:hAnsi="Arial" w:cs="Arial"/>
          <w:color w:val="0A0A0A"/>
          <w:sz w:val="20"/>
          <w:szCs w:val="20"/>
        </w:rPr>
      </w:pPr>
      <w:hyperlink r:id="rId18" w:history="1">
        <w:r w:rsidRPr="00AF5A59">
          <w:rPr>
            <w:rStyle w:val="Hyperlink"/>
            <w:rFonts w:ascii="Arial" w:hAnsi="Arial" w:cs="Arial"/>
            <w:sz w:val="20"/>
            <w:szCs w:val="20"/>
          </w:rPr>
          <w:t>early childhood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438B15CC" w14:textId="1373AEB8" w:rsidR="00AF5A59" w:rsidRDefault="00AF5A59">
      <w:pPr>
        <w:numPr>
          <w:ilvl w:val="0"/>
          <w:numId w:val="99"/>
        </w:numPr>
        <w:shd w:val="clear" w:color="auto" w:fill="FFFFFF"/>
        <w:ind w:left="357" w:hanging="357"/>
        <w:rPr>
          <w:rFonts w:ascii="Arial" w:hAnsi="Arial" w:cs="Arial"/>
          <w:color w:val="0A0A0A"/>
          <w:sz w:val="20"/>
          <w:szCs w:val="20"/>
        </w:rPr>
      </w:pPr>
      <w:hyperlink r:id="rId19" w:history="1">
        <w:r w:rsidRPr="00AF5A59">
          <w:rPr>
            <w:rStyle w:val="Hyperlink"/>
            <w:rFonts w:ascii="Arial" w:hAnsi="Arial" w:cs="Arial"/>
            <w:sz w:val="20"/>
            <w:szCs w:val="20"/>
          </w:rPr>
          <w:t>religious ministry fact sheet</w:t>
        </w:r>
      </w:hyperlink>
    </w:p>
    <w:p w14:paraId="58027B7E" w14:textId="7DACBC79" w:rsidR="00132F1C" w:rsidRPr="003431A4" w:rsidRDefault="00132F1C">
      <w:pPr>
        <w:numPr>
          <w:ilvl w:val="0"/>
          <w:numId w:val="99"/>
        </w:numPr>
        <w:shd w:val="clear" w:color="auto" w:fill="FFFFFF"/>
        <w:ind w:left="357" w:hanging="357"/>
        <w:rPr>
          <w:rFonts w:ascii="Arial" w:hAnsi="Arial" w:cs="Arial"/>
          <w:color w:val="0A0A0A"/>
          <w:sz w:val="20"/>
          <w:szCs w:val="20"/>
        </w:rPr>
      </w:pPr>
      <w:hyperlink r:id="rId20" w:history="1">
        <w:r w:rsidRPr="00132F1C">
          <w:rPr>
            <w:rStyle w:val="Hyperlink"/>
            <w:rFonts w:ascii="Arial" w:hAnsi="Arial" w:cs="Arial"/>
            <w:sz w:val="20"/>
            <w:szCs w:val="20"/>
          </w:rPr>
          <w:t>registered psychologists</w:t>
        </w:r>
      </w:hyperlink>
    </w:p>
    <w:p w14:paraId="2C1B3E8A" w14:textId="66C75D26" w:rsidR="00AF5A59" w:rsidRDefault="00AF5A59">
      <w:pPr>
        <w:numPr>
          <w:ilvl w:val="0"/>
          <w:numId w:val="99"/>
        </w:numPr>
        <w:shd w:val="clear" w:color="auto" w:fill="FFFFFF"/>
        <w:ind w:left="357" w:hanging="357"/>
        <w:rPr>
          <w:rFonts w:ascii="Arial" w:hAnsi="Arial" w:cs="Arial"/>
          <w:color w:val="0A0A0A"/>
          <w:sz w:val="20"/>
          <w:szCs w:val="20"/>
        </w:rPr>
      </w:pPr>
      <w:hyperlink r:id="rId21" w:history="1">
        <w:r w:rsidRPr="00AF5A59">
          <w:rPr>
            <w:rStyle w:val="Hyperlink"/>
            <w:rFonts w:ascii="Arial" w:hAnsi="Arial" w:cs="Arial"/>
            <w:sz w:val="20"/>
            <w:szCs w:val="20"/>
          </w:rPr>
          <w:t>out of home care workers fact</w:t>
        </w:r>
        <w:r>
          <w:rPr>
            <w:rStyle w:val="Hyperlink"/>
            <w:rFonts w:ascii="Arial" w:hAnsi="Arial" w:cs="Arial"/>
            <w:sz w:val="20"/>
            <w:szCs w:val="20"/>
          </w:rPr>
          <w:t xml:space="preserve"> </w:t>
        </w:r>
        <w:r w:rsidRPr="00AF5A59">
          <w:rPr>
            <w:rStyle w:val="Hyperlink"/>
            <w:rFonts w:ascii="Arial" w:hAnsi="Arial" w:cs="Arial"/>
            <w:sz w:val="20"/>
            <w:szCs w:val="20"/>
          </w:rPr>
          <w:t>sheet</w:t>
        </w:r>
      </w:hyperlink>
    </w:p>
    <w:p w14:paraId="094D69ED" w14:textId="45E54CEA" w:rsidR="00132F1C" w:rsidRDefault="00132F1C">
      <w:pPr>
        <w:numPr>
          <w:ilvl w:val="0"/>
          <w:numId w:val="99"/>
        </w:numPr>
        <w:shd w:val="clear" w:color="auto" w:fill="FFFFFF"/>
        <w:ind w:left="357" w:hanging="357"/>
        <w:rPr>
          <w:rFonts w:ascii="Arial" w:hAnsi="Arial" w:cs="Arial"/>
          <w:color w:val="0A0A0A"/>
          <w:sz w:val="20"/>
          <w:szCs w:val="20"/>
        </w:rPr>
      </w:pPr>
      <w:hyperlink r:id="rId22" w:history="1">
        <w:r w:rsidRPr="00132F1C">
          <w:rPr>
            <w:rStyle w:val="Hyperlink"/>
            <w:rFonts w:ascii="Arial" w:hAnsi="Arial" w:cs="Arial"/>
            <w:sz w:val="20"/>
            <w:szCs w:val="20"/>
          </w:rPr>
          <w:t>school counsellors fact sheet</w:t>
        </w:r>
      </w:hyperlink>
    </w:p>
    <w:p w14:paraId="08C4843A" w14:textId="626F2F4F" w:rsidR="00132F1C" w:rsidRDefault="00132F1C">
      <w:pPr>
        <w:numPr>
          <w:ilvl w:val="0"/>
          <w:numId w:val="99"/>
        </w:numPr>
        <w:shd w:val="clear" w:color="auto" w:fill="FFFFFF"/>
        <w:ind w:left="357" w:hanging="357"/>
        <w:rPr>
          <w:rFonts w:ascii="Arial" w:hAnsi="Arial" w:cs="Arial"/>
          <w:color w:val="0A0A0A"/>
          <w:sz w:val="20"/>
          <w:szCs w:val="20"/>
        </w:rPr>
      </w:pPr>
      <w:hyperlink r:id="rId23" w:history="1">
        <w:r w:rsidRPr="008418E7">
          <w:rPr>
            <w:rStyle w:val="Hyperlink"/>
            <w:rFonts w:ascii="Arial" w:hAnsi="Arial" w:cs="Arial"/>
            <w:sz w:val="20"/>
            <w:szCs w:val="20"/>
          </w:rPr>
          <w:t>youth justice workers</w:t>
        </w:r>
      </w:hyperlink>
    </w:p>
    <w:p w14:paraId="6FD1A3EE" w14:textId="1F72393A" w:rsidR="00132F1C" w:rsidRDefault="00132F1C">
      <w:pPr>
        <w:numPr>
          <w:ilvl w:val="0"/>
          <w:numId w:val="99"/>
        </w:numPr>
        <w:shd w:val="clear" w:color="auto" w:fill="FFFFFF"/>
        <w:ind w:left="357" w:hanging="357"/>
        <w:rPr>
          <w:rFonts w:ascii="Arial" w:hAnsi="Arial" w:cs="Arial"/>
          <w:color w:val="0A0A0A"/>
          <w:sz w:val="20"/>
          <w:szCs w:val="20"/>
        </w:rPr>
      </w:pPr>
      <w:hyperlink r:id="rId24" w:history="1">
        <w:r w:rsidRPr="00947AA2">
          <w:rPr>
            <w:rStyle w:val="Hyperlink"/>
            <w:rFonts w:ascii="Arial" w:hAnsi="Arial" w:cs="Arial"/>
            <w:sz w:val="20"/>
            <w:szCs w:val="20"/>
          </w:rPr>
          <w:t>frequently asked questions</w:t>
        </w:r>
      </w:hyperlink>
      <w:r>
        <w:rPr>
          <w:rFonts w:ascii="Arial" w:hAnsi="Arial" w:cs="Arial"/>
          <w:color w:val="0A0A0A"/>
          <w:sz w:val="20"/>
          <w:szCs w:val="20"/>
        </w:rPr>
        <w:t>.</w:t>
      </w:r>
    </w:p>
    <w:p w14:paraId="54613DF5" w14:textId="3192CAEE" w:rsidR="00AF5A59" w:rsidRDefault="00AF5A59" w:rsidP="003431A4">
      <w:pPr>
        <w:jc w:val="both"/>
        <w:rPr>
          <w:rFonts w:ascii="Arial" w:hAnsi="Arial" w:cs="Arial"/>
          <w:bCs/>
          <w:sz w:val="20"/>
          <w:szCs w:val="20"/>
        </w:rPr>
      </w:pPr>
    </w:p>
    <w:p w14:paraId="2701C1EC" w14:textId="0F55C5C7" w:rsidR="00693223" w:rsidRPr="00785E1A" w:rsidRDefault="00693223" w:rsidP="00447CE9">
      <w:pPr>
        <w:pStyle w:val="Heading3"/>
        <w:spacing w:line="240" w:lineRule="auto"/>
        <w:rPr>
          <w:rFonts w:ascii="Arial" w:hAnsi="Arial" w:cs="Arial"/>
          <w:b/>
          <w:bCs/>
          <w:color w:val="000000"/>
          <w:sz w:val="20"/>
        </w:rPr>
      </w:pPr>
      <w:bookmarkStart w:id="741" w:name="_4.6.3_Child_protection"/>
      <w:bookmarkStart w:id="742" w:name="_Toc30648174"/>
      <w:bookmarkStart w:id="743" w:name="_Toc30649072"/>
      <w:bookmarkStart w:id="744" w:name="_Toc30649148"/>
      <w:bookmarkStart w:id="745" w:name="_Toc30649409"/>
      <w:bookmarkStart w:id="746" w:name="_Toc30649734"/>
      <w:bookmarkStart w:id="747" w:name="_Toc30651674"/>
      <w:bookmarkStart w:id="748" w:name="_Toc30652664"/>
      <w:bookmarkStart w:id="749" w:name="_Toc30652760"/>
      <w:bookmarkStart w:id="750" w:name="_Toc30654105"/>
      <w:bookmarkStart w:id="751" w:name="_Toc30654456"/>
      <w:bookmarkStart w:id="752" w:name="_Toc30655075"/>
      <w:bookmarkStart w:id="753" w:name="_Toc30655332"/>
      <w:bookmarkStart w:id="754" w:name="_Toc30657010"/>
      <w:bookmarkStart w:id="755" w:name="_Toc30661759"/>
      <w:bookmarkStart w:id="756" w:name="_Toc30666447"/>
      <w:bookmarkStart w:id="757" w:name="_Toc30666677"/>
      <w:bookmarkStart w:id="758" w:name="_Toc30667852"/>
      <w:bookmarkStart w:id="759" w:name="_Toc30669230"/>
      <w:bookmarkStart w:id="760" w:name="_Toc30671446"/>
      <w:bookmarkStart w:id="761" w:name="_Toc30673973"/>
      <w:bookmarkStart w:id="762" w:name="_Toc30691195"/>
      <w:bookmarkStart w:id="763" w:name="_Toc30691568"/>
      <w:bookmarkStart w:id="764" w:name="_Toc30691948"/>
      <w:bookmarkStart w:id="765" w:name="_Toc30692707"/>
      <w:bookmarkStart w:id="766" w:name="_Toc30693086"/>
      <w:bookmarkStart w:id="767" w:name="_Toc30693464"/>
      <w:bookmarkStart w:id="768" w:name="_Toc30693842"/>
      <w:bookmarkStart w:id="769" w:name="_Toc30694223"/>
      <w:bookmarkStart w:id="770" w:name="_Toc30698812"/>
      <w:bookmarkStart w:id="771" w:name="_Toc30699190"/>
      <w:bookmarkStart w:id="772" w:name="_Toc30699575"/>
      <w:bookmarkStart w:id="773" w:name="_Toc30700730"/>
      <w:bookmarkStart w:id="774" w:name="_Toc30701117"/>
      <w:bookmarkStart w:id="775" w:name="_Toc30743726"/>
      <w:bookmarkStart w:id="776" w:name="_Toc30754549"/>
      <w:bookmarkStart w:id="777" w:name="_Toc30756989"/>
      <w:bookmarkStart w:id="778" w:name="_Toc30757538"/>
      <w:bookmarkStart w:id="779" w:name="_Toc30757938"/>
      <w:bookmarkStart w:id="780" w:name="_Toc30762699"/>
      <w:bookmarkStart w:id="781" w:name="_Toc30767353"/>
      <w:bookmarkStart w:id="782" w:name="_Toc34823369"/>
      <w:bookmarkEnd w:id="696"/>
      <w:bookmarkEnd w:id="740"/>
      <w:bookmarkEnd w:id="741"/>
      <w:r w:rsidRPr="00785E1A">
        <w:rPr>
          <w:rFonts w:ascii="Arial" w:hAnsi="Arial" w:cs="Arial"/>
          <w:b/>
          <w:bCs/>
          <w:color w:val="000000"/>
          <w:sz w:val="20"/>
        </w:rPr>
        <w:t>4.6.</w:t>
      </w:r>
      <w:r w:rsidR="004E262E" w:rsidRPr="00785E1A">
        <w:rPr>
          <w:rFonts w:ascii="Arial" w:hAnsi="Arial" w:cs="Arial"/>
          <w:b/>
          <w:bCs/>
          <w:color w:val="000000"/>
          <w:sz w:val="20"/>
        </w:rPr>
        <w:t>3</w:t>
      </w:r>
      <w:r w:rsidRPr="00785E1A">
        <w:rPr>
          <w:rFonts w:ascii="Arial" w:hAnsi="Arial" w:cs="Arial"/>
          <w:b/>
          <w:bCs/>
          <w:color w:val="000000"/>
          <w:sz w:val="20"/>
        </w:rPr>
        <w:tab/>
      </w:r>
      <w:r w:rsidR="00507332">
        <w:rPr>
          <w:rFonts w:ascii="Arial" w:hAnsi="Arial" w:cs="Arial"/>
          <w:b/>
          <w:bCs/>
          <w:color w:val="000000"/>
          <w:sz w:val="20"/>
        </w:rPr>
        <w:t>C</w:t>
      </w:r>
      <w:r w:rsidR="00367C49" w:rsidRPr="00785E1A">
        <w:rPr>
          <w:rFonts w:ascii="Arial" w:hAnsi="Arial" w:cs="Arial"/>
          <w:b/>
          <w:bCs/>
          <w:color w:val="000000"/>
          <w:sz w:val="20"/>
        </w:rPr>
        <w:t>hild protection report</w:t>
      </w:r>
      <w:r w:rsidR="00507332">
        <w:rPr>
          <w:rFonts w:ascii="Arial" w:hAnsi="Arial" w:cs="Arial"/>
          <w:b/>
          <w:bCs/>
          <w:color w:val="000000"/>
          <w:sz w:val="20"/>
        </w:rPr>
        <w:t xml:space="preserve"> statistics (</w:t>
      </w:r>
      <w:r w:rsidR="003B7A66">
        <w:rPr>
          <w:rFonts w:ascii="Arial" w:hAnsi="Arial" w:cs="Arial"/>
          <w:b/>
          <w:bCs/>
          <w:color w:val="000000"/>
          <w:sz w:val="20"/>
        </w:rPr>
        <w:t>Victoria</w:t>
      </w:r>
      <w:r w:rsidR="00507332">
        <w:rPr>
          <w:rFonts w:ascii="Arial" w:hAnsi="Arial" w:cs="Arial"/>
          <w:b/>
          <w:bCs/>
          <w:color w:val="000000"/>
          <w:sz w:val="20"/>
        </w:rPr>
        <w:t xml:space="preserve"> &amp; Australia)</w:t>
      </w:r>
      <w:r w:rsidR="003B7A66">
        <w:rPr>
          <w:rFonts w:ascii="Arial" w:hAnsi="Arial" w:cs="Arial"/>
          <w:b/>
          <w:bCs/>
          <w:color w:val="000000"/>
          <w:sz w:val="20"/>
        </w:rPr>
        <w:t xml:space="preserve"> </w:t>
      </w:r>
      <w:r w:rsidR="00E0794B" w:rsidRPr="00785E1A">
        <w:rPr>
          <w:rFonts w:ascii="Arial" w:hAnsi="Arial" w:cs="Arial"/>
          <w:b/>
          <w:bCs/>
          <w:color w:val="000000"/>
          <w:sz w:val="20"/>
        </w:rPr>
        <w:t>–</w:t>
      </w:r>
      <w:r w:rsidRPr="00785E1A">
        <w:rPr>
          <w:rFonts w:ascii="Arial" w:hAnsi="Arial" w:cs="Arial"/>
          <w:b/>
          <w:bCs/>
          <w:color w:val="000000"/>
          <w:sz w:val="20"/>
        </w:rPr>
        <w:t xml:space="preserve"> 19</w:t>
      </w:r>
      <w:r w:rsidR="003B7A66">
        <w:rPr>
          <w:rFonts w:ascii="Arial" w:hAnsi="Arial" w:cs="Arial"/>
          <w:b/>
          <w:bCs/>
          <w:color w:val="000000"/>
          <w:sz w:val="20"/>
        </w:rPr>
        <w:t>8</w:t>
      </w:r>
      <w:r w:rsidRPr="00785E1A">
        <w:rPr>
          <w:rFonts w:ascii="Arial" w:hAnsi="Arial" w:cs="Arial"/>
          <w:b/>
          <w:bCs/>
          <w:color w:val="000000"/>
          <w:sz w:val="20"/>
        </w:rPr>
        <w:t>9</w:t>
      </w:r>
      <w:r w:rsidR="003B7A66">
        <w:rPr>
          <w:rFonts w:ascii="Arial" w:hAnsi="Arial" w:cs="Arial"/>
          <w:b/>
          <w:bCs/>
          <w:color w:val="000000"/>
          <w:sz w:val="20"/>
        </w:rPr>
        <w:t xml:space="preserve"> to </w:t>
      </w:r>
      <w:r w:rsidRPr="00785E1A">
        <w:rPr>
          <w:rFonts w:ascii="Arial" w:hAnsi="Arial" w:cs="Arial"/>
          <w:b/>
          <w:bCs/>
          <w:color w:val="000000"/>
          <w:sz w:val="20"/>
        </w:rPr>
        <w:t>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00507332">
        <w:rPr>
          <w:rFonts w:ascii="Arial" w:hAnsi="Arial" w:cs="Arial"/>
          <w:b/>
          <w:bCs/>
          <w:color w:val="000000"/>
          <w:sz w:val="20"/>
        </w:rPr>
        <w:t>2</w:t>
      </w:r>
      <w:r w:rsidR="00551938">
        <w:rPr>
          <w:rFonts w:ascii="Arial" w:hAnsi="Arial" w:cs="Arial"/>
          <w:b/>
          <w:bCs/>
          <w:color w:val="000000"/>
          <w:sz w:val="20"/>
        </w:rPr>
        <w:t>3</w:t>
      </w:r>
    </w:p>
    <w:p w14:paraId="554A1BDA" w14:textId="040FB346" w:rsidR="00507332" w:rsidRDefault="00507332" w:rsidP="00507332">
      <w:pPr>
        <w:pStyle w:val="Heading3"/>
        <w:widowControl/>
        <w:spacing w:line="240" w:lineRule="auto"/>
        <w:rPr>
          <w:rFonts w:ascii="Arial" w:hAnsi="Arial" w:cs="Arial"/>
          <w:color w:val="000000"/>
          <w:sz w:val="20"/>
        </w:rPr>
      </w:pPr>
    </w:p>
    <w:p w14:paraId="695D2BFD" w14:textId="0C630609"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VICTORIA</w:t>
      </w:r>
    </w:p>
    <w:p w14:paraId="5AEAFD99" w14:textId="77777777" w:rsidR="008358C0" w:rsidRPr="003B7A66" w:rsidRDefault="008358C0" w:rsidP="00507332">
      <w:pPr>
        <w:pStyle w:val="Heading3"/>
        <w:widowControl/>
        <w:spacing w:line="240" w:lineRule="auto"/>
        <w:rPr>
          <w:rFonts w:ascii="Arial" w:hAnsi="Arial" w:cs="Arial"/>
          <w:color w:val="000000"/>
          <w:sz w:val="20"/>
        </w:rPr>
      </w:pPr>
    </w:p>
    <w:p w14:paraId="171B5097" w14:textId="77777777" w:rsidR="00507332" w:rsidRPr="00785E1A" w:rsidRDefault="00507332" w:rsidP="00507332">
      <w:pPr>
        <w:jc w:val="both"/>
        <w:rPr>
          <w:rFonts w:ascii="Arial" w:hAnsi="Arial" w:cs="Arial"/>
          <w:color w:val="000000"/>
          <w:sz w:val="20"/>
        </w:rPr>
      </w:pPr>
      <w:r>
        <w:rPr>
          <w:rFonts w:ascii="Arial" w:hAnsi="Arial" w:cs="Arial"/>
          <w:sz w:val="20"/>
        </w:rPr>
        <w:t xml:space="preserve">The number of notifications to Victoria's Child Protection Service increased substantially in the 1990s, as illustrated by the following graph provided by Mr Peter Green, Manager DOHS Child Protection &amp; Care in a paper entitled </w:t>
      </w:r>
      <w:r>
        <w:rPr>
          <w:rFonts w:ascii="Helv" w:hAnsi="Helv"/>
          <w:color w:val="000000"/>
          <w:sz w:val="20"/>
          <w:lang w:val="en-US"/>
        </w:rPr>
        <w:t>"Towards Better Policing Responses in Child Protection"</w:t>
      </w:r>
      <w:r>
        <w:rPr>
          <w:rFonts w:ascii="Arial" w:hAnsi="Arial" w:cs="Arial"/>
          <w:sz w:val="20"/>
        </w:rPr>
        <w:t xml:space="preserve"> at XVI World Congress of the International Association of Youth and Family Judges and Magistrates in October 2002.  In the 2000s the numbers of notifications were</w:t>
      </w:r>
      <w:r w:rsidRPr="00785E1A">
        <w:rPr>
          <w:rFonts w:ascii="Arial" w:hAnsi="Arial" w:cs="Arial"/>
          <w:color w:val="000000"/>
          <w:sz w:val="20"/>
        </w:rPr>
        <w:t xml:space="preserve"> relatively stable although the proportion substantiated </w:t>
      </w:r>
      <w:r>
        <w:rPr>
          <w:rFonts w:ascii="Arial" w:hAnsi="Arial" w:cs="Arial"/>
          <w:color w:val="000000"/>
          <w:sz w:val="20"/>
        </w:rPr>
        <w:t>fell</w:t>
      </w:r>
      <w:r w:rsidRPr="00785E1A">
        <w:rPr>
          <w:rFonts w:ascii="Arial" w:hAnsi="Arial" w:cs="Arial"/>
          <w:color w:val="000000"/>
          <w:sz w:val="20"/>
        </w:rPr>
        <w:t xml:space="preserve"> slightly.</w:t>
      </w:r>
    </w:p>
    <w:p w14:paraId="0DEF74E5" w14:textId="77777777" w:rsidR="00507332" w:rsidRPr="00785E1A" w:rsidRDefault="00507332" w:rsidP="00507332">
      <w:pPr>
        <w:pStyle w:val="Heading3"/>
        <w:spacing w:line="240" w:lineRule="auto"/>
        <w:rPr>
          <w:rFonts w:ascii="Arial" w:hAnsi="Arial" w:cs="Arial"/>
          <w:b/>
          <w:bCs/>
          <w:color w:val="000000"/>
          <w:sz w:val="16"/>
        </w:rPr>
      </w:pPr>
    </w:p>
    <w:p w14:paraId="366425F8" w14:textId="77777777" w:rsidR="00507332" w:rsidRDefault="00507332" w:rsidP="00507332">
      <w:pPr>
        <w:jc w:val="both"/>
        <w:rPr>
          <w:rFonts w:ascii="Arial" w:hAnsi="Arial" w:cs="Arial"/>
          <w:sz w:val="20"/>
        </w:rPr>
      </w:pPr>
      <w:r>
        <w:rPr>
          <w:noProof/>
        </w:rPr>
        <w:lastRenderedPageBreak/>
        <mc:AlternateContent>
          <mc:Choice Requires="wpg">
            <w:drawing>
              <wp:inline distT="0" distB="0" distL="0" distR="0" wp14:anchorId="577B7E0E" wp14:editId="379FD39A">
                <wp:extent cx="5255895" cy="2740660"/>
                <wp:effectExtent l="36195" t="39370" r="32385" b="39370"/>
                <wp:docPr id="150454353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740660"/>
                          <a:chOff x="1825" y="4516"/>
                          <a:chExt cx="8634" cy="4316"/>
                        </a:xfrm>
                      </wpg:grpSpPr>
                      <wpg:graphicFrame>
                        <wpg:cNvPr id="982277595" name="Object 141"/>
                        <wpg:cNvFrPr>
                          <a:graphicFrameLocks noChangeAspect="1"/>
                        </wpg:cNvFrPr>
                        <wpg:xfrm>
                          <a:off x="1765" y="4458"/>
                          <a:ext cx="8752" cy="4435"/>
                        </wpg:xfrm>
                        <a:graphic>
                          <a:graphicData uri="http://schemas.openxmlformats.org/drawingml/2006/chart">
                            <c:chart xmlns:c="http://schemas.openxmlformats.org/drawingml/2006/chart" xmlns:r="http://schemas.openxmlformats.org/officeDocument/2006/relationships" r:id="rId25"/>
                          </a:graphicData>
                        </a:graphic>
                      </wpg:graphicFrame>
                      <wpg:grpSp>
                        <wpg:cNvPr id="791050106" name="Group 142"/>
                        <wpg:cNvGrpSpPr>
                          <a:grpSpLocks/>
                        </wpg:cNvGrpSpPr>
                        <wpg:grpSpPr bwMode="auto">
                          <a:xfrm>
                            <a:off x="3728" y="4628"/>
                            <a:ext cx="1931" cy="1808"/>
                            <a:chOff x="3730" y="2456"/>
                            <a:chExt cx="1931" cy="1808"/>
                          </a:xfrm>
                        </wpg:grpSpPr>
                        <wps:wsp>
                          <wps:cNvPr id="1201425034" name="Text Box 143"/>
                          <wps:cNvSpPr txBox="1">
                            <a:spLocks noChangeArrowheads="1"/>
                          </wps:cNvSpPr>
                          <wps:spPr bwMode="auto">
                            <a:xfrm>
                              <a:off x="3730" y="2456"/>
                              <a:ext cx="1931" cy="108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wps:txbx>
                          <wps:bodyPr rot="0" vert="horz" wrap="square" lIns="91440" tIns="45720" rIns="91440" bIns="45720" anchor="t" anchorCtr="0" upright="1">
                            <a:noAutofit/>
                          </wps:bodyPr>
                        </wps:wsp>
                        <wps:wsp>
                          <wps:cNvPr id="378740855" name="Line 144"/>
                          <wps:cNvCnPr>
                            <a:cxnSpLocks noChangeShapeType="1"/>
                          </wps:cNvCnPr>
                          <wps:spPr bwMode="auto">
                            <a:xfrm>
                              <a:off x="4948" y="3483"/>
                              <a:ext cx="245" cy="781"/>
                            </a:xfrm>
                            <a:prstGeom prst="line">
                              <a:avLst/>
                            </a:prstGeom>
                            <a:noFill/>
                            <a:ln w="635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grpSp>
                      <wps:wsp>
                        <wps:cNvPr id="1063137853" name="Text Box 145"/>
                        <wps:cNvSpPr txBox="1">
                          <a:spLocks noChangeArrowheads="1"/>
                        </wps:cNvSpPr>
                        <wps:spPr bwMode="auto">
                          <a:xfrm>
                            <a:off x="5779" y="6498"/>
                            <a:ext cx="1955" cy="125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wps:txbx>
                        <wps:bodyPr rot="0" vert="horz" wrap="square" lIns="91440" tIns="45720" rIns="91440" bIns="45720" anchor="t" anchorCtr="0" upright="1">
                          <a:noAutofit/>
                        </wps:bodyPr>
                      </wps:wsp>
                      <wps:wsp>
                        <wps:cNvPr id="1235622929" name="Text Box 146"/>
                        <wps:cNvSpPr txBox="1">
                          <a:spLocks noChangeArrowheads="1"/>
                        </wps:cNvSpPr>
                        <wps:spPr bwMode="auto">
                          <a:xfrm>
                            <a:off x="8028" y="6500"/>
                            <a:ext cx="1951" cy="12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wps:txbx>
                        <wps:bodyPr rot="0" vert="horz" wrap="square" lIns="91440" tIns="45720" rIns="91440" bIns="45720" anchor="t" anchorCtr="0" upright="1">
                          <a:noAutofit/>
                        </wps:bodyPr>
                      </wps:wsp>
                      <wps:wsp>
                        <wps:cNvPr id="126943263" name="Line 147"/>
                        <wps:cNvCnPr>
                          <a:cxnSpLocks noChangeShapeType="1"/>
                        </wps:cNvCnPr>
                        <wps:spPr bwMode="auto">
                          <a:xfrm flipH="1" flipV="1">
                            <a:off x="5899" y="6076"/>
                            <a:ext cx="240" cy="48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161846" name="Line 148"/>
                        <wps:cNvCnPr>
                          <a:cxnSpLocks noChangeShapeType="1"/>
                        </wps:cNvCnPr>
                        <wps:spPr bwMode="auto">
                          <a:xfrm>
                            <a:off x="6139" y="5836"/>
                            <a:ext cx="2160" cy="60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7B7E0E" id="Group 140" o:spid="_x0000_s1029" style="width:413.85pt;height:215.8pt;mso-position-horizontal-relative:char;mso-position-vertical-relative:line" coordorigin="1825,4516" coordsize="8634,4316" o:gfxdata="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41" o:spid="_x0000_s1030" type="#_x0000_t75" style="position:absolute;left:1735;top:4430;width:8812;height:4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">
                  <v:imagedata r:id="rId26" o:title=""/>
                </v:shape>
                <v:group id="Group 142" o:spid="_x0000_s1031" style="position:absolute;left:3728;top:4628;width:1931;height:1808" coordorigin="3730,2456" coordsize="19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">
                  <v:shape id="Text Box 143" o:spid="_x0000_s1032" type="#_x0000_t202" style="position:absolute;left:3730;top:2456;width:193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" stroked="f" strokeweight="0">
                    <v:textbox>
                      <w:txbxContent>
                        <w:p w14:paraId="6131020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March 1992: Phase out of Police/Child protection Dual Track System</w:t>
                          </w:r>
                        </w:p>
                      </w:txbxContent>
                    </v:textbox>
                  </v:shape>
                  <v:line id="Line 144" o:spid="_x0000_s1033" style="position:absolute;visibility:visible;mso-wrap-style:square" from="4948,3483" to="5193,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" strokeweight="5pt">
                    <v:stroke startarrowwidth="narrow" startarrowlength="short" endarrow="block"/>
                    <v:shadow color="#969696"/>
                  </v:line>
                </v:group>
                <v:shape id="Text Box 145" o:spid="_x0000_s1034" type="#_x0000_t202" style="position:absolute;left:5779;top:6498;width:1955;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" stroked="f" strokeweight="0">
                  <v:textbox>
                    <w:txbxContent>
                      <w:p w14:paraId="3026D0D5"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November 1993:  Doctors, Police and Nurses mandated to report physical and sexual abuse</w:t>
                        </w:r>
                      </w:p>
                    </w:txbxContent>
                  </v:textbox>
                </v:shape>
                <v:shape id="Text Box 146" o:spid="_x0000_s1035" type="#_x0000_t202" style="position:absolute;left:8028;top:6500;width:195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" stroked="f" strokeweight="0">
                  <v:textbox>
                    <w:txbxContent>
                      <w:p w14:paraId="5C264781" w14:textId="77777777" w:rsidR="00507332" w:rsidRDefault="00507332" w:rsidP="00507332">
                        <w:pPr>
                          <w:jc w:val="both"/>
                          <w:rPr>
                            <w:rFonts w:ascii="Arial" w:hAnsi="Arial" w:cs="Arial"/>
                            <w:color w:val="000000"/>
                            <w:sz w:val="18"/>
                            <w:szCs w:val="28"/>
                            <w:lang w:val="en-US"/>
                          </w:rPr>
                        </w:pPr>
                        <w:r>
                          <w:rPr>
                            <w:rFonts w:ascii="Arial" w:hAnsi="Arial" w:cs="Arial"/>
                            <w:color w:val="000000"/>
                            <w:sz w:val="18"/>
                            <w:szCs w:val="28"/>
                            <w:lang w:val="en-US"/>
                          </w:rPr>
                          <w:t xml:space="preserve">July 1994: </w:t>
                        </w:r>
                      </w:p>
                      <w:p w14:paraId="43920EAF" w14:textId="77777777" w:rsidR="00507332" w:rsidRDefault="00507332" w:rsidP="00507332">
                        <w:pPr>
                          <w:jc w:val="both"/>
                          <w:rPr>
                            <w:rFonts w:ascii="Arial" w:hAnsi="Arial" w:cs="Arial"/>
                            <w:color w:val="000000"/>
                            <w:szCs w:val="28"/>
                            <w:lang w:val="en-US"/>
                          </w:rPr>
                        </w:pPr>
                        <w:r>
                          <w:rPr>
                            <w:rFonts w:ascii="Arial" w:hAnsi="Arial" w:cs="Arial"/>
                            <w:color w:val="000000"/>
                            <w:sz w:val="18"/>
                            <w:szCs w:val="28"/>
                            <w:lang w:val="en-US"/>
                          </w:rPr>
                          <w:t>Teachers Mandated to report physical and sexual abuse</w:t>
                        </w:r>
                      </w:p>
                    </w:txbxContent>
                  </v:textbox>
                </v:shape>
                <v:line id="Line 147" o:spid="_x0000_s1036" style="position:absolute;flip:x y;visibility:visible;mso-wrap-style:square" from="5899,6076" to="6139,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" strokeweight="4.5pt">
                  <v:stroke endarrow="block"/>
                </v:line>
                <v:line id="Line 148" o:spid="_x0000_s1037" style="position:absolute;visibility:visible;mso-wrap-style:square" from="6139,5836" to="8299,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" strokeweight="4.5pt">
                  <v:stroke startarrow="block"/>
                </v:line>
                <w10:anchorlock/>
              </v:group>
              <o:OLEObject Type="Embed" ProgID="Excel.Chart.8" ShapeID="Object 141" DrawAspect="Content" ObjectID="_1800265921" r:id="rId27">
                <o:FieldCodes>\s</o:FieldCodes>
              </o:OLEObject>
            </w:pict>
          </mc:Fallback>
        </mc:AlternateContent>
      </w:r>
    </w:p>
    <w:p w14:paraId="3B117E73" w14:textId="77777777" w:rsidR="00507332" w:rsidRPr="003B7A66" w:rsidRDefault="00507332" w:rsidP="00507332">
      <w:pPr>
        <w:jc w:val="both"/>
        <w:rPr>
          <w:rFonts w:ascii="Arial" w:hAnsi="Arial" w:cs="Arial"/>
          <w:bCs/>
          <w:color w:val="000000"/>
          <w:sz w:val="20"/>
        </w:rPr>
      </w:pPr>
    </w:p>
    <w:p w14:paraId="292CD613" w14:textId="3C5D7995" w:rsidR="00507332" w:rsidRDefault="00507332" w:rsidP="00507332">
      <w:pPr>
        <w:keepNext/>
        <w:keepLines/>
        <w:jc w:val="both"/>
        <w:rPr>
          <w:rFonts w:ascii="Arial" w:hAnsi="Arial" w:cs="Arial"/>
          <w:sz w:val="20"/>
        </w:rPr>
      </w:pPr>
      <w:r>
        <w:rPr>
          <w:rFonts w:ascii="Arial" w:hAnsi="Arial" w:cs="Arial"/>
          <w:sz w:val="20"/>
        </w:rPr>
        <w:t xml:space="preserve">Some characteristics of </w:t>
      </w:r>
      <w:r w:rsidR="008358C0">
        <w:rPr>
          <w:rFonts w:ascii="Arial" w:hAnsi="Arial" w:cs="Arial"/>
          <w:sz w:val="20"/>
        </w:rPr>
        <w:t xml:space="preserve">Victorian </w:t>
      </w:r>
      <w:r>
        <w:rPr>
          <w:rFonts w:ascii="Arial" w:hAnsi="Arial" w:cs="Arial"/>
          <w:sz w:val="20"/>
        </w:rPr>
        <w:t>notifications in 2002 were summarised by Mr Green as follows:</w:t>
      </w:r>
    </w:p>
    <w:p w14:paraId="381D57A4"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very young children are over represented</w:t>
      </w:r>
    </w:p>
    <w:p w14:paraId="58B80605"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6"/>
          <w:lang w:val="en-US"/>
        </w:rPr>
        <w:t>k</w:t>
      </w:r>
      <w:r>
        <w:rPr>
          <w:rFonts w:ascii="Arial" w:hAnsi="Arial" w:cs="Arial"/>
          <w:color w:val="000000"/>
          <w:sz w:val="20"/>
          <w:szCs w:val="16"/>
        </w:rPr>
        <w:t>ey parental characteristics of investigated families: family violence, alcohol abuse, substance abuse, psychiatric, intellectual and physical disability</w:t>
      </w:r>
    </w:p>
    <w:p w14:paraId="26CBC6AF"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45% of families investigated are sole parent families (compared to 20% in the general population)</w:t>
      </w:r>
    </w:p>
    <w:p w14:paraId="7291EB62" w14:textId="77777777" w:rsidR="00507332" w:rsidRDefault="00507332" w:rsidP="00507332">
      <w:pPr>
        <w:numPr>
          <w:ilvl w:val="0"/>
          <w:numId w:val="10"/>
        </w:numPr>
        <w:jc w:val="both"/>
        <w:rPr>
          <w:rFonts w:ascii="Arial" w:hAnsi="Arial" w:cs="Arial"/>
          <w:sz w:val="20"/>
        </w:rPr>
      </w:pPr>
      <w:r>
        <w:rPr>
          <w:rFonts w:ascii="Arial" w:hAnsi="Arial" w:cs="Arial"/>
          <w:color w:val="000000"/>
          <w:sz w:val="20"/>
          <w:szCs w:val="12"/>
        </w:rPr>
        <w:t>77% of families investigated are low income</w:t>
      </w:r>
    </w:p>
    <w:p w14:paraId="62FFF733" w14:textId="77777777" w:rsidR="00507332" w:rsidRDefault="00507332" w:rsidP="00507332">
      <w:pPr>
        <w:widowControl w:val="0"/>
        <w:numPr>
          <w:ilvl w:val="0"/>
          <w:numId w:val="9"/>
        </w:numPr>
        <w:jc w:val="both"/>
        <w:rPr>
          <w:rFonts w:ascii="Arial" w:eastAsia="Arial Unicode MS" w:hAnsi="Arial" w:cs="Arial"/>
          <w:color w:val="000000"/>
          <w:sz w:val="20"/>
          <w:szCs w:val="12"/>
        </w:rPr>
      </w:pPr>
      <w:r>
        <w:rPr>
          <w:rFonts w:ascii="Arial" w:hAnsi="Arial" w:cs="Arial"/>
          <w:color w:val="000000"/>
          <w:sz w:val="20"/>
          <w:szCs w:val="16"/>
        </w:rPr>
        <w:t>52%</w:t>
      </w:r>
      <w:r>
        <w:rPr>
          <w:rFonts w:ascii="Arial" w:hAnsi="Arial" w:cs="Arial"/>
          <w:color w:val="000000"/>
          <w:sz w:val="20"/>
          <w:szCs w:val="16"/>
          <w:lang w:val="en-US"/>
        </w:rPr>
        <w:t xml:space="preserve"> of parents</w:t>
      </w:r>
      <w:r>
        <w:rPr>
          <w:rFonts w:ascii="Arial" w:hAnsi="Arial" w:cs="Arial"/>
          <w:color w:val="000000"/>
          <w:sz w:val="20"/>
          <w:szCs w:val="16"/>
        </w:rPr>
        <w:t xml:space="preserve"> have experienced family violence</w:t>
      </w:r>
    </w:p>
    <w:p w14:paraId="10BB4F40"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33% of parents investigated have substance abuse problems</w:t>
      </w:r>
    </w:p>
    <w:p w14:paraId="7CDBF70E"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31% of parents investigated have alcohol abuse problems</w:t>
      </w:r>
    </w:p>
    <w:p w14:paraId="1DA1C5C1" w14:textId="77777777" w:rsidR="00507332" w:rsidRDefault="00507332" w:rsidP="00507332">
      <w:pPr>
        <w:widowControl w:val="0"/>
        <w:numPr>
          <w:ilvl w:val="0"/>
          <w:numId w:val="9"/>
        </w:numPr>
        <w:jc w:val="both"/>
        <w:rPr>
          <w:rFonts w:ascii="Arial" w:hAnsi="Arial" w:cs="Arial"/>
          <w:color w:val="000000"/>
          <w:sz w:val="20"/>
          <w:szCs w:val="12"/>
        </w:rPr>
      </w:pPr>
      <w:r>
        <w:rPr>
          <w:rFonts w:ascii="Arial" w:hAnsi="Arial" w:cs="Arial"/>
          <w:color w:val="000000"/>
          <w:sz w:val="20"/>
          <w:szCs w:val="12"/>
        </w:rPr>
        <w:t>19% of parents investigated have a psychiatric disability</w:t>
      </w:r>
    </w:p>
    <w:p w14:paraId="622C45B8" w14:textId="77777777" w:rsidR="00507332" w:rsidRDefault="00507332" w:rsidP="00507332">
      <w:pPr>
        <w:widowControl w:val="0"/>
        <w:numPr>
          <w:ilvl w:val="0"/>
          <w:numId w:val="9"/>
        </w:numPr>
        <w:jc w:val="both"/>
        <w:rPr>
          <w:rFonts w:ascii="Arial" w:hAnsi="Arial" w:cs="Arial"/>
          <w:color w:val="000000"/>
          <w:szCs w:val="12"/>
        </w:rPr>
      </w:pPr>
      <w:r>
        <w:rPr>
          <w:rFonts w:ascii="Arial" w:hAnsi="Arial" w:cs="Arial"/>
          <w:color w:val="000000"/>
          <w:sz w:val="20"/>
          <w:szCs w:val="12"/>
        </w:rPr>
        <w:t>the proportion of parents with one or more of these characteristics has increased from 40% to more than 70%, the proportion with 2 or more has increased from 9% to 44%.</w:t>
      </w:r>
    </w:p>
    <w:p w14:paraId="3FE58BFE" w14:textId="77777777" w:rsidR="00F00C4A" w:rsidRDefault="00F00C4A" w:rsidP="00F00C4A">
      <w:pPr>
        <w:jc w:val="both"/>
        <w:rPr>
          <w:rFonts w:ascii="Arial" w:hAnsi="Arial" w:cs="Arial"/>
          <w:bCs/>
          <w:color w:val="000000"/>
          <w:sz w:val="20"/>
        </w:rPr>
      </w:pPr>
    </w:p>
    <w:p w14:paraId="0E3B6240" w14:textId="47DB374E" w:rsidR="00112373" w:rsidRPr="00785E1A" w:rsidRDefault="00112373" w:rsidP="00F00C4A">
      <w:pPr>
        <w:spacing w:after="120"/>
        <w:jc w:val="both"/>
        <w:rPr>
          <w:rFonts w:ascii="Arial" w:hAnsi="Arial" w:cs="Arial"/>
          <w:bCs/>
          <w:color w:val="000000"/>
          <w:sz w:val="20"/>
        </w:rPr>
      </w:pPr>
      <w:r w:rsidRPr="00785E1A">
        <w:rPr>
          <w:rFonts w:ascii="Arial" w:hAnsi="Arial" w:cs="Arial"/>
          <w:bCs/>
          <w:color w:val="000000"/>
          <w:sz w:val="20"/>
        </w:rPr>
        <w:t>The following chart shows child protection notifications by notification sources in Victoria in 1999-2000:</w:t>
      </w:r>
    </w:p>
    <w:p w14:paraId="64DB325C" w14:textId="77777777" w:rsidR="00693223" w:rsidRDefault="00112373" w:rsidP="00112373">
      <w:pPr>
        <w:ind w:left="-567" w:right="-567"/>
        <w:jc w:val="center"/>
        <w:rPr>
          <w:rFonts w:ascii="Arial" w:hAnsi="Arial" w:cs="Arial"/>
          <w:sz w:val="20"/>
        </w:rPr>
      </w:pPr>
      <w:r>
        <w:object w:dxaOrig="17033" w:dyaOrig="10234" w14:anchorId="4A7DC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255.9pt" o:ole="" o:bordertopcolor="this" o:borderleftcolor="this" o:borderbottomcolor="this" o:borderrightcolor="this">
            <v:imagedata r:id="rId28" o:title="" cropbottom="6324f"/>
            <o:lock v:ext="edit" aspectratio="f"/>
            <w10:bordertop type="single" width="4"/>
            <w10:borderleft type="single" width="4"/>
            <w10:borderbottom type="single" width="4"/>
            <w10:borderright type="single" width="4"/>
          </v:shape>
          <o:OLEObject Type="Embed" ProgID="Excel.Sheet.8" ShapeID="_x0000_i1025" DrawAspect="Content" ObjectID="_1808200933" r:id="rId29"/>
        </w:object>
      </w:r>
    </w:p>
    <w:p w14:paraId="1D96527D" w14:textId="77777777" w:rsidR="008826E7" w:rsidRPr="00387412" w:rsidRDefault="008826E7" w:rsidP="008826E7">
      <w:pPr>
        <w:jc w:val="both"/>
        <w:rPr>
          <w:rFonts w:ascii="Arial" w:hAnsi="Arial" w:cs="Arial"/>
          <w:bCs/>
          <w:sz w:val="20"/>
        </w:rPr>
      </w:pPr>
    </w:p>
    <w:p w14:paraId="3BBAC0D6" w14:textId="2A651C29" w:rsidR="00267046" w:rsidRPr="00785E1A" w:rsidRDefault="00267046" w:rsidP="00C50A0B">
      <w:pPr>
        <w:keepNext/>
        <w:keepLines/>
        <w:spacing w:after="120"/>
        <w:jc w:val="both"/>
        <w:rPr>
          <w:rFonts w:ascii="Arial" w:hAnsi="Arial" w:cs="Arial"/>
          <w:color w:val="000000"/>
          <w:sz w:val="20"/>
        </w:rPr>
      </w:pPr>
      <w:r w:rsidRPr="00785E1A">
        <w:rPr>
          <w:rFonts w:ascii="Arial" w:hAnsi="Arial" w:cs="Arial"/>
          <w:color w:val="000000"/>
          <w:sz w:val="20"/>
        </w:rPr>
        <w:lastRenderedPageBreak/>
        <w:t>The following table</w:t>
      </w:r>
      <w:r w:rsidR="00655B47">
        <w:rPr>
          <w:rFonts w:ascii="Arial" w:hAnsi="Arial" w:cs="Arial"/>
          <w:color w:val="000000"/>
          <w:sz w:val="20"/>
        </w:rPr>
        <w:t xml:space="preserve"> is </w:t>
      </w:r>
      <w:r w:rsidRPr="00785E1A">
        <w:rPr>
          <w:rFonts w:ascii="Arial" w:hAnsi="Arial" w:cs="Arial"/>
          <w:color w:val="000000"/>
          <w:sz w:val="20"/>
        </w:rPr>
        <w:t xml:space="preserve">compiled from “Child </w:t>
      </w:r>
      <w:r w:rsidR="003B47AB">
        <w:rPr>
          <w:rFonts w:ascii="Arial" w:hAnsi="Arial" w:cs="Arial"/>
          <w:color w:val="000000"/>
          <w:sz w:val="20"/>
        </w:rPr>
        <w:t>p</w:t>
      </w:r>
      <w:r w:rsidRPr="00785E1A">
        <w:rPr>
          <w:rFonts w:ascii="Arial" w:hAnsi="Arial" w:cs="Arial"/>
          <w:color w:val="000000"/>
          <w:sz w:val="20"/>
        </w:rPr>
        <w:t>rotection Australia”</w:t>
      </w:r>
      <w:r w:rsidR="00705FED" w:rsidRPr="00785E1A">
        <w:rPr>
          <w:rFonts w:ascii="Arial" w:hAnsi="Arial" w:cs="Arial"/>
          <w:color w:val="000000"/>
          <w:sz w:val="20"/>
        </w:rPr>
        <w:t xml:space="preserve"> </w:t>
      </w:r>
      <w:r w:rsidR="00112373" w:rsidRPr="00785E1A">
        <w:rPr>
          <w:rFonts w:ascii="Arial" w:hAnsi="Arial" w:cs="Arial"/>
          <w:color w:val="000000"/>
          <w:sz w:val="20"/>
        </w:rPr>
        <w:t>publication</w:t>
      </w:r>
      <w:r w:rsidR="00705FED" w:rsidRPr="00785E1A">
        <w:rPr>
          <w:rFonts w:ascii="Arial" w:hAnsi="Arial" w:cs="Arial"/>
          <w:color w:val="000000"/>
          <w:sz w:val="20"/>
        </w:rPr>
        <w:t>s</w:t>
      </w:r>
      <w:r w:rsidRPr="00785E1A">
        <w:rPr>
          <w:rFonts w:ascii="Arial" w:hAnsi="Arial" w:cs="Arial"/>
          <w:color w:val="000000"/>
          <w:sz w:val="20"/>
        </w:rPr>
        <w:t xml:space="preserve"> </w:t>
      </w:r>
      <w:r w:rsidR="00112373" w:rsidRPr="00785E1A">
        <w:rPr>
          <w:rFonts w:ascii="Arial" w:hAnsi="Arial" w:cs="Arial"/>
          <w:bCs/>
          <w:color w:val="000000"/>
          <w:sz w:val="20"/>
        </w:rPr>
        <w:t>in the Child Welfare Series published by the Australian Institute of Health and Welfare, Canberra</w:t>
      </w:r>
      <w:r w:rsidR="00655B47">
        <w:rPr>
          <w:rFonts w:ascii="Arial" w:hAnsi="Arial" w:cs="Arial"/>
          <w:color w:val="000000"/>
          <w:sz w:val="20"/>
        </w:rPr>
        <w:t>.</w:t>
      </w:r>
    </w:p>
    <w:tbl>
      <w:tblPr>
        <w:tblW w:w="8392" w:type="dxa"/>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59"/>
        <w:gridCol w:w="1678"/>
        <w:gridCol w:w="1678"/>
        <w:gridCol w:w="1677"/>
      </w:tblGrid>
      <w:tr w:rsidR="00655B47" w:rsidRPr="00DB31F5" w14:paraId="213CAC32" w14:textId="77777777" w:rsidTr="008358C0">
        <w:tc>
          <w:tcPr>
            <w:tcW w:w="5000" w:type="pct"/>
            <w:gridSpan w:val="4"/>
            <w:tcBorders>
              <w:top w:val="single" w:sz="18" w:space="0" w:color="auto"/>
              <w:bottom w:val="single" w:sz="18" w:space="0" w:color="auto"/>
            </w:tcBorders>
            <w:shd w:val="clear" w:color="auto" w:fill="000000" w:themeFill="text1"/>
          </w:tcPr>
          <w:p w14:paraId="0400795E" w14:textId="4C6C0FEC" w:rsidR="00655B47" w:rsidRPr="008358C0" w:rsidRDefault="00655B47" w:rsidP="00DB31F5">
            <w:pPr>
              <w:keepNext/>
              <w:jc w:val="center"/>
              <w:rPr>
                <w:rFonts w:ascii="Arial" w:hAnsi="Arial" w:cs="Arial"/>
                <w:b/>
                <w:color w:val="FFFFFF" w:themeColor="background1"/>
                <w:sz w:val="20"/>
              </w:rPr>
            </w:pPr>
            <w:r w:rsidRPr="008358C0">
              <w:rPr>
                <w:rFonts w:ascii="Arial" w:hAnsi="Arial" w:cs="Arial"/>
                <w:b/>
                <w:color w:val="FFFFFF" w:themeColor="background1"/>
                <w:sz w:val="20"/>
              </w:rPr>
              <w:t>ORIGIN (IN % TERMS) OF INVESTIGATED VICTORIAN CHILD PROTECTION REPORTS</w:t>
            </w:r>
          </w:p>
        </w:tc>
      </w:tr>
      <w:tr w:rsidR="00926EE1" w:rsidRPr="00DB31F5" w14:paraId="16F09BE3" w14:textId="77777777" w:rsidTr="00F00C4A">
        <w:tc>
          <w:tcPr>
            <w:tcW w:w="2001" w:type="pct"/>
            <w:tcBorders>
              <w:top w:val="single" w:sz="18" w:space="0" w:color="auto"/>
              <w:bottom w:val="single" w:sz="18" w:space="0" w:color="auto"/>
            </w:tcBorders>
            <w:shd w:val="pct10" w:color="auto" w:fill="auto"/>
          </w:tcPr>
          <w:p w14:paraId="0684B46D" w14:textId="77777777"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SOURCE OF REPORT</w:t>
            </w:r>
          </w:p>
        </w:tc>
        <w:tc>
          <w:tcPr>
            <w:tcW w:w="1000" w:type="pct"/>
            <w:tcBorders>
              <w:top w:val="single" w:sz="18" w:space="0" w:color="auto"/>
              <w:bottom w:val="single" w:sz="18" w:space="0" w:color="auto"/>
            </w:tcBorders>
            <w:shd w:val="pct10" w:color="auto" w:fill="auto"/>
          </w:tcPr>
          <w:p w14:paraId="2C0A758B" w14:textId="4A70557E"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2007</w:t>
            </w:r>
            <w:r w:rsidR="009D6EF3">
              <w:rPr>
                <w:rFonts w:ascii="Arial" w:hAnsi="Arial" w:cs="Arial"/>
                <w:b/>
                <w:color w:val="000000"/>
                <w:sz w:val="20"/>
              </w:rPr>
              <w:t>/</w:t>
            </w:r>
            <w:r w:rsidRPr="00DB31F5">
              <w:rPr>
                <w:rFonts w:ascii="Arial" w:hAnsi="Arial" w:cs="Arial"/>
                <w:b/>
                <w:color w:val="000000"/>
                <w:sz w:val="20"/>
              </w:rPr>
              <w:t>2008</w:t>
            </w:r>
          </w:p>
        </w:tc>
        <w:tc>
          <w:tcPr>
            <w:tcW w:w="1000" w:type="pct"/>
            <w:tcBorders>
              <w:top w:val="single" w:sz="18" w:space="0" w:color="auto"/>
              <w:bottom w:val="single" w:sz="18" w:space="0" w:color="auto"/>
            </w:tcBorders>
            <w:shd w:val="pct10" w:color="auto" w:fill="auto"/>
          </w:tcPr>
          <w:p w14:paraId="284C14F6" w14:textId="78F092BA"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2008</w:t>
            </w:r>
            <w:r w:rsidR="009D6EF3">
              <w:rPr>
                <w:rFonts w:ascii="Arial" w:hAnsi="Arial" w:cs="Arial"/>
                <w:b/>
                <w:color w:val="000000"/>
                <w:sz w:val="20"/>
              </w:rPr>
              <w:t>/</w:t>
            </w:r>
            <w:r w:rsidRPr="00DB31F5">
              <w:rPr>
                <w:rFonts w:ascii="Arial" w:hAnsi="Arial" w:cs="Arial"/>
                <w:b/>
                <w:color w:val="000000"/>
                <w:sz w:val="20"/>
              </w:rPr>
              <w:t>2009</w:t>
            </w:r>
          </w:p>
        </w:tc>
        <w:tc>
          <w:tcPr>
            <w:tcW w:w="1000" w:type="pct"/>
            <w:tcBorders>
              <w:top w:val="single" w:sz="18" w:space="0" w:color="auto"/>
              <w:bottom w:val="single" w:sz="18" w:space="0" w:color="auto"/>
            </w:tcBorders>
            <w:shd w:val="pct10" w:color="auto" w:fill="auto"/>
          </w:tcPr>
          <w:p w14:paraId="09CCF571" w14:textId="091D7EDB" w:rsidR="00926EE1" w:rsidRPr="00DB31F5" w:rsidRDefault="00926EE1" w:rsidP="00DB31F5">
            <w:pPr>
              <w:keepNext/>
              <w:jc w:val="center"/>
              <w:rPr>
                <w:rFonts w:ascii="Arial" w:hAnsi="Arial" w:cs="Arial"/>
                <w:b/>
                <w:color w:val="000000"/>
                <w:sz w:val="20"/>
              </w:rPr>
            </w:pPr>
            <w:r w:rsidRPr="00DB31F5">
              <w:rPr>
                <w:rFonts w:ascii="Arial" w:hAnsi="Arial" w:cs="Arial"/>
                <w:b/>
                <w:color w:val="000000"/>
                <w:sz w:val="20"/>
              </w:rPr>
              <w:t>2009</w:t>
            </w:r>
            <w:r w:rsidR="009D6EF3">
              <w:rPr>
                <w:rFonts w:ascii="Arial" w:hAnsi="Arial" w:cs="Arial"/>
                <w:b/>
                <w:color w:val="000000"/>
                <w:sz w:val="20"/>
              </w:rPr>
              <w:t>/</w:t>
            </w:r>
            <w:r w:rsidRPr="00DB31F5">
              <w:rPr>
                <w:rFonts w:ascii="Arial" w:hAnsi="Arial" w:cs="Arial"/>
                <w:b/>
                <w:color w:val="000000"/>
                <w:sz w:val="20"/>
              </w:rPr>
              <w:t>2010</w:t>
            </w:r>
          </w:p>
        </w:tc>
      </w:tr>
      <w:tr w:rsidR="00926EE1" w:rsidRPr="00DB31F5" w14:paraId="663DD487" w14:textId="77777777" w:rsidTr="00F00C4A">
        <w:tc>
          <w:tcPr>
            <w:tcW w:w="2001" w:type="pct"/>
            <w:tcBorders>
              <w:top w:val="single" w:sz="18" w:space="0" w:color="auto"/>
              <w:bottom w:val="single" w:sz="4" w:space="0" w:color="auto"/>
            </w:tcBorders>
            <w:shd w:val="clear" w:color="auto" w:fill="auto"/>
          </w:tcPr>
          <w:p w14:paraId="279910E8"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Police</w:t>
            </w:r>
          </w:p>
        </w:tc>
        <w:tc>
          <w:tcPr>
            <w:tcW w:w="1000" w:type="pct"/>
            <w:tcBorders>
              <w:top w:val="single" w:sz="18" w:space="0" w:color="auto"/>
              <w:bottom w:val="single" w:sz="4" w:space="0" w:color="auto"/>
            </w:tcBorders>
            <w:shd w:val="clear" w:color="auto" w:fill="auto"/>
          </w:tcPr>
          <w:p w14:paraId="362A6C06"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24.7</w:t>
            </w:r>
          </w:p>
        </w:tc>
        <w:tc>
          <w:tcPr>
            <w:tcW w:w="1000" w:type="pct"/>
            <w:tcBorders>
              <w:top w:val="single" w:sz="18" w:space="0" w:color="auto"/>
              <w:bottom w:val="single" w:sz="4" w:space="0" w:color="auto"/>
            </w:tcBorders>
            <w:shd w:val="clear" w:color="auto" w:fill="auto"/>
          </w:tcPr>
          <w:p w14:paraId="147EF08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24.8</w:t>
            </w:r>
          </w:p>
        </w:tc>
        <w:tc>
          <w:tcPr>
            <w:tcW w:w="1000" w:type="pct"/>
            <w:tcBorders>
              <w:top w:val="single" w:sz="18" w:space="0" w:color="auto"/>
              <w:bottom w:val="single" w:sz="4" w:space="0" w:color="auto"/>
            </w:tcBorders>
            <w:shd w:val="clear" w:color="auto" w:fill="auto"/>
          </w:tcPr>
          <w:p w14:paraId="64DF5146"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31.0</w:t>
            </w:r>
          </w:p>
        </w:tc>
      </w:tr>
      <w:tr w:rsidR="00926EE1" w:rsidRPr="00DB31F5" w14:paraId="07D1BF3D" w14:textId="77777777" w:rsidTr="00F00C4A">
        <w:tc>
          <w:tcPr>
            <w:tcW w:w="2001" w:type="pct"/>
            <w:tcBorders>
              <w:top w:val="single" w:sz="4" w:space="0" w:color="auto"/>
            </w:tcBorders>
            <w:shd w:val="clear" w:color="auto" w:fill="auto"/>
          </w:tcPr>
          <w:p w14:paraId="6D0F20AC"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School personnel</w:t>
            </w:r>
          </w:p>
        </w:tc>
        <w:tc>
          <w:tcPr>
            <w:tcW w:w="1000" w:type="pct"/>
            <w:tcBorders>
              <w:top w:val="single" w:sz="4" w:space="0" w:color="auto"/>
            </w:tcBorders>
            <w:shd w:val="clear" w:color="auto" w:fill="auto"/>
          </w:tcPr>
          <w:p w14:paraId="78655A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11.8</w:t>
            </w:r>
          </w:p>
        </w:tc>
        <w:tc>
          <w:tcPr>
            <w:tcW w:w="1000" w:type="pct"/>
            <w:tcBorders>
              <w:top w:val="single" w:sz="4" w:space="0" w:color="auto"/>
            </w:tcBorders>
            <w:shd w:val="clear" w:color="auto" w:fill="auto"/>
          </w:tcPr>
          <w:p w14:paraId="6346F519"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13.9</w:t>
            </w:r>
          </w:p>
        </w:tc>
        <w:tc>
          <w:tcPr>
            <w:tcW w:w="1000" w:type="pct"/>
            <w:tcBorders>
              <w:top w:val="single" w:sz="4" w:space="0" w:color="auto"/>
            </w:tcBorders>
            <w:shd w:val="clear" w:color="auto" w:fill="auto"/>
          </w:tcPr>
          <w:p w14:paraId="34359CEB"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13.3</w:t>
            </w:r>
          </w:p>
        </w:tc>
      </w:tr>
      <w:tr w:rsidR="00926EE1" w:rsidRPr="00DB31F5" w14:paraId="14F8D679" w14:textId="77777777" w:rsidTr="00F00C4A">
        <w:tc>
          <w:tcPr>
            <w:tcW w:w="2001" w:type="pct"/>
            <w:shd w:val="clear" w:color="auto" w:fill="auto"/>
          </w:tcPr>
          <w:p w14:paraId="14A22ECD" w14:textId="77777777" w:rsidR="00926EE1" w:rsidRPr="00DB31F5" w:rsidRDefault="00926EE1" w:rsidP="00DB31F5">
            <w:pPr>
              <w:keepNext/>
              <w:jc w:val="both"/>
              <w:rPr>
                <w:rFonts w:ascii="Arial" w:hAnsi="Arial" w:cs="Arial"/>
                <w:color w:val="000000"/>
                <w:sz w:val="20"/>
              </w:rPr>
            </w:pPr>
            <w:r w:rsidRPr="00DB31F5">
              <w:rPr>
                <w:rFonts w:ascii="Arial" w:hAnsi="Arial" w:cs="Arial"/>
                <w:color w:val="000000"/>
                <w:sz w:val="20"/>
              </w:rPr>
              <w:t>Hospital/health centre</w:t>
            </w:r>
          </w:p>
        </w:tc>
        <w:tc>
          <w:tcPr>
            <w:tcW w:w="1000" w:type="pct"/>
            <w:shd w:val="clear" w:color="auto" w:fill="auto"/>
          </w:tcPr>
          <w:p w14:paraId="2CEA2552" w14:textId="77777777" w:rsidR="00926EE1" w:rsidRPr="00DB31F5" w:rsidRDefault="009B3EF9" w:rsidP="00DB31F5">
            <w:pPr>
              <w:keepNext/>
              <w:jc w:val="center"/>
              <w:rPr>
                <w:rFonts w:ascii="Arial" w:hAnsi="Arial" w:cs="Arial"/>
                <w:color w:val="000000"/>
                <w:sz w:val="20"/>
              </w:rPr>
            </w:pPr>
            <w:r w:rsidRPr="00DB31F5">
              <w:rPr>
                <w:rFonts w:ascii="Arial" w:hAnsi="Arial" w:cs="Arial"/>
                <w:color w:val="000000"/>
                <w:sz w:val="20"/>
              </w:rPr>
              <w:t>7.8</w:t>
            </w:r>
          </w:p>
        </w:tc>
        <w:tc>
          <w:tcPr>
            <w:tcW w:w="1000" w:type="pct"/>
            <w:shd w:val="clear" w:color="auto" w:fill="auto"/>
          </w:tcPr>
          <w:p w14:paraId="2DA69322"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6A6738BF" w14:textId="77777777" w:rsidR="00926EE1" w:rsidRPr="00DB31F5" w:rsidRDefault="00926EE1" w:rsidP="00DB31F5">
            <w:pPr>
              <w:keepNext/>
              <w:jc w:val="center"/>
              <w:rPr>
                <w:rFonts w:ascii="Arial" w:hAnsi="Arial" w:cs="Arial"/>
                <w:color w:val="000000"/>
                <w:sz w:val="20"/>
              </w:rPr>
            </w:pPr>
            <w:r w:rsidRPr="00DB31F5">
              <w:rPr>
                <w:rFonts w:ascii="Arial" w:hAnsi="Arial" w:cs="Arial"/>
                <w:color w:val="000000"/>
                <w:sz w:val="20"/>
              </w:rPr>
              <w:t>6.1</w:t>
            </w:r>
          </w:p>
        </w:tc>
      </w:tr>
      <w:tr w:rsidR="00926EE1" w:rsidRPr="00DB31F5" w14:paraId="3CBE8B27" w14:textId="77777777" w:rsidTr="00F00C4A">
        <w:tc>
          <w:tcPr>
            <w:tcW w:w="2001" w:type="pct"/>
            <w:shd w:val="clear" w:color="auto" w:fill="auto"/>
          </w:tcPr>
          <w:p w14:paraId="2948A6B1"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Parent/guardian</w:t>
            </w:r>
          </w:p>
        </w:tc>
        <w:tc>
          <w:tcPr>
            <w:tcW w:w="1000" w:type="pct"/>
            <w:shd w:val="clear" w:color="auto" w:fill="auto"/>
          </w:tcPr>
          <w:p w14:paraId="632F99C2"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7.2</w:t>
            </w:r>
          </w:p>
        </w:tc>
        <w:tc>
          <w:tcPr>
            <w:tcW w:w="1000" w:type="pct"/>
            <w:shd w:val="clear" w:color="auto" w:fill="auto"/>
          </w:tcPr>
          <w:p w14:paraId="342A8FE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5FE058E1"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6.2</w:t>
            </w:r>
          </w:p>
        </w:tc>
      </w:tr>
      <w:tr w:rsidR="00926EE1" w:rsidRPr="00DB31F5" w14:paraId="6A5253FC" w14:textId="77777777" w:rsidTr="00F00C4A">
        <w:tc>
          <w:tcPr>
            <w:tcW w:w="2001" w:type="pct"/>
            <w:shd w:val="clear" w:color="auto" w:fill="auto"/>
          </w:tcPr>
          <w:p w14:paraId="74ED21B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Non-government organization</w:t>
            </w:r>
          </w:p>
        </w:tc>
        <w:tc>
          <w:tcPr>
            <w:tcW w:w="1000" w:type="pct"/>
            <w:shd w:val="clear" w:color="auto" w:fill="auto"/>
          </w:tcPr>
          <w:p w14:paraId="483385C8"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10.6</w:t>
            </w:r>
          </w:p>
        </w:tc>
        <w:tc>
          <w:tcPr>
            <w:tcW w:w="1000" w:type="pct"/>
            <w:shd w:val="clear" w:color="auto" w:fill="auto"/>
          </w:tcPr>
          <w:p w14:paraId="7BA01FE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9.4</w:t>
            </w:r>
          </w:p>
        </w:tc>
        <w:tc>
          <w:tcPr>
            <w:tcW w:w="1000" w:type="pct"/>
            <w:shd w:val="clear" w:color="auto" w:fill="auto"/>
          </w:tcPr>
          <w:p w14:paraId="48F4970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8.9</w:t>
            </w:r>
          </w:p>
        </w:tc>
      </w:tr>
      <w:tr w:rsidR="00926EE1" w:rsidRPr="00DB31F5" w14:paraId="6BA9CB37" w14:textId="77777777" w:rsidTr="00F00C4A">
        <w:tc>
          <w:tcPr>
            <w:tcW w:w="2001" w:type="pct"/>
            <w:shd w:val="clear" w:color="auto" w:fill="auto"/>
          </w:tcPr>
          <w:p w14:paraId="736CDB16"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Sibling/other relative</w:t>
            </w:r>
          </w:p>
        </w:tc>
        <w:tc>
          <w:tcPr>
            <w:tcW w:w="1000" w:type="pct"/>
            <w:shd w:val="clear" w:color="auto" w:fill="auto"/>
          </w:tcPr>
          <w:p w14:paraId="321DD47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8.3</w:t>
            </w:r>
          </w:p>
        </w:tc>
        <w:tc>
          <w:tcPr>
            <w:tcW w:w="1000" w:type="pct"/>
            <w:shd w:val="clear" w:color="auto" w:fill="auto"/>
          </w:tcPr>
          <w:p w14:paraId="3D6C2A8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7.3</w:t>
            </w:r>
          </w:p>
        </w:tc>
        <w:tc>
          <w:tcPr>
            <w:tcW w:w="1000" w:type="pct"/>
            <w:shd w:val="clear" w:color="auto" w:fill="auto"/>
          </w:tcPr>
          <w:p w14:paraId="79A936D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6.6</w:t>
            </w:r>
          </w:p>
        </w:tc>
      </w:tr>
      <w:tr w:rsidR="00926EE1" w:rsidRPr="00DB31F5" w14:paraId="18C32366" w14:textId="77777777" w:rsidTr="00F00C4A">
        <w:tc>
          <w:tcPr>
            <w:tcW w:w="2001" w:type="pct"/>
            <w:shd w:val="clear" w:color="auto" w:fill="auto"/>
          </w:tcPr>
          <w:p w14:paraId="6BE5F995"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Anonymous</w:t>
            </w:r>
          </w:p>
        </w:tc>
        <w:tc>
          <w:tcPr>
            <w:tcW w:w="1000" w:type="pct"/>
            <w:shd w:val="clear" w:color="auto" w:fill="auto"/>
          </w:tcPr>
          <w:p w14:paraId="70A4CC0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7D340EF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512F25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14B51B97" w14:textId="77777777" w:rsidTr="00F00C4A">
        <w:tc>
          <w:tcPr>
            <w:tcW w:w="2001" w:type="pct"/>
            <w:shd w:val="clear" w:color="auto" w:fill="auto"/>
          </w:tcPr>
          <w:p w14:paraId="1131C3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Friend/neighbour</w:t>
            </w:r>
          </w:p>
        </w:tc>
        <w:tc>
          <w:tcPr>
            <w:tcW w:w="1000" w:type="pct"/>
            <w:shd w:val="clear" w:color="auto" w:fill="auto"/>
          </w:tcPr>
          <w:p w14:paraId="3D1FBECA"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6.1</w:t>
            </w:r>
          </w:p>
        </w:tc>
        <w:tc>
          <w:tcPr>
            <w:tcW w:w="1000" w:type="pct"/>
            <w:shd w:val="clear" w:color="auto" w:fill="auto"/>
          </w:tcPr>
          <w:p w14:paraId="05E73197"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5.5</w:t>
            </w:r>
          </w:p>
        </w:tc>
        <w:tc>
          <w:tcPr>
            <w:tcW w:w="1000" w:type="pct"/>
            <w:shd w:val="clear" w:color="auto" w:fill="auto"/>
          </w:tcPr>
          <w:p w14:paraId="1166180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4.7</w:t>
            </w:r>
          </w:p>
        </w:tc>
      </w:tr>
      <w:tr w:rsidR="00926EE1" w:rsidRPr="00DB31F5" w14:paraId="4C6FBEB1" w14:textId="77777777" w:rsidTr="00F00C4A">
        <w:tc>
          <w:tcPr>
            <w:tcW w:w="2001" w:type="pct"/>
            <w:shd w:val="clear" w:color="auto" w:fill="auto"/>
          </w:tcPr>
          <w:p w14:paraId="02F02F2D"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Social worker</w:t>
            </w:r>
          </w:p>
        </w:tc>
        <w:tc>
          <w:tcPr>
            <w:tcW w:w="1000" w:type="pct"/>
            <w:shd w:val="clear" w:color="auto" w:fill="auto"/>
          </w:tcPr>
          <w:p w14:paraId="534E711E"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0.2</w:t>
            </w:r>
          </w:p>
        </w:tc>
        <w:tc>
          <w:tcPr>
            <w:tcW w:w="1000" w:type="pct"/>
            <w:shd w:val="clear" w:color="auto" w:fill="auto"/>
          </w:tcPr>
          <w:p w14:paraId="03566658"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0.4</w:t>
            </w:r>
          </w:p>
        </w:tc>
        <w:tc>
          <w:tcPr>
            <w:tcW w:w="1000" w:type="pct"/>
            <w:shd w:val="clear" w:color="auto" w:fill="auto"/>
          </w:tcPr>
          <w:p w14:paraId="24A0EB4D"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3BD8837F" w14:textId="77777777" w:rsidTr="00F00C4A">
        <w:tc>
          <w:tcPr>
            <w:tcW w:w="2001" w:type="pct"/>
            <w:shd w:val="clear" w:color="auto" w:fill="auto"/>
          </w:tcPr>
          <w:p w14:paraId="75F35E58"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Medical practitioner</w:t>
            </w:r>
          </w:p>
        </w:tc>
        <w:tc>
          <w:tcPr>
            <w:tcW w:w="1000" w:type="pct"/>
            <w:shd w:val="clear" w:color="auto" w:fill="auto"/>
          </w:tcPr>
          <w:p w14:paraId="14775234"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3.2</w:t>
            </w:r>
          </w:p>
        </w:tc>
        <w:tc>
          <w:tcPr>
            <w:tcW w:w="1000" w:type="pct"/>
            <w:shd w:val="clear" w:color="auto" w:fill="auto"/>
          </w:tcPr>
          <w:p w14:paraId="40994EA9"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3.5</w:t>
            </w:r>
          </w:p>
        </w:tc>
        <w:tc>
          <w:tcPr>
            <w:tcW w:w="1000" w:type="pct"/>
            <w:shd w:val="clear" w:color="auto" w:fill="auto"/>
          </w:tcPr>
          <w:p w14:paraId="546B84F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3.4</w:t>
            </w:r>
          </w:p>
        </w:tc>
      </w:tr>
      <w:tr w:rsidR="00926EE1" w:rsidRPr="00DB31F5" w14:paraId="4043468C" w14:textId="77777777" w:rsidTr="00F00C4A">
        <w:tc>
          <w:tcPr>
            <w:tcW w:w="2001" w:type="pct"/>
            <w:shd w:val="clear" w:color="auto" w:fill="auto"/>
          </w:tcPr>
          <w:p w14:paraId="7C396677"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Departmental officer</w:t>
            </w:r>
          </w:p>
        </w:tc>
        <w:tc>
          <w:tcPr>
            <w:tcW w:w="1000" w:type="pct"/>
            <w:shd w:val="clear" w:color="auto" w:fill="auto"/>
          </w:tcPr>
          <w:p w14:paraId="411CE07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0.1</w:t>
            </w:r>
          </w:p>
        </w:tc>
        <w:tc>
          <w:tcPr>
            <w:tcW w:w="1000" w:type="pct"/>
            <w:shd w:val="clear" w:color="auto" w:fill="auto"/>
          </w:tcPr>
          <w:p w14:paraId="0BDAF03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0.3</w:t>
            </w:r>
          </w:p>
        </w:tc>
        <w:tc>
          <w:tcPr>
            <w:tcW w:w="1000" w:type="pct"/>
            <w:shd w:val="clear" w:color="auto" w:fill="auto"/>
          </w:tcPr>
          <w:p w14:paraId="693F664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0.2</w:t>
            </w:r>
          </w:p>
        </w:tc>
      </w:tr>
      <w:tr w:rsidR="00926EE1" w:rsidRPr="00DB31F5" w14:paraId="2E84A423" w14:textId="77777777" w:rsidTr="00F00C4A">
        <w:tc>
          <w:tcPr>
            <w:tcW w:w="2001" w:type="pct"/>
            <w:shd w:val="clear" w:color="auto" w:fill="auto"/>
          </w:tcPr>
          <w:p w14:paraId="6FF64EC2"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 health personnel</w:t>
            </w:r>
          </w:p>
        </w:tc>
        <w:tc>
          <w:tcPr>
            <w:tcW w:w="1000" w:type="pct"/>
            <w:shd w:val="clear" w:color="auto" w:fill="auto"/>
          </w:tcPr>
          <w:p w14:paraId="573869E0"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6.4</w:t>
            </w:r>
          </w:p>
        </w:tc>
        <w:tc>
          <w:tcPr>
            <w:tcW w:w="1000" w:type="pct"/>
            <w:shd w:val="clear" w:color="auto" w:fill="auto"/>
          </w:tcPr>
          <w:p w14:paraId="2A42AAE4"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6.9</w:t>
            </w:r>
          </w:p>
        </w:tc>
        <w:tc>
          <w:tcPr>
            <w:tcW w:w="1000" w:type="pct"/>
            <w:shd w:val="clear" w:color="auto" w:fill="auto"/>
          </w:tcPr>
          <w:p w14:paraId="5AA2B19C"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6.0</w:t>
            </w:r>
          </w:p>
        </w:tc>
      </w:tr>
      <w:tr w:rsidR="00926EE1" w:rsidRPr="00DB31F5" w14:paraId="2833738B" w14:textId="77777777" w:rsidTr="00F00C4A">
        <w:tc>
          <w:tcPr>
            <w:tcW w:w="2001" w:type="pct"/>
            <w:shd w:val="clear" w:color="auto" w:fill="auto"/>
          </w:tcPr>
          <w:p w14:paraId="31998CDC"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Childcare personnel</w:t>
            </w:r>
          </w:p>
        </w:tc>
        <w:tc>
          <w:tcPr>
            <w:tcW w:w="1000" w:type="pct"/>
            <w:shd w:val="clear" w:color="auto" w:fill="auto"/>
          </w:tcPr>
          <w:p w14:paraId="6ABDABF6"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097AE69F"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shd w:val="clear" w:color="auto" w:fill="auto"/>
          </w:tcPr>
          <w:p w14:paraId="4AEE049A"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570708E9" w14:textId="77777777" w:rsidTr="00F00C4A">
        <w:tc>
          <w:tcPr>
            <w:tcW w:w="2001" w:type="pct"/>
            <w:tcBorders>
              <w:bottom w:val="single" w:sz="4" w:space="0" w:color="auto"/>
            </w:tcBorders>
            <w:shd w:val="clear" w:color="auto" w:fill="auto"/>
          </w:tcPr>
          <w:p w14:paraId="58E46F0A"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Subject child</w:t>
            </w:r>
          </w:p>
        </w:tc>
        <w:tc>
          <w:tcPr>
            <w:tcW w:w="1000" w:type="pct"/>
            <w:tcBorders>
              <w:bottom w:val="single" w:sz="4" w:space="0" w:color="auto"/>
            </w:tcBorders>
            <w:shd w:val="clear" w:color="auto" w:fill="auto"/>
          </w:tcPr>
          <w:p w14:paraId="4E84C0C7"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55E46C95"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c>
          <w:tcPr>
            <w:tcW w:w="1000" w:type="pct"/>
            <w:tcBorders>
              <w:bottom w:val="single" w:sz="4" w:space="0" w:color="auto"/>
            </w:tcBorders>
            <w:shd w:val="clear" w:color="auto" w:fill="auto"/>
          </w:tcPr>
          <w:p w14:paraId="37266540"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0.0</w:t>
            </w:r>
          </w:p>
        </w:tc>
      </w:tr>
      <w:tr w:rsidR="00926EE1" w:rsidRPr="00DB31F5" w14:paraId="286997CF" w14:textId="77777777" w:rsidTr="00F00C4A">
        <w:tc>
          <w:tcPr>
            <w:tcW w:w="2001" w:type="pct"/>
            <w:tcBorders>
              <w:top w:val="single" w:sz="4" w:space="0" w:color="auto"/>
              <w:bottom w:val="single" w:sz="18" w:space="0" w:color="auto"/>
            </w:tcBorders>
            <w:shd w:val="clear" w:color="auto" w:fill="auto"/>
          </w:tcPr>
          <w:p w14:paraId="43EDC97B" w14:textId="77777777" w:rsidR="00926EE1" w:rsidRPr="00DB31F5" w:rsidRDefault="00926EE1" w:rsidP="00DB31F5">
            <w:pPr>
              <w:jc w:val="both"/>
              <w:rPr>
                <w:rFonts w:ascii="Arial" w:hAnsi="Arial" w:cs="Arial"/>
                <w:color w:val="000000"/>
                <w:sz w:val="20"/>
              </w:rPr>
            </w:pPr>
            <w:r w:rsidRPr="00DB31F5">
              <w:rPr>
                <w:rFonts w:ascii="Arial" w:hAnsi="Arial" w:cs="Arial"/>
                <w:color w:val="000000"/>
                <w:sz w:val="20"/>
              </w:rPr>
              <w:t>Other</w:t>
            </w:r>
          </w:p>
        </w:tc>
        <w:tc>
          <w:tcPr>
            <w:tcW w:w="1000" w:type="pct"/>
            <w:tcBorders>
              <w:top w:val="single" w:sz="4" w:space="0" w:color="auto"/>
              <w:bottom w:val="single" w:sz="18" w:space="0" w:color="auto"/>
            </w:tcBorders>
            <w:shd w:val="clear" w:color="auto" w:fill="auto"/>
          </w:tcPr>
          <w:p w14:paraId="145750AC" w14:textId="77777777" w:rsidR="00926EE1" w:rsidRPr="00DB31F5" w:rsidRDefault="009B3EF9" w:rsidP="00DB31F5">
            <w:pPr>
              <w:jc w:val="center"/>
              <w:rPr>
                <w:rFonts w:ascii="Arial" w:hAnsi="Arial" w:cs="Arial"/>
                <w:color w:val="000000"/>
                <w:sz w:val="20"/>
              </w:rPr>
            </w:pPr>
            <w:r w:rsidRPr="00DB31F5">
              <w:rPr>
                <w:rFonts w:ascii="Arial" w:hAnsi="Arial" w:cs="Arial"/>
                <w:color w:val="000000"/>
                <w:sz w:val="20"/>
              </w:rPr>
              <w:t>13.6</w:t>
            </w:r>
          </w:p>
        </w:tc>
        <w:tc>
          <w:tcPr>
            <w:tcW w:w="1000" w:type="pct"/>
            <w:tcBorders>
              <w:top w:val="single" w:sz="4" w:space="0" w:color="auto"/>
              <w:bottom w:val="single" w:sz="18" w:space="0" w:color="auto"/>
            </w:tcBorders>
            <w:shd w:val="clear" w:color="auto" w:fill="auto"/>
          </w:tcPr>
          <w:p w14:paraId="74BE99EB"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14.6</w:t>
            </w:r>
          </w:p>
        </w:tc>
        <w:tc>
          <w:tcPr>
            <w:tcW w:w="1000" w:type="pct"/>
            <w:tcBorders>
              <w:top w:val="single" w:sz="4" w:space="0" w:color="auto"/>
              <w:bottom w:val="single" w:sz="18" w:space="0" w:color="auto"/>
            </w:tcBorders>
            <w:shd w:val="clear" w:color="auto" w:fill="auto"/>
          </w:tcPr>
          <w:p w14:paraId="4F23B87E" w14:textId="77777777" w:rsidR="00926EE1" w:rsidRPr="00DB31F5" w:rsidRDefault="00926EE1" w:rsidP="00DB31F5">
            <w:pPr>
              <w:jc w:val="center"/>
              <w:rPr>
                <w:rFonts w:ascii="Arial" w:hAnsi="Arial" w:cs="Arial"/>
                <w:color w:val="000000"/>
                <w:sz w:val="20"/>
              </w:rPr>
            </w:pPr>
            <w:r w:rsidRPr="00DB31F5">
              <w:rPr>
                <w:rFonts w:ascii="Arial" w:hAnsi="Arial" w:cs="Arial"/>
                <w:color w:val="000000"/>
                <w:sz w:val="20"/>
              </w:rPr>
              <w:t>13.5</w:t>
            </w:r>
          </w:p>
        </w:tc>
      </w:tr>
      <w:tr w:rsidR="00926EE1" w:rsidRPr="00DB31F5" w14:paraId="45DBF601" w14:textId="77777777" w:rsidTr="00F00C4A">
        <w:tc>
          <w:tcPr>
            <w:tcW w:w="2001" w:type="pct"/>
            <w:tcBorders>
              <w:top w:val="single" w:sz="18" w:space="0" w:color="auto"/>
              <w:bottom w:val="single" w:sz="18" w:space="0" w:color="auto"/>
            </w:tcBorders>
            <w:shd w:val="clear" w:color="auto" w:fill="auto"/>
          </w:tcPr>
          <w:p w14:paraId="75F1B876"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TOTAL</w:t>
            </w:r>
          </w:p>
        </w:tc>
        <w:tc>
          <w:tcPr>
            <w:tcW w:w="1000" w:type="pct"/>
            <w:tcBorders>
              <w:top w:val="single" w:sz="18" w:space="0" w:color="auto"/>
              <w:bottom w:val="single" w:sz="18" w:space="0" w:color="auto"/>
            </w:tcBorders>
            <w:shd w:val="clear" w:color="auto" w:fill="auto"/>
          </w:tcPr>
          <w:p w14:paraId="553E8605" w14:textId="77777777" w:rsidR="00926EE1" w:rsidRPr="00DB31F5" w:rsidRDefault="00926EE1" w:rsidP="00DB31F5">
            <w:pPr>
              <w:jc w:val="center"/>
              <w:rPr>
                <w:rFonts w:ascii="Arial" w:hAnsi="Arial" w:cs="Arial"/>
                <w:color w:val="000000"/>
                <w:sz w:val="20"/>
              </w:rPr>
            </w:pPr>
            <w:r w:rsidRPr="00DB31F5">
              <w:rPr>
                <w:rFonts w:ascii="Arial" w:hAnsi="Arial" w:cs="Arial"/>
                <w:b/>
                <w:color w:val="000000"/>
                <w:sz w:val="20"/>
              </w:rPr>
              <w:t>100.0%</w:t>
            </w:r>
          </w:p>
        </w:tc>
        <w:tc>
          <w:tcPr>
            <w:tcW w:w="1000" w:type="pct"/>
            <w:tcBorders>
              <w:top w:val="single" w:sz="18" w:space="0" w:color="auto"/>
              <w:bottom w:val="single" w:sz="18" w:space="0" w:color="auto"/>
            </w:tcBorders>
            <w:shd w:val="clear" w:color="auto" w:fill="auto"/>
          </w:tcPr>
          <w:p w14:paraId="5AA85118"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w:t>
            </w:r>
          </w:p>
        </w:tc>
        <w:tc>
          <w:tcPr>
            <w:tcW w:w="1000" w:type="pct"/>
            <w:tcBorders>
              <w:top w:val="single" w:sz="18" w:space="0" w:color="auto"/>
              <w:bottom w:val="single" w:sz="18" w:space="0" w:color="auto"/>
            </w:tcBorders>
            <w:shd w:val="clear" w:color="auto" w:fill="auto"/>
          </w:tcPr>
          <w:p w14:paraId="063BF969" w14:textId="77777777" w:rsidR="00926EE1" w:rsidRPr="00DB31F5" w:rsidRDefault="00926EE1" w:rsidP="00DB31F5">
            <w:pPr>
              <w:jc w:val="center"/>
              <w:rPr>
                <w:rFonts w:ascii="Arial" w:hAnsi="Arial" w:cs="Arial"/>
                <w:b/>
                <w:color w:val="000000"/>
                <w:sz w:val="20"/>
              </w:rPr>
            </w:pPr>
            <w:r w:rsidRPr="00DB31F5">
              <w:rPr>
                <w:rFonts w:ascii="Arial" w:hAnsi="Arial" w:cs="Arial"/>
                <w:b/>
                <w:color w:val="000000"/>
                <w:sz w:val="20"/>
              </w:rPr>
              <w:t>100.0%</w:t>
            </w:r>
          </w:p>
        </w:tc>
      </w:tr>
    </w:tbl>
    <w:p w14:paraId="1FB52181" w14:textId="77777777" w:rsidR="00F00C4A" w:rsidRDefault="00F00C4A" w:rsidP="008826E7">
      <w:pPr>
        <w:jc w:val="both"/>
        <w:rPr>
          <w:rFonts w:ascii="Arial" w:hAnsi="Arial" w:cs="Arial"/>
          <w:color w:val="000000"/>
          <w:sz w:val="20"/>
        </w:rPr>
      </w:pPr>
    </w:p>
    <w:p w14:paraId="3A48824E" w14:textId="2E8475C3" w:rsidR="00385B99" w:rsidRPr="00785E1A" w:rsidRDefault="00385B99" w:rsidP="00137C50">
      <w:pPr>
        <w:spacing w:after="120"/>
        <w:jc w:val="both"/>
        <w:rPr>
          <w:rFonts w:ascii="Arial" w:hAnsi="Arial" w:cs="Arial"/>
          <w:color w:val="000000"/>
          <w:sz w:val="20"/>
        </w:rPr>
      </w:pPr>
      <w:r w:rsidRPr="00785E1A">
        <w:rPr>
          <w:rFonts w:ascii="Arial" w:hAnsi="Arial" w:cs="Arial"/>
          <w:color w:val="000000"/>
          <w:sz w:val="20"/>
        </w:rPr>
        <w:t xml:space="preserve">The following snapshots </w:t>
      </w:r>
      <w:r w:rsidR="00137C50" w:rsidRPr="00785E1A">
        <w:rPr>
          <w:rFonts w:ascii="Arial" w:hAnsi="Arial" w:cs="Arial"/>
          <w:color w:val="000000"/>
          <w:sz w:val="20"/>
        </w:rPr>
        <w:t xml:space="preserve">show that </w:t>
      </w:r>
      <w:r w:rsidR="00E15E58">
        <w:rPr>
          <w:rFonts w:ascii="Arial" w:hAnsi="Arial" w:cs="Arial"/>
          <w:color w:val="000000"/>
          <w:sz w:val="20"/>
        </w:rPr>
        <w:t xml:space="preserve">the number of Victorian child protection reports continue to grow year after year and </w:t>
      </w:r>
      <w:r w:rsidR="009D6EF3">
        <w:rPr>
          <w:rFonts w:ascii="Arial" w:hAnsi="Arial" w:cs="Arial"/>
          <w:color w:val="000000"/>
          <w:sz w:val="20"/>
        </w:rPr>
        <w:t xml:space="preserve">of the </w:t>
      </w:r>
      <w:r w:rsidR="00137C50" w:rsidRPr="00785E1A">
        <w:rPr>
          <w:rFonts w:ascii="Arial" w:hAnsi="Arial" w:cs="Arial"/>
          <w:color w:val="000000"/>
          <w:sz w:val="20"/>
        </w:rPr>
        <w:t xml:space="preserve">Victorian child protection reports investigated by </w:t>
      </w:r>
      <w:r w:rsidR="00785D2D">
        <w:rPr>
          <w:rFonts w:ascii="Arial" w:hAnsi="Arial" w:cs="Arial"/>
          <w:color w:val="000000"/>
          <w:sz w:val="20"/>
        </w:rPr>
        <w:t>DFFH</w:t>
      </w:r>
      <w:r w:rsidR="00A309B2">
        <w:rPr>
          <w:rFonts w:ascii="Arial" w:hAnsi="Arial" w:cs="Arial"/>
          <w:color w:val="000000"/>
          <w:sz w:val="20"/>
        </w:rPr>
        <w:t xml:space="preserve"> </w:t>
      </w:r>
      <w:r w:rsidR="00842179" w:rsidRPr="00785E1A">
        <w:rPr>
          <w:rFonts w:ascii="Arial" w:hAnsi="Arial" w:cs="Arial"/>
          <w:color w:val="000000"/>
          <w:sz w:val="20"/>
        </w:rPr>
        <w:t xml:space="preserve">between a half and two thirds </w:t>
      </w:r>
      <w:r w:rsidR="009D6EF3">
        <w:rPr>
          <w:rFonts w:ascii="Arial" w:hAnsi="Arial" w:cs="Arial"/>
          <w:color w:val="000000"/>
          <w:sz w:val="20"/>
        </w:rPr>
        <w:t>we</w:t>
      </w:r>
      <w:r w:rsidR="00137C50" w:rsidRPr="00785E1A">
        <w:rPr>
          <w:rFonts w:ascii="Arial" w:hAnsi="Arial" w:cs="Arial"/>
          <w:color w:val="000000"/>
          <w:sz w:val="20"/>
        </w:rPr>
        <w:t>re substantiated</w:t>
      </w:r>
      <w:r w:rsidR="009D6EF3">
        <w:rPr>
          <w:rFonts w:ascii="Arial" w:hAnsi="Arial" w:cs="Arial"/>
          <w:color w:val="000000"/>
          <w:sz w:val="20"/>
        </w:rPr>
        <w:t xml:space="preserve"> in the relevant years.</w:t>
      </w:r>
    </w:p>
    <w:tbl>
      <w:tblPr>
        <w:tblW w:w="8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59"/>
        <w:gridCol w:w="1694"/>
        <w:gridCol w:w="1906"/>
        <w:gridCol w:w="1560"/>
      </w:tblGrid>
      <w:tr w:rsidR="008358C0" w:rsidRPr="008358C0" w14:paraId="61253B39" w14:textId="77777777" w:rsidTr="008358C0">
        <w:tc>
          <w:tcPr>
            <w:tcW w:w="5000" w:type="pct"/>
            <w:gridSpan w:val="5"/>
            <w:tcBorders>
              <w:top w:val="single" w:sz="12" w:space="0" w:color="auto"/>
              <w:left w:val="single" w:sz="12" w:space="0" w:color="auto"/>
              <w:bottom w:val="single" w:sz="4" w:space="0" w:color="auto"/>
            </w:tcBorders>
            <w:shd w:val="clear" w:color="auto" w:fill="000000" w:themeFill="text1"/>
          </w:tcPr>
          <w:p w14:paraId="0ABBC946" w14:textId="77777777" w:rsidR="00E42774" w:rsidRPr="008358C0" w:rsidRDefault="00E42774" w:rsidP="00193618">
            <w:pPr>
              <w:keepNext/>
              <w:jc w:val="center"/>
              <w:rPr>
                <w:rFonts w:ascii="Arial" w:hAnsi="Arial" w:cs="Arial"/>
                <w:b/>
                <w:color w:val="FFFFFF" w:themeColor="background1"/>
                <w:sz w:val="28"/>
                <w:szCs w:val="36"/>
              </w:rPr>
            </w:pPr>
            <w:r w:rsidRPr="008358C0">
              <w:rPr>
                <w:rFonts w:ascii="Arial" w:hAnsi="Arial" w:cs="Arial"/>
                <w:b/>
                <w:color w:val="FFFFFF" w:themeColor="background1"/>
                <w:sz w:val="28"/>
                <w:szCs w:val="36"/>
              </w:rPr>
              <w:t>VICTORIAN NOTIFICATIONS/REPORTS</w:t>
            </w:r>
          </w:p>
        </w:tc>
      </w:tr>
      <w:tr w:rsidR="00E42774" w:rsidRPr="00785E1A" w14:paraId="688B16DE" w14:textId="77777777" w:rsidTr="008358C0">
        <w:trPr>
          <w:trHeight w:val="600"/>
        </w:trPr>
        <w:tc>
          <w:tcPr>
            <w:tcW w:w="942" w:type="pct"/>
            <w:tcBorders>
              <w:top w:val="single" w:sz="12" w:space="0" w:color="auto"/>
              <w:left w:val="single" w:sz="12" w:space="0" w:color="auto"/>
            </w:tcBorders>
            <w:shd w:val="pct10" w:color="auto" w:fill="auto"/>
          </w:tcPr>
          <w:p w14:paraId="6C5DEDC5"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YEAR</w:t>
            </w:r>
          </w:p>
        </w:tc>
        <w:tc>
          <w:tcPr>
            <w:tcW w:w="942" w:type="pct"/>
            <w:tcBorders>
              <w:top w:val="single" w:sz="12" w:space="0" w:color="auto"/>
              <w:left w:val="single" w:sz="12" w:space="0" w:color="auto"/>
            </w:tcBorders>
            <w:shd w:val="pct10" w:color="auto" w:fill="auto"/>
          </w:tcPr>
          <w:p w14:paraId="6A778644" w14:textId="77777777" w:rsidR="00E42774" w:rsidRPr="00785E1A" w:rsidRDefault="00E42774" w:rsidP="00193618">
            <w:pPr>
              <w:keepNext/>
              <w:spacing w:before="120"/>
              <w:jc w:val="center"/>
              <w:rPr>
                <w:rFonts w:ascii="Arial" w:hAnsi="Arial" w:cs="Arial"/>
                <w:b/>
                <w:color w:val="000000"/>
                <w:sz w:val="20"/>
              </w:rPr>
            </w:pPr>
            <w:r w:rsidRPr="00785E1A">
              <w:rPr>
                <w:rFonts w:ascii="Arial" w:hAnsi="Arial" w:cs="Arial"/>
                <w:b/>
                <w:color w:val="000000"/>
                <w:sz w:val="20"/>
              </w:rPr>
              <w:t>TOTAL NUMBER</w:t>
            </w:r>
          </w:p>
        </w:tc>
        <w:tc>
          <w:tcPr>
            <w:tcW w:w="1023" w:type="pct"/>
            <w:tcBorders>
              <w:top w:val="single" w:sz="12" w:space="0" w:color="auto"/>
              <w:left w:val="single" w:sz="12" w:space="0" w:color="auto"/>
            </w:tcBorders>
            <w:shd w:val="pct10" w:color="auto" w:fill="auto"/>
          </w:tcPr>
          <w:p w14:paraId="0666C788"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INVESTIGATED</w:t>
            </w:r>
          </w:p>
        </w:tc>
        <w:tc>
          <w:tcPr>
            <w:tcW w:w="1151" w:type="pct"/>
            <w:tcBorders>
              <w:top w:val="single" w:sz="12" w:space="0" w:color="auto"/>
              <w:left w:val="single" w:sz="12" w:space="0" w:color="auto"/>
            </w:tcBorders>
            <w:shd w:val="pct10" w:color="auto" w:fill="auto"/>
          </w:tcPr>
          <w:p w14:paraId="3001644E" w14:textId="77777777" w:rsidR="00E42774" w:rsidRPr="00785E1A" w:rsidRDefault="00E42774" w:rsidP="00E42774">
            <w:pPr>
              <w:keepNext/>
              <w:spacing w:before="120"/>
              <w:jc w:val="center"/>
              <w:rPr>
                <w:rFonts w:ascii="Arial" w:hAnsi="Arial" w:cs="Arial"/>
                <w:b/>
                <w:color w:val="000000"/>
                <w:sz w:val="20"/>
              </w:rPr>
            </w:pPr>
            <w:r w:rsidRPr="00785E1A">
              <w:rPr>
                <w:rFonts w:ascii="Arial" w:hAnsi="Arial" w:cs="Arial"/>
                <w:b/>
                <w:color w:val="000000"/>
                <w:sz w:val="20"/>
              </w:rPr>
              <w:t>NUMBER SUBSTANTIATED</w:t>
            </w:r>
          </w:p>
        </w:tc>
        <w:tc>
          <w:tcPr>
            <w:tcW w:w="942" w:type="pct"/>
            <w:tcBorders>
              <w:top w:val="single" w:sz="12" w:space="0" w:color="auto"/>
              <w:left w:val="single" w:sz="12" w:space="0" w:color="auto"/>
            </w:tcBorders>
            <w:shd w:val="pct10" w:color="auto" w:fill="auto"/>
          </w:tcPr>
          <w:p w14:paraId="4071CB25" w14:textId="77777777" w:rsidR="00E42774" w:rsidRPr="00785E1A" w:rsidRDefault="00E42774" w:rsidP="00193618">
            <w:pPr>
              <w:keepNext/>
              <w:jc w:val="center"/>
              <w:rPr>
                <w:rFonts w:ascii="Arial" w:hAnsi="Arial" w:cs="Arial"/>
                <w:b/>
                <w:color w:val="000000"/>
                <w:sz w:val="20"/>
              </w:rPr>
            </w:pPr>
            <w:r w:rsidRPr="00785E1A">
              <w:rPr>
                <w:rFonts w:ascii="Arial" w:hAnsi="Arial" w:cs="Arial"/>
                <w:b/>
                <w:color w:val="000000"/>
                <w:sz w:val="20"/>
              </w:rPr>
              <w:t>NUMBER OF PROTECTION APPLIC’NS</w:t>
            </w:r>
          </w:p>
        </w:tc>
      </w:tr>
      <w:tr w:rsidR="00E42774" w:rsidRPr="00785E1A" w14:paraId="18C9B7A2" w14:textId="77777777" w:rsidTr="008358C0">
        <w:tc>
          <w:tcPr>
            <w:tcW w:w="942" w:type="pct"/>
            <w:tcBorders>
              <w:top w:val="single" w:sz="12" w:space="0" w:color="000000"/>
              <w:left w:val="single" w:sz="12" w:space="0" w:color="auto"/>
              <w:bottom w:val="single" w:sz="4" w:space="0" w:color="auto"/>
            </w:tcBorders>
          </w:tcPr>
          <w:p w14:paraId="3AF926FA" w14:textId="7F306BC5"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1997</w:t>
            </w:r>
            <w:r w:rsidR="009D6EF3">
              <w:rPr>
                <w:rFonts w:ascii="Arial" w:hAnsi="Arial" w:cs="Arial"/>
                <w:color w:val="000000"/>
                <w:sz w:val="20"/>
              </w:rPr>
              <w:t>/</w:t>
            </w:r>
            <w:r w:rsidRPr="00785E1A">
              <w:rPr>
                <w:rFonts w:ascii="Arial" w:hAnsi="Arial" w:cs="Arial"/>
                <w:color w:val="000000"/>
                <w:sz w:val="20"/>
              </w:rPr>
              <w:t>1998</w:t>
            </w:r>
          </w:p>
        </w:tc>
        <w:tc>
          <w:tcPr>
            <w:tcW w:w="942" w:type="pct"/>
            <w:tcBorders>
              <w:top w:val="single" w:sz="12" w:space="0" w:color="000000"/>
              <w:left w:val="single" w:sz="12" w:space="0" w:color="auto"/>
              <w:bottom w:val="single" w:sz="4" w:space="0" w:color="auto"/>
            </w:tcBorders>
          </w:tcPr>
          <w:p w14:paraId="035926FB" w14:textId="77777777" w:rsidR="00E42774" w:rsidRPr="00785E1A" w:rsidRDefault="00E42774" w:rsidP="00785E1A">
            <w:pPr>
              <w:keepNext/>
              <w:jc w:val="center"/>
              <w:rPr>
                <w:rFonts w:ascii="Arial" w:hAnsi="Arial" w:cs="Arial"/>
                <w:color w:val="000000"/>
                <w:sz w:val="20"/>
              </w:rPr>
            </w:pPr>
            <w:r w:rsidRPr="00785E1A">
              <w:rPr>
                <w:rFonts w:ascii="Arial" w:hAnsi="Arial" w:cs="Arial"/>
                <w:color w:val="000000"/>
                <w:sz w:val="20"/>
              </w:rPr>
              <w:t>33,164</w:t>
            </w:r>
          </w:p>
        </w:tc>
        <w:tc>
          <w:tcPr>
            <w:tcW w:w="1023" w:type="pct"/>
            <w:tcBorders>
              <w:top w:val="single" w:sz="12" w:space="0" w:color="000000"/>
              <w:left w:val="single" w:sz="12" w:space="0" w:color="auto"/>
              <w:bottom w:val="single" w:sz="4" w:space="0" w:color="auto"/>
            </w:tcBorders>
          </w:tcPr>
          <w:p w14:paraId="0E391CB7"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14,682</w:t>
            </w:r>
          </w:p>
        </w:tc>
        <w:tc>
          <w:tcPr>
            <w:tcW w:w="1151" w:type="pct"/>
            <w:tcBorders>
              <w:top w:val="single" w:sz="12" w:space="0" w:color="000000"/>
              <w:left w:val="single" w:sz="12" w:space="0" w:color="auto"/>
              <w:bottom w:val="single" w:sz="4" w:space="0" w:color="auto"/>
            </w:tcBorders>
          </w:tcPr>
          <w:p w14:paraId="400F4E6E"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7,412</w:t>
            </w:r>
          </w:p>
        </w:tc>
        <w:tc>
          <w:tcPr>
            <w:tcW w:w="942" w:type="pct"/>
            <w:tcBorders>
              <w:top w:val="single" w:sz="12" w:space="0" w:color="000000"/>
              <w:left w:val="single" w:sz="12" w:space="0" w:color="auto"/>
              <w:bottom w:val="single" w:sz="4" w:space="0" w:color="auto"/>
            </w:tcBorders>
          </w:tcPr>
          <w:p w14:paraId="2640A369" w14:textId="77777777" w:rsidR="00E42774" w:rsidRPr="00785E1A" w:rsidRDefault="00392896" w:rsidP="00785E1A">
            <w:pPr>
              <w:keepNext/>
              <w:jc w:val="center"/>
              <w:rPr>
                <w:rFonts w:ascii="Arial" w:hAnsi="Arial" w:cs="Arial"/>
                <w:color w:val="000000"/>
                <w:sz w:val="20"/>
              </w:rPr>
            </w:pPr>
            <w:r w:rsidRPr="00785E1A">
              <w:rPr>
                <w:rFonts w:ascii="Arial" w:hAnsi="Arial" w:cs="Arial"/>
                <w:color w:val="000000"/>
                <w:sz w:val="20"/>
              </w:rPr>
              <w:t>2,135</w:t>
            </w:r>
          </w:p>
        </w:tc>
      </w:tr>
      <w:tr w:rsidR="001726EF" w:rsidRPr="00785E1A" w14:paraId="1C046131" w14:textId="77777777" w:rsidTr="008358C0">
        <w:tc>
          <w:tcPr>
            <w:tcW w:w="942" w:type="pct"/>
            <w:tcBorders>
              <w:top w:val="single" w:sz="4" w:space="0" w:color="auto"/>
              <w:left w:val="single" w:sz="12" w:space="0" w:color="auto"/>
              <w:bottom w:val="single" w:sz="4" w:space="0" w:color="auto"/>
            </w:tcBorders>
          </w:tcPr>
          <w:p w14:paraId="5424584D" w14:textId="556EB2CF" w:rsidR="001726EF" w:rsidRPr="00785E1A" w:rsidRDefault="001726EF" w:rsidP="00193618">
            <w:pPr>
              <w:jc w:val="center"/>
              <w:rPr>
                <w:rFonts w:ascii="Arial" w:hAnsi="Arial" w:cs="Arial"/>
                <w:color w:val="000000"/>
                <w:sz w:val="20"/>
              </w:rPr>
            </w:pPr>
            <w:r w:rsidRPr="00785E1A">
              <w:rPr>
                <w:rFonts w:ascii="Arial" w:hAnsi="Arial" w:cs="Arial"/>
                <w:color w:val="000000"/>
                <w:sz w:val="20"/>
              </w:rPr>
              <w:t>2004</w:t>
            </w:r>
            <w:r w:rsidR="009D6EF3">
              <w:rPr>
                <w:rFonts w:ascii="Arial" w:hAnsi="Arial" w:cs="Arial"/>
                <w:color w:val="000000"/>
                <w:sz w:val="20"/>
              </w:rPr>
              <w:t>/</w:t>
            </w:r>
            <w:r w:rsidRPr="00785E1A">
              <w:rPr>
                <w:rFonts w:ascii="Arial" w:hAnsi="Arial" w:cs="Arial"/>
                <w:color w:val="000000"/>
                <w:sz w:val="20"/>
              </w:rPr>
              <w:t>2005</w:t>
            </w:r>
          </w:p>
        </w:tc>
        <w:tc>
          <w:tcPr>
            <w:tcW w:w="942" w:type="pct"/>
            <w:tcBorders>
              <w:top w:val="single" w:sz="4" w:space="0" w:color="auto"/>
              <w:left w:val="single" w:sz="12" w:space="0" w:color="auto"/>
              <w:bottom w:val="single" w:sz="4" w:space="0" w:color="auto"/>
            </w:tcBorders>
          </w:tcPr>
          <w:p w14:paraId="115C5B24" w14:textId="77777777" w:rsidR="001726EF" w:rsidRPr="00785E1A" w:rsidRDefault="001726EF" w:rsidP="00A40623">
            <w:pPr>
              <w:jc w:val="center"/>
              <w:rPr>
                <w:rFonts w:ascii="Arial" w:hAnsi="Arial" w:cs="Arial"/>
                <w:color w:val="000000"/>
                <w:sz w:val="20"/>
              </w:rPr>
            </w:pPr>
            <w:r w:rsidRPr="00785E1A">
              <w:rPr>
                <w:rFonts w:ascii="Arial" w:hAnsi="Arial" w:cs="Arial"/>
                <w:color w:val="000000"/>
                <w:sz w:val="20"/>
              </w:rPr>
              <w:t>37,523</w:t>
            </w:r>
          </w:p>
        </w:tc>
        <w:tc>
          <w:tcPr>
            <w:tcW w:w="1023" w:type="pct"/>
            <w:tcBorders>
              <w:top w:val="single" w:sz="4" w:space="0" w:color="auto"/>
              <w:left w:val="single" w:sz="12" w:space="0" w:color="auto"/>
              <w:bottom w:val="single" w:sz="4" w:space="0" w:color="auto"/>
            </w:tcBorders>
          </w:tcPr>
          <w:p w14:paraId="1F212D67" w14:textId="77777777" w:rsidR="001726EF" w:rsidRPr="00785E1A" w:rsidRDefault="00C943C5" w:rsidP="00193618">
            <w:pPr>
              <w:jc w:val="center"/>
              <w:rPr>
                <w:rFonts w:ascii="Arial" w:hAnsi="Arial" w:cs="Arial"/>
                <w:color w:val="000000"/>
                <w:sz w:val="20"/>
              </w:rPr>
            </w:pPr>
            <w:r w:rsidRPr="00785E1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56D77A2B" w14:textId="77777777" w:rsidR="001726EF" w:rsidRPr="00785E1A" w:rsidRDefault="009B3EF9" w:rsidP="00193618">
            <w:pPr>
              <w:jc w:val="center"/>
              <w:rPr>
                <w:rFonts w:ascii="Arial" w:hAnsi="Arial" w:cs="Arial"/>
                <w:color w:val="000000"/>
                <w:sz w:val="20"/>
              </w:rPr>
            </w:pPr>
            <w:r w:rsidRPr="00785E1A">
              <w:rPr>
                <w:rFonts w:ascii="Arial" w:hAnsi="Arial" w:cs="Arial"/>
                <w:color w:val="000000"/>
                <w:sz w:val="20"/>
              </w:rPr>
              <w:t>7,398</w:t>
            </w:r>
          </w:p>
        </w:tc>
        <w:tc>
          <w:tcPr>
            <w:tcW w:w="942" w:type="pct"/>
            <w:tcBorders>
              <w:top w:val="single" w:sz="4" w:space="0" w:color="auto"/>
              <w:left w:val="single" w:sz="12" w:space="0" w:color="auto"/>
              <w:bottom w:val="single" w:sz="4" w:space="0" w:color="auto"/>
            </w:tcBorders>
          </w:tcPr>
          <w:p w14:paraId="2376B4D7" w14:textId="77777777" w:rsidR="001726EF" w:rsidRPr="00785E1A" w:rsidRDefault="00842179" w:rsidP="00193618">
            <w:pPr>
              <w:jc w:val="center"/>
              <w:rPr>
                <w:rFonts w:ascii="Arial" w:hAnsi="Arial" w:cs="Arial"/>
                <w:color w:val="000000"/>
                <w:sz w:val="20"/>
              </w:rPr>
            </w:pPr>
            <w:r w:rsidRPr="00785E1A">
              <w:rPr>
                <w:rFonts w:ascii="Arial" w:hAnsi="Arial" w:cs="Arial"/>
                <w:color w:val="000000"/>
                <w:sz w:val="20"/>
              </w:rPr>
              <w:t>2,586</w:t>
            </w:r>
          </w:p>
        </w:tc>
      </w:tr>
      <w:tr w:rsidR="001726EF" w:rsidRPr="00D00CAA" w14:paraId="795D4217" w14:textId="77777777" w:rsidTr="008358C0">
        <w:tc>
          <w:tcPr>
            <w:tcW w:w="942" w:type="pct"/>
            <w:tcBorders>
              <w:top w:val="single" w:sz="4" w:space="0" w:color="auto"/>
              <w:left w:val="single" w:sz="12" w:space="0" w:color="auto"/>
              <w:bottom w:val="single" w:sz="4" w:space="0" w:color="auto"/>
            </w:tcBorders>
          </w:tcPr>
          <w:p w14:paraId="6F115A68" w14:textId="1B1277C9"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2005</w:t>
            </w:r>
            <w:r w:rsidR="009D6EF3">
              <w:rPr>
                <w:rFonts w:ascii="Arial" w:hAnsi="Arial" w:cs="Arial"/>
                <w:color w:val="000000"/>
                <w:sz w:val="20"/>
              </w:rPr>
              <w:t>/</w:t>
            </w:r>
            <w:r w:rsidRPr="00D00CAA">
              <w:rPr>
                <w:rFonts w:ascii="Arial" w:hAnsi="Arial" w:cs="Arial"/>
                <w:color w:val="000000"/>
                <w:sz w:val="20"/>
              </w:rPr>
              <w:t>2006</w:t>
            </w:r>
          </w:p>
        </w:tc>
        <w:tc>
          <w:tcPr>
            <w:tcW w:w="942" w:type="pct"/>
            <w:tcBorders>
              <w:top w:val="single" w:sz="4" w:space="0" w:color="auto"/>
              <w:left w:val="single" w:sz="12" w:space="0" w:color="auto"/>
              <w:bottom w:val="single" w:sz="4" w:space="0" w:color="auto"/>
            </w:tcBorders>
          </w:tcPr>
          <w:p w14:paraId="07C63E2C" w14:textId="77777777" w:rsidR="001726EF" w:rsidRPr="00D00CAA" w:rsidRDefault="001726EF" w:rsidP="00A40623">
            <w:pPr>
              <w:jc w:val="center"/>
              <w:rPr>
                <w:rFonts w:ascii="Arial" w:hAnsi="Arial" w:cs="Arial"/>
                <w:color w:val="000000"/>
                <w:sz w:val="20"/>
              </w:rPr>
            </w:pPr>
            <w:r w:rsidRPr="00D00CAA">
              <w:rPr>
                <w:rFonts w:ascii="Arial" w:hAnsi="Arial" w:cs="Arial"/>
                <w:color w:val="000000"/>
                <w:sz w:val="20"/>
              </w:rPr>
              <w:t>37,987</w:t>
            </w:r>
          </w:p>
        </w:tc>
        <w:tc>
          <w:tcPr>
            <w:tcW w:w="1023" w:type="pct"/>
            <w:tcBorders>
              <w:top w:val="single" w:sz="4" w:space="0" w:color="auto"/>
              <w:left w:val="single" w:sz="12" w:space="0" w:color="auto"/>
              <w:bottom w:val="single" w:sz="4" w:space="0" w:color="auto"/>
            </w:tcBorders>
          </w:tcPr>
          <w:p w14:paraId="5B4BD129" w14:textId="77777777" w:rsidR="001726EF" w:rsidRPr="00D00CAA" w:rsidRDefault="00C943C5" w:rsidP="00193618">
            <w:pPr>
              <w:jc w:val="center"/>
              <w:rPr>
                <w:rFonts w:ascii="Arial" w:hAnsi="Arial" w:cs="Arial"/>
                <w:color w:val="000000"/>
                <w:sz w:val="20"/>
              </w:rPr>
            </w:pPr>
            <w:r w:rsidRPr="00D00CAA">
              <w:rPr>
                <w:rFonts w:ascii="Arial" w:hAnsi="Arial" w:cs="Arial"/>
                <w:color w:val="000000"/>
                <w:sz w:val="20"/>
              </w:rPr>
              <w:t>n/a</w:t>
            </w:r>
          </w:p>
        </w:tc>
        <w:tc>
          <w:tcPr>
            <w:tcW w:w="1151" w:type="pct"/>
            <w:tcBorders>
              <w:top w:val="single" w:sz="4" w:space="0" w:color="auto"/>
              <w:left w:val="single" w:sz="12" w:space="0" w:color="auto"/>
              <w:bottom w:val="single" w:sz="4" w:space="0" w:color="auto"/>
            </w:tcBorders>
          </w:tcPr>
          <w:p w14:paraId="06A3EE0F"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7,563</w:t>
            </w:r>
          </w:p>
        </w:tc>
        <w:tc>
          <w:tcPr>
            <w:tcW w:w="942" w:type="pct"/>
            <w:tcBorders>
              <w:top w:val="single" w:sz="4" w:space="0" w:color="auto"/>
              <w:left w:val="single" w:sz="12" w:space="0" w:color="auto"/>
              <w:bottom w:val="single" w:sz="4" w:space="0" w:color="auto"/>
            </w:tcBorders>
          </w:tcPr>
          <w:p w14:paraId="59F078F5"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2,916</w:t>
            </w:r>
          </w:p>
        </w:tc>
      </w:tr>
      <w:tr w:rsidR="001726EF" w:rsidRPr="00D00CAA" w14:paraId="1C4550C3" w14:textId="77777777" w:rsidTr="008358C0">
        <w:tc>
          <w:tcPr>
            <w:tcW w:w="942" w:type="pct"/>
            <w:tcBorders>
              <w:top w:val="single" w:sz="4" w:space="0" w:color="auto"/>
              <w:left w:val="single" w:sz="12" w:space="0" w:color="auto"/>
              <w:bottom w:val="single" w:sz="4" w:space="0" w:color="auto"/>
            </w:tcBorders>
          </w:tcPr>
          <w:p w14:paraId="09BD6C90" w14:textId="3FEE94A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2006</w:t>
            </w:r>
            <w:r w:rsidR="009D6EF3">
              <w:rPr>
                <w:rFonts w:ascii="Arial" w:hAnsi="Arial" w:cs="Arial"/>
                <w:color w:val="000000"/>
                <w:sz w:val="20"/>
              </w:rPr>
              <w:t>/</w:t>
            </w:r>
            <w:r w:rsidRPr="00D00CAA">
              <w:rPr>
                <w:rFonts w:ascii="Arial" w:hAnsi="Arial" w:cs="Arial"/>
                <w:color w:val="000000"/>
                <w:sz w:val="20"/>
              </w:rPr>
              <w:t>2007</w:t>
            </w:r>
          </w:p>
        </w:tc>
        <w:tc>
          <w:tcPr>
            <w:tcW w:w="942" w:type="pct"/>
            <w:tcBorders>
              <w:top w:val="single" w:sz="4" w:space="0" w:color="auto"/>
              <w:left w:val="single" w:sz="12" w:space="0" w:color="auto"/>
              <w:bottom w:val="single" w:sz="4" w:space="0" w:color="auto"/>
            </w:tcBorders>
          </w:tcPr>
          <w:p w14:paraId="42FA7BB2"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38,675</w:t>
            </w:r>
          </w:p>
        </w:tc>
        <w:tc>
          <w:tcPr>
            <w:tcW w:w="1023" w:type="pct"/>
            <w:tcBorders>
              <w:top w:val="single" w:sz="4" w:space="0" w:color="auto"/>
              <w:left w:val="single" w:sz="12" w:space="0" w:color="auto"/>
              <w:bottom w:val="single" w:sz="4" w:space="0" w:color="auto"/>
            </w:tcBorders>
          </w:tcPr>
          <w:p w14:paraId="1E683C0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10,537</w:t>
            </w:r>
          </w:p>
        </w:tc>
        <w:tc>
          <w:tcPr>
            <w:tcW w:w="1151" w:type="pct"/>
            <w:tcBorders>
              <w:top w:val="single" w:sz="4" w:space="0" w:color="auto"/>
              <w:left w:val="single" w:sz="12" w:space="0" w:color="auto"/>
              <w:bottom w:val="single" w:sz="4" w:space="0" w:color="auto"/>
            </w:tcBorders>
          </w:tcPr>
          <w:p w14:paraId="1FD37C4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6,828</w:t>
            </w:r>
          </w:p>
        </w:tc>
        <w:tc>
          <w:tcPr>
            <w:tcW w:w="942" w:type="pct"/>
            <w:tcBorders>
              <w:top w:val="single" w:sz="4" w:space="0" w:color="auto"/>
              <w:left w:val="single" w:sz="12" w:space="0" w:color="auto"/>
              <w:bottom w:val="single" w:sz="4" w:space="0" w:color="auto"/>
            </w:tcBorders>
          </w:tcPr>
          <w:p w14:paraId="0F53C8A6"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3,101</w:t>
            </w:r>
          </w:p>
        </w:tc>
      </w:tr>
      <w:tr w:rsidR="001726EF" w:rsidRPr="00D00CAA" w14:paraId="3CC28A2D" w14:textId="77777777" w:rsidTr="008358C0">
        <w:tc>
          <w:tcPr>
            <w:tcW w:w="942" w:type="pct"/>
            <w:tcBorders>
              <w:top w:val="single" w:sz="4" w:space="0" w:color="auto"/>
              <w:left w:val="single" w:sz="12" w:space="0" w:color="auto"/>
              <w:bottom w:val="single" w:sz="4" w:space="0" w:color="auto"/>
            </w:tcBorders>
          </w:tcPr>
          <w:p w14:paraId="2A38151E" w14:textId="02F0FAA3"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2007</w:t>
            </w:r>
            <w:r w:rsidR="009D6EF3">
              <w:rPr>
                <w:rFonts w:ascii="Arial" w:hAnsi="Arial" w:cs="Arial"/>
                <w:color w:val="000000"/>
                <w:sz w:val="20"/>
              </w:rPr>
              <w:t>/</w:t>
            </w:r>
            <w:r w:rsidRPr="00D00CAA">
              <w:rPr>
                <w:rFonts w:ascii="Arial" w:hAnsi="Arial" w:cs="Arial"/>
                <w:color w:val="000000"/>
                <w:sz w:val="20"/>
              </w:rPr>
              <w:t>2008</w:t>
            </w:r>
          </w:p>
        </w:tc>
        <w:tc>
          <w:tcPr>
            <w:tcW w:w="942" w:type="pct"/>
            <w:tcBorders>
              <w:top w:val="single" w:sz="4" w:space="0" w:color="auto"/>
              <w:left w:val="single" w:sz="12" w:space="0" w:color="auto"/>
              <w:bottom w:val="single" w:sz="4" w:space="0" w:color="auto"/>
            </w:tcBorders>
          </w:tcPr>
          <w:p w14:paraId="448EF64A"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41,607</w:t>
            </w:r>
          </w:p>
        </w:tc>
        <w:tc>
          <w:tcPr>
            <w:tcW w:w="1023" w:type="pct"/>
            <w:tcBorders>
              <w:top w:val="single" w:sz="4" w:space="0" w:color="auto"/>
              <w:left w:val="single" w:sz="12" w:space="0" w:color="auto"/>
              <w:bottom w:val="single" w:sz="4" w:space="0" w:color="auto"/>
            </w:tcBorders>
          </w:tcPr>
          <w:p w14:paraId="3B8B5F48"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10,080</w:t>
            </w:r>
          </w:p>
        </w:tc>
        <w:tc>
          <w:tcPr>
            <w:tcW w:w="1151" w:type="pct"/>
            <w:tcBorders>
              <w:top w:val="single" w:sz="4" w:space="0" w:color="auto"/>
              <w:left w:val="single" w:sz="12" w:space="0" w:color="auto"/>
              <w:bottom w:val="single" w:sz="4" w:space="0" w:color="auto"/>
            </w:tcBorders>
          </w:tcPr>
          <w:p w14:paraId="6CD3244C" w14:textId="77777777" w:rsidR="001726EF" w:rsidRPr="00D00CAA" w:rsidRDefault="009B3EF9" w:rsidP="00193618">
            <w:pPr>
              <w:jc w:val="center"/>
              <w:rPr>
                <w:rFonts w:ascii="Arial" w:hAnsi="Arial" w:cs="Arial"/>
                <w:color w:val="000000"/>
                <w:sz w:val="20"/>
              </w:rPr>
            </w:pPr>
            <w:r w:rsidRPr="00D00CAA">
              <w:rPr>
                <w:rFonts w:ascii="Arial" w:hAnsi="Arial" w:cs="Arial"/>
                <w:color w:val="000000"/>
                <w:sz w:val="20"/>
              </w:rPr>
              <w:t>6,365</w:t>
            </w:r>
          </w:p>
        </w:tc>
        <w:tc>
          <w:tcPr>
            <w:tcW w:w="942" w:type="pct"/>
            <w:tcBorders>
              <w:top w:val="single" w:sz="4" w:space="0" w:color="auto"/>
              <w:left w:val="single" w:sz="12" w:space="0" w:color="auto"/>
              <w:bottom w:val="single" w:sz="4" w:space="0" w:color="auto"/>
            </w:tcBorders>
          </w:tcPr>
          <w:p w14:paraId="7B245AF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3,353</w:t>
            </w:r>
          </w:p>
        </w:tc>
      </w:tr>
      <w:tr w:rsidR="001726EF" w:rsidRPr="00D00CAA" w14:paraId="48E3E54A" w14:textId="77777777" w:rsidTr="008358C0">
        <w:tc>
          <w:tcPr>
            <w:tcW w:w="942" w:type="pct"/>
            <w:tcBorders>
              <w:top w:val="single" w:sz="4" w:space="0" w:color="auto"/>
              <w:left w:val="single" w:sz="12" w:space="0" w:color="auto"/>
              <w:bottom w:val="single" w:sz="4" w:space="0" w:color="auto"/>
            </w:tcBorders>
          </w:tcPr>
          <w:p w14:paraId="0E3BAF1A" w14:textId="38A2FC8B"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2008</w:t>
            </w:r>
            <w:r w:rsidR="009D6EF3">
              <w:rPr>
                <w:rFonts w:ascii="Arial" w:hAnsi="Arial" w:cs="Arial"/>
                <w:color w:val="000000"/>
                <w:sz w:val="20"/>
              </w:rPr>
              <w:t>/</w:t>
            </w:r>
            <w:r w:rsidRPr="00D00CAA">
              <w:rPr>
                <w:rFonts w:ascii="Arial" w:hAnsi="Arial" w:cs="Arial"/>
                <w:color w:val="000000"/>
                <w:sz w:val="20"/>
              </w:rPr>
              <w:t>2009</w:t>
            </w:r>
          </w:p>
        </w:tc>
        <w:tc>
          <w:tcPr>
            <w:tcW w:w="942" w:type="pct"/>
            <w:tcBorders>
              <w:top w:val="single" w:sz="4" w:space="0" w:color="auto"/>
              <w:left w:val="single" w:sz="12" w:space="0" w:color="auto"/>
              <w:bottom w:val="single" w:sz="4" w:space="0" w:color="auto"/>
            </w:tcBorders>
          </w:tcPr>
          <w:p w14:paraId="22B92840"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42,851</w:t>
            </w:r>
          </w:p>
        </w:tc>
        <w:tc>
          <w:tcPr>
            <w:tcW w:w="1023" w:type="pct"/>
            <w:tcBorders>
              <w:top w:val="single" w:sz="4" w:space="0" w:color="auto"/>
              <w:left w:val="single" w:sz="12" w:space="0" w:color="auto"/>
              <w:bottom w:val="single" w:sz="4" w:space="0" w:color="auto"/>
            </w:tcBorders>
          </w:tcPr>
          <w:p w14:paraId="3449F4BF"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10,300</w:t>
            </w:r>
          </w:p>
        </w:tc>
        <w:tc>
          <w:tcPr>
            <w:tcW w:w="1151" w:type="pct"/>
            <w:tcBorders>
              <w:top w:val="single" w:sz="4" w:space="0" w:color="auto"/>
              <w:left w:val="single" w:sz="12" w:space="0" w:color="auto"/>
              <w:bottom w:val="single" w:sz="4" w:space="0" w:color="auto"/>
            </w:tcBorders>
          </w:tcPr>
          <w:p w14:paraId="143F0088"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6,344</w:t>
            </w:r>
          </w:p>
        </w:tc>
        <w:tc>
          <w:tcPr>
            <w:tcW w:w="942" w:type="pct"/>
            <w:tcBorders>
              <w:top w:val="single" w:sz="4" w:space="0" w:color="auto"/>
              <w:left w:val="single" w:sz="12" w:space="0" w:color="auto"/>
              <w:bottom w:val="single" w:sz="4" w:space="0" w:color="auto"/>
            </w:tcBorders>
          </w:tcPr>
          <w:p w14:paraId="50041D46"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3,048</w:t>
            </w:r>
          </w:p>
        </w:tc>
      </w:tr>
      <w:tr w:rsidR="001726EF" w:rsidRPr="00D00CAA" w14:paraId="26934956" w14:textId="77777777" w:rsidTr="008358C0">
        <w:tc>
          <w:tcPr>
            <w:tcW w:w="942" w:type="pct"/>
            <w:tcBorders>
              <w:top w:val="single" w:sz="4" w:space="0" w:color="auto"/>
              <w:left w:val="single" w:sz="12" w:space="0" w:color="auto"/>
              <w:bottom w:val="single" w:sz="4" w:space="0" w:color="auto"/>
            </w:tcBorders>
          </w:tcPr>
          <w:p w14:paraId="69E02012" w14:textId="46A0C1BE" w:rsidR="001726EF" w:rsidRPr="00D00CAA" w:rsidRDefault="001726EF" w:rsidP="00193618">
            <w:pPr>
              <w:jc w:val="center"/>
              <w:rPr>
                <w:rFonts w:ascii="Arial" w:hAnsi="Arial" w:cs="Arial"/>
                <w:color w:val="000000"/>
                <w:sz w:val="20"/>
              </w:rPr>
            </w:pPr>
            <w:r w:rsidRPr="00D00CAA">
              <w:rPr>
                <w:rFonts w:ascii="Arial" w:hAnsi="Arial" w:cs="Arial"/>
                <w:color w:val="000000"/>
                <w:sz w:val="20"/>
              </w:rPr>
              <w:t>2009</w:t>
            </w:r>
            <w:r w:rsidR="009D6EF3">
              <w:rPr>
                <w:rFonts w:ascii="Arial" w:hAnsi="Arial" w:cs="Arial"/>
                <w:color w:val="000000"/>
                <w:sz w:val="20"/>
              </w:rPr>
              <w:t>/</w:t>
            </w:r>
            <w:r w:rsidRPr="00D00CAA">
              <w:rPr>
                <w:rFonts w:ascii="Arial" w:hAnsi="Arial" w:cs="Arial"/>
                <w:color w:val="000000"/>
                <w:sz w:val="20"/>
              </w:rPr>
              <w:t>2010</w:t>
            </w:r>
          </w:p>
        </w:tc>
        <w:tc>
          <w:tcPr>
            <w:tcW w:w="942" w:type="pct"/>
            <w:tcBorders>
              <w:top w:val="single" w:sz="4" w:space="0" w:color="auto"/>
              <w:left w:val="single" w:sz="12" w:space="0" w:color="auto"/>
              <w:bottom w:val="single" w:sz="4" w:space="0" w:color="auto"/>
            </w:tcBorders>
          </w:tcPr>
          <w:p w14:paraId="563B4AB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48,369</w:t>
            </w:r>
          </w:p>
        </w:tc>
        <w:tc>
          <w:tcPr>
            <w:tcW w:w="1023" w:type="pct"/>
            <w:tcBorders>
              <w:top w:val="single" w:sz="4" w:space="0" w:color="auto"/>
              <w:left w:val="single" w:sz="12" w:space="0" w:color="auto"/>
              <w:bottom w:val="single" w:sz="4" w:space="0" w:color="auto"/>
            </w:tcBorders>
          </w:tcPr>
          <w:p w14:paraId="3BAE8289"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12,174</w:t>
            </w:r>
          </w:p>
        </w:tc>
        <w:tc>
          <w:tcPr>
            <w:tcW w:w="1151" w:type="pct"/>
            <w:tcBorders>
              <w:top w:val="single" w:sz="4" w:space="0" w:color="auto"/>
              <w:left w:val="single" w:sz="12" w:space="0" w:color="auto"/>
              <w:bottom w:val="single" w:sz="4" w:space="0" w:color="auto"/>
            </w:tcBorders>
          </w:tcPr>
          <w:p w14:paraId="30D287C1" w14:textId="77777777" w:rsidR="001726EF" w:rsidRPr="00D00CAA" w:rsidRDefault="001726EF" w:rsidP="00193618">
            <w:pPr>
              <w:jc w:val="center"/>
              <w:rPr>
                <w:rFonts w:ascii="Arial" w:hAnsi="Arial" w:cs="Arial"/>
                <w:color w:val="000000"/>
                <w:sz w:val="20"/>
              </w:rPr>
            </w:pPr>
            <w:r w:rsidRPr="00D00CAA">
              <w:rPr>
                <w:rFonts w:ascii="Arial" w:hAnsi="Arial" w:cs="Arial"/>
                <w:color w:val="000000"/>
                <w:sz w:val="20"/>
              </w:rPr>
              <w:t>6,603</w:t>
            </w:r>
          </w:p>
        </w:tc>
        <w:tc>
          <w:tcPr>
            <w:tcW w:w="942" w:type="pct"/>
            <w:tcBorders>
              <w:top w:val="single" w:sz="4" w:space="0" w:color="auto"/>
              <w:left w:val="single" w:sz="12" w:space="0" w:color="auto"/>
              <w:bottom w:val="single" w:sz="4" w:space="0" w:color="auto"/>
            </w:tcBorders>
          </w:tcPr>
          <w:p w14:paraId="17AEC39E" w14:textId="77777777" w:rsidR="001726EF" w:rsidRPr="00D00CAA" w:rsidRDefault="00842179" w:rsidP="00193618">
            <w:pPr>
              <w:jc w:val="center"/>
              <w:rPr>
                <w:rFonts w:ascii="Arial" w:hAnsi="Arial" w:cs="Arial"/>
                <w:color w:val="000000"/>
                <w:sz w:val="20"/>
              </w:rPr>
            </w:pPr>
            <w:r w:rsidRPr="00D00CAA">
              <w:rPr>
                <w:rFonts w:ascii="Arial" w:hAnsi="Arial" w:cs="Arial"/>
                <w:color w:val="000000"/>
                <w:sz w:val="20"/>
              </w:rPr>
              <w:t>3,046</w:t>
            </w:r>
          </w:p>
        </w:tc>
      </w:tr>
      <w:tr w:rsidR="005D4FF3" w:rsidRPr="00D00CAA" w14:paraId="21750184" w14:textId="77777777" w:rsidTr="008358C0">
        <w:tc>
          <w:tcPr>
            <w:tcW w:w="942" w:type="pct"/>
            <w:tcBorders>
              <w:top w:val="single" w:sz="4" w:space="0" w:color="auto"/>
              <w:left w:val="single" w:sz="12" w:space="0" w:color="auto"/>
              <w:bottom w:val="single" w:sz="4" w:space="0" w:color="auto"/>
            </w:tcBorders>
          </w:tcPr>
          <w:p w14:paraId="7B711FE9" w14:textId="3B4B1764" w:rsidR="005D4FF3" w:rsidRPr="00D00CAA" w:rsidRDefault="005D4FF3" w:rsidP="00193618">
            <w:pPr>
              <w:jc w:val="center"/>
              <w:rPr>
                <w:rFonts w:ascii="Arial" w:hAnsi="Arial" w:cs="Arial"/>
                <w:color w:val="000000"/>
                <w:sz w:val="20"/>
              </w:rPr>
            </w:pPr>
            <w:r w:rsidRPr="00D00CAA">
              <w:rPr>
                <w:rFonts w:ascii="Arial" w:hAnsi="Arial" w:cs="Arial"/>
                <w:color w:val="000000"/>
                <w:sz w:val="20"/>
              </w:rPr>
              <w:t>2010</w:t>
            </w:r>
            <w:r w:rsidR="009D6EF3">
              <w:rPr>
                <w:rFonts w:ascii="Arial" w:hAnsi="Arial" w:cs="Arial"/>
                <w:color w:val="000000"/>
                <w:sz w:val="20"/>
              </w:rPr>
              <w:t>/</w:t>
            </w:r>
            <w:r w:rsidRPr="00D00CAA">
              <w:rPr>
                <w:rFonts w:ascii="Arial" w:hAnsi="Arial" w:cs="Arial"/>
                <w:color w:val="000000"/>
                <w:sz w:val="20"/>
              </w:rPr>
              <w:t>2011</w:t>
            </w:r>
          </w:p>
        </w:tc>
        <w:tc>
          <w:tcPr>
            <w:tcW w:w="942" w:type="pct"/>
            <w:tcBorders>
              <w:top w:val="single" w:sz="4" w:space="0" w:color="auto"/>
              <w:left w:val="single" w:sz="12" w:space="0" w:color="auto"/>
              <w:bottom w:val="single" w:sz="4" w:space="0" w:color="auto"/>
            </w:tcBorders>
          </w:tcPr>
          <w:p w14:paraId="3DE22C46"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55,718</w:t>
            </w:r>
          </w:p>
        </w:tc>
        <w:tc>
          <w:tcPr>
            <w:tcW w:w="1023" w:type="pct"/>
            <w:tcBorders>
              <w:top w:val="single" w:sz="4" w:space="0" w:color="auto"/>
              <w:left w:val="single" w:sz="12" w:space="0" w:color="auto"/>
              <w:bottom w:val="single" w:sz="4" w:space="0" w:color="auto"/>
            </w:tcBorders>
          </w:tcPr>
          <w:p w14:paraId="28C9525F" w14:textId="77777777" w:rsidR="005D4FF3" w:rsidRPr="00D00CAA" w:rsidRDefault="005829E6" w:rsidP="00193618">
            <w:pPr>
              <w:jc w:val="center"/>
              <w:rPr>
                <w:rFonts w:ascii="Arial" w:hAnsi="Arial" w:cs="Arial"/>
                <w:color w:val="000000"/>
                <w:sz w:val="20"/>
              </w:rPr>
            </w:pPr>
            <w:r w:rsidRPr="00D00CAA">
              <w:rPr>
                <w:rFonts w:ascii="Arial" w:hAnsi="Arial" w:cs="Arial"/>
                <w:color w:val="000000"/>
                <w:sz w:val="20"/>
              </w:rPr>
              <w:t>13,941</w:t>
            </w:r>
          </w:p>
        </w:tc>
        <w:tc>
          <w:tcPr>
            <w:tcW w:w="1151" w:type="pct"/>
            <w:tcBorders>
              <w:top w:val="single" w:sz="4" w:space="0" w:color="auto"/>
              <w:left w:val="single" w:sz="12" w:space="0" w:color="auto"/>
              <w:bottom w:val="single" w:sz="4" w:space="0" w:color="auto"/>
            </w:tcBorders>
          </w:tcPr>
          <w:p w14:paraId="4E69D14A" w14:textId="77777777" w:rsidR="005D4FF3" w:rsidRPr="00D00CAA" w:rsidRDefault="00607134" w:rsidP="00193618">
            <w:pPr>
              <w:jc w:val="center"/>
              <w:rPr>
                <w:rFonts w:ascii="Arial" w:hAnsi="Arial" w:cs="Arial"/>
                <w:color w:val="000000"/>
                <w:sz w:val="20"/>
              </w:rPr>
            </w:pPr>
            <w:r w:rsidRPr="00D00CAA">
              <w:rPr>
                <w:rFonts w:ascii="Arial" w:hAnsi="Arial" w:cs="Arial"/>
                <w:color w:val="000000"/>
                <w:sz w:val="20"/>
              </w:rPr>
              <w:t>7,643</w:t>
            </w:r>
          </w:p>
        </w:tc>
        <w:tc>
          <w:tcPr>
            <w:tcW w:w="942" w:type="pct"/>
            <w:tcBorders>
              <w:top w:val="single" w:sz="4" w:space="0" w:color="auto"/>
              <w:left w:val="single" w:sz="12" w:space="0" w:color="auto"/>
              <w:bottom w:val="single" w:sz="4" w:space="0" w:color="auto"/>
            </w:tcBorders>
          </w:tcPr>
          <w:p w14:paraId="4C8EE85C" w14:textId="77777777" w:rsidR="005D4FF3" w:rsidRPr="00D00CAA" w:rsidRDefault="00C650FB" w:rsidP="00193618">
            <w:pPr>
              <w:jc w:val="center"/>
              <w:rPr>
                <w:rFonts w:ascii="Arial" w:hAnsi="Arial" w:cs="Arial"/>
                <w:color w:val="000000"/>
                <w:sz w:val="20"/>
              </w:rPr>
            </w:pPr>
            <w:r w:rsidRPr="00D00CAA">
              <w:rPr>
                <w:rFonts w:ascii="Arial" w:hAnsi="Arial" w:cs="Arial"/>
                <w:color w:val="000000"/>
                <w:sz w:val="20"/>
              </w:rPr>
              <w:t>3,270</w:t>
            </w:r>
          </w:p>
        </w:tc>
      </w:tr>
      <w:tr w:rsidR="00177067" w:rsidRPr="003D5DFA" w14:paraId="58465FBC" w14:textId="77777777" w:rsidTr="008358C0">
        <w:tc>
          <w:tcPr>
            <w:tcW w:w="942" w:type="pct"/>
            <w:tcBorders>
              <w:top w:val="single" w:sz="4" w:space="0" w:color="auto"/>
              <w:left w:val="single" w:sz="12" w:space="0" w:color="auto"/>
              <w:bottom w:val="single" w:sz="4" w:space="0" w:color="auto"/>
            </w:tcBorders>
          </w:tcPr>
          <w:p w14:paraId="20C7F49B" w14:textId="3CAA92E1" w:rsidR="00177067" w:rsidRPr="003D5DFA" w:rsidRDefault="00177067" w:rsidP="00193618">
            <w:pPr>
              <w:jc w:val="center"/>
              <w:rPr>
                <w:rFonts w:ascii="Arial" w:hAnsi="Arial" w:cs="Arial"/>
                <w:color w:val="000000"/>
                <w:sz w:val="20"/>
              </w:rPr>
            </w:pPr>
            <w:r w:rsidRPr="003D5DFA">
              <w:rPr>
                <w:rFonts w:ascii="Arial" w:hAnsi="Arial" w:cs="Arial"/>
                <w:color w:val="000000"/>
                <w:sz w:val="20"/>
              </w:rPr>
              <w:t>2011</w:t>
            </w:r>
            <w:r w:rsidR="009D6EF3">
              <w:rPr>
                <w:rFonts w:ascii="Arial" w:hAnsi="Arial" w:cs="Arial"/>
                <w:color w:val="000000"/>
                <w:sz w:val="20"/>
              </w:rPr>
              <w:t>/</w:t>
            </w:r>
            <w:r w:rsidRPr="003D5DFA">
              <w:rPr>
                <w:rFonts w:ascii="Arial" w:hAnsi="Arial" w:cs="Arial"/>
                <w:color w:val="000000"/>
                <w:sz w:val="20"/>
              </w:rPr>
              <w:t>2012</w:t>
            </w:r>
          </w:p>
        </w:tc>
        <w:tc>
          <w:tcPr>
            <w:tcW w:w="942" w:type="pct"/>
            <w:tcBorders>
              <w:top w:val="single" w:sz="4" w:space="0" w:color="auto"/>
              <w:left w:val="single" w:sz="12" w:space="0" w:color="auto"/>
              <w:bottom w:val="single" w:sz="4" w:space="0" w:color="auto"/>
            </w:tcBorders>
          </w:tcPr>
          <w:p w14:paraId="31FF9502" w14:textId="77777777" w:rsidR="00177067" w:rsidRPr="003D5DFA" w:rsidRDefault="00826C57" w:rsidP="00193618">
            <w:pPr>
              <w:jc w:val="center"/>
              <w:rPr>
                <w:rFonts w:ascii="Arial" w:hAnsi="Arial" w:cs="Arial"/>
                <w:color w:val="000000"/>
                <w:sz w:val="20"/>
              </w:rPr>
            </w:pPr>
            <w:r w:rsidRPr="003D5DFA">
              <w:rPr>
                <w:rFonts w:ascii="Arial" w:hAnsi="Arial" w:cs="Arial"/>
                <w:color w:val="000000"/>
                <w:sz w:val="20"/>
              </w:rPr>
              <w:t>63,830</w:t>
            </w:r>
          </w:p>
        </w:tc>
        <w:tc>
          <w:tcPr>
            <w:tcW w:w="1023" w:type="pct"/>
            <w:tcBorders>
              <w:top w:val="single" w:sz="4" w:space="0" w:color="auto"/>
              <w:left w:val="single" w:sz="12" w:space="0" w:color="auto"/>
              <w:bottom w:val="single" w:sz="4" w:space="0" w:color="auto"/>
            </w:tcBorders>
          </w:tcPr>
          <w:p w14:paraId="35043822"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16,072</w:t>
            </w:r>
          </w:p>
        </w:tc>
        <w:tc>
          <w:tcPr>
            <w:tcW w:w="1151" w:type="pct"/>
            <w:tcBorders>
              <w:top w:val="single" w:sz="4" w:space="0" w:color="auto"/>
              <w:left w:val="single" w:sz="12" w:space="0" w:color="auto"/>
              <w:bottom w:val="single" w:sz="4" w:space="0" w:color="auto"/>
            </w:tcBorders>
          </w:tcPr>
          <w:p w14:paraId="7DEA31FC" w14:textId="77777777" w:rsidR="00177067" w:rsidRPr="003D5DFA" w:rsidRDefault="00655A55" w:rsidP="00193618">
            <w:pPr>
              <w:jc w:val="center"/>
              <w:rPr>
                <w:rFonts w:ascii="Arial" w:hAnsi="Arial" w:cs="Arial"/>
                <w:color w:val="000000"/>
                <w:sz w:val="20"/>
              </w:rPr>
            </w:pPr>
            <w:r w:rsidRPr="003D5DFA">
              <w:rPr>
                <w:rFonts w:ascii="Arial" w:hAnsi="Arial" w:cs="Arial"/>
                <w:color w:val="000000"/>
                <w:sz w:val="20"/>
              </w:rPr>
              <w:t>9,075</w:t>
            </w:r>
          </w:p>
        </w:tc>
        <w:tc>
          <w:tcPr>
            <w:tcW w:w="942" w:type="pct"/>
            <w:tcBorders>
              <w:top w:val="single" w:sz="4" w:space="0" w:color="auto"/>
              <w:left w:val="single" w:sz="12" w:space="0" w:color="auto"/>
              <w:bottom w:val="single" w:sz="4" w:space="0" w:color="auto"/>
            </w:tcBorders>
          </w:tcPr>
          <w:p w14:paraId="1C8C953F" w14:textId="77777777" w:rsidR="00177067" w:rsidRPr="003D5DFA" w:rsidRDefault="00284783" w:rsidP="00193618">
            <w:pPr>
              <w:jc w:val="center"/>
              <w:rPr>
                <w:rFonts w:ascii="Arial" w:hAnsi="Arial" w:cs="Arial"/>
                <w:color w:val="000000"/>
                <w:sz w:val="20"/>
              </w:rPr>
            </w:pPr>
            <w:r w:rsidRPr="003D5DFA">
              <w:rPr>
                <w:rFonts w:ascii="Arial" w:hAnsi="Arial" w:cs="Arial"/>
                <w:color w:val="000000"/>
                <w:sz w:val="20"/>
              </w:rPr>
              <w:t>3,920</w:t>
            </w:r>
          </w:p>
        </w:tc>
      </w:tr>
      <w:tr w:rsidR="00492F82" w:rsidRPr="003D5DFA" w14:paraId="44E494B2" w14:textId="77777777" w:rsidTr="008358C0">
        <w:tc>
          <w:tcPr>
            <w:tcW w:w="942" w:type="pct"/>
            <w:tcBorders>
              <w:top w:val="single" w:sz="4" w:space="0" w:color="auto"/>
              <w:left w:val="single" w:sz="12" w:space="0" w:color="auto"/>
              <w:bottom w:val="single" w:sz="4" w:space="0" w:color="auto"/>
              <w:right w:val="single" w:sz="4" w:space="0" w:color="auto"/>
            </w:tcBorders>
          </w:tcPr>
          <w:p w14:paraId="1ED3A4F0" w14:textId="63138562" w:rsidR="00492F82" w:rsidRPr="003D5DFA" w:rsidRDefault="00492F82" w:rsidP="00796A19">
            <w:pPr>
              <w:jc w:val="center"/>
              <w:rPr>
                <w:rFonts w:ascii="Arial" w:hAnsi="Arial" w:cs="Arial"/>
                <w:color w:val="000000"/>
                <w:sz w:val="20"/>
              </w:rPr>
            </w:pPr>
            <w:r w:rsidRPr="003D5DFA">
              <w:rPr>
                <w:rFonts w:ascii="Arial" w:hAnsi="Arial" w:cs="Arial"/>
                <w:color w:val="000000"/>
                <w:sz w:val="20"/>
              </w:rPr>
              <w:t>201</w:t>
            </w:r>
            <w:r>
              <w:rPr>
                <w:rFonts w:ascii="Arial" w:hAnsi="Arial" w:cs="Arial"/>
                <w:color w:val="000000"/>
                <w:sz w:val="20"/>
              </w:rPr>
              <w:t>2</w:t>
            </w:r>
            <w:r w:rsidR="009D6EF3">
              <w:rPr>
                <w:rFonts w:ascii="Arial" w:hAnsi="Arial" w:cs="Arial"/>
                <w:color w:val="000000"/>
                <w:sz w:val="20"/>
              </w:rPr>
              <w:t>/</w:t>
            </w:r>
            <w:r w:rsidRPr="003D5DFA">
              <w:rPr>
                <w:rFonts w:ascii="Arial" w:hAnsi="Arial" w:cs="Arial"/>
                <w:color w:val="000000"/>
                <w:sz w:val="20"/>
              </w:rPr>
              <w:t>201</w:t>
            </w:r>
            <w:r>
              <w:rPr>
                <w:rFonts w:ascii="Arial" w:hAnsi="Arial" w:cs="Arial"/>
                <w:color w:val="000000"/>
                <w:sz w:val="20"/>
              </w:rPr>
              <w:t>3</w:t>
            </w:r>
          </w:p>
        </w:tc>
        <w:tc>
          <w:tcPr>
            <w:tcW w:w="942" w:type="pct"/>
            <w:tcBorders>
              <w:top w:val="single" w:sz="4" w:space="0" w:color="auto"/>
              <w:left w:val="single" w:sz="12" w:space="0" w:color="auto"/>
              <w:bottom w:val="single" w:sz="4" w:space="0" w:color="auto"/>
              <w:right w:val="single" w:sz="4" w:space="0" w:color="auto"/>
            </w:tcBorders>
          </w:tcPr>
          <w:p w14:paraId="386B4568" w14:textId="77777777" w:rsidR="00492F82" w:rsidRPr="003D5DFA" w:rsidRDefault="00A309B2" w:rsidP="00796A19">
            <w:pPr>
              <w:jc w:val="center"/>
              <w:rPr>
                <w:rFonts w:ascii="Arial" w:hAnsi="Arial" w:cs="Arial"/>
                <w:color w:val="000000"/>
                <w:sz w:val="20"/>
              </w:rPr>
            </w:pPr>
            <w:r>
              <w:rPr>
                <w:rFonts w:ascii="Arial" w:hAnsi="Arial" w:cs="Arial"/>
                <w:color w:val="000000"/>
                <w:sz w:val="20"/>
              </w:rPr>
              <w:t>73,265</w:t>
            </w:r>
          </w:p>
        </w:tc>
        <w:tc>
          <w:tcPr>
            <w:tcW w:w="1023" w:type="pct"/>
            <w:tcBorders>
              <w:top w:val="single" w:sz="4" w:space="0" w:color="auto"/>
              <w:left w:val="single" w:sz="12" w:space="0" w:color="auto"/>
              <w:bottom w:val="single" w:sz="4" w:space="0" w:color="auto"/>
              <w:right w:val="single" w:sz="4" w:space="0" w:color="auto"/>
            </w:tcBorders>
          </w:tcPr>
          <w:p w14:paraId="065285CB" w14:textId="77777777" w:rsidR="00492F82" w:rsidRPr="003D5DFA" w:rsidRDefault="00A309B2" w:rsidP="00796A19">
            <w:pPr>
              <w:jc w:val="center"/>
              <w:rPr>
                <w:rFonts w:ascii="Arial" w:hAnsi="Arial" w:cs="Arial"/>
                <w:color w:val="000000"/>
                <w:sz w:val="20"/>
              </w:rPr>
            </w:pPr>
            <w:r>
              <w:rPr>
                <w:rFonts w:ascii="Arial" w:hAnsi="Arial" w:cs="Arial"/>
                <w:color w:val="000000"/>
                <w:sz w:val="20"/>
              </w:rPr>
              <w:t>17,476</w:t>
            </w:r>
          </w:p>
        </w:tc>
        <w:tc>
          <w:tcPr>
            <w:tcW w:w="1151" w:type="pct"/>
            <w:tcBorders>
              <w:top w:val="single" w:sz="4" w:space="0" w:color="auto"/>
              <w:left w:val="single" w:sz="12" w:space="0" w:color="auto"/>
              <w:bottom w:val="single" w:sz="4" w:space="0" w:color="auto"/>
              <w:right w:val="single" w:sz="4" w:space="0" w:color="auto"/>
            </w:tcBorders>
          </w:tcPr>
          <w:p w14:paraId="26E37C83" w14:textId="77777777" w:rsidR="00492F82" w:rsidRPr="003D5DFA" w:rsidRDefault="00A309B2" w:rsidP="00796A19">
            <w:pPr>
              <w:jc w:val="center"/>
              <w:rPr>
                <w:rFonts w:ascii="Arial" w:hAnsi="Arial" w:cs="Arial"/>
                <w:color w:val="000000"/>
                <w:sz w:val="20"/>
              </w:rPr>
            </w:pPr>
            <w:r>
              <w:rPr>
                <w:rFonts w:ascii="Arial" w:hAnsi="Arial" w:cs="Arial"/>
                <w:color w:val="000000"/>
                <w:sz w:val="20"/>
              </w:rPr>
              <w:t>10,489</w:t>
            </w:r>
          </w:p>
        </w:tc>
        <w:tc>
          <w:tcPr>
            <w:tcW w:w="942" w:type="pct"/>
            <w:tcBorders>
              <w:top w:val="single" w:sz="4" w:space="0" w:color="auto"/>
              <w:left w:val="single" w:sz="12" w:space="0" w:color="auto"/>
              <w:bottom w:val="single" w:sz="4" w:space="0" w:color="auto"/>
              <w:right w:val="single" w:sz="18" w:space="0" w:color="auto"/>
            </w:tcBorders>
          </w:tcPr>
          <w:p w14:paraId="002C772C" w14:textId="77777777" w:rsidR="00492F82" w:rsidRPr="003D5DFA" w:rsidRDefault="00A309B2" w:rsidP="00796A19">
            <w:pPr>
              <w:jc w:val="center"/>
              <w:rPr>
                <w:rFonts w:ascii="Arial" w:hAnsi="Arial" w:cs="Arial"/>
                <w:color w:val="000000"/>
                <w:sz w:val="20"/>
              </w:rPr>
            </w:pPr>
            <w:r>
              <w:rPr>
                <w:rFonts w:ascii="Arial" w:hAnsi="Arial" w:cs="Arial"/>
                <w:color w:val="000000"/>
                <w:sz w:val="20"/>
              </w:rPr>
              <w:t>3,804</w:t>
            </w:r>
          </w:p>
        </w:tc>
      </w:tr>
      <w:tr w:rsidR="00453F5C" w:rsidRPr="003D5DFA" w14:paraId="48BA2DF6" w14:textId="77777777" w:rsidTr="008358C0">
        <w:tc>
          <w:tcPr>
            <w:tcW w:w="942" w:type="pct"/>
            <w:tcBorders>
              <w:top w:val="single" w:sz="4" w:space="0" w:color="auto"/>
              <w:left w:val="single" w:sz="12" w:space="0" w:color="auto"/>
              <w:bottom w:val="single" w:sz="4" w:space="0" w:color="auto"/>
              <w:right w:val="single" w:sz="4" w:space="0" w:color="auto"/>
            </w:tcBorders>
          </w:tcPr>
          <w:p w14:paraId="102955F9" w14:textId="7BAAD3AE" w:rsidR="00453F5C" w:rsidRPr="003D5DFA" w:rsidRDefault="00453F5C" w:rsidP="00796A19">
            <w:pPr>
              <w:jc w:val="center"/>
              <w:rPr>
                <w:rFonts w:ascii="Arial" w:hAnsi="Arial" w:cs="Arial"/>
                <w:color w:val="000000"/>
                <w:sz w:val="20"/>
              </w:rPr>
            </w:pPr>
            <w:r>
              <w:rPr>
                <w:rFonts w:ascii="Arial" w:hAnsi="Arial" w:cs="Arial"/>
                <w:color w:val="000000"/>
                <w:sz w:val="20"/>
              </w:rPr>
              <w:t>2013</w:t>
            </w:r>
            <w:r w:rsidR="009D6EF3">
              <w:rPr>
                <w:rFonts w:ascii="Arial" w:hAnsi="Arial" w:cs="Arial"/>
                <w:color w:val="000000"/>
                <w:sz w:val="20"/>
              </w:rPr>
              <w:t>/</w:t>
            </w:r>
            <w:r>
              <w:rPr>
                <w:rFonts w:ascii="Arial" w:hAnsi="Arial" w:cs="Arial"/>
                <w:color w:val="000000"/>
                <w:sz w:val="20"/>
              </w:rPr>
              <w:t>2014</w:t>
            </w:r>
          </w:p>
        </w:tc>
        <w:tc>
          <w:tcPr>
            <w:tcW w:w="942" w:type="pct"/>
            <w:tcBorders>
              <w:top w:val="single" w:sz="4" w:space="0" w:color="auto"/>
              <w:left w:val="single" w:sz="12" w:space="0" w:color="auto"/>
              <w:bottom w:val="single" w:sz="4" w:space="0" w:color="auto"/>
              <w:right w:val="single" w:sz="4" w:space="0" w:color="auto"/>
            </w:tcBorders>
          </w:tcPr>
          <w:p w14:paraId="1CD3E323" w14:textId="77777777" w:rsidR="00453F5C" w:rsidRDefault="00453F5C" w:rsidP="00796A19">
            <w:pPr>
              <w:jc w:val="center"/>
              <w:rPr>
                <w:rFonts w:ascii="Arial" w:hAnsi="Arial" w:cs="Arial"/>
                <w:color w:val="000000"/>
                <w:sz w:val="20"/>
              </w:rPr>
            </w:pPr>
            <w:r>
              <w:rPr>
                <w:rFonts w:ascii="Arial" w:hAnsi="Arial" w:cs="Arial"/>
                <w:color w:val="000000"/>
                <w:sz w:val="20"/>
              </w:rPr>
              <w:t>82,056</w:t>
            </w:r>
          </w:p>
        </w:tc>
        <w:tc>
          <w:tcPr>
            <w:tcW w:w="1023" w:type="pct"/>
            <w:tcBorders>
              <w:top w:val="single" w:sz="4" w:space="0" w:color="auto"/>
              <w:left w:val="single" w:sz="12" w:space="0" w:color="auto"/>
              <w:bottom w:val="single" w:sz="4" w:space="0" w:color="auto"/>
              <w:right w:val="single" w:sz="4" w:space="0" w:color="auto"/>
            </w:tcBorders>
          </w:tcPr>
          <w:p w14:paraId="07BD799B" w14:textId="77777777" w:rsidR="00453F5C" w:rsidRDefault="00453F5C" w:rsidP="00796A19">
            <w:pPr>
              <w:jc w:val="center"/>
              <w:rPr>
                <w:rFonts w:ascii="Arial" w:hAnsi="Arial" w:cs="Arial"/>
                <w:color w:val="000000"/>
                <w:sz w:val="20"/>
              </w:rPr>
            </w:pPr>
            <w:r>
              <w:rPr>
                <w:rFonts w:ascii="Arial" w:hAnsi="Arial" w:cs="Arial"/>
                <w:color w:val="000000"/>
                <w:sz w:val="20"/>
              </w:rPr>
              <w:t>19,206</w:t>
            </w:r>
          </w:p>
        </w:tc>
        <w:tc>
          <w:tcPr>
            <w:tcW w:w="1151" w:type="pct"/>
            <w:tcBorders>
              <w:top w:val="single" w:sz="4" w:space="0" w:color="auto"/>
              <w:left w:val="single" w:sz="12" w:space="0" w:color="auto"/>
              <w:bottom w:val="single" w:sz="4" w:space="0" w:color="auto"/>
              <w:right w:val="single" w:sz="4" w:space="0" w:color="auto"/>
            </w:tcBorders>
          </w:tcPr>
          <w:p w14:paraId="0AEED227" w14:textId="77777777" w:rsidR="00453F5C" w:rsidRDefault="00453F5C" w:rsidP="00796A19">
            <w:pPr>
              <w:jc w:val="center"/>
              <w:rPr>
                <w:rFonts w:ascii="Arial" w:hAnsi="Arial" w:cs="Arial"/>
                <w:color w:val="000000"/>
                <w:sz w:val="20"/>
              </w:rPr>
            </w:pPr>
            <w:r>
              <w:rPr>
                <w:rFonts w:ascii="Arial" w:hAnsi="Arial" w:cs="Arial"/>
                <w:color w:val="000000"/>
                <w:sz w:val="20"/>
              </w:rPr>
              <w:t>11,395</w:t>
            </w:r>
          </w:p>
        </w:tc>
        <w:tc>
          <w:tcPr>
            <w:tcW w:w="942" w:type="pct"/>
            <w:tcBorders>
              <w:top w:val="single" w:sz="4" w:space="0" w:color="auto"/>
              <w:left w:val="single" w:sz="12" w:space="0" w:color="auto"/>
              <w:bottom w:val="single" w:sz="4" w:space="0" w:color="auto"/>
              <w:right w:val="single" w:sz="18" w:space="0" w:color="auto"/>
            </w:tcBorders>
          </w:tcPr>
          <w:p w14:paraId="0700E768" w14:textId="5FB475AD" w:rsidR="00453F5C" w:rsidRDefault="00625B1E" w:rsidP="00796A19">
            <w:pPr>
              <w:jc w:val="center"/>
              <w:rPr>
                <w:rFonts w:ascii="Arial" w:hAnsi="Arial" w:cs="Arial"/>
                <w:color w:val="000000"/>
                <w:sz w:val="20"/>
              </w:rPr>
            </w:pPr>
            <w:r>
              <w:rPr>
                <w:rFonts w:ascii="Arial" w:hAnsi="Arial" w:cs="Arial"/>
                <w:color w:val="000000"/>
                <w:sz w:val="20"/>
              </w:rPr>
              <w:t>4,2</w:t>
            </w:r>
            <w:r w:rsidR="00D01113">
              <w:rPr>
                <w:rFonts w:ascii="Arial" w:hAnsi="Arial" w:cs="Arial"/>
                <w:color w:val="000000"/>
                <w:sz w:val="20"/>
              </w:rPr>
              <w:t>9</w:t>
            </w:r>
            <w:r>
              <w:rPr>
                <w:rFonts w:ascii="Arial" w:hAnsi="Arial" w:cs="Arial"/>
                <w:color w:val="000000"/>
                <w:sz w:val="20"/>
              </w:rPr>
              <w:t>0</w:t>
            </w:r>
          </w:p>
        </w:tc>
      </w:tr>
      <w:tr w:rsidR="00B64CD9" w:rsidRPr="003D5DFA" w14:paraId="479E5B36" w14:textId="77777777" w:rsidTr="008358C0">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56022052"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4" w:space="0" w:color="auto"/>
            </w:tcBorders>
            <w:shd w:val="clear" w:color="auto" w:fill="000000" w:themeFill="text1"/>
          </w:tcPr>
          <w:p w14:paraId="2A9ED3E4" w14:textId="77777777" w:rsidR="00B64CD9" w:rsidRDefault="00B64CD9" w:rsidP="00796A19">
            <w:pPr>
              <w:jc w:val="center"/>
              <w:rPr>
                <w:rFonts w:ascii="Arial" w:hAnsi="Arial" w:cs="Arial"/>
                <w:color w:val="000000"/>
                <w:sz w:val="20"/>
              </w:rPr>
            </w:pPr>
          </w:p>
        </w:tc>
        <w:tc>
          <w:tcPr>
            <w:tcW w:w="1023" w:type="pct"/>
            <w:tcBorders>
              <w:top w:val="single" w:sz="4" w:space="0" w:color="auto"/>
              <w:left w:val="single" w:sz="12" w:space="0" w:color="auto"/>
              <w:bottom w:val="single" w:sz="4" w:space="0" w:color="auto"/>
              <w:right w:val="single" w:sz="4" w:space="0" w:color="auto"/>
            </w:tcBorders>
            <w:shd w:val="clear" w:color="auto" w:fill="000000" w:themeFill="text1"/>
          </w:tcPr>
          <w:p w14:paraId="2A338D19" w14:textId="77777777" w:rsidR="00B64CD9" w:rsidRDefault="00B64CD9" w:rsidP="00796A19">
            <w:pPr>
              <w:jc w:val="center"/>
              <w:rPr>
                <w:rFonts w:ascii="Arial" w:hAnsi="Arial" w:cs="Arial"/>
                <w:color w:val="000000"/>
                <w:sz w:val="20"/>
              </w:rPr>
            </w:pPr>
          </w:p>
        </w:tc>
        <w:tc>
          <w:tcPr>
            <w:tcW w:w="1151" w:type="pct"/>
            <w:tcBorders>
              <w:top w:val="single" w:sz="4" w:space="0" w:color="auto"/>
              <w:left w:val="single" w:sz="12" w:space="0" w:color="auto"/>
              <w:bottom w:val="single" w:sz="4" w:space="0" w:color="auto"/>
              <w:right w:val="single" w:sz="4" w:space="0" w:color="auto"/>
            </w:tcBorders>
            <w:shd w:val="clear" w:color="auto" w:fill="000000" w:themeFill="text1"/>
          </w:tcPr>
          <w:p w14:paraId="16B8C590" w14:textId="77777777" w:rsidR="00B64CD9" w:rsidRDefault="00B64CD9" w:rsidP="00796A19">
            <w:pPr>
              <w:jc w:val="center"/>
              <w:rPr>
                <w:rFonts w:ascii="Arial" w:hAnsi="Arial" w:cs="Arial"/>
                <w:color w:val="000000"/>
                <w:sz w:val="20"/>
              </w:rPr>
            </w:pPr>
          </w:p>
        </w:tc>
        <w:tc>
          <w:tcPr>
            <w:tcW w:w="942" w:type="pct"/>
            <w:tcBorders>
              <w:top w:val="single" w:sz="4" w:space="0" w:color="auto"/>
              <w:left w:val="single" w:sz="12" w:space="0" w:color="auto"/>
              <w:bottom w:val="single" w:sz="4" w:space="0" w:color="auto"/>
              <w:right w:val="single" w:sz="18" w:space="0" w:color="auto"/>
            </w:tcBorders>
            <w:shd w:val="clear" w:color="auto" w:fill="000000" w:themeFill="text1"/>
          </w:tcPr>
          <w:p w14:paraId="497FD1BF" w14:textId="77777777" w:rsidR="00B64CD9" w:rsidRDefault="00B64CD9" w:rsidP="00796A19">
            <w:pPr>
              <w:jc w:val="center"/>
              <w:rPr>
                <w:rFonts w:ascii="Arial" w:hAnsi="Arial" w:cs="Arial"/>
                <w:color w:val="000000"/>
                <w:sz w:val="20"/>
              </w:rPr>
            </w:pPr>
          </w:p>
        </w:tc>
      </w:tr>
      <w:tr w:rsidR="00B64CD9" w:rsidRPr="003D5DFA" w14:paraId="11ABD619" w14:textId="77777777" w:rsidTr="008358C0">
        <w:tc>
          <w:tcPr>
            <w:tcW w:w="942" w:type="pct"/>
            <w:tcBorders>
              <w:top w:val="single" w:sz="4" w:space="0" w:color="auto"/>
              <w:left w:val="single" w:sz="12" w:space="0" w:color="auto"/>
              <w:bottom w:val="single" w:sz="4" w:space="0" w:color="auto"/>
              <w:right w:val="single" w:sz="4" w:space="0" w:color="auto"/>
            </w:tcBorders>
          </w:tcPr>
          <w:p w14:paraId="0491CD35" w14:textId="048BD399" w:rsidR="00B64CD9" w:rsidRDefault="00215923" w:rsidP="00796A19">
            <w:pPr>
              <w:jc w:val="center"/>
              <w:rPr>
                <w:rFonts w:ascii="Arial" w:hAnsi="Arial" w:cs="Arial"/>
                <w:color w:val="000000"/>
                <w:sz w:val="20"/>
              </w:rPr>
            </w:pPr>
            <w:r>
              <w:rPr>
                <w:rFonts w:ascii="Arial" w:hAnsi="Arial" w:cs="Arial"/>
                <w:color w:val="000000"/>
                <w:sz w:val="20"/>
              </w:rPr>
              <w:t>2019/2020</w:t>
            </w:r>
          </w:p>
        </w:tc>
        <w:tc>
          <w:tcPr>
            <w:tcW w:w="942" w:type="pct"/>
            <w:tcBorders>
              <w:top w:val="single" w:sz="4" w:space="0" w:color="auto"/>
              <w:left w:val="single" w:sz="12" w:space="0" w:color="auto"/>
              <w:bottom w:val="single" w:sz="4" w:space="0" w:color="auto"/>
              <w:right w:val="single" w:sz="4" w:space="0" w:color="auto"/>
            </w:tcBorders>
          </w:tcPr>
          <w:p w14:paraId="687A2A77" w14:textId="4EE2B39C" w:rsidR="00B64CD9" w:rsidRDefault="00215923" w:rsidP="00796A19">
            <w:pPr>
              <w:jc w:val="center"/>
              <w:rPr>
                <w:rFonts w:ascii="Arial" w:hAnsi="Arial" w:cs="Arial"/>
                <w:color w:val="000000"/>
                <w:sz w:val="20"/>
              </w:rPr>
            </w:pPr>
            <w:r>
              <w:rPr>
                <w:rFonts w:ascii="Arial" w:hAnsi="Arial" w:cs="Arial"/>
                <w:color w:val="000000"/>
                <w:sz w:val="20"/>
              </w:rPr>
              <w:t>121,739</w:t>
            </w:r>
          </w:p>
        </w:tc>
        <w:tc>
          <w:tcPr>
            <w:tcW w:w="1023" w:type="pct"/>
            <w:tcBorders>
              <w:top w:val="single" w:sz="4" w:space="0" w:color="auto"/>
              <w:left w:val="single" w:sz="12" w:space="0" w:color="auto"/>
              <w:bottom w:val="single" w:sz="4" w:space="0" w:color="auto"/>
              <w:right w:val="single" w:sz="4" w:space="0" w:color="auto"/>
            </w:tcBorders>
          </w:tcPr>
          <w:p w14:paraId="31BC0A9F" w14:textId="2C91B3B6" w:rsidR="00B64CD9" w:rsidRDefault="00215923" w:rsidP="00796A19">
            <w:pPr>
              <w:jc w:val="center"/>
              <w:rPr>
                <w:rFonts w:ascii="Arial" w:hAnsi="Arial" w:cs="Arial"/>
                <w:color w:val="000000"/>
                <w:sz w:val="20"/>
              </w:rPr>
            </w:pPr>
            <w:r>
              <w:rPr>
                <w:rFonts w:ascii="Arial" w:hAnsi="Arial" w:cs="Arial"/>
                <w:color w:val="000000"/>
                <w:sz w:val="20"/>
              </w:rPr>
              <w:t>33,783</w:t>
            </w:r>
          </w:p>
        </w:tc>
        <w:tc>
          <w:tcPr>
            <w:tcW w:w="1151" w:type="pct"/>
            <w:tcBorders>
              <w:top w:val="single" w:sz="4" w:space="0" w:color="auto"/>
              <w:left w:val="single" w:sz="12" w:space="0" w:color="auto"/>
              <w:bottom w:val="single" w:sz="4" w:space="0" w:color="auto"/>
              <w:right w:val="single" w:sz="4" w:space="0" w:color="auto"/>
            </w:tcBorders>
          </w:tcPr>
          <w:p w14:paraId="23C4FF36" w14:textId="77777777" w:rsidR="00B64CD9" w:rsidRDefault="00215923" w:rsidP="00796A19">
            <w:pPr>
              <w:jc w:val="center"/>
              <w:rPr>
                <w:rFonts w:ascii="Arial" w:hAnsi="Arial" w:cs="Arial"/>
                <w:color w:val="000000"/>
                <w:sz w:val="20"/>
              </w:rPr>
            </w:pPr>
            <w:r>
              <w:rPr>
                <w:rFonts w:ascii="Arial" w:hAnsi="Arial" w:cs="Arial"/>
                <w:color w:val="000000"/>
                <w:sz w:val="20"/>
              </w:rPr>
              <w:t>16,714</w:t>
            </w:r>
          </w:p>
          <w:p w14:paraId="15F0451D" w14:textId="5BC9C5B2" w:rsidR="008358C0" w:rsidRDefault="008358C0" w:rsidP="00796A19">
            <w:pPr>
              <w:jc w:val="center"/>
              <w:rPr>
                <w:rFonts w:ascii="Arial" w:hAnsi="Arial" w:cs="Arial"/>
                <w:color w:val="000000"/>
                <w:sz w:val="20"/>
              </w:rPr>
            </w:pPr>
            <w:r>
              <w:rPr>
                <w:rFonts w:ascii="Arial" w:hAnsi="Arial" w:cs="Arial"/>
                <w:color w:val="000000"/>
                <w:sz w:val="20"/>
              </w:rPr>
              <w:t>[2,341 indigenous]</w:t>
            </w:r>
          </w:p>
        </w:tc>
        <w:tc>
          <w:tcPr>
            <w:tcW w:w="942" w:type="pct"/>
            <w:tcBorders>
              <w:top w:val="single" w:sz="4" w:space="0" w:color="auto"/>
              <w:left w:val="single" w:sz="12" w:space="0" w:color="auto"/>
              <w:bottom w:val="single" w:sz="4" w:space="0" w:color="auto"/>
              <w:right w:val="single" w:sz="18" w:space="0" w:color="auto"/>
            </w:tcBorders>
          </w:tcPr>
          <w:p w14:paraId="3D982AB9" w14:textId="5C8EA99F" w:rsidR="00B64CD9" w:rsidRDefault="00D01113" w:rsidP="00796A19">
            <w:pPr>
              <w:jc w:val="center"/>
              <w:rPr>
                <w:rFonts w:ascii="Arial" w:hAnsi="Arial" w:cs="Arial"/>
                <w:color w:val="000000"/>
                <w:sz w:val="20"/>
              </w:rPr>
            </w:pPr>
            <w:r>
              <w:rPr>
                <w:rFonts w:ascii="Arial" w:hAnsi="Arial" w:cs="Arial"/>
                <w:color w:val="000000"/>
                <w:sz w:val="20"/>
              </w:rPr>
              <w:t>5,881</w:t>
            </w:r>
          </w:p>
        </w:tc>
      </w:tr>
      <w:tr w:rsidR="00B64CD9" w:rsidRPr="003D5DFA" w14:paraId="15DE54EF" w14:textId="77777777" w:rsidTr="008358C0">
        <w:tc>
          <w:tcPr>
            <w:tcW w:w="942" w:type="pct"/>
            <w:tcBorders>
              <w:top w:val="single" w:sz="4" w:space="0" w:color="auto"/>
              <w:left w:val="single" w:sz="12" w:space="0" w:color="auto"/>
              <w:bottom w:val="single" w:sz="4" w:space="0" w:color="auto"/>
              <w:right w:val="single" w:sz="4" w:space="0" w:color="auto"/>
            </w:tcBorders>
          </w:tcPr>
          <w:p w14:paraId="7D131894" w14:textId="60AB1861" w:rsidR="00B64CD9" w:rsidRDefault="00215923" w:rsidP="00796A19">
            <w:pPr>
              <w:jc w:val="center"/>
              <w:rPr>
                <w:rFonts w:ascii="Arial" w:hAnsi="Arial" w:cs="Arial"/>
                <w:color w:val="000000"/>
                <w:sz w:val="20"/>
              </w:rPr>
            </w:pPr>
            <w:r>
              <w:rPr>
                <w:rFonts w:ascii="Arial" w:hAnsi="Arial" w:cs="Arial"/>
                <w:color w:val="000000"/>
                <w:sz w:val="20"/>
              </w:rPr>
              <w:t>2020/2021</w:t>
            </w:r>
          </w:p>
        </w:tc>
        <w:tc>
          <w:tcPr>
            <w:tcW w:w="942" w:type="pct"/>
            <w:tcBorders>
              <w:top w:val="single" w:sz="4" w:space="0" w:color="auto"/>
              <w:left w:val="single" w:sz="12" w:space="0" w:color="auto"/>
              <w:bottom w:val="single" w:sz="4" w:space="0" w:color="auto"/>
              <w:right w:val="single" w:sz="4" w:space="0" w:color="auto"/>
            </w:tcBorders>
          </w:tcPr>
          <w:p w14:paraId="60A2D050" w14:textId="253E79D9" w:rsidR="00B64CD9" w:rsidRDefault="00215923" w:rsidP="00796A19">
            <w:pPr>
              <w:jc w:val="center"/>
              <w:rPr>
                <w:rFonts w:ascii="Arial" w:hAnsi="Arial" w:cs="Arial"/>
                <w:color w:val="000000"/>
                <w:sz w:val="20"/>
              </w:rPr>
            </w:pPr>
            <w:r>
              <w:rPr>
                <w:rFonts w:ascii="Arial" w:hAnsi="Arial" w:cs="Arial"/>
                <w:color w:val="000000"/>
                <w:sz w:val="20"/>
              </w:rPr>
              <w:t>121,715</w:t>
            </w:r>
          </w:p>
        </w:tc>
        <w:tc>
          <w:tcPr>
            <w:tcW w:w="1023" w:type="pct"/>
            <w:tcBorders>
              <w:top w:val="single" w:sz="4" w:space="0" w:color="auto"/>
              <w:left w:val="single" w:sz="12" w:space="0" w:color="auto"/>
              <w:bottom w:val="single" w:sz="4" w:space="0" w:color="auto"/>
              <w:right w:val="single" w:sz="4" w:space="0" w:color="auto"/>
            </w:tcBorders>
          </w:tcPr>
          <w:p w14:paraId="611E724A" w14:textId="242A3410" w:rsidR="00B64CD9" w:rsidRDefault="00215923" w:rsidP="00796A19">
            <w:pPr>
              <w:jc w:val="center"/>
              <w:rPr>
                <w:rFonts w:ascii="Arial" w:hAnsi="Arial" w:cs="Arial"/>
                <w:color w:val="000000"/>
                <w:sz w:val="20"/>
              </w:rPr>
            </w:pPr>
            <w:r>
              <w:rPr>
                <w:rFonts w:ascii="Arial" w:hAnsi="Arial" w:cs="Arial"/>
                <w:color w:val="000000"/>
                <w:sz w:val="20"/>
              </w:rPr>
              <w:t>33,320</w:t>
            </w:r>
          </w:p>
        </w:tc>
        <w:tc>
          <w:tcPr>
            <w:tcW w:w="1151" w:type="pct"/>
            <w:tcBorders>
              <w:top w:val="single" w:sz="4" w:space="0" w:color="auto"/>
              <w:left w:val="single" w:sz="12" w:space="0" w:color="auto"/>
              <w:bottom w:val="single" w:sz="4" w:space="0" w:color="auto"/>
              <w:right w:val="single" w:sz="4" w:space="0" w:color="auto"/>
            </w:tcBorders>
          </w:tcPr>
          <w:p w14:paraId="681369EE" w14:textId="2A398FDD" w:rsidR="00B64CD9" w:rsidRDefault="00215923" w:rsidP="00796A19">
            <w:pPr>
              <w:jc w:val="center"/>
              <w:rPr>
                <w:rFonts w:ascii="Arial" w:hAnsi="Arial" w:cs="Arial"/>
                <w:color w:val="000000"/>
                <w:sz w:val="20"/>
              </w:rPr>
            </w:pPr>
            <w:r>
              <w:rPr>
                <w:rFonts w:ascii="Arial" w:hAnsi="Arial" w:cs="Arial"/>
                <w:color w:val="000000"/>
                <w:sz w:val="20"/>
              </w:rPr>
              <w:t>16,830</w:t>
            </w:r>
          </w:p>
        </w:tc>
        <w:tc>
          <w:tcPr>
            <w:tcW w:w="942" w:type="pct"/>
            <w:tcBorders>
              <w:top w:val="single" w:sz="4" w:space="0" w:color="auto"/>
              <w:left w:val="single" w:sz="12" w:space="0" w:color="auto"/>
              <w:bottom w:val="single" w:sz="4" w:space="0" w:color="auto"/>
              <w:right w:val="single" w:sz="18" w:space="0" w:color="auto"/>
            </w:tcBorders>
          </w:tcPr>
          <w:p w14:paraId="4BD3C2A0" w14:textId="616FFA88" w:rsidR="00B64CD9" w:rsidRDefault="00D01113" w:rsidP="00796A19">
            <w:pPr>
              <w:jc w:val="center"/>
              <w:rPr>
                <w:rFonts w:ascii="Arial" w:hAnsi="Arial" w:cs="Arial"/>
                <w:color w:val="000000"/>
                <w:sz w:val="20"/>
              </w:rPr>
            </w:pPr>
            <w:r>
              <w:rPr>
                <w:rFonts w:ascii="Arial" w:hAnsi="Arial" w:cs="Arial"/>
                <w:color w:val="000000"/>
                <w:sz w:val="20"/>
              </w:rPr>
              <w:t>4,723</w:t>
            </w:r>
          </w:p>
        </w:tc>
      </w:tr>
      <w:tr w:rsidR="00B64CD9" w:rsidRPr="003D5DFA" w14:paraId="230E17C3" w14:textId="77777777" w:rsidTr="008358C0">
        <w:tc>
          <w:tcPr>
            <w:tcW w:w="942" w:type="pct"/>
            <w:tcBorders>
              <w:top w:val="single" w:sz="4" w:space="0" w:color="auto"/>
              <w:left w:val="single" w:sz="12" w:space="0" w:color="auto"/>
              <w:bottom w:val="single" w:sz="4" w:space="0" w:color="auto"/>
              <w:right w:val="single" w:sz="4" w:space="0" w:color="auto"/>
            </w:tcBorders>
          </w:tcPr>
          <w:p w14:paraId="79BE23BA" w14:textId="7EAF1043" w:rsidR="00B64CD9" w:rsidRDefault="00215923" w:rsidP="00796A19">
            <w:pPr>
              <w:jc w:val="center"/>
              <w:rPr>
                <w:rFonts w:ascii="Arial" w:hAnsi="Arial" w:cs="Arial"/>
                <w:color w:val="000000"/>
                <w:sz w:val="20"/>
              </w:rPr>
            </w:pPr>
            <w:r>
              <w:rPr>
                <w:rFonts w:ascii="Arial" w:hAnsi="Arial" w:cs="Arial"/>
                <w:color w:val="000000"/>
                <w:sz w:val="20"/>
              </w:rPr>
              <w:t>2021/2022</w:t>
            </w:r>
          </w:p>
        </w:tc>
        <w:tc>
          <w:tcPr>
            <w:tcW w:w="942" w:type="pct"/>
            <w:tcBorders>
              <w:top w:val="single" w:sz="4" w:space="0" w:color="auto"/>
              <w:left w:val="single" w:sz="12" w:space="0" w:color="auto"/>
              <w:bottom w:val="single" w:sz="4" w:space="0" w:color="auto"/>
              <w:right w:val="single" w:sz="4" w:space="0" w:color="auto"/>
            </w:tcBorders>
          </w:tcPr>
          <w:p w14:paraId="0E6D9D85" w14:textId="5A4788AE" w:rsidR="00B64CD9" w:rsidRDefault="009B1A5D" w:rsidP="00796A19">
            <w:pPr>
              <w:jc w:val="center"/>
              <w:rPr>
                <w:rFonts w:ascii="Arial" w:hAnsi="Arial" w:cs="Arial"/>
                <w:color w:val="000000"/>
                <w:sz w:val="20"/>
              </w:rPr>
            </w:pPr>
            <w:r>
              <w:rPr>
                <w:rFonts w:ascii="Arial" w:hAnsi="Arial" w:cs="Arial"/>
                <w:color w:val="000000"/>
                <w:sz w:val="20"/>
              </w:rPr>
              <w:t>118,096</w:t>
            </w:r>
          </w:p>
        </w:tc>
        <w:tc>
          <w:tcPr>
            <w:tcW w:w="1023" w:type="pct"/>
            <w:tcBorders>
              <w:top w:val="single" w:sz="4" w:space="0" w:color="auto"/>
              <w:left w:val="single" w:sz="12" w:space="0" w:color="auto"/>
              <w:bottom w:val="single" w:sz="4" w:space="0" w:color="auto"/>
              <w:right w:val="single" w:sz="4" w:space="0" w:color="auto"/>
            </w:tcBorders>
          </w:tcPr>
          <w:p w14:paraId="1E40B00A" w14:textId="261A67D1" w:rsidR="00B64CD9" w:rsidRDefault="009B1A5D" w:rsidP="00796A19">
            <w:pPr>
              <w:jc w:val="center"/>
              <w:rPr>
                <w:rFonts w:ascii="Arial" w:hAnsi="Arial" w:cs="Arial"/>
                <w:color w:val="000000"/>
                <w:sz w:val="20"/>
              </w:rPr>
            </w:pPr>
            <w:r>
              <w:rPr>
                <w:rFonts w:ascii="Arial" w:hAnsi="Arial" w:cs="Arial"/>
                <w:color w:val="000000"/>
                <w:sz w:val="20"/>
              </w:rPr>
              <w:t>35,518</w:t>
            </w:r>
          </w:p>
        </w:tc>
        <w:tc>
          <w:tcPr>
            <w:tcW w:w="1151" w:type="pct"/>
            <w:tcBorders>
              <w:top w:val="single" w:sz="4" w:space="0" w:color="auto"/>
              <w:left w:val="single" w:sz="12" w:space="0" w:color="auto"/>
              <w:bottom w:val="single" w:sz="4" w:space="0" w:color="auto"/>
              <w:right w:val="single" w:sz="4" w:space="0" w:color="auto"/>
            </w:tcBorders>
          </w:tcPr>
          <w:p w14:paraId="32AE365E" w14:textId="0F37FEF9" w:rsidR="00B64CD9" w:rsidRDefault="009B1A5D" w:rsidP="00796A19">
            <w:pPr>
              <w:jc w:val="center"/>
              <w:rPr>
                <w:rFonts w:ascii="Arial" w:hAnsi="Arial" w:cs="Arial"/>
                <w:color w:val="000000"/>
                <w:sz w:val="20"/>
              </w:rPr>
            </w:pPr>
            <w:r>
              <w:rPr>
                <w:rFonts w:ascii="Arial" w:hAnsi="Arial" w:cs="Arial"/>
                <w:color w:val="000000"/>
                <w:sz w:val="20"/>
              </w:rPr>
              <w:t>16,066</w:t>
            </w:r>
          </w:p>
        </w:tc>
        <w:tc>
          <w:tcPr>
            <w:tcW w:w="942" w:type="pct"/>
            <w:tcBorders>
              <w:top w:val="single" w:sz="4" w:space="0" w:color="auto"/>
              <w:left w:val="single" w:sz="12" w:space="0" w:color="auto"/>
              <w:bottom w:val="single" w:sz="4" w:space="0" w:color="auto"/>
              <w:right w:val="single" w:sz="18" w:space="0" w:color="auto"/>
            </w:tcBorders>
          </w:tcPr>
          <w:p w14:paraId="6068799B" w14:textId="5AFBEE09" w:rsidR="00B64CD9" w:rsidRDefault="00D01113" w:rsidP="00796A19">
            <w:pPr>
              <w:jc w:val="center"/>
              <w:rPr>
                <w:rFonts w:ascii="Arial" w:hAnsi="Arial" w:cs="Arial"/>
                <w:color w:val="000000"/>
                <w:sz w:val="20"/>
              </w:rPr>
            </w:pPr>
            <w:r>
              <w:rPr>
                <w:rFonts w:ascii="Arial" w:hAnsi="Arial" w:cs="Arial"/>
                <w:color w:val="000000"/>
                <w:sz w:val="20"/>
              </w:rPr>
              <w:t>3,935</w:t>
            </w:r>
          </w:p>
        </w:tc>
      </w:tr>
      <w:tr w:rsidR="00215923" w:rsidRPr="003D5DFA" w14:paraId="63FCB92D" w14:textId="77777777" w:rsidTr="008358C0">
        <w:tc>
          <w:tcPr>
            <w:tcW w:w="942" w:type="pct"/>
            <w:tcBorders>
              <w:top w:val="single" w:sz="4" w:space="0" w:color="auto"/>
              <w:left w:val="single" w:sz="12" w:space="0" w:color="auto"/>
              <w:bottom w:val="single" w:sz="18" w:space="0" w:color="auto"/>
              <w:right w:val="single" w:sz="4" w:space="0" w:color="auto"/>
            </w:tcBorders>
          </w:tcPr>
          <w:p w14:paraId="54F86785" w14:textId="2E1C0EB1" w:rsidR="00215923" w:rsidRDefault="00215923" w:rsidP="00796A19">
            <w:pPr>
              <w:jc w:val="center"/>
              <w:rPr>
                <w:rFonts w:ascii="Arial" w:hAnsi="Arial" w:cs="Arial"/>
                <w:color w:val="000000"/>
                <w:sz w:val="20"/>
              </w:rPr>
            </w:pPr>
            <w:r>
              <w:rPr>
                <w:rFonts w:ascii="Arial" w:hAnsi="Arial" w:cs="Arial"/>
                <w:color w:val="000000"/>
                <w:sz w:val="20"/>
              </w:rPr>
              <w:t>2022/2023</w:t>
            </w:r>
          </w:p>
        </w:tc>
        <w:tc>
          <w:tcPr>
            <w:tcW w:w="942" w:type="pct"/>
            <w:tcBorders>
              <w:top w:val="single" w:sz="4" w:space="0" w:color="auto"/>
              <w:left w:val="single" w:sz="12" w:space="0" w:color="auto"/>
              <w:bottom w:val="single" w:sz="18" w:space="0" w:color="auto"/>
              <w:right w:val="single" w:sz="4" w:space="0" w:color="auto"/>
            </w:tcBorders>
          </w:tcPr>
          <w:p w14:paraId="58A83EB1" w14:textId="77777777" w:rsidR="00215923" w:rsidRDefault="00215923" w:rsidP="00796A19">
            <w:pPr>
              <w:jc w:val="center"/>
              <w:rPr>
                <w:rFonts w:ascii="Arial" w:hAnsi="Arial" w:cs="Arial"/>
                <w:color w:val="000000"/>
                <w:sz w:val="20"/>
              </w:rPr>
            </w:pPr>
          </w:p>
        </w:tc>
        <w:tc>
          <w:tcPr>
            <w:tcW w:w="1023" w:type="pct"/>
            <w:tcBorders>
              <w:top w:val="single" w:sz="4" w:space="0" w:color="auto"/>
              <w:left w:val="single" w:sz="12" w:space="0" w:color="auto"/>
              <w:bottom w:val="single" w:sz="18" w:space="0" w:color="auto"/>
              <w:right w:val="single" w:sz="4" w:space="0" w:color="auto"/>
            </w:tcBorders>
          </w:tcPr>
          <w:p w14:paraId="497A0349" w14:textId="77777777" w:rsidR="00215923" w:rsidRDefault="00215923" w:rsidP="00796A19">
            <w:pPr>
              <w:jc w:val="center"/>
              <w:rPr>
                <w:rFonts w:ascii="Arial" w:hAnsi="Arial" w:cs="Arial"/>
                <w:color w:val="000000"/>
                <w:sz w:val="20"/>
              </w:rPr>
            </w:pPr>
          </w:p>
        </w:tc>
        <w:tc>
          <w:tcPr>
            <w:tcW w:w="1151" w:type="pct"/>
            <w:tcBorders>
              <w:top w:val="single" w:sz="4" w:space="0" w:color="auto"/>
              <w:left w:val="single" w:sz="12" w:space="0" w:color="auto"/>
              <w:bottom w:val="single" w:sz="18" w:space="0" w:color="auto"/>
              <w:right w:val="single" w:sz="4" w:space="0" w:color="auto"/>
            </w:tcBorders>
          </w:tcPr>
          <w:p w14:paraId="68DCF271" w14:textId="77777777" w:rsidR="00215923" w:rsidRDefault="00215923" w:rsidP="00796A19">
            <w:pPr>
              <w:jc w:val="center"/>
              <w:rPr>
                <w:rFonts w:ascii="Arial" w:hAnsi="Arial" w:cs="Arial"/>
                <w:color w:val="000000"/>
                <w:sz w:val="20"/>
              </w:rPr>
            </w:pPr>
          </w:p>
        </w:tc>
        <w:tc>
          <w:tcPr>
            <w:tcW w:w="942" w:type="pct"/>
            <w:tcBorders>
              <w:top w:val="single" w:sz="4" w:space="0" w:color="auto"/>
              <w:left w:val="single" w:sz="12" w:space="0" w:color="auto"/>
              <w:bottom w:val="single" w:sz="18" w:space="0" w:color="auto"/>
              <w:right w:val="single" w:sz="18" w:space="0" w:color="auto"/>
            </w:tcBorders>
          </w:tcPr>
          <w:p w14:paraId="7F4DBA9B" w14:textId="1972FC0C" w:rsidR="00215923" w:rsidRDefault="00D01113" w:rsidP="00796A19">
            <w:pPr>
              <w:jc w:val="center"/>
              <w:rPr>
                <w:rFonts w:ascii="Arial" w:hAnsi="Arial" w:cs="Arial"/>
                <w:color w:val="000000"/>
                <w:sz w:val="20"/>
              </w:rPr>
            </w:pPr>
            <w:r>
              <w:rPr>
                <w:rFonts w:ascii="Arial" w:hAnsi="Arial" w:cs="Arial"/>
                <w:color w:val="000000"/>
                <w:sz w:val="20"/>
              </w:rPr>
              <w:t>3,874</w:t>
            </w:r>
          </w:p>
        </w:tc>
      </w:tr>
    </w:tbl>
    <w:p w14:paraId="3AA7D697" w14:textId="77777777" w:rsidR="008358C0" w:rsidRDefault="008358C0" w:rsidP="008358C0">
      <w:pPr>
        <w:pStyle w:val="Heading3"/>
        <w:widowControl/>
        <w:spacing w:line="240" w:lineRule="auto"/>
        <w:rPr>
          <w:rFonts w:ascii="Arial" w:hAnsi="Arial" w:cs="Arial"/>
          <w:color w:val="000000"/>
          <w:sz w:val="20"/>
        </w:rPr>
      </w:pPr>
      <w:bookmarkStart w:id="783" w:name="_4.7_Representation_of"/>
      <w:bookmarkStart w:id="784" w:name="B47"/>
      <w:bookmarkStart w:id="785" w:name="_4.7_Representation_of_1"/>
      <w:bookmarkStart w:id="786" w:name="_Toc30607531"/>
      <w:bookmarkStart w:id="787" w:name="_Toc30607660"/>
      <w:bookmarkStart w:id="788" w:name="_Toc30607985"/>
      <w:bookmarkStart w:id="789" w:name="_Toc30608818"/>
      <w:bookmarkStart w:id="790" w:name="_Toc30610032"/>
      <w:bookmarkStart w:id="791" w:name="_Toc30610276"/>
      <w:bookmarkStart w:id="792" w:name="_Toc30638430"/>
      <w:bookmarkStart w:id="793" w:name="_Toc30644243"/>
      <w:bookmarkStart w:id="794" w:name="_Toc30644650"/>
      <w:bookmarkStart w:id="795" w:name="_Toc30645200"/>
      <w:bookmarkStart w:id="796" w:name="_Toc30646412"/>
      <w:bookmarkStart w:id="797" w:name="_Toc30646707"/>
      <w:bookmarkStart w:id="798" w:name="_Toc30646818"/>
      <w:bookmarkStart w:id="799" w:name="_Toc30648180"/>
      <w:bookmarkStart w:id="800" w:name="_Toc30649078"/>
      <w:bookmarkStart w:id="801" w:name="_Toc30649154"/>
      <w:bookmarkStart w:id="802" w:name="_Toc30649415"/>
      <w:bookmarkStart w:id="803" w:name="_Toc30649740"/>
      <w:bookmarkStart w:id="804" w:name="_Toc30651680"/>
      <w:bookmarkStart w:id="805" w:name="_Toc30652670"/>
      <w:bookmarkStart w:id="806" w:name="_Toc30652766"/>
      <w:bookmarkStart w:id="807" w:name="_Toc30654111"/>
      <w:bookmarkStart w:id="808" w:name="_Toc30654462"/>
      <w:bookmarkStart w:id="809" w:name="_Toc30655081"/>
      <w:bookmarkStart w:id="810" w:name="_Toc30655338"/>
      <w:bookmarkStart w:id="811" w:name="_Toc30657016"/>
      <w:bookmarkStart w:id="812" w:name="_Toc30661765"/>
      <w:bookmarkStart w:id="813" w:name="_Toc30666453"/>
      <w:bookmarkStart w:id="814" w:name="_Toc30666683"/>
      <w:bookmarkStart w:id="815" w:name="_Toc30667858"/>
      <w:bookmarkStart w:id="816" w:name="_Toc30669236"/>
      <w:bookmarkStart w:id="817" w:name="_Toc30671452"/>
      <w:bookmarkStart w:id="818" w:name="_Toc30673979"/>
      <w:bookmarkStart w:id="819" w:name="_Toc30691201"/>
      <w:bookmarkStart w:id="820" w:name="_Toc30691574"/>
      <w:bookmarkStart w:id="821" w:name="_Toc30691954"/>
      <w:bookmarkStart w:id="822" w:name="_Toc30692713"/>
      <w:bookmarkStart w:id="823" w:name="_Toc30693092"/>
      <w:bookmarkStart w:id="824" w:name="_Toc30693470"/>
      <w:bookmarkStart w:id="825" w:name="_Toc30693848"/>
      <w:bookmarkStart w:id="826" w:name="_Toc30694229"/>
      <w:bookmarkStart w:id="827" w:name="_Toc30698818"/>
      <w:bookmarkStart w:id="828" w:name="_Toc30699196"/>
      <w:bookmarkStart w:id="829" w:name="_Toc30699581"/>
      <w:bookmarkStart w:id="830" w:name="_Toc30700736"/>
      <w:bookmarkStart w:id="831" w:name="_Toc30701123"/>
      <w:bookmarkStart w:id="832" w:name="_Toc30743732"/>
      <w:bookmarkStart w:id="833" w:name="_Toc30754555"/>
      <w:bookmarkStart w:id="834" w:name="_Toc30756995"/>
      <w:bookmarkStart w:id="835" w:name="_Toc30757544"/>
      <w:bookmarkStart w:id="836" w:name="_Toc30757944"/>
      <w:bookmarkStart w:id="837" w:name="_Toc30762705"/>
      <w:bookmarkStart w:id="838" w:name="_Toc30767359"/>
      <w:bookmarkStart w:id="839" w:name="_Toc34823374"/>
      <w:bookmarkEnd w:id="783"/>
      <w:bookmarkEnd w:id="784"/>
      <w:bookmarkEnd w:id="785"/>
    </w:p>
    <w:p w14:paraId="53E026C9" w14:textId="7A742DFA" w:rsidR="008358C0" w:rsidRPr="0035780D" w:rsidRDefault="008358C0" w:rsidP="008358C0">
      <w:pPr>
        <w:pStyle w:val="Heading3"/>
        <w:widowControl/>
        <w:shd w:val="clear" w:color="auto" w:fill="000000" w:themeFill="text1"/>
        <w:spacing w:line="240" w:lineRule="auto"/>
        <w:jc w:val="center"/>
        <w:rPr>
          <w:rFonts w:ascii="Arial" w:hAnsi="Arial" w:cs="Arial"/>
          <w:b/>
          <w:bCs/>
          <w:color w:val="FFFFFF" w:themeColor="background1"/>
          <w:szCs w:val="24"/>
        </w:rPr>
      </w:pPr>
      <w:r w:rsidRPr="0035780D">
        <w:rPr>
          <w:rFonts w:ascii="Arial" w:hAnsi="Arial" w:cs="Arial"/>
          <w:b/>
          <w:bCs/>
          <w:color w:val="FFFFFF" w:themeColor="background1"/>
          <w:szCs w:val="24"/>
        </w:rPr>
        <w:t>AUSTRALIA</w:t>
      </w:r>
    </w:p>
    <w:p w14:paraId="3F169BB8" w14:textId="77777777" w:rsidR="008358C0" w:rsidRDefault="008358C0" w:rsidP="008358C0">
      <w:pPr>
        <w:jc w:val="both"/>
        <w:rPr>
          <w:rFonts w:ascii="Arial" w:hAnsi="Arial" w:cs="Arial"/>
          <w:color w:val="000000"/>
          <w:sz w:val="20"/>
        </w:rPr>
      </w:pPr>
    </w:p>
    <w:p w14:paraId="6160A67A" w14:textId="793A6BE6" w:rsidR="008358C0" w:rsidRPr="00785E1A" w:rsidRDefault="008358C0" w:rsidP="008358C0">
      <w:pPr>
        <w:jc w:val="both"/>
        <w:rPr>
          <w:rFonts w:ascii="Arial" w:hAnsi="Arial" w:cs="Arial"/>
          <w:color w:val="000000"/>
          <w:sz w:val="20"/>
        </w:rPr>
      </w:pPr>
      <w:r w:rsidRPr="00785E1A">
        <w:rPr>
          <w:rFonts w:ascii="Arial" w:hAnsi="Arial" w:cs="Arial"/>
          <w:color w:val="000000"/>
          <w:sz w:val="20"/>
        </w:rPr>
        <w:t>As in Victoria, the most common source of child protection reports for finalised investigations throughout Australia was police.  In 2009</w:t>
      </w:r>
      <w:r>
        <w:rPr>
          <w:rFonts w:ascii="Arial" w:hAnsi="Arial" w:cs="Arial"/>
          <w:color w:val="000000"/>
          <w:sz w:val="20"/>
        </w:rPr>
        <w:t>/</w:t>
      </w:r>
      <w:r w:rsidRPr="00785E1A">
        <w:rPr>
          <w:rFonts w:ascii="Arial" w:hAnsi="Arial" w:cs="Arial"/>
          <w:color w:val="000000"/>
          <w:sz w:val="20"/>
        </w:rPr>
        <w:t xml:space="preserve">2010 the national average was 26%.  Also as in </w:t>
      </w:r>
      <w:smartTag w:uri="urn:schemas-microsoft-com:office:smarttags" w:element="State">
        <w:smartTag w:uri="urn:schemas-microsoft-com:office:smarttags" w:element="place">
          <w:r w:rsidRPr="00785E1A">
            <w:rPr>
              <w:rFonts w:ascii="Arial" w:hAnsi="Arial" w:cs="Arial"/>
              <w:color w:val="000000"/>
              <w:sz w:val="20"/>
            </w:rPr>
            <w:t>Victoria</w:t>
          </w:r>
        </w:smartTag>
      </w:smartTag>
      <w:r w:rsidRPr="00785E1A">
        <w:rPr>
          <w:rFonts w:ascii="Arial" w:hAnsi="Arial" w:cs="Arial"/>
          <w:color w:val="000000"/>
          <w:sz w:val="20"/>
        </w:rPr>
        <w:t>, the second most common source of investigated child protection reports was school personnel.  In 2009</w:t>
      </w:r>
      <w:r>
        <w:rPr>
          <w:rFonts w:ascii="Arial" w:hAnsi="Arial" w:cs="Arial"/>
          <w:color w:val="000000"/>
          <w:sz w:val="20"/>
        </w:rPr>
        <w:t>/</w:t>
      </w:r>
      <w:r w:rsidRPr="00785E1A">
        <w:rPr>
          <w:rFonts w:ascii="Arial" w:hAnsi="Arial" w:cs="Arial"/>
          <w:color w:val="000000"/>
          <w:sz w:val="20"/>
        </w:rPr>
        <w:t>2010 the national average was 20%, a significantly higher figure than in Victoria.  To some extent, this may reflect differences across the states and territories in mandatory reporting requirements.</w:t>
      </w:r>
      <w:r>
        <w:rPr>
          <w:rFonts w:ascii="Arial" w:hAnsi="Arial" w:cs="Arial"/>
          <w:color w:val="000000"/>
          <w:sz w:val="20"/>
        </w:rPr>
        <w:t xml:space="preserve">  The </w:t>
      </w:r>
      <w:r w:rsidR="001413E6">
        <w:rPr>
          <w:rFonts w:ascii="Arial" w:hAnsi="Arial" w:cs="Arial"/>
          <w:color w:val="000000"/>
          <w:sz w:val="20"/>
        </w:rPr>
        <w:t xml:space="preserve">first </w:t>
      </w:r>
      <w:r>
        <w:rPr>
          <w:rFonts w:ascii="Arial" w:hAnsi="Arial" w:cs="Arial"/>
          <w:color w:val="000000"/>
          <w:sz w:val="20"/>
        </w:rPr>
        <w:t>chart below shows the most common source of child protection reports across Australia in 2019/2020.</w:t>
      </w:r>
      <w:r w:rsidR="001413E6">
        <w:rPr>
          <w:rFonts w:ascii="Arial" w:hAnsi="Arial" w:cs="Arial"/>
          <w:color w:val="000000"/>
          <w:sz w:val="20"/>
        </w:rPr>
        <w:t xml:space="preserve">  The second shows </w:t>
      </w:r>
      <w:r w:rsidR="00FD2A9D">
        <w:rPr>
          <w:rFonts w:ascii="Arial" w:hAnsi="Arial" w:cs="Arial"/>
          <w:color w:val="000000"/>
          <w:sz w:val="20"/>
        </w:rPr>
        <w:t>a breakdown of notifications, by type of action and state/territory in 2021/2022.</w:t>
      </w:r>
    </w:p>
    <w:p w14:paraId="53DF7ED8" w14:textId="77777777" w:rsidR="008358C0" w:rsidRDefault="008358C0" w:rsidP="008358C0">
      <w:pPr>
        <w:jc w:val="both"/>
        <w:rPr>
          <w:rFonts w:ascii="Arial" w:hAnsi="Arial" w:cs="Arial"/>
          <w:color w:val="000000"/>
          <w:sz w:val="20"/>
        </w:rPr>
      </w:pPr>
    </w:p>
    <w:p w14:paraId="40120D38" w14:textId="77777777" w:rsidR="008358C0" w:rsidRDefault="008358C0" w:rsidP="001413E6">
      <w:pPr>
        <w:jc w:val="center"/>
        <w:rPr>
          <w:rFonts w:ascii="Arial" w:hAnsi="Arial" w:cs="Arial"/>
          <w:color w:val="000000"/>
          <w:sz w:val="20"/>
        </w:rPr>
      </w:pPr>
      <w:r w:rsidRPr="00507332">
        <w:rPr>
          <w:rFonts w:ascii="Arial" w:hAnsi="Arial" w:cs="Arial"/>
          <w:b/>
          <w:bCs/>
          <w:noProof/>
          <w:color w:val="000000"/>
          <w:sz w:val="20"/>
          <w:szCs w:val="20"/>
        </w:rPr>
        <w:lastRenderedPageBreak/>
        <w:drawing>
          <wp:inline distT="0" distB="0" distL="0" distR="0" wp14:anchorId="0F91F4A3" wp14:editId="69974EAE">
            <wp:extent cx="5277600" cy="4042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7600" cy="4042334"/>
                    </a:xfrm>
                    <a:prstGeom prst="rect">
                      <a:avLst/>
                    </a:prstGeom>
                  </pic:spPr>
                </pic:pic>
              </a:graphicData>
            </a:graphic>
          </wp:inline>
        </w:drawing>
      </w:r>
    </w:p>
    <w:p w14:paraId="42E2419B" w14:textId="4448D002" w:rsidR="00507332" w:rsidRDefault="00507332">
      <w:pPr>
        <w:rPr>
          <w:rFonts w:ascii="Arial" w:hAnsi="Arial" w:cs="Arial"/>
          <w:color w:val="000000"/>
          <w:sz w:val="20"/>
          <w:szCs w:val="20"/>
        </w:rPr>
      </w:pPr>
    </w:p>
    <w:p w14:paraId="1CFADA99" w14:textId="0C48F64E" w:rsidR="003431A4" w:rsidRPr="003431A4" w:rsidRDefault="00FD2A9D" w:rsidP="001413E6">
      <w:pPr>
        <w:jc w:val="center"/>
        <w:rPr>
          <w:rFonts w:ascii="Arial" w:hAnsi="Arial" w:cs="Arial"/>
          <w:b/>
          <w:bCs/>
          <w:color w:val="000000"/>
          <w:kern w:val="28"/>
          <w:sz w:val="20"/>
          <w:szCs w:val="16"/>
          <w:lang w:val="en-GB"/>
        </w:rPr>
      </w:pPr>
      <w:r w:rsidRPr="00FD2A9D">
        <w:rPr>
          <w:rFonts w:ascii="Arial" w:hAnsi="Arial" w:cs="Arial"/>
          <w:noProof/>
          <w:color w:val="000000"/>
          <w:sz w:val="20"/>
          <w:szCs w:val="20"/>
          <w:bdr w:val="single" w:sz="4" w:space="0" w:color="auto"/>
        </w:rPr>
        <w:drawing>
          <wp:inline distT="0" distB="0" distL="0" distR="0" wp14:anchorId="0ED61999" wp14:editId="060EBC62">
            <wp:extent cx="5278120" cy="4605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8120" cy="4605020"/>
                    </a:xfrm>
                    <a:prstGeom prst="rect">
                      <a:avLst/>
                    </a:prstGeom>
                  </pic:spPr>
                </pic:pic>
              </a:graphicData>
            </a:graphic>
          </wp:inline>
        </w:drawing>
      </w:r>
      <w:r w:rsidR="003431A4" w:rsidRPr="003431A4">
        <w:rPr>
          <w:rFonts w:ascii="Arial" w:hAnsi="Arial" w:cs="Arial"/>
          <w:b/>
          <w:bCs/>
          <w:color w:val="000000"/>
          <w:sz w:val="20"/>
          <w:szCs w:val="20"/>
        </w:rPr>
        <w:br w:type="page"/>
      </w:r>
    </w:p>
    <w:p w14:paraId="1E6E3747" w14:textId="29116FCD" w:rsidR="00693223" w:rsidRPr="00785E1A" w:rsidRDefault="00693223" w:rsidP="00166488">
      <w:pPr>
        <w:pStyle w:val="Heading2"/>
        <w:keepNext/>
        <w:keepLines/>
        <w:tabs>
          <w:tab w:val="left" w:pos="567"/>
        </w:tabs>
        <w:spacing w:line="240" w:lineRule="auto"/>
        <w:rPr>
          <w:rFonts w:ascii="Arial" w:hAnsi="Arial" w:cs="Arial"/>
          <w:b/>
          <w:bCs/>
          <w:color w:val="000000"/>
        </w:rPr>
      </w:pPr>
      <w:r w:rsidRPr="00785E1A">
        <w:rPr>
          <w:rFonts w:ascii="Arial" w:hAnsi="Arial" w:cs="Arial"/>
          <w:b/>
          <w:bCs/>
          <w:color w:val="000000"/>
        </w:rPr>
        <w:lastRenderedPageBreak/>
        <w:t>4.7</w:t>
      </w:r>
      <w:r w:rsidRPr="00785E1A">
        <w:rPr>
          <w:rFonts w:ascii="Arial" w:hAnsi="Arial" w:cs="Arial"/>
          <w:b/>
          <w:bCs/>
          <w:color w:val="000000"/>
        </w:rPr>
        <w:tab/>
        <w:t>Representation of children in the Family Division of the Court</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054B6DC5" w14:textId="77777777" w:rsidR="006A5D64" w:rsidRPr="00785E1A" w:rsidRDefault="006A5D64" w:rsidP="00166488">
      <w:pPr>
        <w:keepNext/>
        <w:keepLines/>
        <w:rPr>
          <w:rFonts w:ascii="Arial" w:hAnsi="Arial" w:cs="Arial"/>
          <w:color w:val="000000"/>
        </w:rPr>
      </w:pPr>
    </w:p>
    <w:p w14:paraId="39BEE347" w14:textId="77777777" w:rsidR="006A5D64" w:rsidRPr="00785E1A" w:rsidRDefault="006A5D64" w:rsidP="00FD695D">
      <w:pPr>
        <w:keepNext/>
        <w:keepLines/>
        <w:pBdr>
          <w:top w:val="single" w:sz="4" w:space="1" w:color="auto"/>
          <w:left w:val="single" w:sz="4" w:space="4" w:color="auto"/>
          <w:bottom w:val="single" w:sz="4" w:space="1" w:color="auto"/>
          <w:right w:val="single" w:sz="4" w:space="4" w:color="auto"/>
        </w:pBdr>
        <w:ind w:left="794" w:right="794"/>
        <w:jc w:val="center"/>
        <w:rPr>
          <w:rFonts w:ascii="Arial" w:hAnsi="Arial" w:cs="Arial"/>
          <w:b/>
          <w:bCs/>
          <w:color w:val="000000"/>
          <w:sz w:val="20"/>
        </w:rPr>
      </w:pPr>
      <w:r w:rsidRPr="00785E1A">
        <w:rPr>
          <w:rFonts w:ascii="Arial" w:hAnsi="Arial" w:cs="Arial"/>
          <w:b/>
          <w:bCs/>
          <w:color w:val="000000"/>
          <w:sz w:val="20"/>
        </w:rPr>
        <w:t>"Lawyers, I suppose, were children once."</w:t>
      </w:r>
    </w:p>
    <w:p w14:paraId="6B21E3EC" w14:textId="77777777" w:rsidR="006A5D64" w:rsidRPr="00785E1A" w:rsidRDefault="006A5D64" w:rsidP="001F6EA3">
      <w:pPr>
        <w:pBdr>
          <w:top w:val="single" w:sz="4" w:space="1" w:color="auto"/>
          <w:left w:val="single" w:sz="4" w:space="4" w:color="auto"/>
          <w:bottom w:val="single" w:sz="4" w:space="1" w:color="auto"/>
          <w:right w:val="single" w:sz="4" w:space="4" w:color="auto"/>
        </w:pBdr>
        <w:ind w:left="794" w:right="794"/>
        <w:jc w:val="center"/>
        <w:rPr>
          <w:rFonts w:ascii="Arial" w:hAnsi="Arial" w:cs="Arial"/>
          <w:color w:val="000000"/>
          <w:sz w:val="20"/>
        </w:rPr>
      </w:pPr>
      <w:r w:rsidRPr="00785E1A">
        <w:rPr>
          <w:rFonts w:ascii="Arial" w:hAnsi="Arial" w:cs="Arial"/>
          <w:color w:val="000000"/>
          <w:sz w:val="20"/>
        </w:rPr>
        <w:t xml:space="preserve">Inscription upon the statue of a child in the </w:t>
      </w:r>
      <w:smartTag w:uri="urn:schemas-microsoft-com:office:smarttags" w:element="PlaceName">
        <w:r w:rsidRPr="00785E1A">
          <w:rPr>
            <w:rFonts w:ascii="Arial" w:hAnsi="Arial" w:cs="Arial"/>
            <w:color w:val="000000"/>
            <w:sz w:val="20"/>
          </w:rPr>
          <w:t>Inner</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Temple</w:t>
        </w:r>
      </w:smartTag>
      <w:r w:rsidRPr="00785E1A">
        <w:rPr>
          <w:rFonts w:ascii="Arial" w:hAnsi="Arial" w:cs="Arial"/>
          <w:color w:val="000000"/>
          <w:sz w:val="20"/>
        </w:rPr>
        <w:t xml:space="preserve"> </w:t>
      </w:r>
      <w:smartTag w:uri="urn:schemas-microsoft-com:office:smarttags" w:element="PlaceType">
        <w:r w:rsidRPr="00785E1A">
          <w:rPr>
            <w:rFonts w:ascii="Arial" w:hAnsi="Arial" w:cs="Arial"/>
            <w:color w:val="000000"/>
            <w:sz w:val="20"/>
          </w:rPr>
          <w:t>Garden</w:t>
        </w:r>
      </w:smartTag>
      <w:r w:rsidRPr="00785E1A">
        <w:rPr>
          <w:rFonts w:ascii="Arial" w:hAnsi="Arial" w:cs="Arial"/>
          <w:color w:val="000000"/>
          <w:sz w:val="20"/>
        </w:rPr>
        <w:t xml:space="preserve"> in </w:t>
      </w:r>
      <w:smartTag w:uri="urn:schemas-microsoft-com:office:smarttags" w:element="place">
        <w:smartTag w:uri="urn:schemas-microsoft-com:office:smarttags" w:element="City">
          <w:r w:rsidRPr="00785E1A">
            <w:rPr>
              <w:rFonts w:ascii="Arial" w:hAnsi="Arial" w:cs="Arial"/>
              <w:color w:val="000000"/>
              <w:sz w:val="20"/>
            </w:rPr>
            <w:t>London</w:t>
          </w:r>
        </w:smartTag>
      </w:smartTag>
    </w:p>
    <w:p w14:paraId="0E31B95E" w14:textId="77777777" w:rsidR="006A5D64" w:rsidRPr="00785E1A" w:rsidRDefault="006A5D64" w:rsidP="001F6EA3">
      <w:pPr>
        <w:jc w:val="both"/>
        <w:rPr>
          <w:rFonts w:ascii="Arial" w:hAnsi="Arial" w:cs="Arial"/>
          <w:color w:val="000000"/>
        </w:rPr>
      </w:pPr>
    </w:p>
    <w:p w14:paraId="24A0FC87" w14:textId="77777777" w:rsidR="00693223" w:rsidRPr="00CB73D1" w:rsidRDefault="00693223" w:rsidP="001F6EA3">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CB73D1">
        <w:rPr>
          <w:rFonts w:ascii="Arial" w:hAnsi="Arial" w:cs="Arial"/>
          <w:color w:val="000000"/>
          <w:sz w:val="20"/>
        </w:rPr>
        <w:t>See also</w:t>
      </w:r>
      <w:r w:rsidRPr="00CB73D1">
        <w:rPr>
          <w:rFonts w:ascii="Arial" w:hAnsi="Arial" w:cs="Arial"/>
          <w:b/>
          <w:bCs/>
          <w:color w:val="000000"/>
          <w:sz w:val="20"/>
        </w:rPr>
        <w:t xml:space="preserve"> 6.</w:t>
      </w:r>
      <w:r w:rsidR="00ED4D32" w:rsidRPr="00CB73D1">
        <w:rPr>
          <w:rFonts w:ascii="Arial" w:hAnsi="Arial" w:cs="Arial"/>
          <w:b/>
          <w:bCs/>
          <w:color w:val="000000"/>
          <w:sz w:val="20"/>
        </w:rPr>
        <w:t>10</w:t>
      </w:r>
      <w:r w:rsidRPr="00CB73D1">
        <w:rPr>
          <w:rFonts w:ascii="Arial" w:hAnsi="Arial" w:cs="Arial"/>
          <w:b/>
          <w:bCs/>
          <w:color w:val="000000"/>
          <w:sz w:val="20"/>
        </w:rPr>
        <w:t xml:space="preserve"> Representation of children in intervention order proceedings</w:t>
      </w:r>
      <w:r w:rsidRPr="00CB73D1">
        <w:rPr>
          <w:rFonts w:ascii="Arial" w:hAnsi="Arial" w:cs="Arial"/>
          <w:color w:val="000000"/>
          <w:sz w:val="20"/>
        </w:rPr>
        <w:t>.</w:t>
      </w:r>
    </w:p>
    <w:p w14:paraId="4F04956B" w14:textId="77777777" w:rsidR="00693223" w:rsidRPr="00785E1A" w:rsidRDefault="00693223" w:rsidP="001F6EA3">
      <w:pPr>
        <w:jc w:val="both"/>
        <w:rPr>
          <w:rFonts w:ascii="Arial" w:hAnsi="Arial" w:cs="Arial"/>
          <w:color w:val="000000"/>
        </w:rPr>
      </w:pPr>
    </w:p>
    <w:p w14:paraId="7DE5038F" w14:textId="77777777" w:rsidR="007D2F69" w:rsidRPr="003D5DFA" w:rsidRDefault="00F32A61" w:rsidP="001F6EA3">
      <w:pPr>
        <w:pStyle w:val="Heading3"/>
        <w:keepNext/>
        <w:keepLines/>
        <w:widowControl/>
        <w:spacing w:after="120" w:line="240" w:lineRule="auto"/>
        <w:rPr>
          <w:rFonts w:ascii="Arial" w:hAnsi="Arial" w:cs="Arial"/>
          <w:b/>
          <w:bCs/>
          <w:color w:val="000000"/>
          <w:sz w:val="20"/>
        </w:rPr>
      </w:pPr>
      <w:bookmarkStart w:id="840" w:name="_4.7.1_Obligation_to"/>
      <w:bookmarkStart w:id="841" w:name="B471"/>
      <w:bookmarkEnd w:id="840"/>
      <w:bookmarkEnd w:id="841"/>
      <w:r w:rsidRPr="00785E1A">
        <w:rPr>
          <w:rFonts w:ascii="Arial" w:hAnsi="Arial" w:cs="Arial"/>
          <w:b/>
          <w:bCs/>
          <w:color w:val="000000"/>
          <w:sz w:val="20"/>
        </w:rPr>
        <w:t>4.7.1</w:t>
      </w:r>
      <w:r w:rsidRPr="00785E1A">
        <w:rPr>
          <w:rFonts w:ascii="Arial" w:hAnsi="Arial" w:cs="Arial"/>
          <w:b/>
          <w:bCs/>
          <w:color w:val="000000"/>
          <w:sz w:val="20"/>
        </w:rPr>
        <w:tab/>
        <w:t>Obligation to afford child a fair hearing</w:t>
      </w:r>
    </w:p>
    <w:p w14:paraId="55C66F0C" w14:textId="77777777" w:rsidR="003E0D54" w:rsidRPr="00785E1A" w:rsidRDefault="00507E47" w:rsidP="00F32A61">
      <w:pPr>
        <w:spacing w:before="120"/>
        <w:jc w:val="both"/>
        <w:rPr>
          <w:rFonts w:ascii="Arial" w:hAnsi="Arial" w:cs="Arial"/>
          <w:color w:val="000000"/>
          <w:sz w:val="20"/>
        </w:rPr>
      </w:pPr>
      <w:r w:rsidRPr="00785E1A">
        <w:rPr>
          <w:rFonts w:ascii="Arial" w:hAnsi="Arial" w:cs="Arial"/>
          <w:bCs/>
          <w:color w:val="000000"/>
          <w:sz w:val="20"/>
        </w:rPr>
        <w:t xml:space="preserve">In </w:t>
      </w:r>
      <w:r w:rsidRPr="00785E1A">
        <w:rPr>
          <w:rFonts w:ascii="Arial" w:hAnsi="Arial" w:cs="Arial"/>
          <w:bCs/>
          <w:i/>
          <w:color w:val="000000"/>
          <w:sz w:val="20"/>
        </w:rPr>
        <w:t>DOHS v Sanding</w:t>
      </w:r>
      <w:r w:rsidR="003E0D54" w:rsidRPr="00785E1A">
        <w:rPr>
          <w:rFonts w:ascii="Arial" w:hAnsi="Arial" w:cs="Arial"/>
          <w:bCs/>
          <w:color w:val="000000"/>
          <w:sz w:val="20"/>
        </w:rPr>
        <w:t xml:space="preserve"> [2011] VSC 42 </w:t>
      </w:r>
      <w:r w:rsidRPr="00785E1A">
        <w:rPr>
          <w:rFonts w:ascii="Arial" w:hAnsi="Arial" w:cs="Arial"/>
          <w:bCs/>
          <w:color w:val="000000"/>
          <w:sz w:val="20"/>
        </w:rPr>
        <w:t xml:space="preserve">Bell J </w:t>
      </w:r>
      <w:r w:rsidR="00F32A61" w:rsidRPr="00785E1A">
        <w:rPr>
          <w:rFonts w:ascii="Arial" w:hAnsi="Arial" w:cs="Arial"/>
          <w:color w:val="000000"/>
          <w:sz w:val="20"/>
        </w:rPr>
        <w:t>stressed the importance of affording a child a</w:t>
      </w:r>
      <w:r w:rsidR="00F917A7" w:rsidRPr="00785E1A">
        <w:rPr>
          <w:rFonts w:ascii="Arial" w:hAnsi="Arial" w:cs="Arial"/>
          <w:color w:val="000000"/>
          <w:sz w:val="20"/>
        </w:rPr>
        <w:t xml:space="preserve"> fair hearing in a protection proceeding</w:t>
      </w:r>
      <w:r w:rsidR="003E0D54" w:rsidRPr="00785E1A">
        <w:rPr>
          <w:rFonts w:ascii="Arial" w:hAnsi="Arial" w:cs="Arial"/>
          <w:color w:val="000000"/>
          <w:sz w:val="20"/>
        </w:rPr>
        <w:t xml:space="preserve"> and of a child being heard in matters affecting him or her.</w:t>
      </w:r>
    </w:p>
    <w:p w14:paraId="389F00FE" w14:textId="77777777" w:rsidR="003E0D54" w:rsidRPr="00785E1A" w:rsidRDefault="003E0D54" w:rsidP="003E0D54">
      <w:pPr>
        <w:jc w:val="both"/>
        <w:rPr>
          <w:rFonts w:ascii="Arial" w:hAnsi="Arial" w:cs="Arial"/>
          <w:color w:val="000000"/>
          <w:sz w:val="20"/>
        </w:rPr>
      </w:pPr>
    </w:p>
    <w:p w14:paraId="46F5DDC0" w14:textId="77777777" w:rsidR="003E0D54" w:rsidRPr="00785E1A" w:rsidRDefault="003E0D54" w:rsidP="003E0D54">
      <w:pPr>
        <w:jc w:val="both"/>
        <w:rPr>
          <w:rFonts w:ascii="Arial" w:hAnsi="Arial" w:cs="Arial"/>
          <w:color w:val="000000"/>
          <w:sz w:val="20"/>
        </w:rPr>
      </w:pPr>
      <w:r w:rsidRPr="00785E1A">
        <w:rPr>
          <w:rFonts w:ascii="Arial" w:hAnsi="Arial" w:cs="Arial"/>
          <w:color w:val="000000"/>
          <w:sz w:val="20"/>
        </w:rPr>
        <w:t>At [209] his Honour said:</w:t>
      </w:r>
    </w:p>
    <w:p w14:paraId="6148E18B" w14:textId="77777777" w:rsidR="003E0D54" w:rsidRPr="00785E1A" w:rsidRDefault="003E0D54"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“It is unquestionably important for the voice of a child to be heard in matters affecting them.  As I have said, children bear rights personally, and are entitled to respect of their individual human dignity.  The views of children should therefore be obtained and given proper consideration.  The </w:t>
      </w:r>
      <w:r w:rsidRPr="00785E1A">
        <w:rPr>
          <w:rFonts w:ascii="Arial" w:hAnsi="Arial" w:cs="Arial"/>
          <w:bCs/>
          <w:i/>
          <w:color w:val="000000"/>
          <w:sz w:val="20"/>
        </w:rPr>
        <w:t xml:space="preserve">Children, Youth and Families Act </w:t>
      </w:r>
      <w:r w:rsidRPr="00785E1A">
        <w:rPr>
          <w:rFonts w:ascii="Arial" w:hAnsi="Arial" w:cs="Arial"/>
          <w:bCs/>
          <w:color w:val="000000"/>
          <w:sz w:val="20"/>
        </w:rPr>
        <w:t xml:space="preserve">contains specific mandatory provisions giving effect to those principles, </w:t>
      </w:r>
      <w:r w:rsidRPr="009D495F">
        <w:rPr>
          <w:rFonts w:ascii="Arial" w:hAnsi="Arial" w:cs="Arial"/>
          <w:bCs/>
          <w:color w:val="000000"/>
          <w:sz w:val="20"/>
        </w:rPr>
        <w:t>reflecting fundamental values which are expressed in art.12 of the</w:t>
      </w:r>
      <w:r w:rsidRPr="009D495F">
        <w:rPr>
          <w:rFonts w:ascii="Arial" w:hAnsi="Arial" w:cs="Arial"/>
          <w:bCs/>
          <w:i/>
          <w:color w:val="000000"/>
          <w:sz w:val="20"/>
        </w:rPr>
        <w:t xml:space="preserve"> Convention o</w:t>
      </w:r>
      <w:r w:rsidR="00C916DD" w:rsidRPr="009D495F">
        <w:rPr>
          <w:rFonts w:ascii="Arial" w:hAnsi="Arial" w:cs="Arial"/>
          <w:bCs/>
          <w:i/>
          <w:color w:val="000000"/>
          <w:sz w:val="20"/>
        </w:rPr>
        <w:t>n</w:t>
      </w:r>
      <w:r w:rsidRPr="00785E1A">
        <w:rPr>
          <w:rFonts w:ascii="Arial" w:hAnsi="Arial" w:cs="Arial"/>
          <w:bCs/>
          <w:i/>
          <w:color w:val="000000"/>
          <w:sz w:val="20"/>
        </w:rPr>
        <w:t xml:space="preserve"> the Rights of the Child</w:t>
      </w:r>
      <w:r w:rsidRPr="00785E1A">
        <w:rPr>
          <w:rFonts w:ascii="Arial" w:hAnsi="Arial" w:cs="Arial"/>
          <w:bCs/>
          <w:color w:val="000000"/>
          <w:sz w:val="20"/>
        </w:rPr>
        <w:t>:</w:t>
      </w:r>
    </w:p>
    <w:p w14:paraId="440186AF"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14:paraId="0998C4B7" w14:textId="77777777" w:rsidR="003E0D54" w:rsidRPr="00785E1A" w:rsidRDefault="003E0D54">
      <w:pPr>
        <w:numPr>
          <w:ilvl w:val="0"/>
          <w:numId w:val="23"/>
        </w:numPr>
        <w:tabs>
          <w:tab w:val="num" w:pos="1378"/>
        </w:tabs>
        <w:spacing w:before="60" w:line="240" w:lineRule="exact"/>
        <w:ind w:left="1378" w:right="1021" w:hanging="357"/>
        <w:jc w:val="both"/>
        <w:rPr>
          <w:rFonts w:ascii="Arial" w:hAnsi="Arial" w:cs="Arial"/>
          <w:bCs/>
          <w:color w:val="000000"/>
          <w:sz w:val="20"/>
        </w:rPr>
      </w:pPr>
      <w:r w:rsidRPr="00785E1A">
        <w:rPr>
          <w:rFonts w:ascii="Arial" w:hAnsi="Arial" w:cs="Arial"/>
          <w:bCs/>
          <w:color w:val="000000"/>
          <w:sz w:val="20"/>
        </w:rPr>
        <w:t>For this purpose, the child shall in particular be provided the opportunity to be heard in any judicial and administrative proceedings affecting the child, either directly or through a representative or any appropriate body, in a manner consistent with the procedural rules of national law.”</w:t>
      </w:r>
    </w:p>
    <w:p w14:paraId="44BF4B7D" w14:textId="77777777" w:rsidR="003E0D54" w:rsidRPr="00785E1A" w:rsidRDefault="003E0D54" w:rsidP="003C545B">
      <w:pPr>
        <w:jc w:val="both"/>
        <w:rPr>
          <w:rFonts w:ascii="Arial" w:hAnsi="Arial" w:cs="Arial"/>
          <w:color w:val="000000"/>
          <w:sz w:val="20"/>
        </w:rPr>
      </w:pPr>
    </w:p>
    <w:p w14:paraId="79BFDE49"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 xml:space="preserve">It does not necessarily follow from this that a child will invariably be denied a fair hearing if not legally represented or if not present in Court.  The underlying facts in </w:t>
      </w:r>
      <w:r w:rsidRPr="00785E1A">
        <w:rPr>
          <w:rFonts w:ascii="Arial" w:hAnsi="Arial" w:cs="Arial"/>
          <w:i/>
          <w:color w:val="000000"/>
          <w:sz w:val="20"/>
        </w:rPr>
        <w:t>Sanding</w:t>
      </w:r>
      <w:r w:rsidRPr="00785E1A">
        <w:rPr>
          <w:rFonts w:ascii="Arial" w:hAnsi="Arial" w:cs="Arial"/>
          <w:color w:val="000000"/>
          <w:sz w:val="20"/>
        </w:rPr>
        <w:t xml:space="preserve"> provide a </w:t>
      </w:r>
      <w:r w:rsidRPr="003D5DFA">
        <w:rPr>
          <w:rFonts w:ascii="Arial" w:hAnsi="Arial" w:cs="Arial"/>
          <w:color w:val="000000"/>
          <w:sz w:val="20"/>
        </w:rPr>
        <w:t xml:space="preserve">graphic illustration of this where children aged 9 &amp; 7 </w:t>
      </w:r>
      <w:r w:rsidR="0061568F" w:rsidRPr="003D5DFA">
        <w:rPr>
          <w:rFonts w:ascii="Arial" w:hAnsi="Arial" w:cs="Arial"/>
          <w:color w:val="000000"/>
          <w:sz w:val="20"/>
        </w:rPr>
        <w:t xml:space="preserve">– who would under the legislation then in force have been regarded as mature enough to give instructions – </w:t>
      </w:r>
      <w:r w:rsidRPr="003D5DFA">
        <w:rPr>
          <w:rFonts w:ascii="Arial" w:hAnsi="Arial" w:cs="Arial"/>
          <w:color w:val="000000"/>
          <w:sz w:val="20"/>
        </w:rPr>
        <w:t>were</w:t>
      </w:r>
      <w:r w:rsidR="0061568F" w:rsidRPr="003D5DFA">
        <w:rPr>
          <w:rFonts w:ascii="Arial" w:hAnsi="Arial" w:cs="Arial"/>
          <w:color w:val="000000"/>
          <w:sz w:val="20"/>
        </w:rPr>
        <w:t xml:space="preserve"> </w:t>
      </w:r>
      <w:r w:rsidRPr="003D5DFA">
        <w:rPr>
          <w:rFonts w:ascii="Arial" w:hAnsi="Arial" w:cs="Arial"/>
          <w:color w:val="000000"/>
          <w:sz w:val="20"/>
        </w:rPr>
        <w:t>neither represented nor present in the impugned proceedings yet the proceeding was held to be fair to the</w:t>
      </w:r>
      <w:r w:rsidR="00B64827" w:rsidRPr="003D5DFA">
        <w:rPr>
          <w:rFonts w:ascii="Arial" w:hAnsi="Arial" w:cs="Arial"/>
          <w:color w:val="000000"/>
          <w:sz w:val="20"/>
        </w:rPr>
        <w:t>m</w:t>
      </w:r>
      <w:r w:rsidRPr="003D5DFA">
        <w:rPr>
          <w:rFonts w:ascii="Arial" w:hAnsi="Arial" w:cs="Arial"/>
          <w:color w:val="000000"/>
          <w:sz w:val="20"/>
        </w:rPr>
        <w:t>.  At</w:t>
      </w:r>
      <w:r w:rsidR="00164C09">
        <w:rPr>
          <w:rFonts w:ascii="Arial" w:hAnsi="Arial" w:cs="Arial"/>
          <w:color w:val="000000"/>
          <w:sz w:val="20"/>
        </w:rPr>
        <w:t> </w:t>
      </w:r>
      <w:r w:rsidRPr="00785E1A">
        <w:rPr>
          <w:rFonts w:ascii="Arial" w:hAnsi="Arial" w:cs="Arial"/>
          <w:color w:val="000000"/>
          <w:sz w:val="20"/>
        </w:rPr>
        <w:t>[211] Bell J said:</w:t>
      </w:r>
    </w:p>
    <w:p w14:paraId="50BF9B97"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“[W]hat will be required to afford a fair hearing to a child in a protection proceeding will depend on the capacity of the child, the nature of the proceeding, the issues at stake and the circumstances of the case.  No particular means of affording a fair hearing are stipulated.  As a child may not be mature enough to participate in the proceeding, or may be harmed by that participation, a fair hearing may not require the physical presence of a child in court.  It may be possible to obtain the views of the child by other means.”</w:t>
      </w:r>
    </w:p>
    <w:p w14:paraId="61C0E079" w14:textId="77777777" w:rsidR="003E0D54" w:rsidRPr="00785E1A" w:rsidRDefault="003E0D54" w:rsidP="003C545B">
      <w:pPr>
        <w:jc w:val="both"/>
        <w:rPr>
          <w:rFonts w:ascii="Arial" w:hAnsi="Arial" w:cs="Arial"/>
          <w:color w:val="000000"/>
          <w:sz w:val="20"/>
        </w:rPr>
      </w:pPr>
    </w:p>
    <w:p w14:paraId="3F705C05" w14:textId="77777777" w:rsidR="003E0D54" w:rsidRPr="00785E1A" w:rsidRDefault="003C545B" w:rsidP="003C545B">
      <w:pPr>
        <w:jc w:val="both"/>
        <w:rPr>
          <w:rFonts w:ascii="Arial" w:hAnsi="Arial" w:cs="Arial"/>
          <w:color w:val="000000"/>
          <w:sz w:val="20"/>
        </w:rPr>
      </w:pPr>
      <w:r w:rsidRPr="00785E1A">
        <w:rPr>
          <w:rFonts w:ascii="Arial" w:hAnsi="Arial" w:cs="Arial"/>
          <w:color w:val="000000"/>
          <w:sz w:val="20"/>
        </w:rPr>
        <w:t>At [212] his Honour said that the children’s “right to a fair hearing would ordinarily have required the magistrate to hear and consider what they had to say.  But these were not ordinary circumstances.”  At [214] his Honour explained why:</w:t>
      </w:r>
    </w:p>
    <w:p w14:paraId="54871264" w14:textId="77777777" w:rsidR="003C545B" w:rsidRPr="00785E1A" w:rsidRDefault="003C545B" w:rsidP="00EB1C61">
      <w:pPr>
        <w:spacing w:before="60" w:line="240" w:lineRule="exact"/>
        <w:ind w:left="510" w:right="510"/>
        <w:jc w:val="both"/>
        <w:rPr>
          <w:rFonts w:ascii="Arial" w:hAnsi="Arial" w:cs="Arial"/>
          <w:bCs/>
          <w:color w:val="000000"/>
          <w:sz w:val="20"/>
        </w:rPr>
      </w:pPr>
      <w:r w:rsidRPr="00785E1A">
        <w:rPr>
          <w:rFonts w:ascii="Arial" w:hAnsi="Arial" w:cs="Arial"/>
          <w:bCs/>
          <w:color w:val="000000"/>
          <w:sz w:val="20"/>
        </w:rPr>
        <w:t xml:space="preserve">“In making the revocation and interim accommodation orders, the magistrate knew the court was acting consistently with the wishes of these children.  In that practical sense, their views were heard and considered, as required by their right to a fair hearing.  Delay would have been contrary to their best interests as children.  </w:t>
      </w:r>
      <w:r w:rsidR="00B75A27" w:rsidRPr="00785E1A">
        <w:rPr>
          <w:rFonts w:ascii="Arial" w:hAnsi="Arial" w:cs="Arial"/>
          <w:bCs/>
          <w:color w:val="000000"/>
          <w:sz w:val="20"/>
        </w:rPr>
        <w:t>Therefore his Honour did not act incompatibly with that right by revoking the custody to Secretary orders and returning them to their grandmother on an interim basis without hearing from them personally at the hearing.”</w:t>
      </w:r>
    </w:p>
    <w:p w14:paraId="5CD979B7" w14:textId="77777777" w:rsidR="00047FBE" w:rsidRPr="00D00CAA" w:rsidRDefault="00047FBE" w:rsidP="00047FBE">
      <w:pPr>
        <w:jc w:val="both"/>
        <w:rPr>
          <w:rFonts w:ascii="Arial" w:hAnsi="Arial" w:cs="Arial"/>
          <w:color w:val="000000"/>
          <w:sz w:val="20"/>
        </w:rPr>
      </w:pPr>
      <w:bookmarkStart w:id="842" w:name="_Toc30654112"/>
      <w:bookmarkStart w:id="843" w:name="_Toc30654463"/>
      <w:bookmarkStart w:id="844" w:name="_Toc30655082"/>
      <w:bookmarkStart w:id="845" w:name="_Toc30655339"/>
      <w:bookmarkStart w:id="846" w:name="_Toc30657017"/>
      <w:bookmarkStart w:id="847" w:name="_Toc30661766"/>
      <w:bookmarkStart w:id="848" w:name="_Toc30666454"/>
      <w:bookmarkStart w:id="849" w:name="_Toc30666684"/>
      <w:bookmarkStart w:id="850" w:name="_Toc30667859"/>
      <w:bookmarkStart w:id="851" w:name="_Toc30669237"/>
      <w:bookmarkStart w:id="852" w:name="_Toc30671453"/>
      <w:bookmarkStart w:id="853" w:name="_Toc30673980"/>
      <w:bookmarkStart w:id="854" w:name="_Toc30691202"/>
      <w:bookmarkStart w:id="855" w:name="_Toc30691575"/>
      <w:bookmarkStart w:id="856" w:name="_Toc30691955"/>
      <w:bookmarkStart w:id="857" w:name="_Toc30692714"/>
      <w:bookmarkStart w:id="858" w:name="_Toc30693093"/>
      <w:bookmarkStart w:id="859" w:name="_Toc30693471"/>
      <w:bookmarkStart w:id="860" w:name="_Toc30693849"/>
      <w:bookmarkStart w:id="861" w:name="_Toc30694230"/>
      <w:bookmarkStart w:id="862" w:name="_Toc30698819"/>
      <w:bookmarkStart w:id="863" w:name="_Toc30699197"/>
      <w:bookmarkStart w:id="864" w:name="_Toc30699582"/>
      <w:bookmarkStart w:id="865" w:name="_Toc30700737"/>
      <w:bookmarkStart w:id="866" w:name="_Toc30701124"/>
      <w:bookmarkStart w:id="867" w:name="_Toc30743733"/>
      <w:bookmarkStart w:id="868" w:name="_Toc30754556"/>
      <w:bookmarkStart w:id="869" w:name="_Toc30756996"/>
      <w:bookmarkStart w:id="870" w:name="_Toc30757545"/>
      <w:bookmarkStart w:id="871" w:name="_Toc30757945"/>
      <w:bookmarkStart w:id="872" w:name="_Toc30762706"/>
      <w:bookmarkStart w:id="873" w:name="_Toc30767360"/>
      <w:bookmarkStart w:id="874" w:name="_Toc34823375"/>
    </w:p>
    <w:p w14:paraId="1E1F5732" w14:textId="77777777" w:rsidR="00047FBE" w:rsidRPr="003D5DFA" w:rsidRDefault="00047FBE" w:rsidP="00047FBE">
      <w:pPr>
        <w:pStyle w:val="Heading3"/>
        <w:keepNext/>
        <w:keepLines/>
        <w:spacing w:after="120" w:line="240" w:lineRule="auto"/>
        <w:rPr>
          <w:rFonts w:ascii="Arial" w:hAnsi="Arial" w:cs="Arial"/>
          <w:b/>
          <w:bCs/>
          <w:color w:val="000000"/>
          <w:sz w:val="20"/>
        </w:rPr>
      </w:pPr>
      <w:bookmarkStart w:id="875" w:name="_4.7.2_Models_of"/>
      <w:bookmarkStart w:id="876" w:name="B472"/>
      <w:bookmarkEnd w:id="875"/>
      <w:bookmarkEnd w:id="876"/>
      <w:r w:rsidRPr="003D5DFA">
        <w:rPr>
          <w:rFonts w:ascii="Arial" w:hAnsi="Arial" w:cs="Arial"/>
          <w:b/>
          <w:bCs/>
          <w:color w:val="000000"/>
          <w:sz w:val="20"/>
        </w:rPr>
        <w:lastRenderedPageBreak/>
        <w:t>4.7.2</w:t>
      </w:r>
      <w:r w:rsidRPr="003D5DFA">
        <w:rPr>
          <w:rFonts w:ascii="Arial" w:hAnsi="Arial" w:cs="Arial"/>
          <w:b/>
          <w:bCs/>
          <w:color w:val="000000"/>
          <w:sz w:val="20"/>
        </w:rPr>
        <w:tab/>
        <w:t>Models of child representation</w:t>
      </w:r>
    </w:p>
    <w:p w14:paraId="3360DA5A" w14:textId="77777777" w:rsidR="00047FBE" w:rsidRDefault="00047FBE" w:rsidP="009D6EF3">
      <w:pPr>
        <w:keepNext/>
        <w:keepLines/>
        <w:jc w:val="both"/>
        <w:rPr>
          <w:rFonts w:ascii="Arial" w:hAnsi="Arial" w:cs="Arial"/>
          <w:sz w:val="20"/>
        </w:rPr>
      </w:pPr>
      <w:r>
        <w:rPr>
          <w:rFonts w:ascii="Arial" w:hAnsi="Arial" w:cs="Arial"/>
          <w:sz w:val="20"/>
        </w:rPr>
        <w:t xml:space="preserve">In </w:t>
      </w:r>
      <w:r>
        <w:rPr>
          <w:rFonts w:ascii="Arial" w:hAnsi="Arial" w:cs="Arial"/>
          <w:i/>
          <w:iCs/>
          <w:sz w:val="20"/>
        </w:rPr>
        <w:t>BE v LH &amp; MH</w:t>
      </w:r>
      <w:r>
        <w:rPr>
          <w:rFonts w:ascii="Arial" w:hAnsi="Arial" w:cs="Arial"/>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under the CYPA.  Mr Power, Magistrate, held that they should not.  In the course of his judgment (at pp.5-6) Mr Power referred to </w:t>
      </w:r>
      <w:r w:rsidR="008E0B61">
        <w:rPr>
          <w:rFonts w:ascii="Arial" w:hAnsi="Arial" w:cs="Arial"/>
          <w:sz w:val="20"/>
        </w:rPr>
        <w:t>six</w:t>
      </w:r>
      <w:r>
        <w:rPr>
          <w:rFonts w:ascii="Arial" w:hAnsi="Arial" w:cs="Arial"/>
          <w:sz w:val="20"/>
        </w:rPr>
        <w:t xml:space="preserve"> possible models of child representation-</w:t>
      </w:r>
    </w:p>
    <w:p w14:paraId="25A58996" w14:textId="77777777" w:rsidR="00047FBE" w:rsidRDefault="00047FBE" w:rsidP="005B6ACF">
      <w:pPr>
        <w:spacing w:before="120"/>
        <w:ind w:left="567" w:right="567"/>
        <w:jc w:val="both"/>
        <w:rPr>
          <w:rFonts w:ascii="Arial" w:hAnsi="Arial" w:cs="Arial"/>
          <w:bCs/>
          <w:sz w:val="20"/>
        </w:rPr>
      </w:pPr>
      <w:r>
        <w:rPr>
          <w:rFonts w:ascii="Arial" w:hAnsi="Arial" w:cs="Arial"/>
          <w:bCs/>
          <w:sz w:val="20"/>
        </w:rPr>
        <w:t>"There are 6 models of child representation which can be distilled from various jurisdictions and from various writings, including an Issues Paper No.18 entitled “</w:t>
      </w:r>
      <w:r>
        <w:rPr>
          <w:rFonts w:ascii="Arial" w:hAnsi="Arial" w:cs="Arial"/>
          <w:bCs/>
          <w:i/>
          <w:sz w:val="20"/>
        </w:rPr>
        <w:t>Speaking for ourselves: children and the legal process</w:t>
      </w:r>
      <w:r>
        <w:rPr>
          <w:rFonts w:ascii="Arial" w:hAnsi="Arial" w:cs="Arial"/>
          <w:bCs/>
          <w:sz w:val="20"/>
        </w:rPr>
        <w:t>” which the Australian Law Reform Commission put out prior to the completion of its 1997 report-</w:t>
      </w:r>
    </w:p>
    <w:p w14:paraId="5A9BFFA1"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first is </w:t>
      </w:r>
      <w:r>
        <w:rPr>
          <w:rFonts w:ascii="Arial" w:hAnsi="Arial" w:cs="Arial"/>
          <w:b/>
          <w:sz w:val="20"/>
        </w:rPr>
        <w:t>‘the non-representation model’</w:t>
      </w:r>
      <w:r>
        <w:rPr>
          <w:rFonts w:ascii="Arial" w:hAnsi="Arial" w:cs="Arial"/>
          <w:bCs/>
          <w:sz w:val="20"/>
        </w:rPr>
        <w:t xml:space="preserve">: in </w:t>
      </w:r>
      <w:smartTag w:uri="urn:schemas-microsoft-com:office:smarttags" w:element="State">
        <w:smartTag w:uri="urn:schemas-microsoft-com:office:smarttags" w:element="place">
          <w:r>
            <w:rPr>
              <w:rFonts w:ascii="Arial" w:hAnsi="Arial" w:cs="Arial"/>
              <w:bCs/>
              <w:sz w:val="20"/>
            </w:rPr>
            <w:t>Queensland</w:t>
          </w:r>
        </w:smartTag>
      </w:smartTag>
      <w:r>
        <w:rPr>
          <w:rFonts w:ascii="Arial" w:hAnsi="Arial" w:cs="Arial"/>
          <w:bCs/>
          <w:sz w:val="20"/>
        </w:rPr>
        <w:t xml:space="preserve"> child protection matters children are rarely represented at all. {ALRC Report #84, [13.30] p.252}</w:t>
      </w:r>
    </w:p>
    <w:p w14:paraId="2DAAAFE9"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second is </w:t>
      </w:r>
      <w:r>
        <w:rPr>
          <w:rFonts w:ascii="Arial" w:hAnsi="Arial" w:cs="Arial"/>
          <w:b/>
          <w:sz w:val="20"/>
        </w:rPr>
        <w:t>‘the traditional model’</w:t>
      </w:r>
      <w:r>
        <w:rPr>
          <w:rFonts w:ascii="Arial" w:hAnsi="Arial" w:cs="Arial"/>
          <w:bCs/>
          <w:sz w:val="20"/>
        </w:rPr>
        <w:t>: the advocate whose role is to argue a case strictly upon the child’s instructions. {ALRC Issues Paper #18, [3.12] p.18}</w:t>
      </w:r>
    </w:p>
    <w:p w14:paraId="082B511E"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third is </w:t>
      </w:r>
      <w:r>
        <w:rPr>
          <w:rFonts w:ascii="Arial" w:hAnsi="Arial" w:cs="Arial"/>
          <w:b/>
          <w:sz w:val="20"/>
        </w:rPr>
        <w:t>‘the best interests model’</w:t>
      </w:r>
      <w:r>
        <w:rPr>
          <w:rFonts w:ascii="Arial" w:hAnsi="Arial" w:cs="Arial"/>
          <w:bCs/>
          <w:sz w:val="20"/>
        </w:rPr>
        <w:t>: the advocate who presents and argues his or her own professional view as to the child’s best interests, even if this is inconsistent with the child’s expressed wishes on the issue. {ALRC Issues Paper #18, p.19}</w:t>
      </w:r>
    </w:p>
    <w:p w14:paraId="00D3ACB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fourth is </w:t>
      </w:r>
      <w:r>
        <w:rPr>
          <w:rFonts w:ascii="Arial" w:hAnsi="Arial" w:cs="Arial"/>
          <w:b/>
          <w:sz w:val="20"/>
        </w:rPr>
        <w:t>‘the counsel assisting model’</w:t>
      </w:r>
      <w:r>
        <w:rPr>
          <w:rFonts w:ascii="Arial" w:hAnsi="Arial" w:cs="Arial"/>
          <w:bCs/>
          <w:sz w:val="20"/>
        </w:rPr>
        <w:t>: the advocate as objective investigator assisting decision-makers to reach a fully informed assessment of the child’s needs and how those needs can best be met. {ALRC Issues Paper #18, p.19}</w:t>
      </w:r>
    </w:p>
    <w:p w14:paraId="5395A087"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fifth is </w:t>
      </w:r>
      <w:r>
        <w:rPr>
          <w:rFonts w:ascii="Arial" w:hAnsi="Arial" w:cs="Arial"/>
          <w:b/>
          <w:sz w:val="20"/>
        </w:rPr>
        <w:t>‘the comforter model’</w:t>
      </w:r>
      <w:r>
        <w:rPr>
          <w:rFonts w:ascii="Arial" w:hAnsi="Arial" w:cs="Arial"/>
          <w:bCs/>
          <w:sz w:val="20"/>
        </w:rPr>
        <w:t>: the advocate as professional companion for the child, explaining the process to the child and answering questions. {ALRC Issues Paper #18, p.19}</w:t>
      </w:r>
    </w:p>
    <w:p w14:paraId="2E3C2FCA" w14:textId="77777777" w:rsidR="00047FBE" w:rsidRDefault="00047FBE" w:rsidP="00BA6FBE">
      <w:pPr>
        <w:numPr>
          <w:ilvl w:val="0"/>
          <w:numId w:val="5"/>
        </w:numPr>
        <w:ind w:right="567"/>
        <w:jc w:val="both"/>
        <w:rPr>
          <w:rFonts w:ascii="Arial" w:hAnsi="Arial" w:cs="Arial"/>
          <w:bCs/>
          <w:sz w:val="20"/>
        </w:rPr>
      </w:pPr>
      <w:r>
        <w:rPr>
          <w:rFonts w:ascii="Arial" w:hAnsi="Arial" w:cs="Arial"/>
          <w:bCs/>
          <w:sz w:val="20"/>
        </w:rPr>
        <w:t xml:space="preserve">The sixth is </w:t>
      </w:r>
      <w:r>
        <w:rPr>
          <w:rFonts w:ascii="Arial" w:hAnsi="Arial" w:cs="Arial"/>
          <w:b/>
          <w:sz w:val="20"/>
        </w:rPr>
        <w:t>‘the Tasmanian model’</w:t>
      </w:r>
      <w:r>
        <w:rPr>
          <w:rFonts w:ascii="Arial" w:hAnsi="Arial" w:cs="Arial"/>
          <w:bCs/>
          <w:sz w:val="20"/>
        </w:rPr>
        <w:t>, a hybrid model: An example is to be found in the</w:t>
      </w:r>
      <w:r>
        <w:rPr>
          <w:rFonts w:ascii="Arial" w:hAnsi="Arial" w:cs="Arial"/>
          <w:bCs/>
          <w:i/>
          <w:sz w:val="20"/>
        </w:rPr>
        <w:t xml:space="preserve"> Children, Young Persons and their Families Bill</w:t>
      </w:r>
      <w:r>
        <w:rPr>
          <w:rFonts w:ascii="Arial" w:hAnsi="Arial" w:cs="Arial"/>
          <w:bCs/>
          <w:sz w:val="20"/>
        </w:rPr>
        <w:t xml:space="preserve"> 1997 (Tas.) which provides that all children the subject of a care and protection application should be represented unless the child has made an informed decision not to be represented.  The representative is to take instructions from the child and act on those instructions unless the representative considers the child unable or unwilling to give instructions.  In those cases, the representative will represent the child’s best interests, which are to be assessed by a social scientist. {ALRC Report #84, [13.31] pp.252-3}"</w:t>
      </w:r>
    </w:p>
    <w:p w14:paraId="56022808" w14:textId="77777777" w:rsidR="00047FBE" w:rsidRDefault="00047FBE" w:rsidP="00047FBE">
      <w:pPr>
        <w:jc w:val="both"/>
        <w:rPr>
          <w:rFonts w:ascii="Arial" w:hAnsi="Arial" w:cs="Arial"/>
          <w:sz w:val="20"/>
        </w:rPr>
      </w:pPr>
    </w:p>
    <w:p w14:paraId="2BC697F8" w14:textId="77777777" w:rsidR="00047FBE" w:rsidRDefault="00047FBE" w:rsidP="00047FBE">
      <w:pPr>
        <w:jc w:val="both"/>
        <w:rPr>
          <w:rFonts w:ascii="Arial" w:hAnsi="Arial" w:cs="Arial"/>
          <w:sz w:val="20"/>
        </w:rPr>
      </w:pPr>
      <w:r>
        <w:rPr>
          <w:rFonts w:ascii="Arial" w:hAnsi="Arial" w:cs="Arial"/>
          <w:sz w:val="20"/>
        </w:rPr>
        <w:t>A clinical psychologist from the Children's Court Clinic had seen LH &amp; MH for 1½ hours to assess their capacity to give instructions to a lawyer and to ascertain their wishes.  On the basis of her evidence Mr Power found (at p.7) that "neither LH nor MH is mature enough to give instructions in these legal proceedings.  That is not because of any delay in their cognitive development but is primarily because of their emotional immaturity."  Since the CYPA has adopted model 2, the traditional model, and since LH &amp; MH were not mature enough to give instructions, there was no basis for them to be legally represented.</w:t>
      </w:r>
    </w:p>
    <w:p w14:paraId="7CC0CF7F" w14:textId="77777777" w:rsidR="001F4FF5" w:rsidRPr="00D00CAA" w:rsidRDefault="001F4FF5" w:rsidP="00247CE5">
      <w:pPr>
        <w:jc w:val="both"/>
        <w:rPr>
          <w:rFonts w:ascii="Arial" w:hAnsi="Arial" w:cs="Arial"/>
          <w:color w:val="000000"/>
          <w:sz w:val="20"/>
        </w:rPr>
      </w:pPr>
    </w:p>
    <w:p w14:paraId="0BE52324" w14:textId="77777777" w:rsidR="00693223" w:rsidRPr="003D5DFA" w:rsidRDefault="00693223">
      <w:pPr>
        <w:pStyle w:val="Heading3"/>
        <w:spacing w:after="120" w:line="240" w:lineRule="auto"/>
        <w:rPr>
          <w:rFonts w:ascii="Arial" w:hAnsi="Arial" w:cs="Arial"/>
          <w:b/>
          <w:bCs/>
          <w:color w:val="000000"/>
          <w:sz w:val="20"/>
        </w:rPr>
      </w:pPr>
      <w:bookmarkStart w:id="877" w:name="_4.7.3_Child_usually"/>
      <w:bookmarkStart w:id="878" w:name="B473"/>
      <w:bookmarkEnd w:id="877"/>
      <w:bookmarkEnd w:id="878"/>
      <w:r w:rsidRPr="003D5DFA">
        <w:rPr>
          <w:rFonts w:ascii="Arial" w:hAnsi="Arial" w:cs="Arial"/>
          <w:b/>
          <w:bCs/>
          <w:color w:val="000000"/>
          <w:sz w:val="20"/>
        </w:rPr>
        <w:t>4.7.</w:t>
      </w:r>
      <w:r w:rsidR="00047FBE" w:rsidRPr="003D5DFA">
        <w:rPr>
          <w:rFonts w:ascii="Arial" w:hAnsi="Arial" w:cs="Arial"/>
          <w:b/>
          <w:bCs/>
          <w:color w:val="000000"/>
          <w:sz w:val="20"/>
        </w:rPr>
        <w:t>3</w:t>
      </w:r>
      <w:r w:rsidRPr="003D5DFA">
        <w:rPr>
          <w:rFonts w:ascii="Arial" w:hAnsi="Arial" w:cs="Arial"/>
          <w:b/>
          <w:bCs/>
          <w:color w:val="000000"/>
          <w:sz w:val="20"/>
        </w:rPr>
        <w:tab/>
        <w:t xml:space="preserve">Child usually represented if </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EB6CF1" w:rsidRPr="003D5DFA">
        <w:rPr>
          <w:rFonts w:ascii="Arial" w:hAnsi="Arial" w:cs="Arial"/>
          <w:b/>
          <w:bCs/>
          <w:color w:val="000000"/>
          <w:sz w:val="20"/>
        </w:rPr>
        <w:t>aged 10 years or more</w:t>
      </w:r>
    </w:p>
    <w:p w14:paraId="7081D40C" w14:textId="77777777" w:rsidR="000A7139" w:rsidRPr="003D5DFA" w:rsidRDefault="00E76E28" w:rsidP="000A7139">
      <w:pPr>
        <w:jc w:val="both"/>
        <w:rPr>
          <w:rFonts w:ascii="Arial" w:hAnsi="Arial" w:cs="Arial"/>
          <w:color w:val="000000"/>
          <w:sz w:val="20"/>
        </w:rPr>
      </w:pPr>
      <w:r w:rsidRPr="003D5DFA">
        <w:rPr>
          <w:rFonts w:ascii="Arial" w:hAnsi="Arial" w:cs="Arial"/>
          <w:color w:val="000000"/>
          <w:sz w:val="20"/>
        </w:rPr>
        <w:t>T</w:t>
      </w:r>
      <w:r w:rsidR="000A7139" w:rsidRPr="003D5DFA">
        <w:rPr>
          <w:rFonts w:ascii="Arial" w:hAnsi="Arial" w:cs="Arial"/>
          <w:color w:val="000000"/>
          <w:sz w:val="20"/>
        </w:rPr>
        <w:t xml:space="preserve">here was no </w:t>
      </w:r>
      <w:r w:rsidR="00E43D86" w:rsidRPr="003D5DFA">
        <w:rPr>
          <w:rFonts w:ascii="Arial" w:hAnsi="Arial" w:cs="Arial"/>
          <w:color w:val="000000"/>
          <w:sz w:val="20"/>
        </w:rPr>
        <w:t xml:space="preserve">authority </w:t>
      </w:r>
      <w:r w:rsidR="00E65E57" w:rsidRPr="003D5DFA">
        <w:rPr>
          <w:rFonts w:ascii="Arial" w:hAnsi="Arial" w:cs="Arial"/>
          <w:color w:val="000000"/>
          <w:sz w:val="20"/>
        </w:rPr>
        <w:t>at common law for a child</w:t>
      </w:r>
      <w:r w:rsidR="00E43D86" w:rsidRPr="003D5DFA">
        <w:rPr>
          <w:rFonts w:ascii="Arial" w:hAnsi="Arial" w:cs="Arial"/>
          <w:color w:val="000000"/>
          <w:sz w:val="20"/>
        </w:rPr>
        <w:t xml:space="preserve"> to be legally represented </w:t>
      </w:r>
      <w:r w:rsidR="00E65E57" w:rsidRPr="003D5DFA">
        <w:rPr>
          <w:rFonts w:ascii="Arial" w:hAnsi="Arial" w:cs="Arial"/>
          <w:color w:val="000000"/>
          <w:sz w:val="20"/>
        </w:rPr>
        <w:t xml:space="preserve">in non-criminal proceedings in the absence of a parental appointment of a solicitor or a court appointment of a guardian ad litem.  In </w:t>
      </w:r>
      <w:r w:rsidR="00E65E57" w:rsidRPr="003D5DFA">
        <w:rPr>
          <w:rFonts w:ascii="Arial" w:hAnsi="Arial" w:cs="Arial"/>
          <w:i/>
          <w:color w:val="000000"/>
          <w:sz w:val="20"/>
        </w:rPr>
        <w:t>J v Lieschke</w:t>
      </w:r>
      <w:r w:rsidR="00E65E57" w:rsidRPr="003D5DFA">
        <w:rPr>
          <w:rFonts w:ascii="Arial" w:hAnsi="Arial" w:cs="Arial"/>
          <w:color w:val="000000"/>
          <w:sz w:val="20"/>
        </w:rPr>
        <w:t xml:space="preserve"> (1987) 162 CLR 447 at 456 Brennan J </w:t>
      </w:r>
      <w:r w:rsidRPr="003D5DFA">
        <w:rPr>
          <w:rFonts w:ascii="Arial" w:hAnsi="Arial" w:cs="Arial"/>
          <w:color w:val="000000"/>
          <w:sz w:val="20"/>
        </w:rPr>
        <w:t>explaine</w:t>
      </w:r>
      <w:r w:rsidR="00E65E57" w:rsidRPr="003D5DFA">
        <w:rPr>
          <w:rFonts w:ascii="Arial" w:hAnsi="Arial" w:cs="Arial"/>
          <w:color w:val="000000"/>
          <w:sz w:val="20"/>
        </w:rPr>
        <w:t>d:</w:t>
      </w:r>
    </w:p>
    <w:p w14:paraId="3FB0C480" w14:textId="77777777" w:rsidR="00E65E57" w:rsidRPr="003D5DFA" w:rsidRDefault="00E65E57" w:rsidP="00C50555">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w:t>
      </w:r>
      <w:r w:rsidR="00E76E28" w:rsidRPr="003D5DFA">
        <w:rPr>
          <w:rFonts w:ascii="Arial" w:hAnsi="Arial" w:cs="Arial"/>
          <w:bCs/>
          <w:color w:val="000000"/>
          <w:sz w:val="20"/>
        </w:rPr>
        <w:t>Although it is often undesirable for the appointment of a solicitor for a child to be left solely to the parents or other guardians – especially when the fitness of the parents or guardians to exercise their custodial authority is in issue – it is difficult to perceive the source of legal authority for a solicitor to represent a child in non-criminal proceedings when no order has been made by a court of competent jurisdiction appointing some other person to give the necessary instructions.”</w:t>
      </w:r>
    </w:p>
    <w:p w14:paraId="7B6F2AF4" w14:textId="77777777" w:rsidR="000A7139" w:rsidRPr="003D5DFA" w:rsidRDefault="000A7139" w:rsidP="000A7139">
      <w:pPr>
        <w:jc w:val="both"/>
        <w:rPr>
          <w:rFonts w:ascii="Arial" w:hAnsi="Arial" w:cs="Arial"/>
          <w:color w:val="000000"/>
          <w:sz w:val="20"/>
        </w:rPr>
      </w:pPr>
    </w:p>
    <w:p w14:paraId="72CFC547" w14:textId="77777777" w:rsidR="003E2B31" w:rsidRPr="003D5DFA" w:rsidRDefault="00E76E28">
      <w:pPr>
        <w:jc w:val="both"/>
        <w:rPr>
          <w:rFonts w:ascii="Arial" w:hAnsi="Arial" w:cs="Arial"/>
          <w:color w:val="000000"/>
          <w:sz w:val="20"/>
        </w:rPr>
      </w:pPr>
      <w:r w:rsidRPr="003D5DFA">
        <w:rPr>
          <w:rFonts w:ascii="Arial" w:hAnsi="Arial" w:cs="Arial"/>
          <w:color w:val="000000"/>
          <w:sz w:val="20"/>
        </w:rPr>
        <w:lastRenderedPageBreak/>
        <w:t xml:space="preserve">Both the CYFA and its predecessor </w:t>
      </w:r>
      <w:r w:rsidR="00592495" w:rsidRPr="003D5DFA">
        <w:rPr>
          <w:rFonts w:ascii="Arial" w:hAnsi="Arial" w:cs="Arial"/>
          <w:color w:val="000000"/>
          <w:sz w:val="20"/>
        </w:rPr>
        <w:t xml:space="preserve">CYPA </w:t>
      </w:r>
      <w:r w:rsidRPr="003D5DFA">
        <w:rPr>
          <w:rFonts w:ascii="Arial" w:hAnsi="Arial" w:cs="Arial"/>
          <w:color w:val="000000"/>
          <w:sz w:val="20"/>
        </w:rPr>
        <w:t xml:space="preserve">change the common law position.  </w:t>
      </w:r>
      <w:r w:rsidR="00693223" w:rsidRPr="003D5DFA">
        <w:rPr>
          <w:rFonts w:ascii="Arial" w:hAnsi="Arial" w:cs="Arial"/>
          <w:color w:val="000000"/>
          <w:sz w:val="20"/>
        </w:rPr>
        <w:t>S</w:t>
      </w:r>
      <w:r w:rsidR="008A2308">
        <w:rPr>
          <w:rFonts w:ascii="Arial" w:hAnsi="Arial" w:cs="Arial"/>
          <w:color w:val="000000"/>
          <w:sz w:val="20"/>
        </w:rPr>
        <w:t xml:space="preserve">ection </w:t>
      </w:r>
      <w:r w:rsidR="001D3F93" w:rsidRPr="003D5DFA">
        <w:rPr>
          <w:rFonts w:ascii="Arial" w:hAnsi="Arial" w:cs="Arial"/>
          <w:color w:val="000000"/>
          <w:sz w:val="20"/>
        </w:rPr>
        <w:t>5</w:t>
      </w:r>
      <w:r w:rsidR="00693223" w:rsidRPr="003D5DFA">
        <w:rPr>
          <w:rFonts w:ascii="Arial" w:hAnsi="Arial" w:cs="Arial"/>
          <w:color w:val="000000"/>
          <w:sz w:val="20"/>
        </w:rPr>
        <w:t>2</w:t>
      </w:r>
      <w:r w:rsidR="001D3F93" w:rsidRPr="003D5DFA">
        <w:rPr>
          <w:rFonts w:ascii="Arial" w:hAnsi="Arial" w:cs="Arial"/>
          <w:color w:val="000000"/>
          <w:sz w:val="20"/>
        </w:rPr>
        <w:t>5</w:t>
      </w:r>
      <w:r w:rsidR="00693223" w:rsidRPr="003D5DFA">
        <w:rPr>
          <w:rFonts w:ascii="Arial" w:hAnsi="Arial" w:cs="Arial"/>
          <w:color w:val="000000"/>
          <w:sz w:val="20"/>
        </w:rPr>
        <w:t>(1) of the CY</w:t>
      </w:r>
      <w:r w:rsidR="001D3F93" w:rsidRPr="003D5DFA">
        <w:rPr>
          <w:rFonts w:ascii="Arial" w:hAnsi="Arial" w:cs="Arial"/>
          <w:color w:val="000000"/>
          <w:sz w:val="20"/>
        </w:rPr>
        <w:t>F</w:t>
      </w:r>
      <w:r w:rsidR="00693223" w:rsidRPr="003D5DFA">
        <w:rPr>
          <w:rFonts w:ascii="Arial" w:hAnsi="Arial" w:cs="Arial"/>
          <w:color w:val="000000"/>
          <w:sz w:val="20"/>
        </w:rPr>
        <w:t>A provides that, subject to s.</w:t>
      </w:r>
      <w:r w:rsidR="001D3F93" w:rsidRPr="003D5DFA">
        <w:rPr>
          <w:rFonts w:ascii="Arial" w:hAnsi="Arial" w:cs="Arial"/>
          <w:color w:val="000000"/>
          <w:sz w:val="20"/>
        </w:rPr>
        <w:t>524</w:t>
      </w:r>
      <w:r w:rsidR="00693223" w:rsidRPr="003D5DFA">
        <w:rPr>
          <w:rFonts w:ascii="Arial" w:hAnsi="Arial" w:cs="Arial"/>
          <w:color w:val="000000"/>
          <w:sz w:val="20"/>
        </w:rPr>
        <w:t xml:space="preserve">, a child </w:t>
      </w:r>
      <w:r w:rsidR="003E2B31" w:rsidRPr="003D5DFA">
        <w:rPr>
          <w:rFonts w:ascii="Arial" w:hAnsi="Arial" w:cs="Arial"/>
          <w:color w:val="000000"/>
          <w:sz w:val="20"/>
        </w:rPr>
        <w:t>aged 10 years or more must be legally represented in the following proceedings in the Family Division-</w:t>
      </w:r>
    </w:p>
    <w:p w14:paraId="27D031B3" w14:textId="77777777" w:rsidR="00693223" w:rsidRPr="003D5DFA" w:rsidRDefault="00693223" w:rsidP="001F6EA3">
      <w:pPr>
        <w:ind w:left="363" w:hanging="363"/>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application for IAO;</w:t>
      </w:r>
    </w:p>
    <w:p w14:paraId="790F7212"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protection application;</w:t>
      </w:r>
    </w:p>
    <w:p w14:paraId="609818C5"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(c)</w:t>
      </w:r>
      <w:r w:rsidRPr="003D5DFA">
        <w:rPr>
          <w:rFonts w:ascii="Arial" w:hAnsi="Arial" w:cs="Arial"/>
          <w:color w:val="000000"/>
          <w:sz w:val="20"/>
        </w:rPr>
        <w:tab/>
        <w:t>irreconcilable difference application;</w:t>
      </w:r>
    </w:p>
    <w:p w14:paraId="45FB1DB3" w14:textId="77777777" w:rsidR="001D3F93" w:rsidRPr="003D5DFA" w:rsidRDefault="00693223">
      <w:pPr>
        <w:ind w:left="363" w:hanging="363"/>
        <w:jc w:val="both"/>
        <w:rPr>
          <w:rFonts w:ascii="Arial" w:hAnsi="Arial" w:cs="Arial"/>
          <w:color w:val="000000"/>
          <w:sz w:val="20"/>
        </w:rPr>
      </w:pPr>
      <w:r w:rsidRPr="003D5DFA">
        <w:rPr>
          <w:rFonts w:ascii="Arial" w:hAnsi="Arial" w:cs="Arial"/>
          <w:color w:val="000000"/>
          <w:sz w:val="20"/>
        </w:rPr>
        <w:t>(d)</w:t>
      </w:r>
      <w:r w:rsidRPr="003D5DFA">
        <w:rPr>
          <w:rFonts w:ascii="Arial" w:hAnsi="Arial" w:cs="Arial"/>
          <w:color w:val="000000"/>
          <w:sz w:val="20"/>
        </w:rPr>
        <w:tab/>
        <w:t xml:space="preserve">application for a </w:t>
      </w:r>
      <w:r w:rsidR="001D3F93" w:rsidRPr="003D5DFA">
        <w:rPr>
          <w:rFonts w:ascii="Arial" w:hAnsi="Arial" w:cs="Arial"/>
          <w:color w:val="000000"/>
          <w:sz w:val="20"/>
        </w:rPr>
        <w:t>temporary assessment order (unless the Court grants leave for the application to proceed ex parte);</w:t>
      </w:r>
    </w:p>
    <w:p w14:paraId="4DAF3797" w14:textId="77777777" w:rsidR="001D3F93" w:rsidRDefault="001D3F93">
      <w:pPr>
        <w:ind w:left="363" w:hanging="363"/>
        <w:jc w:val="both"/>
        <w:rPr>
          <w:rFonts w:ascii="Arial" w:hAnsi="Arial" w:cs="Arial"/>
          <w:color w:val="000000"/>
          <w:sz w:val="20"/>
        </w:rPr>
      </w:pPr>
      <w:r w:rsidRPr="003D5DFA">
        <w:rPr>
          <w:rFonts w:ascii="Arial" w:hAnsi="Arial" w:cs="Arial"/>
          <w:color w:val="000000"/>
          <w:sz w:val="20"/>
        </w:rPr>
        <w:t>(e)</w:t>
      </w:r>
      <w:r w:rsidRPr="003D5DFA">
        <w:rPr>
          <w:rFonts w:ascii="Arial" w:hAnsi="Arial" w:cs="Arial"/>
          <w:color w:val="000000"/>
          <w:sz w:val="20"/>
        </w:rPr>
        <w:tab/>
        <w:t>application for a therapeutic treatment order or therapeutic treatment (placement) order;</w:t>
      </w:r>
    </w:p>
    <w:p w14:paraId="55F47458" w14:textId="77777777" w:rsidR="00DC0A3F" w:rsidRDefault="00DC0A3F">
      <w:pPr>
        <w:ind w:left="363" w:hanging="363"/>
        <w:jc w:val="both"/>
        <w:rPr>
          <w:rFonts w:ascii="Arial" w:hAnsi="Arial" w:cs="Arial"/>
          <w:color w:val="000000"/>
          <w:sz w:val="20"/>
        </w:rPr>
      </w:pPr>
      <w:r>
        <w:rPr>
          <w:rFonts w:ascii="Arial" w:hAnsi="Arial" w:cs="Arial"/>
          <w:color w:val="000000"/>
          <w:sz w:val="20"/>
        </w:rPr>
        <w:t>(ea)</w:t>
      </w:r>
      <w:r>
        <w:rPr>
          <w:rFonts w:ascii="Arial" w:hAnsi="Arial" w:cs="Arial"/>
          <w:color w:val="000000"/>
          <w:sz w:val="20"/>
        </w:rPr>
        <w:tab/>
        <w:t>application for a care by Secretary order;</w:t>
      </w:r>
    </w:p>
    <w:p w14:paraId="1E2041AB" w14:textId="77777777" w:rsidR="00DC0A3F" w:rsidRPr="003D5DFA" w:rsidRDefault="00DC0A3F">
      <w:pPr>
        <w:ind w:left="363" w:hanging="363"/>
        <w:jc w:val="both"/>
        <w:rPr>
          <w:rFonts w:ascii="Arial" w:hAnsi="Arial" w:cs="Arial"/>
          <w:color w:val="000000"/>
          <w:sz w:val="20"/>
        </w:rPr>
      </w:pPr>
      <w:r>
        <w:rPr>
          <w:rFonts w:ascii="Arial" w:hAnsi="Arial" w:cs="Arial"/>
          <w:color w:val="000000"/>
          <w:sz w:val="20"/>
        </w:rPr>
        <w:t>(eb)</w:t>
      </w:r>
      <w:r>
        <w:rPr>
          <w:rFonts w:ascii="Arial" w:hAnsi="Arial" w:cs="Arial"/>
          <w:color w:val="000000"/>
          <w:sz w:val="20"/>
        </w:rPr>
        <w:tab/>
        <w:t>application for a long-term care order;</w:t>
      </w:r>
    </w:p>
    <w:p w14:paraId="5683ED99" w14:textId="77777777" w:rsidR="00693223" w:rsidRPr="003D5DFA" w:rsidRDefault="001D3F93">
      <w:pPr>
        <w:ind w:left="363" w:hanging="363"/>
        <w:jc w:val="both"/>
        <w:rPr>
          <w:rFonts w:ascii="Arial" w:hAnsi="Arial" w:cs="Arial"/>
          <w:color w:val="000000"/>
          <w:sz w:val="20"/>
        </w:rPr>
      </w:pPr>
      <w:r w:rsidRPr="003D5DFA">
        <w:rPr>
          <w:rFonts w:ascii="Arial" w:hAnsi="Arial" w:cs="Arial"/>
          <w:color w:val="000000"/>
          <w:sz w:val="20"/>
        </w:rPr>
        <w:t>(f)</w:t>
      </w:r>
      <w:r w:rsidRPr="003D5DFA">
        <w:rPr>
          <w:rFonts w:ascii="Arial" w:hAnsi="Arial" w:cs="Arial"/>
          <w:color w:val="000000"/>
          <w:sz w:val="20"/>
        </w:rPr>
        <w:tab/>
        <w:t xml:space="preserve">application for a </w:t>
      </w:r>
      <w:r w:rsidR="00693223" w:rsidRPr="003D5DFA">
        <w:rPr>
          <w:rFonts w:ascii="Arial" w:hAnsi="Arial" w:cs="Arial"/>
          <w:color w:val="000000"/>
          <w:sz w:val="20"/>
        </w:rPr>
        <w:t>permanent care order;</w:t>
      </w:r>
    </w:p>
    <w:p w14:paraId="1E3EF46E"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g</w:t>
      </w:r>
      <w:r w:rsidRPr="003D5DFA">
        <w:rPr>
          <w:rFonts w:ascii="Arial" w:hAnsi="Arial" w:cs="Arial"/>
          <w:color w:val="000000"/>
          <w:sz w:val="20"/>
        </w:rPr>
        <w:t>)</w:t>
      </w:r>
      <w:r w:rsidRPr="003D5DFA">
        <w:rPr>
          <w:rFonts w:ascii="Arial" w:hAnsi="Arial" w:cs="Arial"/>
          <w:color w:val="000000"/>
          <w:sz w:val="20"/>
        </w:rPr>
        <w:tab/>
        <w:t>application for variation of an IAO;</w:t>
      </w:r>
    </w:p>
    <w:p w14:paraId="7033DE60"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h</w:t>
      </w:r>
      <w:r w:rsidRPr="003D5DFA">
        <w:rPr>
          <w:rFonts w:ascii="Arial" w:hAnsi="Arial" w:cs="Arial"/>
          <w:color w:val="000000"/>
          <w:sz w:val="20"/>
        </w:rPr>
        <w:t>)</w:t>
      </w:r>
      <w:r w:rsidRPr="003D5DFA">
        <w:rPr>
          <w:rFonts w:ascii="Arial" w:hAnsi="Arial" w:cs="Arial"/>
          <w:color w:val="000000"/>
          <w:sz w:val="20"/>
        </w:rPr>
        <w:tab/>
        <w:t xml:space="preserve">application for variation or revocation of a </w:t>
      </w:r>
      <w:r w:rsidR="001D3F93" w:rsidRPr="003D5DFA">
        <w:rPr>
          <w:rFonts w:ascii="Arial" w:hAnsi="Arial" w:cs="Arial"/>
          <w:color w:val="000000"/>
          <w:sz w:val="20"/>
        </w:rPr>
        <w:t xml:space="preserve">temporary assessment order, a therapeutic treatment order or therapeutic treatment (placement) order, a </w:t>
      </w:r>
      <w:r w:rsidR="00EB1C61">
        <w:rPr>
          <w:rFonts w:ascii="Arial" w:hAnsi="Arial" w:cs="Arial"/>
          <w:color w:val="000000"/>
          <w:sz w:val="20"/>
        </w:rPr>
        <w:t>family preservation</w:t>
      </w:r>
      <w:r w:rsidRPr="003D5DFA">
        <w:rPr>
          <w:rFonts w:ascii="Arial" w:hAnsi="Arial" w:cs="Arial"/>
          <w:color w:val="000000"/>
          <w:sz w:val="20"/>
        </w:rPr>
        <w:t xml:space="preserve"> order, a </w:t>
      </w:r>
      <w:r w:rsidR="00EB1C61">
        <w:rPr>
          <w:rFonts w:ascii="Arial" w:hAnsi="Arial" w:cs="Arial"/>
          <w:color w:val="000000"/>
          <w:sz w:val="20"/>
        </w:rPr>
        <w:t>family reunification order</w:t>
      </w:r>
      <w:r w:rsidRPr="003D5DFA">
        <w:rPr>
          <w:rFonts w:ascii="Arial" w:hAnsi="Arial" w:cs="Arial"/>
          <w:color w:val="000000"/>
          <w:sz w:val="20"/>
        </w:rPr>
        <w:t xml:space="preserve"> or a permanent care order;</w:t>
      </w:r>
    </w:p>
    <w:p w14:paraId="10E6EE7B"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i</w:t>
      </w:r>
      <w:r w:rsidRPr="003D5DFA">
        <w:rPr>
          <w:rFonts w:ascii="Arial" w:hAnsi="Arial" w:cs="Arial"/>
          <w:color w:val="000000"/>
          <w:sz w:val="20"/>
        </w:rPr>
        <w:t>)</w:t>
      </w:r>
      <w:r w:rsidRPr="003D5DFA">
        <w:rPr>
          <w:rFonts w:ascii="Arial" w:hAnsi="Arial" w:cs="Arial"/>
          <w:color w:val="000000"/>
          <w:sz w:val="20"/>
        </w:rPr>
        <w:tab/>
        <w:t>application in respect of breach of a</w:t>
      </w:r>
      <w:r w:rsidR="00EB1C61">
        <w:rPr>
          <w:rFonts w:ascii="Arial" w:hAnsi="Arial" w:cs="Arial"/>
          <w:color w:val="000000"/>
          <w:sz w:val="20"/>
        </w:rPr>
        <w:t xml:space="preserve">n IAO or </w:t>
      </w:r>
      <w:r w:rsidR="001D3F93" w:rsidRPr="003D5DFA">
        <w:rPr>
          <w:rFonts w:ascii="Arial" w:hAnsi="Arial" w:cs="Arial"/>
          <w:color w:val="000000"/>
          <w:sz w:val="20"/>
        </w:rPr>
        <w:t>a</w:t>
      </w:r>
      <w:r w:rsidR="00EB1C61">
        <w:rPr>
          <w:rFonts w:ascii="Arial" w:hAnsi="Arial" w:cs="Arial"/>
          <w:color w:val="000000"/>
          <w:sz w:val="20"/>
        </w:rPr>
        <w:t xml:space="preserve"> family preservation</w:t>
      </w:r>
      <w:r w:rsidRPr="003D5DFA">
        <w:rPr>
          <w:rFonts w:ascii="Arial" w:hAnsi="Arial" w:cs="Arial"/>
          <w:color w:val="000000"/>
          <w:sz w:val="20"/>
        </w:rPr>
        <w:t xml:space="preserve"> </w:t>
      </w:r>
      <w:r w:rsidR="001D3F93" w:rsidRPr="003D5DFA">
        <w:rPr>
          <w:rFonts w:ascii="Arial" w:hAnsi="Arial" w:cs="Arial"/>
          <w:color w:val="000000"/>
          <w:sz w:val="20"/>
        </w:rPr>
        <w:t>order</w:t>
      </w:r>
      <w:r w:rsidRPr="003D5DFA">
        <w:rPr>
          <w:rFonts w:ascii="Arial" w:hAnsi="Arial" w:cs="Arial"/>
          <w:color w:val="000000"/>
          <w:sz w:val="20"/>
        </w:rPr>
        <w:t>;</w:t>
      </w:r>
    </w:p>
    <w:p w14:paraId="0657A3DA"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j</w:t>
      </w:r>
      <w:r w:rsidRPr="003D5DFA">
        <w:rPr>
          <w:rFonts w:ascii="Arial" w:hAnsi="Arial" w:cs="Arial"/>
          <w:color w:val="000000"/>
          <w:sz w:val="20"/>
        </w:rPr>
        <w:t>)</w:t>
      </w:r>
      <w:r w:rsidRPr="003D5DFA">
        <w:rPr>
          <w:rFonts w:ascii="Arial" w:hAnsi="Arial" w:cs="Arial"/>
          <w:color w:val="000000"/>
          <w:sz w:val="20"/>
        </w:rPr>
        <w:tab/>
        <w:t xml:space="preserve">application for extension of a </w:t>
      </w:r>
      <w:r w:rsidR="00EB1C61">
        <w:rPr>
          <w:rFonts w:ascii="Arial" w:hAnsi="Arial" w:cs="Arial"/>
          <w:color w:val="000000"/>
          <w:sz w:val="20"/>
        </w:rPr>
        <w:t>family preservation</w:t>
      </w:r>
      <w:r w:rsidR="001D3F93" w:rsidRPr="003D5DFA">
        <w:rPr>
          <w:rFonts w:ascii="Arial" w:hAnsi="Arial" w:cs="Arial"/>
          <w:color w:val="000000"/>
          <w:sz w:val="20"/>
        </w:rPr>
        <w:t xml:space="preserve"> order, a </w:t>
      </w:r>
      <w:r w:rsidR="00EB1C61">
        <w:rPr>
          <w:rFonts w:ascii="Arial" w:hAnsi="Arial" w:cs="Arial"/>
          <w:color w:val="000000"/>
          <w:sz w:val="20"/>
        </w:rPr>
        <w:t xml:space="preserve">family reunification order or a care by </w:t>
      </w:r>
      <w:r w:rsidRPr="003D5DFA">
        <w:rPr>
          <w:rFonts w:ascii="Arial" w:hAnsi="Arial" w:cs="Arial"/>
          <w:color w:val="000000"/>
          <w:sz w:val="20"/>
        </w:rPr>
        <w:t>Secretary order;</w:t>
      </w:r>
    </w:p>
    <w:p w14:paraId="6B359A64"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k</w:t>
      </w:r>
      <w:r w:rsidRPr="003D5DFA">
        <w:rPr>
          <w:rFonts w:ascii="Arial" w:hAnsi="Arial" w:cs="Arial"/>
          <w:color w:val="000000"/>
          <w:sz w:val="20"/>
        </w:rPr>
        <w:t>)</w:t>
      </w:r>
      <w:r w:rsidRPr="003D5DFA">
        <w:rPr>
          <w:rFonts w:ascii="Arial" w:hAnsi="Arial" w:cs="Arial"/>
          <w:color w:val="000000"/>
          <w:sz w:val="20"/>
        </w:rPr>
        <w:tab/>
        <w:t xml:space="preserve">application for revocation of a </w:t>
      </w:r>
      <w:r w:rsidR="00EB1C61">
        <w:rPr>
          <w:rFonts w:ascii="Arial" w:hAnsi="Arial" w:cs="Arial"/>
          <w:color w:val="000000"/>
          <w:sz w:val="20"/>
        </w:rPr>
        <w:t>care by Secretary order or a long-term care order</w:t>
      </w:r>
      <w:r w:rsidRPr="003D5DFA">
        <w:rPr>
          <w:rFonts w:ascii="Arial" w:hAnsi="Arial" w:cs="Arial"/>
          <w:color w:val="000000"/>
          <w:sz w:val="20"/>
        </w:rPr>
        <w:t>;</w:t>
      </w:r>
    </w:p>
    <w:p w14:paraId="0270D103"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1D3F93" w:rsidRPr="003D5DFA">
        <w:rPr>
          <w:rFonts w:ascii="Arial" w:hAnsi="Arial" w:cs="Arial"/>
          <w:color w:val="000000"/>
          <w:sz w:val="20"/>
        </w:rPr>
        <w:t>l</w:t>
      </w:r>
      <w:r w:rsidRPr="003D5DFA">
        <w:rPr>
          <w:rFonts w:ascii="Arial" w:hAnsi="Arial" w:cs="Arial"/>
          <w:color w:val="000000"/>
          <w:sz w:val="20"/>
        </w:rPr>
        <w:t>)</w:t>
      </w:r>
      <w:r w:rsidRPr="003D5DFA">
        <w:rPr>
          <w:rFonts w:ascii="Arial" w:hAnsi="Arial" w:cs="Arial"/>
          <w:color w:val="000000"/>
          <w:sz w:val="20"/>
        </w:rPr>
        <w:tab/>
        <w:t xml:space="preserve">application for an order regarding the exercise of any right, power or duty vested in a person </w:t>
      </w:r>
      <w:r w:rsidR="00EB1C61">
        <w:rPr>
          <w:rFonts w:ascii="Arial" w:hAnsi="Arial" w:cs="Arial"/>
          <w:color w:val="000000"/>
          <w:sz w:val="20"/>
        </w:rPr>
        <w:t>with</w:t>
      </w:r>
      <w:r w:rsidRPr="003D5DFA">
        <w:rPr>
          <w:rFonts w:ascii="Arial" w:hAnsi="Arial" w:cs="Arial"/>
          <w:color w:val="000000"/>
          <w:sz w:val="20"/>
        </w:rPr>
        <w:t xml:space="preserve"> joint </w:t>
      </w:r>
      <w:r w:rsidR="00EB1C61">
        <w:rPr>
          <w:rFonts w:ascii="Arial" w:hAnsi="Arial" w:cs="Arial"/>
          <w:color w:val="000000"/>
          <w:sz w:val="20"/>
        </w:rPr>
        <w:t>parental responsibility for</w:t>
      </w:r>
      <w:r w:rsidRPr="003D5DFA">
        <w:rPr>
          <w:rFonts w:ascii="Arial" w:hAnsi="Arial" w:cs="Arial"/>
          <w:color w:val="000000"/>
          <w:sz w:val="20"/>
        </w:rPr>
        <w:t xml:space="preserve"> a child;</w:t>
      </w:r>
    </w:p>
    <w:p w14:paraId="3D0F1C1C" w14:textId="77777777" w:rsidR="00693223" w:rsidRPr="003D5DFA" w:rsidRDefault="00693223">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m</w:t>
      </w:r>
      <w:r w:rsidRPr="003D5DFA">
        <w:rPr>
          <w:rFonts w:ascii="Arial" w:hAnsi="Arial" w:cs="Arial"/>
          <w:color w:val="000000"/>
          <w:sz w:val="20"/>
        </w:rPr>
        <w:t>)</w:t>
      </w:r>
      <w:r w:rsidRPr="003D5DFA">
        <w:rPr>
          <w:rFonts w:ascii="Arial" w:hAnsi="Arial" w:cs="Arial"/>
          <w:color w:val="000000"/>
          <w:sz w:val="20"/>
        </w:rPr>
        <w:tab/>
        <w:t>application for an order transferring a child</w:t>
      </w:r>
      <w:r w:rsidR="001D3F93" w:rsidRPr="003D5DFA">
        <w:rPr>
          <w:rFonts w:ascii="Arial" w:hAnsi="Arial" w:cs="Arial"/>
          <w:color w:val="000000"/>
          <w:sz w:val="20"/>
        </w:rPr>
        <w:t xml:space="preserve"> protection order </w:t>
      </w:r>
      <w:r w:rsidRPr="003D5DFA">
        <w:rPr>
          <w:rFonts w:ascii="Arial" w:hAnsi="Arial" w:cs="Arial"/>
          <w:color w:val="000000"/>
          <w:sz w:val="20"/>
        </w:rPr>
        <w:t xml:space="preserve">within the meaning of Schedule </w:t>
      </w:r>
      <w:r w:rsidR="001D3F93" w:rsidRPr="003D5DFA">
        <w:rPr>
          <w:rFonts w:ascii="Arial" w:hAnsi="Arial" w:cs="Arial"/>
          <w:color w:val="000000"/>
          <w:sz w:val="20"/>
        </w:rPr>
        <w:t>1</w:t>
      </w:r>
      <w:r w:rsidRPr="003D5DFA">
        <w:rPr>
          <w:rFonts w:ascii="Arial" w:hAnsi="Arial" w:cs="Arial"/>
          <w:color w:val="000000"/>
          <w:sz w:val="20"/>
        </w:rPr>
        <w:t xml:space="preserve"> to a participating State;</w:t>
      </w:r>
    </w:p>
    <w:p w14:paraId="07B6249C" w14:textId="77777777" w:rsidR="009B633C" w:rsidRPr="003D5DFA" w:rsidRDefault="009B633C" w:rsidP="009B633C">
      <w:pPr>
        <w:ind w:left="363" w:hanging="363"/>
        <w:jc w:val="both"/>
        <w:rPr>
          <w:rFonts w:ascii="Arial" w:hAnsi="Arial" w:cs="Arial"/>
          <w:color w:val="000000"/>
          <w:sz w:val="20"/>
        </w:rPr>
      </w:pPr>
      <w:r w:rsidRPr="003D5DFA">
        <w:rPr>
          <w:rFonts w:ascii="Arial" w:hAnsi="Arial" w:cs="Arial"/>
          <w:color w:val="000000"/>
          <w:sz w:val="20"/>
        </w:rPr>
        <w:t>(n)</w:t>
      </w:r>
      <w:r w:rsidRPr="003D5DFA">
        <w:rPr>
          <w:rFonts w:ascii="Arial" w:hAnsi="Arial" w:cs="Arial"/>
          <w:color w:val="000000"/>
          <w:sz w:val="20"/>
        </w:rPr>
        <w:tab/>
        <w:t>application for an order transferring a child protection proceeding within the meaning of Schedule 1 to the Children’s Court in a participating State;</w:t>
      </w:r>
    </w:p>
    <w:p w14:paraId="71A73542" w14:textId="77777777" w:rsidR="00693223" w:rsidRPr="003D5DFA" w:rsidRDefault="00693223" w:rsidP="009B633C">
      <w:pPr>
        <w:ind w:left="363" w:hanging="363"/>
        <w:jc w:val="both"/>
        <w:rPr>
          <w:rFonts w:ascii="Arial" w:hAnsi="Arial" w:cs="Arial"/>
          <w:color w:val="000000"/>
          <w:sz w:val="20"/>
        </w:rPr>
      </w:pPr>
      <w:r w:rsidRPr="003D5DFA">
        <w:rPr>
          <w:rFonts w:ascii="Arial" w:hAnsi="Arial" w:cs="Arial"/>
          <w:color w:val="000000"/>
          <w:sz w:val="20"/>
        </w:rPr>
        <w:t>(</w:t>
      </w:r>
      <w:r w:rsidR="009B633C" w:rsidRPr="003D5DFA">
        <w:rPr>
          <w:rFonts w:ascii="Arial" w:hAnsi="Arial" w:cs="Arial"/>
          <w:color w:val="000000"/>
          <w:sz w:val="20"/>
        </w:rPr>
        <w:t>o</w:t>
      </w:r>
      <w:r w:rsidRPr="003D5DFA">
        <w:rPr>
          <w:rFonts w:ascii="Arial" w:hAnsi="Arial" w:cs="Arial"/>
          <w:color w:val="000000"/>
          <w:sz w:val="20"/>
        </w:rPr>
        <w:t>)</w:t>
      </w:r>
      <w:r w:rsidRPr="003D5DFA">
        <w:rPr>
          <w:rFonts w:ascii="Arial" w:hAnsi="Arial" w:cs="Arial"/>
          <w:color w:val="000000"/>
          <w:sz w:val="20"/>
        </w:rPr>
        <w:tab/>
        <w:t>application for the revocation of the registration of a document fil</w:t>
      </w:r>
      <w:r w:rsidR="009B633C" w:rsidRPr="003D5DFA">
        <w:rPr>
          <w:rFonts w:ascii="Arial" w:hAnsi="Arial" w:cs="Arial"/>
          <w:color w:val="000000"/>
          <w:sz w:val="20"/>
        </w:rPr>
        <w:t>ed under clause 19 of Schedule 1</w:t>
      </w:r>
      <w:r w:rsidRPr="003D5DFA">
        <w:rPr>
          <w:rFonts w:ascii="Arial" w:hAnsi="Arial" w:cs="Arial"/>
          <w:color w:val="000000"/>
          <w:sz w:val="20"/>
        </w:rPr>
        <w:t>.</w:t>
      </w:r>
    </w:p>
    <w:p w14:paraId="36B314D8" w14:textId="77777777" w:rsidR="00693223" w:rsidRPr="003D5DFA" w:rsidRDefault="003E2B31">
      <w:pPr>
        <w:jc w:val="both"/>
        <w:rPr>
          <w:rFonts w:ascii="Arial" w:hAnsi="Arial" w:cs="Arial"/>
          <w:color w:val="000000"/>
          <w:sz w:val="20"/>
        </w:rPr>
      </w:pPr>
      <w:r w:rsidRPr="003D5DFA">
        <w:rPr>
          <w:rFonts w:ascii="Arial" w:hAnsi="Arial" w:cs="Arial"/>
          <w:color w:val="000000"/>
          <w:sz w:val="20"/>
        </w:rPr>
        <w:t>This list includes nearly all of the proceedings in the Family Division.</w:t>
      </w:r>
    </w:p>
    <w:p w14:paraId="0F3383A7" w14:textId="77777777" w:rsidR="003E2B31" w:rsidRPr="003D5DFA" w:rsidRDefault="003E2B31">
      <w:pPr>
        <w:jc w:val="both"/>
        <w:rPr>
          <w:rFonts w:ascii="Arial" w:hAnsi="Arial" w:cs="Arial"/>
          <w:color w:val="000000"/>
          <w:sz w:val="20"/>
        </w:rPr>
      </w:pPr>
    </w:p>
    <w:p w14:paraId="464E67B2" w14:textId="77777777" w:rsidR="000B6A6D" w:rsidRPr="003D5DFA" w:rsidRDefault="00693223">
      <w:pPr>
        <w:jc w:val="both"/>
        <w:rPr>
          <w:rFonts w:ascii="Arial" w:hAnsi="Arial" w:cs="Arial"/>
          <w:color w:val="000000"/>
          <w:sz w:val="20"/>
        </w:rPr>
      </w:pPr>
      <w:r w:rsidRPr="003D5DFA">
        <w:rPr>
          <w:rFonts w:ascii="Arial" w:hAnsi="Arial" w:cs="Arial"/>
          <w:color w:val="000000"/>
          <w:sz w:val="20"/>
        </w:rPr>
        <w:t xml:space="preserve">Section </w:t>
      </w:r>
      <w:r w:rsidR="000A7107" w:rsidRPr="003D5DFA">
        <w:rPr>
          <w:rFonts w:ascii="Arial" w:hAnsi="Arial" w:cs="Arial"/>
          <w:color w:val="000000"/>
          <w:sz w:val="20"/>
        </w:rPr>
        <w:t>524</w:t>
      </w:r>
      <w:r w:rsidRPr="003D5DFA">
        <w:rPr>
          <w:rFonts w:ascii="Arial" w:hAnsi="Arial" w:cs="Arial"/>
          <w:color w:val="000000"/>
          <w:sz w:val="20"/>
        </w:rPr>
        <w:t>(</w:t>
      </w:r>
      <w:r w:rsidR="000A7107" w:rsidRPr="003D5DFA">
        <w:rPr>
          <w:rFonts w:ascii="Arial" w:hAnsi="Arial" w:cs="Arial"/>
          <w:color w:val="000000"/>
          <w:sz w:val="20"/>
        </w:rPr>
        <w:t>8</w:t>
      </w:r>
      <w:r w:rsidRPr="003D5DFA">
        <w:rPr>
          <w:rFonts w:ascii="Arial" w:hAnsi="Arial" w:cs="Arial"/>
          <w:color w:val="000000"/>
          <w:sz w:val="20"/>
        </w:rPr>
        <w:t xml:space="preserve">) prohibits a parent from representing a child </w:t>
      </w:r>
      <w:r w:rsidR="000B6A6D" w:rsidRPr="003D5DFA">
        <w:rPr>
          <w:rFonts w:ascii="Arial" w:hAnsi="Arial" w:cs="Arial"/>
          <w:color w:val="000000"/>
          <w:sz w:val="20"/>
        </w:rPr>
        <w:t xml:space="preserve">in the Family Division </w:t>
      </w:r>
      <w:r w:rsidRPr="003D5DFA">
        <w:rPr>
          <w:rFonts w:ascii="Arial" w:hAnsi="Arial" w:cs="Arial"/>
          <w:color w:val="000000"/>
          <w:sz w:val="20"/>
        </w:rPr>
        <w:t>but permits the Court to grant leave to a non-lawyer, other than a parent, to represent the child</w:t>
      </w:r>
      <w:r w:rsidR="000B6A6D" w:rsidRPr="003D5DFA">
        <w:rPr>
          <w:rFonts w:ascii="Arial" w:hAnsi="Arial" w:cs="Arial"/>
          <w:color w:val="000000"/>
          <w:sz w:val="20"/>
        </w:rPr>
        <w:t xml:space="preserve"> except in cases where legal representation is obtained pursuant to s.524(4).</w:t>
      </w:r>
    </w:p>
    <w:p w14:paraId="48ED0330" w14:textId="77777777" w:rsidR="004C0B7B" w:rsidRPr="003D5DFA" w:rsidRDefault="004C0B7B" w:rsidP="004C0B7B">
      <w:pPr>
        <w:jc w:val="both"/>
        <w:rPr>
          <w:rFonts w:ascii="Arial" w:hAnsi="Arial" w:cs="Arial"/>
          <w:color w:val="000000"/>
          <w:sz w:val="20"/>
        </w:rPr>
      </w:pPr>
    </w:p>
    <w:p w14:paraId="47A01504" w14:textId="77777777" w:rsidR="004C0B7B" w:rsidRPr="003D5DFA" w:rsidRDefault="004C0B7B" w:rsidP="004C0B7B">
      <w:pPr>
        <w:jc w:val="both"/>
        <w:rPr>
          <w:rFonts w:ascii="Arial" w:hAnsi="Arial" w:cs="Arial"/>
          <w:color w:val="000000"/>
          <w:sz w:val="20"/>
        </w:rPr>
      </w:pPr>
      <w:r w:rsidRPr="003D5DFA">
        <w:rPr>
          <w:rFonts w:ascii="Arial" w:hAnsi="Arial" w:cs="Arial"/>
          <w:color w:val="000000"/>
          <w:sz w:val="20"/>
        </w:rPr>
        <w:t xml:space="preserve">Section 524(1)(a) empowers – but does not require – the Court to adjourn the hearing of any proceeding in the Family Division of the Court at any stage to enable a child aged 10 years or more to obtain legal representation.  </w:t>
      </w:r>
      <w:r w:rsidR="00EB1C61">
        <w:rPr>
          <w:rFonts w:ascii="Arial" w:hAnsi="Arial" w:cs="Arial"/>
          <w:color w:val="000000"/>
          <w:sz w:val="20"/>
        </w:rPr>
        <w:t xml:space="preserve">However, the writer considers this must be read subject to the mandatory representation provisions in s.525(1).  </w:t>
      </w:r>
      <w:r w:rsidRPr="003D5DFA">
        <w:rPr>
          <w:rFonts w:ascii="Arial" w:hAnsi="Arial" w:cs="Arial"/>
          <w:color w:val="000000"/>
          <w:sz w:val="20"/>
        </w:rPr>
        <w:t>Section 524(4A) permits the Court to resume a hearing adjourned to enable a child to obtain legal representation whether or not the child has obtained legal representation.</w:t>
      </w:r>
    </w:p>
    <w:p w14:paraId="6353065B" w14:textId="77777777" w:rsidR="004C0B7B" w:rsidRPr="003D5DFA" w:rsidRDefault="004C0B7B" w:rsidP="004C0B7B">
      <w:pPr>
        <w:jc w:val="both"/>
        <w:rPr>
          <w:rFonts w:ascii="Arial" w:hAnsi="Arial" w:cs="Arial"/>
          <w:color w:val="000000"/>
          <w:sz w:val="20"/>
        </w:rPr>
      </w:pPr>
    </w:p>
    <w:p w14:paraId="0327AAFA" w14:textId="77777777" w:rsidR="00693223" w:rsidRPr="003D5DFA" w:rsidRDefault="008A2308">
      <w:pPr>
        <w:jc w:val="both"/>
        <w:rPr>
          <w:rFonts w:ascii="Arial" w:hAnsi="Arial" w:cs="Arial"/>
          <w:color w:val="000000"/>
          <w:sz w:val="20"/>
        </w:rPr>
      </w:pPr>
      <w:r>
        <w:rPr>
          <w:rFonts w:ascii="Arial" w:hAnsi="Arial" w:cs="Arial"/>
          <w:color w:val="000000"/>
          <w:sz w:val="20"/>
        </w:rPr>
        <w:t xml:space="preserve">Section </w:t>
      </w:r>
      <w:r w:rsidR="00785536" w:rsidRPr="003D5DFA">
        <w:rPr>
          <w:rFonts w:ascii="Arial" w:hAnsi="Arial" w:cs="Arial"/>
          <w:color w:val="000000"/>
          <w:sz w:val="20"/>
        </w:rPr>
        <w:t>524(</w:t>
      </w:r>
      <w:r w:rsidR="00A97263" w:rsidRPr="003D5DFA">
        <w:rPr>
          <w:rFonts w:ascii="Arial" w:hAnsi="Arial" w:cs="Arial"/>
          <w:color w:val="000000"/>
          <w:sz w:val="20"/>
        </w:rPr>
        <w:t xml:space="preserve">1A) of the CYFA </w:t>
      </w:r>
      <w:r w:rsidR="00785536" w:rsidRPr="003D5DFA">
        <w:rPr>
          <w:rFonts w:ascii="Arial" w:hAnsi="Arial" w:cs="Arial"/>
          <w:color w:val="000000"/>
          <w:sz w:val="20"/>
        </w:rPr>
        <w:t>provide</w:t>
      </w:r>
      <w:r w:rsidR="00A97263" w:rsidRPr="003D5DFA">
        <w:rPr>
          <w:rFonts w:ascii="Arial" w:hAnsi="Arial" w:cs="Arial"/>
          <w:color w:val="000000"/>
          <w:sz w:val="20"/>
        </w:rPr>
        <w:t>s</w:t>
      </w:r>
      <w:r w:rsidR="00785536" w:rsidRPr="003D5DFA">
        <w:rPr>
          <w:rFonts w:ascii="Arial" w:hAnsi="Arial" w:cs="Arial"/>
          <w:color w:val="000000"/>
          <w:sz w:val="20"/>
        </w:rPr>
        <w:t xml:space="preserve"> that i</w:t>
      </w:r>
      <w:r w:rsidR="00693223" w:rsidRPr="003D5DFA">
        <w:rPr>
          <w:rFonts w:ascii="Arial" w:hAnsi="Arial" w:cs="Arial"/>
          <w:color w:val="000000"/>
          <w:sz w:val="20"/>
        </w:rPr>
        <w:t xml:space="preserve">f a child </w:t>
      </w:r>
      <w:r w:rsidR="00785536" w:rsidRPr="003D5DFA">
        <w:rPr>
          <w:rFonts w:ascii="Arial" w:hAnsi="Arial" w:cs="Arial"/>
          <w:color w:val="000000"/>
          <w:sz w:val="20"/>
        </w:rPr>
        <w:t xml:space="preserve">aged 10 years or more is not </w:t>
      </w:r>
      <w:r w:rsidR="00693223" w:rsidRPr="003D5DFA">
        <w:rPr>
          <w:rFonts w:ascii="Arial" w:hAnsi="Arial" w:cs="Arial"/>
          <w:color w:val="000000"/>
          <w:sz w:val="20"/>
        </w:rPr>
        <w:t>legally represented in any of the above</w:t>
      </w:r>
      <w:r w:rsidR="00785536" w:rsidRPr="003D5DFA">
        <w:rPr>
          <w:rFonts w:ascii="Arial" w:hAnsi="Arial" w:cs="Arial"/>
          <w:color w:val="000000"/>
          <w:sz w:val="20"/>
        </w:rPr>
        <w:t>-listed</w:t>
      </w:r>
      <w:r w:rsidR="00693223" w:rsidRPr="003D5DFA">
        <w:rPr>
          <w:rFonts w:ascii="Arial" w:hAnsi="Arial" w:cs="Arial"/>
          <w:color w:val="000000"/>
          <w:sz w:val="20"/>
        </w:rPr>
        <w:t xml:space="preserve"> proceedings, </w:t>
      </w:r>
      <w:r w:rsidR="00785536" w:rsidRPr="003D5DFA">
        <w:rPr>
          <w:rFonts w:ascii="Arial" w:hAnsi="Arial" w:cs="Arial"/>
          <w:color w:val="000000"/>
          <w:sz w:val="20"/>
        </w:rPr>
        <w:t xml:space="preserve">the Court must </w:t>
      </w:r>
      <w:r w:rsidR="00693223" w:rsidRPr="003D5DFA">
        <w:rPr>
          <w:rFonts w:ascii="Arial" w:hAnsi="Arial" w:cs="Arial"/>
          <w:color w:val="000000"/>
          <w:sz w:val="20"/>
        </w:rPr>
        <w:t>adjourn the hearing to enable the child to obtain legal representation.  However, that obligation does not apply to:</w:t>
      </w:r>
    </w:p>
    <w:p w14:paraId="23D6EB19"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cases falling within s</w:t>
      </w:r>
      <w:r w:rsidR="00803503" w:rsidRPr="003D5DFA">
        <w:rPr>
          <w:rFonts w:ascii="Arial" w:hAnsi="Arial" w:cs="Arial"/>
          <w:color w:val="000000"/>
          <w:sz w:val="20"/>
        </w:rPr>
        <w:t>.216</w:t>
      </w:r>
      <w:r w:rsidRPr="003D5DFA">
        <w:rPr>
          <w:rFonts w:ascii="Arial" w:hAnsi="Arial" w:cs="Arial"/>
          <w:color w:val="000000"/>
          <w:sz w:val="20"/>
        </w:rPr>
        <w:t>, i.e. where, upon an application for extension of a custody or guardianship to Secretary order, the Court is satisfied that the child has agreed on the terms of the order and that the making of the order is in the best interests of the child;</w:t>
      </w:r>
    </w:p>
    <w:p w14:paraId="0705F35B" w14:textId="77777777" w:rsidR="00693223" w:rsidRPr="003D5DFA" w:rsidRDefault="00693223"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where the Court has granted leave </w:t>
      </w:r>
      <w:r w:rsidR="00785536" w:rsidRPr="003D5DFA">
        <w:rPr>
          <w:rFonts w:ascii="Arial" w:hAnsi="Arial" w:cs="Arial"/>
          <w:color w:val="000000"/>
          <w:sz w:val="20"/>
        </w:rPr>
        <w:t xml:space="preserve">under s.524(8) </w:t>
      </w:r>
      <w:r w:rsidRPr="003D5DFA">
        <w:rPr>
          <w:rFonts w:ascii="Arial" w:hAnsi="Arial" w:cs="Arial"/>
          <w:color w:val="000000"/>
          <w:sz w:val="20"/>
        </w:rPr>
        <w:t>for the child to</w:t>
      </w:r>
      <w:r w:rsidR="00785536" w:rsidRPr="003D5DFA">
        <w:rPr>
          <w:rFonts w:ascii="Arial" w:hAnsi="Arial" w:cs="Arial"/>
          <w:color w:val="000000"/>
          <w:sz w:val="20"/>
        </w:rPr>
        <w:t xml:space="preserve"> be represented by a non-lawyer; and</w:t>
      </w:r>
    </w:p>
    <w:p w14:paraId="0A55A94D" w14:textId="77777777" w:rsidR="00785536" w:rsidRPr="003D5DFA" w:rsidRDefault="00785536"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cases </w:t>
      </w:r>
      <w:r w:rsidR="00A97263" w:rsidRPr="003D5DFA">
        <w:rPr>
          <w:rFonts w:ascii="Arial" w:hAnsi="Arial" w:cs="Arial"/>
          <w:color w:val="000000"/>
          <w:sz w:val="20"/>
        </w:rPr>
        <w:t>where the Court has determined pursuant to s.524(1B) that a child aged 10 years or more is not mature enough to give instructions to a legal practitioner, considering-</w:t>
      </w:r>
    </w:p>
    <w:p w14:paraId="134CAE24" w14:textId="77777777" w:rsidR="0069322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the child’s ability to form and communicate the child’s own views; and</w:t>
      </w:r>
    </w:p>
    <w:p w14:paraId="7FC15345" w14:textId="77777777" w:rsidR="00A97263" w:rsidRPr="003D5DFA" w:rsidRDefault="00A97263">
      <w:pPr>
        <w:numPr>
          <w:ilvl w:val="0"/>
          <w:numId w:val="29"/>
        </w:numPr>
        <w:jc w:val="both"/>
        <w:rPr>
          <w:rFonts w:ascii="Arial" w:hAnsi="Arial" w:cs="Arial"/>
          <w:color w:val="000000"/>
          <w:sz w:val="20"/>
        </w:rPr>
      </w:pPr>
      <w:r w:rsidRPr="003D5DFA">
        <w:rPr>
          <w:rFonts w:ascii="Arial" w:hAnsi="Arial" w:cs="Arial"/>
          <w:color w:val="000000"/>
          <w:sz w:val="20"/>
        </w:rPr>
        <w:t xml:space="preserve">the child’s </w:t>
      </w:r>
      <w:r w:rsidR="00A27D51" w:rsidRPr="003D5DFA">
        <w:rPr>
          <w:rFonts w:ascii="Arial" w:hAnsi="Arial" w:cs="Arial"/>
          <w:color w:val="000000"/>
          <w:sz w:val="20"/>
        </w:rPr>
        <w:t>ability to give instructions in relation to the primary issues in dispute; and</w:t>
      </w:r>
    </w:p>
    <w:p w14:paraId="36A4871C" w14:textId="77777777" w:rsidR="00A27D51" w:rsidRPr="003D5DFA" w:rsidRDefault="00A27D51">
      <w:pPr>
        <w:numPr>
          <w:ilvl w:val="0"/>
          <w:numId w:val="29"/>
        </w:numPr>
        <w:jc w:val="both"/>
        <w:rPr>
          <w:rFonts w:ascii="Arial" w:hAnsi="Arial" w:cs="Arial"/>
          <w:color w:val="000000"/>
          <w:sz w:val="20"/>
        </w:rPr>
      </w:pPr>
      <w:r w:rsidRPr="003D5DFA">
        <w:rPr>
          <w:rFonts w:ascii="Arial" w:hAnsi="Arial" w:cs="Arial"/>
          <w:color w:val="000000"/>
          <w:sz w:val="20"/>
        </w:rPr>
        <w:t>any other matter the Court considers relevant.</w:t>
      </w:r>
    </w:p>
    <w:p w14:paraId="60E01F8D" w14:textId="77777777" w:rsidR="002A22E3" w:rsidRPr="003D5DFA" w:rsidRDefault="002A22E3" w:rsidP="00A27D51">
      <w:pPr>
        <w:jc w:val="both"/>
        <w:rPr>
          <w:rFonts w:ascii="Arial" w:hAnsi="Arial" w:cs="Arial"/>
          <w:color w:val="000000"/>
          <w:sz w:val="20"/>
        </w:rPr>
      </w:pPr>
    </w:p>
    <w:p w14:paraId="11275106" w14:textId="77777777" w:rsidR="00592495" w:rsidRPr="003D5DFA" w:rsidRDefault="00592495">
      <w:pPr>
        <w:jc w:val="both"/>
        <w:rPr>
          <w:rFonts w:ascii="Arial" w:hAnsi="Arial" w:cs="Arial"/>
          <w:color w:val="000000"/>
          <w:sz w:val="20"/>
        </w:rPr>
      </w:pPr>
      <w:r w:rsidRPr="003D5DFA">
        <w:rPr>
          <w:rFonts w:ascii="Arial" w:hAnsi="Arial" w:cs="Arial"/>
          <w:color w:val="000000"/>
          <w:sz w:val="20"/>
        </w:rPr>
        <w:t xml:space="preserve">A representative for a child – other than a legal representative appointed under s.524(4) [as to which see </w:t>
      </w:r>
      <w:r w:rsidRPr="00A40A28">
        <w:rPr>
          <w:rFonts w:ascii="Arial" w:hAnsi="Arial" w:cs="Arial"/>
          <w:b/>
          <w:bCs/>
          <w:color w:val="000000"/>
          <w:sz w:val="20"/>
          <w:shd w:val="clear" w:color="auto" w:fill="C5E0B3"/>
        </w:rPr>
        <w:t>section 4.7.4</w:t>
      </w:r>
      <w:r w:rsidRPr="003D5DFA">
        <w:rPr>
          <w:rFonts w:ascii="Arial" w:hAnsi="Arial" w:cs="Arial"/>
          <w:color w:val="000000"/>
          <w:sz w:val="20"/>
        </w:rPr>
        <w:t xml:space="preserve"> below] – is required by ss.524(9) &amp; 524(10) to act in accordance with any instructions given or wishes expressed by the child so far as it is practicable to do so having regard to the maturity of the child.  </w:t>
      </w:r>
      <w:r w:rsidR="00FB23AB" w:rsidRPr="003D5DFA">
        <w:rPr>
          <w:rFonts w:ascii="Arial" w:hAnsi="Arial" w:cs="Arial"/>
          <w:color w:val="000000"/>
          <w:sz w:val="20"/>
        </w:rPr>
        <w:t xml:space="preserve">The CYFA has thus adopted model 2 – </w:t>
      </w:r>
      <w:r w:rsidR="00745D3D" w:rsidRPr="003D5DFA">
        <w:rPr>
          <w:rFonts w:ascii="Arial" w:hAnsi="Arial" w:cs="Arial"/>
          <w:color w:val="000000"/>
          <w:sz w:val="20"/>
        </w:rPr>
        <w:t>‘</w:t>
      </w:r>
      <w:r w:rsidR="00FB23AB" w:rsidRPr="003D5DFA">
        <w:rPr>
          <w:rFonts w:ascii="Arial" w:hAnsi="Arial" w:cs="Arial"/>
          <w:b/>
          <w:color w:val="000000"/>
          <w:sz w:val="20"/>
        </w:rPr>
        <w:t>the traditional model</w:t>
      </w:r>
      <w:r w:rsidR="00745D3D" w:rsidRPr="003D5DFA">
        <w:rPr>
          <w:rFonts w:ascii="Arial" w:hAnsi="Arial" w:cs="Arial"/>
          <w:color w:val="000000"/>
          <w:sz w:val="20"/>
        </w:rPr>
        <w:t>’</w:t>
      </w:r>
      <w:r w:rsidR="00FB23AB" w:rsidRPr="003D5DFA">
        <w:rPr>
          <w:rFonts w:ascii="Arial" w:hAnsi="Arial" w:cs="Arial"/>
          <w:color w:val="000000"/>
          <w:sz w:val="20"/>
        </w:rPr>
        <w:t xml:space="preserve"> – </w:t>
      </w:r>
      <w:r w:rsidR="0031041A" w:rsidRPr="003D5DFA">
        <w:rPr>
          <w:rFonts w:ascii="Arial" w:hAnsi="Arial" w:cs="Arial"/>
          <w:color w:val="000000"/>
          <w:sz w:val="20"/>
        </w:rPr>
        <w:t xml:space="preserve">as its primary model </w:t>
      </w:r>
      <w:r w:rsidR="00FB23AB" w:rsidRPr="003D5DFA">
        <w:rPr>
          <w:rFonts w:ascii="Arial" w:hAnsi="Arial" w:cs="Arial"/>
          <w:color w:val="000000"/>
          <w:sz w:val="20"/>
        </w:rPr>
        <w:t>of child representation</w:t>
      </w:r>
      <w:r w:rsidR="0031041A" w:rsidRPr="003D5DFA">
        <w:rPr>
          <w:rFonts w:ascii="Arial" w:hAnsi="Arial" w:cs="Arial"/>
          <w:color w:val="000000"/>
          <w:sz w:val="20"/>
        </w:rPr>
        <w:t>,</w:t>
      </w:r>
      <w:r w:rsidR="00FB23AB" w:rsidRPr="003D5DFA">
        <w:rPr>
          <w:rFonts w:ascii="Arial" w:hAnsi="Arial" w:cs="Arial"/>
          <w:color w:val="000000"/>
          <w:sz w:val="20"/>
        </w:rPr>
        <w:t xml:space="preserve"> requiring the child’s advocate to argue a </w:t>
      </w:r>
      <w:r w:rsidR="00FB23AB" w:rsidRPr="003D5DFA">
        <w:rPr>
          <w:rFonts w:ascii="Arial" w:hAnsi="Arial" w:cs="Arial"/>
          <w:color w:val="000000"/>
          <w:sz w:val="20"/>
        </w:rPr>
        <w:lastRenderedPageBreak/>
        <w:t>case strictly upon the child’s instructions whether or not he or she believes that those instructions are in the best interests of the child.</w:t>
      </w:r>
    </w:p>
    <w:p w14:paraId="2C5BFCC4" w14:textId="77777777" w:rsidR="00592495" w:rsidRPr="003D5DFA" w:rsidRDefault="00592495">
      <w:pPr>
        <w:jc w:val="both"/>
        <w:rPr>
          <w:rFonts w:ascii="Arial" w:hAnsi="Arial" w:cs="Arial"/>
          <w:color w:val="000000"/>
          <w:sz w:val="20"/>
        </w:rPr>
      </w:pPr>
    </w:p>
    <w:p w14:paraId="5FFCBDC6" w14:textId="77777777" w:rsidR="00693223" w:rsidRPr="003D5DFA" w:rsidRDefault="00693223" w:rsidP="008119AB">
      <w:pPr>
        <w:pStyle w:val="Heading3"/>
        <w:keepNext/>
        <w:spacing w:after="120" w:line="240" w:lineRule="auto"/>
        <w:rPr>
          <w:rFonts w:ascii="Arial" w:hAnsi="Arial" w:cs="Arial"/>
          <w:b/>
          <w:bCs/>
          <w:color w:val="000000"/>
          <w:sz w:val="20"/>
        </w:rPr>
      </w:pPr>
      <w:bookmarkStart w:id="879" w:name="_4.7.4_Representation_of"/>
      <w:bookmarkStart w:id="880" w:name="B474"/>
      <w:bookmarkStart w:id="881" w:name="_Toc30654113"/>
      <w:bookmarkStart w:id="882" w:name="_Toc30654464"/>
      <w:bookmarkStart w:id="883" w:name="_Toc30655083"/>
      <w:bookmarkStart w:id="884" w:name="_Toc30655340"/>
      <w:bookmarkStart w:id="885" w:name="_Toc30657018"/>
      <w:bookmarkStart w:id="886" w:name="_Toc30661767"/>
      <w:bookmarkStart w:id="887" w:name="_Toc30666455"/>
      <w:bookmarkStart w:id="888" w:name="_Toc30666685"/>
      <w:bookmarkStart w:id="889" w:name="_Toc30667860"/>
      <w:bookmarkStart w:id="890" w:name="_Toc30669238"/>
      <w:bookmarkStart w:id="891" w:name="_Toc30671454"/>
      <w:bookmarkStart w:id="892" w:name="_Toc30673981"/>
      <w:bookmarkStart w:id="893" w:name="_Toc30691203"/>
      <w:bookmarkStart w:id="894" w:name="_Toc30691576"/>
      <w:bookmarkStart w:id="895" w:name="_Toc30691956"/>
      <w:bookmarkStart w:id="896" w:name="_Toc30692715"/>
      <w:bookmarkStart w:id="897" w:name="_Toc30693094"/>
      <w:bookmarkStart w:id="898" w:name="_Toc30693472"/>
      <w:bookmarkStart w:id="899" w:name="_Toc30693850"/>
      <w:bookmarkStart w:id="900" w:name="_Toc30694231"/>
      <w:bookmarkStart w:id="901" w:name="_Toc30698820"/>
      <w:bookmarkStart w:id="902" w:name="_Toc30699198"/>
      <w:bookmarkStart w:id="903" w:name="_Toc30699583"/>
      <w:bookmarkStart w:id="904" w:name="_Toc30700738"/>
      <w:bookmarkStart w:id="905" w:name="_Toc30701125"/>
      <w:bookmarkStart w:id="906" w:name="_Toc30743734"/>
      <w:bookmarkStart w:id="907" w:name="_Toc30754557"/>
      <w:bookmarkStart w:id="908" w:name="_Toc30756997"/>
      <w:bookmarkStart w:id="909" w:name="_Toc30757546"/>
      <w:bookmarkStart w:id="910" w:name="_Toc30757946"/>
      <w:bookmarkStart w:id="911" w:name="_Toc30762707"/>
      <w:bookmarkStart w:id="912" w:name="_Toc30767361"/>
      <w:bookmarkStart w:id="913" w:name="_Toc34823376"/>
      <w:bookmarkEnd w:id="879"/>
      <w:bookmarkEnd w:id="880"/>
      <w:r w:rsidRPr="003D5DFA">
        <w:rPr>
          <w:rFonts w:ascii="Arial" w:hAnsi="Arial" w:cs="Arial"/>
          <w:b/>
          <w:bCs/>
          <w:color w:val="000000"/>
          <w:sz w:val="20"/>
        </w:rPr>
        <w:t>4.7.</w:t>
      </w:r>
      <w:r w:rsidR="00592495" w:rsidRPr="003D5DFA">
        <w:rPr>
          <w:rFonts w:ascii="Arial" w:hAnsi="Arial" w:cs="Arial"/>
          <w:b/>
          <w:bCs/>
          <w:color w:val="000000"/>
          <w:sz w:val="20"/>
        </w:rPr>
        <w:t>4</w:t>
      </w:r>
      <w:r w:rsidRPr="003D5DFA">
        <w:rPr>
          <w:rFonts w:ascii="Arial" w:hAnsi="Arial" w:cs="Arial"/>
          <w:b/>
          <w:bCs/>
          <w:color w:val="000000"/>
          <w:sz w:val="20"/>
        </w:rPr>
        <w:tab/>
      </w:r>
      <w:r w:rsidR="0063057F" w:rsidRPr="003D5DFA">
        <w:rPr>
          <w:rFonts w:ascii="Arial" w:hAnsi="Arial" w:cs="Arial"/>
          <w:b/>
          <w:bCs/>
          <w:color w:val="000000"/>
          <w:sz w:val="20"/>
        </w:rPr>
        <w:t xml:space="preserve">Representation of </w:t>
      </w:r>
      <w:r w:rsidR="001D3F93" w:rsidRPr="003D5DFA">
        <w:rPr>
          <w:rFonts w:ascii="Arial" w:hAnsi="Arial" w:cs="Arial"/>
          <w:b/>
          <w:bCs/>
          <w:color w:val="000000"/>
          <w:sz w:val="20"/>
        </w:rPr>
        <w:t>c</w:t>
      </w:r>
      <w:r w:rsidRPr="003D5DFA">
        <w:rPr>
          <w:rFonts w:ascii="Arial" w:hAnsi="Arial" w:cs="Arial"/>
          <w:b/>
          <w:bCs/>
          <w:color w:val="000000"/>
          <w:sz w:val="20"/>
        </w:rPr>
        <w:t xml:space="preserve">hild </w:t>
      </w:r>
      <w:r w:rsidR="0063057F" w:rsidRPr="003D5DFA">
        <w:rPr>
          <w:rFonts w:ascii="Arial" w:hAnsi="Arial" w:cs="Arial"/>
          <w:b/>
          <w:bCs/>
          <w:color w:val="000000"/>
          <w:sz w:val="20"/>
        </w:rPr>
        <w:t xml:space="preserve">under 10 or </w:t>
      </w:r>
      <w:r w:rsidR="001D3F93" w:rsidRPr="003D5DFA">
        <w:rPr>
          <w:rFonts w:ascii="Arial" w:hAnsi="Arial" w:cs="Arial"/>
          <w:b/>
          <w:bCs/>
          <w:color w:val="000000"/>
          <w:sz w:val="20"/>
        </w:rPr>
        <w:t>not mature enough to give instructions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7E093536" w14:textId="77777777" w:rsidR="00FF5112" w:rsidRPr="003D5DFA" w:rsidRDefault="00FF5112" w:rsidP="008A2308">
      <w:pPr>
        <w:keepNext/>
        <w:keepLines/>
        <w:jc w:val="both"/>
        <w:rPr>
          <w:rFonts w:ascii="Arial" w:hAnsi="Arial" w:cs="Arial"/>
          <w:color w:val="000000"/>
          <w:sz w:val="20"/>
        </w:rPr>
      </w:pPr>
      <w:r w:rsidRPr="003D5DFA">
        <w:rPr>
          <w:rFonts w:ascii="Arial" w:hAnsi="Arial" w:cs="Arial"/>
          <w:color w:val="000000"/>
          <w:sz w:val="20"/>
        </w:rPr>
        <w:t>Prior to 27/03/2013 ss.524(1)(a) &amp; 524(2) of the CYFA had required the Court to adjourn the hearing of any of the Family Division proceedings listed in s.525(1) to enable a child who, in the opinion of the Court, was “mature enough to give instructions” to obtain legal representation.  There was no “cut-off” age specified.  The legislation referred to maturity rather than chronological age: see</w:t>
      </w:r>
      <w:r w:rsidRPr="003D5DFA">
        <w:rPr>
          <w:rFonts w:ascii="Arial" w:hAnsi="Arial" w:cs="Arial"/>
          <w:i/>
          <w:color w:val="000000"/>
          <w:sz w:val="20"/>
        </w:rPr>
        <w:t xml:space="preserve"> A &amp; B v Children’s Court of Victoria</w:t>
      </w:r>
      <w:r w:rsidRPr="003D5DFA">
        <w:rPr>
          <w:rFonts w:ascii="Arial" w:hAnsi="Arial" w:cs="Arial"/>
          <w:color w:val="000000"/>
          <w:sz w:val="20"/>
        </w:rPr>
        <w:t xml:space="preserve"> [2012] VSC 589, especially at [88]-[89] &amp; [100]-[101].  On general advice from the Children's Court Clinic, the cut-off point below which a child was normally regarded by the Court as not mature enough to give instructions was the child's 7</w:t>
      </w:r>
      <w:r w:rsidRPr="003D5DFA">
        <w:rPr>
          <w:rFonts w:ascii="Arial" w:hAnsi="Arial" w:cs="Arial"/>
          <w:color w:val="000000"/>
          <w:sz w:val="20"/>
          <w:vertAlign w:val="superscript"/>
        </w:rPr>
        <w:t>th</w:t>
      </w:r>
      <w:r w:rsidRPr="003D5DFA">
        <w:rPr>
          <w:rFonts w:ascii="Arial" w:hAnsi="Arial" w:cs="Arial"/>
          <w:color w:val="000000"/>
          <w:sz w:val="20"/>
        </w:rPr>
        <w:t xml:space="preserve"> birthday.  Notwithstanding-</w:t>
      </w:r>
    </w:p>
    <w:p w14:paraId="424B421E"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objectives of the CYFA and its predecessor “to enhance the rights of children, young people and their families in their relationships with the court system" [</w:t>
      </w:r>
      <w:r w:rsidR="006F767D" w:rsidRPr="003D5DFA">
        <w:rPr>
          <w:rFonts w:ascii="Arial" w:hAnsi="Arial" w:cs="Arial"/>
          <w:color w:val="000000"/>
          <w:sz w:val="20"/>
        </w:rPr>
        <w:t xml:space="preserve">see e.g. </w:t>
      </w:r>
      <w:r w:rsidRPr="003D5DFA">
        <w:rPr>
          <w:rFonts w:ascii="Arial" w:hAnsi="Arial" w:cs="Arial"/>
          <w:color w:val="000000"/>
          <w:sz w:val="20"/>
        </w:rPr>
        <w:t xml:space="preserve">CYPA Second </w:t>
      </w:r>
      <w:smartTag w:uri="urn:schemas-microsoft-com:office:smarttags" w:element="place">
        <w:smartTag w:uri="urn:schemas-microsoft-com:office:smarttags" w:element="City">
          <w:r w:rsidRPr="003D5DFA">
            <w:rPr>
              <w:rFonts w:ascii="Arial" w:hAnsi="Arial" w:cs="Arial"/>
              <w:color w:val="000000"/>
              <w:sz w:val="20"/>
            </w:rPr>
            <w:t>Reading</w:t>
          </w:r>
        </w:smartTag>
      </w:smartTag>
      <w:r w:rsidRPr="003D5DFA">
        <w:rPr>
          <w:rFonts w:ascii="Arial" w:hAnsi="Arial" w:cs="Arial"/>
          <w:color w:val="000000"/>
          <w:sz w:val="20"/>
        </w:rPr>
        <w:t xml:space="preserve"> Speech, 08/12/1988, p.1150],</w:t>
      </w:r>
    </w:p>
    <w:p w14:paraId="5C344925"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art.12 of the </w:t>
      </w:r>
      <w:r w:rsidRPr="003D5DFA">
        <w:rPr>
          <w:rFonts w:ascii="Arial" w:hAnsi="Arial" w:cs="Arial"/>
          <w:i/>
          <w:color w:val="000000"/>
          <w:sz w:val="20"/>
        </w:rPr>
        <w:t>Convention on the Rights of the Child</w:t>
      </w:r>
      <w:r w:rsidRPr="003D5DFA">
        <w:rPr>
          <w:rFonts w:ascii="Arial" w:hAnsi="Arial" w:cs="Arial"/>
          <w:color w:val="000000"/>
          <w:sz w:val="20"/>
        </w:rPr>
        <w:t>,</w:t>
      </w:r>
    </w:p>
    <w:p w14:paraId="5CE6FEE2" w14:textId="77777777" w:rsidR="00FF5112" w:rsidRPr="003D5DFA" w:rsidRDefault="00FF5112"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 xml:space="preserve">the recommendations by the Victorian </w:t>
      </w:r>
      <w:r w:rsidR="00664DAE" w:rsidRPr="003D5DFA">
        <w:rPr>
          <w:rFonts w:ascii="Arial" w:hAnsi="Arial" w:cs="Arial"/>
          <w:color w:val="000000"/>
          <w:sz w:val="20"/>
        </w:rPr>
        <w:t>Law Reform Commission in June 2010; and</w:t>
      </w:r>
    </w:p>
    <w:p w14:paraId="24CD1A44" w14:textId="77777777" w:rsidR="00664DAE" w:rsidRPr="003D5DFA" w:rsidRDefault="00664DA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the recommendations by the “Cummins Inquiry” in January 2012-</w:t>
      </w:r>
    </w:p>
    <w:p w14:paraId="6B756756" w14:textId="77777777" w:rsidR="00FF5112" w:rsidRPr="003D5DFA" w:rsidRDefault="00FF5112" w:rsidP="005B6ACF">
      <w:pPr>
        <w:jc w:val="both"/>
        <w:rPr>
          <w:rFonts w:ascii="Arial" w:hAnsi="Arial" w:cs="Arial"/>
          <w:color w:val="000000"/>
          <w:sz w:val="20"/>
        </w:rPr>
      </w:pPr>
      <w:r w:rsidRPr="003D5DFA">
        <w:rPr>
          <w:rFonts w:ascii="Arial" w:hAnsi="Arial" w:cs="Arial"/>
          <w:color w:val="000000"/>
          <w:sz w:val="20"/>
        </w:rPr>
        <w:t xml:space="preserve">the amendments made to ss.524 &amp; 525 as and from 27/03/2013 have resulted in children aged </w:t>
      </w:r>
      <w:r w:rsidR="005B6ACF" w:rsidRPr="003D5DFA">
        <w:rPr>
          <w:rFonts w:ascii="Arial" w:hAnsi="Arial" w:cs="Arial"/>
          <w:color w:val="000000"/>
          <w:sz w:val="20"/>
        </w:rPr>
        <w:t>under 10</w:t>
      </w:r>
      <w:r w:rsidRPr="003D5DFA">
        <w:rPr>
          <w:rFonts w:ascii="Arial" w:hAnsi="Arial" w:cs="Arial"/>
          <w:color w:val="000000"/>
          <w:sz w:val="20"/>
        </w:rPr>
        <w:t xml:space="preserve"> not being entitled to legal representation in any Family Division proceedings in the absence of exceptional circumstances.</w:t>
      </w:r>
      <w:r w:rsidR="005B6ACF" w:rsidRPr="003D5DFA">
        <w:rPr>
          <w:rFonts w:ascii="Arial" w:hAnsi="Arial" w:cs="Arial"/>
          <w:color w:val="000000"/>
          <w:sz w:val="20"/>
        </w:rPr>
        <w:t xml:space="preserve">  This is a substantial reduction of the </w:t>
      </w:r>
      <w:r w:rsidR="00FA5C6A" w:rsidRPr="003D5DFA">
        <w:rPr>
          <w:rFonts w:ascii="Arial" w:hAnsi="Arial" w:cs="Arial"/>
          <w:color w:val="000000"/>
          <w:sz w:val="20"/>
        </w:rPr>
        <w:t xml:space="preserve">previous statutory </w:t>
      </w:r>
      <w:r w:rsidR="005B6ACF" w:rsidRPr="003D5DFA">
        <w:rPr>
          <w:rFonts w:ascii="Arial" w:hAnsi="Arial" w:cs="Arial"/>
          <w:color w:val="000000"/>
          <w:sz w:val="20"/>
        </w:rPr>
        <w:t>rights of children aged 7, 8 &amp; 9.</w:t>
      </w:r>
    </w:p>
    <w:p w14:paraId="120A36C5" w14:textId="77777777" w:rsidR="00FF5112" w:rsidRPr="003D5DFA" w:rsidRDefault="00FF5112" w:rsidP="005B6ACF">
      <w:pPr>
        <w:jc w:val="both"/>
        <w:rPr>
          <w:rFonts w:ascii="Arial" w:hAnsi="Arial" w:cs="Arial"/>
          <w:color w:val="000000"/>
          <w:sz w:val="20"/>
        </w:rPr>
      </w:pPr>
    </w:p>
    <w:p w14:paraId="2CE3E607" w14:textId="77777777" w:rsidR="00142D55" w:rsidRPr="003D5DFA" w:rsidRDefault="008A2308" w:rsidP="005B6ACF">
      <w:pPr>
        <w:jc w:val="both"/>
        <w:rPr>
          <w:rFonts w:ascii="Arial" w:hAnsi="Arial" w:cs="Arial"/>
          <w:color w:val="000000"/>
          <w:sz w:val="20"/>
        </w:rPr>
      </w:pPr>
      <w:r>
        <w:rPr>
          <w:rFonts w:ascii="Arial" w:hAnsi="Arial" w:cs="Arial"/>
          <w:color w:val="000000"/>
          <w:sz w:val="20"/>
        </w:rPr>
        <w:t>Since 27/03/2013</w:t>
      </w:r>
      <w:r w:rsidR="00C72E5B" w:rsidRPr="003D5DFA">
        <w:rPr>
          <w:rFonts w:ascii="Arial" w:hAnsi="Arial" w:cs="Arial"/>
          <w:color w:val="000000"/>
          <w:sz w:val="20"/>
        </w:rPr>
        <w:t xml:space="preserve"> </w:t>
      </w:r>
      <w:r w:rsidR="005B6ACF" w:rsidRPr="003D5DFA">
        <w:rPr>
          <w:rFonts w:ascii="Arial" w:hAnsi="Arial" w:cs="Arial"/>
          <w:color w:val="000000"/>
          <w:sz w:val="20"/>
        </w:rPr>
        <w:t>s.524(4)</w:t>
      </w:r>
      <w:r w:rsidR="00C72E5B" w:rsidRPr="003D5DFA">
        <w:rPr>
          <w:rFonts w:ascii="Arial" w:hAnsi="Arial" w:cs="Arial"/>
          <w:color w:val="000000"/>
          <w:sz w:val="20"/>
        </w:rPr>
        <w:t xml:space="preserve"> applies i</w:t>
      </w:r>
      <w:r w:rsidR="00604B4D" w:rsidRPr="003D5DFA">
        <w:rPr>
          <w:rFonts w:ascii="Arial" w:hAnsi="Arial" w:cs="Arial"/>
          <w:color w:val="000000"/>
          <w:sz w:val="20"/>
        </w:rPr>
        <w:t>n exceptional circumstances</w:t>
      </w:r>
      <w:r w:rsidR="00142D55" w:rsidRPr="003D5DFA">
        <w:rPr>
          <w:rFonts w:ascii="Arial" w:hAnsi="Arial" w:cs="Arial"/>
          <w:color w:val="000000"/>
          <w:sz w:val="20"/>
        </w:rPr>
        <w:t xml:space="preserve"> </w:t>
      </w:r>
      <w:r w:rsidR="001D5F56" w:rsidRPr="003D5DFA">
        <w:rPr>
          <w:rFonts w:ascii="Arial" w:hAnsi="Arial" w:cs="Arial"/>
          <w:color w:val="000000"/>
          <w:sz w:val="20"/>
        </w:rPr>
        <w:t>if</w:t>
      </w:r>
      <w:r w:rsidR="00142D55" w:rsidRPr="003D5DFA">
        <w:rPr>
          <w:rFonts w:ascii="Arial" w:hAnsi="Arial" w:cs="Arial"/>
          <w:color w:val="000000"/>
          <w:sz w:val="20"/>
        </w:rPr>
        <w:t xml:space="preserve"> the Court determines that it is in the best interests of a child-</w:t>
      </w:r>
    </w:p>
    <w:p w14:paraId="3DFC78CE" w14:textId="77777777" w:rsidR="00142D55" w:rsidRPr="003D5DFA" w:rsidRDefault="00142D55"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under 10 years; or</w:t>
      </w:r>
    </w:p>
    <w:p w14:paraId="19B33DA5" w14:textId="77777777" w:rsidR="00142D55" w:rsidRPr="003D5DFA" w:rsidRDefault="007C192E" w:rsidP="00BA6FBE">
      <w:pPr>
        <w:numPr>
          <w:ilvl w:val="0"/>
          <w:numId w:val="7"/>
        </w:numPr>
        <w:tabs>
          <w:tab w:val="clear" w:pos="420"/>
        </w:tabs>
        <w:ind w:left="357" w:hanging="357"/>
        <w:jc w:val="both"/>
        <w:rPr>
          <w:rFonts w:ascii="Arial" w:hAnsi="Arial" w:cs="Arial"/>
          <w:color w:val="000000"/>
          <w:sz w:val="20"/>
        </w:rPr>
      </w:pPr>
      <w:r w:rsidRPr="003D5DFA">
        <w:rPr>
          <w:rFonts w:ascii="Arial" w:hAnsi="Arial" w:cs="Arial"/>
          <w:color w:val="000000"/>
          <w:sz w:val="20"/>
        </w:rPr>
        <w:t>aged 10 years or more whom the Court determines under s.524(1B) is not mature enough to give instructions-</w:t>
      </w:r>
    </w:p>
    <w:p w14:paraId="0C50AF5F" w14:textId="77777777" w:rsidR="006F767D" w:rsidRPr="003D5DFA" w:rsidRDefault="007C192E" w:rsidP="006F767D">
      <w:pPr>
        <w:jc w:val="both"/>
        <w:rPr>
          <w:rFonts w:ascii="Arial" w:hAnsi="Arial" w:cs="Arial"/>
          <w:color w:val="000000"/>
          <w:sz w:val="20"/>
        </w:rPr>
      </w:pPr>
      <w:r w:rsidRPr="003D5DFA">
        <w:rPr>
          <w:rFonts w:ascii="Arial" w:hAnsi="Arial" w:cs="Arial"/>
          <w:color w:val="000000"/>
          <w:sz w:val="20"/>
        </w:rPr>
        <w:t xml:space="preserve">to be legally represented in a proceeding in the Family Division.  </w:t>
      </w:r>
      <w:r w:rsidR="00A56679" w:rsidRPr="003D5DFA">
        <w:rPr>
          <w:rFonts w:ascii="Arial" w:hAnsi="Arial" w:cs="Arial"/>
          <w:color w:val="000000"/>
          <w:sz w:val="20"/>
        </w:rPr>
        <w:t xml:space="preserve">In those circumstances s.524(4) empowers – but does not require – the Court </w:t>
      </w:r>
      <w:r w:rsidRPr="003D5DFA">
        <w:rPr>
          <w:rFonts w:ascii="Arial" w:hAnsi="Arial" w:cs="Arial"/>
          <w:color w:val="000000"/>
          <w:sz w:val="20"/>
        </w:rPr>
        <w:t>to adjourn the hearing o</w:t>
      </w:r>
      <w:r w:rsidR="00962EF5" w:rsidRPr="003D5DFA">
        <w:rPr>
          <w:rFonts w:ascii="Arial" w:hAnsi="Arial" w:cs="Arial"/>
          <w:color w:val="000000"/>
          <w:sz w:val="20"/>
        </w:rPr>
        <w:t xml:space="preserve">f the proceeding to enable </w:t>
      </w:r>
      <w:r w:rsidRPr="003D5DFA">
        <w:rPr>
          <w:rFonts w:ascii="Arial" w:hAnsi="Arial" w:cs="Arial"/>
          <w:color w:val="000000"/>
          <w:sz w:val="20"/>
        </w:rPr>
        <w:t xml:space="preserve">legal </w:t>
      </w:r>
      <w:r w:rsidR="00962EF5" w:rsidRPr="003D5DFA">
        <w:rPr>
          <w:rFonts w:ascii="Arial" w:hAnsi="Arial" w:cs="Arial"/>
          <w:color w:val="000000"/>
          <w:sz w:val="20"/>
        </w:rPr>
        <w:t>representation to be obtained for the child.</w:t>
      </w:r>
      <w:r w:rsidR="00433AB4">
        <w:rPr>
          <w:rFonts w:ascii="Arial" w:hAnsi="Arial" w:cs="Arial"/>
          <w:color w:val="000000"/>
          <w:sz w:val="20"/>
        </w:rPr>
        <w:t xml:space="preserve">  </w:t>
      </w:r>
      <w:r w:rsidR="006F767D" w:rsidRPr="003D5DFA">
        <w:rPr>
          <w:rFonts w:ascii="Arial" w:hAnsi="Arial" w:cs="Arial"/>
          <w:color w:val="000000"/>
          <w:sz w:val="20"/>
        </w:rPr>
        <w:t>In the writer’s view, ss.524(1)(a), 524(1A)</w:t>
      </w:r>
      <w:r w:rsidR="008D2AC4">
        <w:rPr>
          <w:rFonts w:ascii="Arial" w:hAnsi="Arial" w:cs="Arial"/>
          <w:color w:val="000000"/>
          <w:sz w:val="20"/>
        </w:rPr>
        <w:t>, 524(1B)</w:t>
      </w:r>
      <w:r w:rsidR="006F767D" w:rsidRPr="003D5DFA">
        <w:rPr>
          <w:rFonts w:ascii="Arial" w:hAnsi="Arial" w:cs="Arial"/>
          <w:color w:val="000000"/>
          <w:sz w:val="20"/>
        </w:rPr>
        <w:t xml:space="preserve"> &amp; 524(</w:t>
      </w:r>
      <w:r w:rsidR="008D2AC4">
        <w:rPr>
          <w:rFonts w:ascii="Arial" w:hAnsi="Arial" w:cs="Arial"/>
          <w:color w:val="000000"/>
          <w:sz w:val="20"/>
        </w:rPr>
        <w:t>4</w:t>
      </w:r>
      <w:r w:rsidR="006F767D" w:rsidRPr="003D5DFA">
        <w:rPr>
          <w:rFonts w:ascii="Arial" w:hAnsi="Arial" w:cs="Arial"/>
          <w:color w:val="000000"/>
          <w:sz w:val="20"/>
        </w:rPr>
        <w:t>) – when read in combination – now provide a non</w:t>
      </w:r>
      <w:r w:rsidR="008D2AC4">
        <w:rPr>
          <w:rFonts w:ascii="Arial" w:hAnsi="Arial" w:cs="Arial"/>
          <w:color w:val="000000"/>
          <w:sz w:val="20"/>
        </w:rPr>
        <w:noBreakHyphen/>
      </w:r>
      <w:r w:rsidR="006F767D" w:rsidRPr="003D5DFA">
        <w:rPr>
          <w:rFonts w:ascii="Arial" w:hAnsi="Arial" w:cs="Arial"/>
          <w:color w:val="000000"/>
          <w:sz w:val="20"/>
        </w:rPr>
        <w:t>rebuttable statutory presumption that a child under 10 years of age does not have the capacity to give instructions to a legal practitioner.</w:t>
      </w:r>
    </w:p>
    <w:p w14:paraId="0E648D7B" w14:textId="77777777" w:rsidR="006F767D" w:rsidRPr="003D5DFA" w:rsidRDefault="006F767D" w:rsidP="0031041A">
      <w:pPr>
        <w:jc w:val="both"/>
        <w:rPr>
          <w:rFonts w:ascii="Arial" w:hAnsi="Arial" w:cs="Arial"/>
          <w:color w:val="000000"/>
          <w:sz w:val="20"/>
        </w:rPr>
      </w:pPr>
    </w:p>
    <w:p w14:paraId="4294637A" w14:textId="1D3FD2AD" w:rsidR="0031041A" w:rsidRPr="003D5DFA" w:rsidRDefault="0031041A" w:rsidP="008826E7">
      <w:pPr>
        <w:keepNext/>
        <w:keepLines/>
        <w:jc w:val="both"/>
        <w:rPr>
          <w:rFonts w:ascii="Arial" w:hAnsi="Arial" w:cs="Arial"/>
          <w:color w:val="000000"/>
          <w:sz w:val="20"/>
        </w:rPr>
      </w:pPr>
      <w:r w:rsidRPr="003D5DFA">
        <w:rPr>
          <w:rFonts w:ascii="Arial" w:hAnsi="Arial" w:cs="Arial"/>
          <w:color w:val="000000"/>
          <w:sz w:val="20"/>
        </w:rPr>
        <w:t>A</w:t>
      </w:r>
      <w:r w:rsidR="00AF7ECC">
        <w:rPr>
          <w:rFonts w:ascii="Arial" w:hAnsi="Arial" w:cs="Arial"/>
          <w:color w:val="000000"/>
          <w:sz w:val="20"/>
        </w:rPr>
        <w:t xml:space="preserve"> Best Interests</w:t>
      </w:r>
      <w:r w:rsidR="00433AB4">
        <w:rPr>
          <w:rFonts w:ascii="Arial" w:hAnsi="Arial" w:cs="Arial"/>
          <w:color w:val="000000"/>
          <w:sz w:val="20"/>
        </w:rPr>
        <w:t xml:space="preserve"> Lawyer</w:t>
      </w:r>
      <w:r w:rsidRPr="003D5DFA">
        <w:rPr>
          <w:rFonts w:ascii="Arial" w:hAnsi="Arial" w:cs="Arial"/>
          <w:color w:val="000000"/>
          <w:sz w:val="20"/>
        </w:rPr>
        <w:t xml:space="preserve"> </w:t>
      </w:r>
      <w:r w:rsidR="002D1FF3">
        <w:rPr>
          <w:rFonts w:ascii="Arial" w:hAnsi="Arial" w:cs="Arial"/>
          <w:color w:val="000000"/>
          <w:sz w:val="20"/>
        </w:rPr>
        <w:t>[</w:t>
      </w:r>
      <w:r w:rsidR="00AF7ECC">
        <w:rPr>
          <w:rFonts w:ascii="Arial" w:hAnsi="Arial" w:cs="Arial"/>
          <w:color w:val="000000"/>
          <w:sz w:val="20"/>
        </w:rPr>
        <w:t>B</w:t>
      </w:r>
      <w:r w:rsidR="002D1FF3">
        <w:rPr>
          <w:rFonts w:ascii="Arial" w:hAnsi="Arial" w:cs="Arial"/>
          <w:color w:val="000000"/>
          <w:sz w:val="20"/>
        </w:rPr>
        <w:t xml:space="preserve">IL] </w:t>
      </w:r>
      <w:r w:rsidRPr="003D5DFA">
        <w:rPr>
          <w:rFonts w:ascii="Arial" w:hAnsi="Arial" w:cs="Arial"/>
          <w:color w:val="000000"/>
          <w:sz w:val="20"/>
        </w:rPr>
        <w:t>appointed under s.524(4) is required by s.524(11)-</w:t>
      </w:r>
    </w:p>
    <w:p w14:paraId="51B91736" w14:textId="77777777" w:rsidR="0031041A" w:rsidRPr="003D5DFA" w:rsidRDefault="0031041A" w:rsidP="00272DD6">
      <w:pPr>
        <w:ind w:left="357" w:hanging="357"/>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act in accordance with what he or she believes to be in the best interests of the child; and</w:t>
      </w:r>
    </w:p>
    <w:p w14:paraId="44BC4EEE" w14:textId="77777777" w:rsidR="0031041A" w:rsidRPr="003D5DFA" w:rsidRDefault="0031041A" w:rsidP="0031041A">
      <w:pPr>
        <w:ind w:left="357" w:hanging="357"/>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r>
      <w:r w:rsidR="00272DD6" w:rsidRPr="003D5DFA">
        <w:rPr>
          <w:rFonts w:ascii="Arial" w:hAnsi="Arial" w:cs="Arial"/>
          <w:color w:val="000000"/>
          <w:sz w:val="20"/>
        </w:rPr>
        <w:t xml:space="preserve">to </w:t>
      </w:r>
      <w:r w:rsidRPr="003D5DFA">
        <w:rPr>
          <w:rFonts w:ascii="Arial" w:hAnsi="Arial" w:cs="Arial"/>
          <w:color w:val="000000"/>
          <w:sz w:val="20"/>
        </w:rPr>
        <w:t>communicate to the Court, to the extent to which it is practicable to do so, the instructions given or wishes expressed by the child.</w:t>
      </w:r>
    </w:p>
    <w:p w14:paraId="072CD1E9" w14:textId="78381B8C" w:rsidR="0031041A" w:rsidRPr="003D5DFA" w:rsidRDefault="0031041A" w:rsidP="00433AB4">
      <w:pPr>
        <w:spacing w:after="60"/>
        <w:jc w:val="both"/>
        <w:rPr>
          <w:rFonts w:ascii="Arial" w:hAnsi="Arial" w:cs="Arial"/>
          <w:color w:val="000000"/>
          <w:sz w:val="20"/>
        </w:rPr>
      </w:pPr>
      <w:r w:rsidRPr="003D5DFA">
        <w:rPr>
          <w:rFonts w:ascii="Arial" w:hAnsi="Arial" w:cs="Arial"/>
          <w:color w:val="000000"/>
          <w:sz w:val="20"/>
        </w:rPr>
        <w:t xml:space="preserve">The CYFA has thus adopted model 3 – </w:t>
      </w:r>
      <w:r w:rsidR="00745D3D" w:rsidRPr="003D5DFA">
        <w:rPr>
          <w:rFonts w:ascii="Arial" w:hAnsi="Arial" w:cs="Arial"/>
          <w:color w:val="000000"/>
          <w:sz w:val="20"/>
        </w:rPr>
        <w:t>‘</w:t>
      </w:r>
      <w:r w:rsidRPr="003D5DFA">
        <w:rPr>
          <w:rFonts w:ascii="Arial" w:hAnsi="Arial" w:cs="Arial"/>
          <w:b/>
          <w:color w:val="000000"/>
          <w:sz w:val="20"/>
        </w:rPr>
        <w:t>the best interests model</w:t>
      </w:r>
      <w:r w:rsidR="00745D3D" w:rsidRPr="003D5DFA">
        <w:rPr>
          <w:rFonts w:ascii="Arial" w:hAnsi="Arial" w:cs="Arial"/>
          <w:color w:val="000000"/>
          <w:sz w:val="20"/>
        </w:rPr>
        <w:t>’</w:t>
      </w:r>
      <w:r w:rsidRPr="003D5DFA">
        <w:rPr>
          <w:rFonts w:ascii="Arial" w:hAnsi="Arial" w:cs="Arial"/>
          <w:color w:val="000000"/>
          <w:sz w:val="20"/>
        </w:rPr>
        <w:t xml:space="preserve"> – as its model of child representation in those limited cases where a </w:t>
      </w:r>
      <w:r w:rsidR="00491485" w:rsidRPr="003D5DFA">
        <w:rPr>
          <w:rFonts w:ascii="Arial" w:hAnsi="Arial" w:cs="Arial"/>
          <w:color w:val="000000"/>
          <w:sz w:val="20"/>
        </w:rPr>
        <w:t xml:space="preserve">legal </w:t>
      </w:r>
      <w:r w:rsidRPr="003D5DFA">
        <w:rPr>
          <w:rFonts w:ascii="Arial" w:hAnsi="Arial" w:cs="Arial"/>
          <w:color w:val="000000"/>
          <w:sz w:val="20"/>
        </w:rPr>
        <w:t>representative has been appointed under s.524(4).</w:t>
      </w:r>
      <w:r w:rsidR="00433AB4">
        <w:rPr>
          <w:rFonts w:ascii="Arial" w:hAnsi="Arial" w:cs="Arial"/>
          <w:color w:val="000000"/>
          <w:sz w:val="20"/>
        </w:rPr>
        <w:t xml:space="preserve">  </w:t>
      </w:r>
      <w:r w:rsidR="002B2C97">
        <w:rPr>
          <w:rFonts w:ascii="Arial" w:hAnsi="Arial" w:cs="Arial"/>
          <w:color w:val="000000"/>
          <w:sz w:val="20"/>
        </w:rPr>
        <w:t xml:space="preserve">The Court’s computer system indicates that the numbers of </w:t>
      </w:r>
      <w:r w:rsidR="00095B7A">
        <w:rPr>
          <w:rFonts w:ascii="Arial" w:hAnsi="Arial" w:cs="Arial"/>
          <w:color w:val="000000"/>
          <w:sz w:val="20"/>
        </w:rPr>
        <w:t>BIL</w:t>
      </w:r>
      <w:r w:rsidR="00433AB4">
        <w:rPr>
          <w:rFonts w:ascii="Arial" w:hAnsi="Arial" w:cs="Arial"/>
          <w:color w:val="000000"/>
          <w:sz w:val="20"/>
        </w:rPr>
        <w:t>s appointed are as follows</w:t>
      </w:r>
      <w:r w:rsidR="002B2C97">
        <w:rPr>
          <w:rFonts w:ascii="Arial" w:hAnsi="Arial" w:cs="Arial"/>
          <w:color w:val="000000"/>
          <w:sz w:val="20"/>
        </w:rPr>
        <w:t xml:space="preserve">.  However, these should be regarded as minimum figures since they do not include any cases for which the </w:t>
      </w:r>
      <w:r w:rsidR="00095B7A">
        <w:rPr>
          <w:rFonts w:ascii="Arial" w:hAnsi="Arial" w:cs="Arial"/>
          <w:color w:val="000000"/>
          <w:sz w:val="20"/>
        </w:rPr>
        <w:t>BIL</w:t>
      </w:r>
      <w:r w:rsidR="002B2C97">
        <w:rPr>
          <w:rFonts w:ascii="Arial" w:hAnsi="Arial" w:cs="Arial"/>
          <w:color w:val="000000"/>
          <w:sz w:val="20"/>
        </w:rPr>
        <w:t xml:space="preserve"> order was included on minutes in free-text as an “other order”.</w:t>
      </w:r>
    </w:p>
    <w:tbl>
      <w:tblPr>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22"/>
        <w:gridCol w:w="1021"/>
        <w:gridCol w:w="1021"/>
        <w:gridCol w:w="1021"/>
        <w:gridCol w:w="1021"/>
        <w:gridCol w:w="1021"/>
        <w:gridCol w:w="1021"/>
        <w:gridCol w:w="1021"/>
      </w:tblGrid>
      <w:tr w:rsidR="00433AB4" w:rsidRPr="006E60F5" w14:paraId="60882F1A" w14:textId="77777777" w:rsidTr="006E60F5">
        <w:tc>
          <w:tcPr>
            <w:tcW w:w="1066" w:type="dxa"/>
            <w:tcBorders>
              <w:bottom w:val="single" w:sz="12" w:space="0" w:color="auto"/>
              <w:right w:val="single" w:sz="4" w:space="0" w:color="auto"/>
            </w:tcBorders>
            <w:shd w:val="clear" w:color="auto" w:fill="auto"/>
          </w:tcPr>
          <w:p w14:paraId="5D7D9C21"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2014/15</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DB7894"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2015/16</w:t>
            </w:r>
          </w:p>
        </w:tc>
        <w:tc>
          <w:tcPr>
            <w:tcW w:w="1066" w:type="dxa"/>
            <w:tcBorders>
              <w:left w:val="single" w:sz="4" w:space="0" w:color="auto"/>
              <w:bottom w:val="single" w:sz="12" w:space="0" w:color="auto"/>
              <w:right w:val="single" w:sz="4" w:space="0" w:color="auto"/>
            </w:tcBorders>
            <w:shd w:val="clear" w:color="auto" w:fill="auto"/>
          </w:tcPr>
          <w:p w14:paraId="1CAD906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2016/17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4989493C"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2017/18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2CB54C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2018/19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D7FD877"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2019/20</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A03155" w14:textId="77777777" w:rsidR="00433AB4" w:rsidRPr="006E60F5" w:rsidRDefault="002D1FF3" w:rsidP="006E60F5">
            <w:pPr>
              <w:jc w:val="center"/>
              <w:rPr>
                <w:rFonts w:ascii="Arial" w:hAnsi="Arial" w:cs="Arial"/>
                <w:b/>
                <w:color w:val="000000"/>
                <w:sz w:val="20"/>
              </w:rPr>
            </w:pPr>
            <w:r>
              <w:rPr>
                <w:rFonts w:ascii="Arial" w:hAnsi="Arial" w:cs="Arial"/>
                <w:b/>
                <w:color w:val="000000"/>
                <w:sz w:val="20"/>
              </w:rPr>
              <w:t>2020/21</w:t>
            </w:r>
          </w:p>
        </w:tc>
        <w:tc>
          <w:tcPr>
            <w:tcW w:w="1066" w:type="dxa"/>
            <w:tcBorders>
              <w:left w:val="single" w:sz="4" w:space="0" w:color="auto"/>
              <w:bottom w:val="single" w:sz="12" w:space="0" w:color="auto"/>
            </w:tcBorders>
            <w:shd w:val="clear" w:color="auto" w:fill="auto"/>
          </w:tcPr>
          <w:p w14:paraId="58917D7E" w14:textId="6FC11A26" w:rsidR="00433AB4" w:rsidRPr="006E60F5" w:rsidRDefault="00E70D52" w:rsidP="006E60F5">
            <w:pPr>
              <w:jc w:val="center"/>
              <w:rPr>
                <w:rFonts w:ascii="Arial" w:hAnsi="Arial" w:cs="Arial"/>
                <w:b/>
                <w:color w:val="000000"/>
                <w:sz w:val="20"/>
              </w:rPr>
            </w:pPr>
            <w:r>
              <w:rPr>
                <w:rFonts w:ascii="Arial" w:hAnsi="Arial" w:cs="Arial"/>
                <w:b/>
                <w:color w:val="000000"/>
                <w:sz w:val="20"/>
              </w:rPr>
              <w:t>2021/22</w:t>
            </w:r>
          </w:p>
        </w:tc>
      </w:tr>
      <w:tr w:rsidR="00433AB4" w:rsidRPr="006E60F5" w14:paraId="49F56777" w14:textId="77777777" w:rsidTr="006E60F5">
        <w:tc>
          <w:tcPr>
            <w:tcW w:w="1066" w:type="dxa"/>
            <w:tcBorders>
              <w:top w:val="single" w:sz="12" w:space="0" w:color="auto"/>
              <w:bottom w:val="single" w:sz="12" w:space="0" w:color="auto"/>
              <w:right w:val="single" w:sz="4" w:space="0" w:color="auto"/>
            </w:tcBorders>
            <w:shd w:val="clear" w:color="auto" w:fill="auto"/>
          </w:tcPr>
          <w:p w14:paraId="6383DA99"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147</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54661DD6"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261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6C93770D"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291</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704B2588" w14:textId="77777777" w:rsidR="00433AB4" w:rsidRPr="006E60F5" w:rsidRDefault="00433AB4" w:rsidP="006E60F5">
            <w:pPr>
              <w:jc w:val="center"/>
              <w:rPr>
                <w:rFonts w:ascii="Arial" w:hAnsi="Arial" w:cs="Arial"/>
                <w:b/>
                <w:color w:val="000000"/>
                <w:sz w:val="20"/>
              </w:rPr>
            </w:pPr>
            <w:r w:rsidRPr="006E60F5">
              <w:rPr>
                <w:rFonts w:ascii="Arial" w:hAnsi="Arial" w:cs="Arial"/>
                <w:b/>
                <w:color w:val="000000"/>
                <w:sz w:val="20"/>
              </w:rPr>
              <w:t>418</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0DEBBD55" w14:textId="77777777" w:rsidR="00433AB4" w:rsidRPr="006E60F5" w:rsidRDefault="0058307D" w:rsidP="006E60F5">
            <w:pPr>
              <w:jc w:val="center"/>
              <w:rPr>
                <w:rFonts w:ascii="Arial" w:hAnsi="Arial" w:cs="Arial"/>
                <w:b/>
                <w:color w:val="000000"/>
                <w:sz w:val="20"/>
              </w:rPr>
            </w:pPr>
            <w:r>
              <w:rPr>
                <w:rFonts w:ascii="Arial" w:hAnsi="Arial" w:cs="Arial"/>
                <w:b/>
                <w:color w:val="000000"/>
                <w:sz w:val="20"/>
              </w:rPr>
              <w:t>383</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27CB2126"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349</w:t>
            </w:r>
          </w:p>
        </w:tc>
        <w:tc>
          <w:tcPr>
            <w:tcW w:w="1066" w:type="dxa"/>
            <w:tcBorders>
              <w:top w:val="single" w:sz="12" w:space="0" w:color="auto"/>
              <w:left w:val="single" w:sz="4" w:space="0" w:color="auto"/>
              <w:bottom w:val="single" w:sz="12" w:space="0" w:color="auto"/>
              <w:right w:val="single" w:sz="4" w:space="0" w:color="auto"/>
            </w:tcBorders>
            <w:shd w:val="clear" w:color="auto" w:fill="auto"/>
          </w:tcPr>
          <w:p w14:paraId="36C37C48" w14:textId="77777777" w:rsidR="00433AB4" w:rsidRPr="006E60F5" w:rsidRDefault="002B2C97" w:rsidP="006E60F5">
            <w:pPr>
              <w:jc w:val="center"/>
              <w:rPr>
                <w:rFonts w:ascii="Arial" w:hAnsi="Arial" w:cs="Arial"/>
                <w:b/>
                <w:color w:val="000000"/>
                <w:sz w:val="20"/>
              </w:rPr>
            </w:pPr>
            <w:r>
              <w:rPr>
                <w:rFonts w:ascii="Arial" w:hAnsi="Arial" w:cs="Arial"/>
                <w:b/>
                <w:color w:val="000000"/>
                <w:sz w:val="20"/>
              </w:rPr>
              <w:t>403</w:t>
            </w:r>
          </w:p>
        </w:tc>
        <w:tc>
          <w:tcPr>
            <w:tcW w:w="1066" w:type="dxa"/>
            <w:tcBorders>
              <w:top w:val="single" w:sz="12" w:space="0" w:color="auto"/>
              <w:left w:val="single" w:sz="4" w:space="0" w:color="auto"/>
              <w:bottom w:val="single" w:sz="12" w:space="0" w:color="auto"/>
            </w:tcBorders>
            <w:shd w:val="clear" w:color="auto" w:fill="auto"/>
          </w:tcPr>
          <w:p w14:paraId="0483A8F5" w14:textId="695468ED" w:rsidR="00433AB4" w:rsidRPr="006E60F5" w:rsidRDefault="00D17418" w:rsidP="006E60F5">
            <w:pPr>
              <w:jc w:val="center"/>
              <w:rPr>
                <w:rFonts w:ascii="Arial" w:hAnsi="Arial" w:cs="Arial"/>
                <w:b/>
                <w:color w:val="000000"/>
                <w:sz w:val="20"/>
              </w:rPr>
            </w:pPr>
            <w:r>
              <w:rPr>
                <w:rFonts w:ascii="Arial" w:hAnsi="Arial" w:cs="Arial"/>
                <w:b/>
                <w:color w:val="000000"/>
                <w:sz w:val="20"/>
              </w:rPr>
              <w:t>394</w:t>
            </w:r>
          </w:p>
        </w:tc>
      </w:tr>
    </w:tbl>
    <w:p w14:paraId="668F1D5D" w14:textId="77777777" w:rsidR="0031041A" w:rsidRDefault="0031041A" w:rsidP="0031041A">
      <w:pPr>
        <w:jc w:val="both"/>
        <w:rPr>
          <w:rFonts w:ascii="Arial" w:hAnsi="Arial" w:cs="Arial"/>
          <w:color w:val="000000"/>
          <w:sz w:val="20"/>
        </w:rPr>
      </w:pPr>
    </w:p>
    <w:p w14:paraId="1B667086" w14:textId="083C13B0" w:rsidR="002D1FF3" w:rsidRDefault="002B2C97" w:rsidP="00C50555">
      <w:pPr>
        <w:jc w:val="both"/>
        <w:rPr>
          <w:rFonts w:ascii="Arial" w:hAnsi="Arial" w:cs="Arial"/>
          <w:color w:val="000000"/>
          <w:sz w:val="20"/>
          <w:szCs w:val="20"/>
        </w:rPr>
      </w:pPr>
      <w:r>
        <w:rPr>
          <w:rFonts w:ascii="Arial" w:hAnsi="Arial" w:cs="Arial"/>
          <w:color w:val="000000"/>
          <w:sz w:val="20"/>
        </w:rPr>
        <w:t xml:space="preserve">It is the writer’s view that the role of an </w:t>
      </w:r>
      <w:r w:rsidR="00AF7ECC">
        <w:rPr>
          <w:rFonts w:ascii="Arial" w:hAnsi="Arial" w:cs="Arial"/>
          <w:color w:val="000000"/>
          <w:sz w:val="20"/>
        </w:rPr>
        <w:t>BI</w:t>
      </w:r>
      <w:r>
        <w:rPr>
          <w:rFonts w:ascii="Arial" w:hAnsi="Arial" w:cs="Arial"/>
          <w:color w:val="000000"/>
          <w:sz w:val="20"/>
        </w:rPr>
        <w:t xml:space="preserve">L appointed to represent a child under s.524(4) CYFA is broader than that of a traditional </w:t>
      </w:r>
      <w:r w:rsidRPr="00777477">
        <w:rPr>
          <w:rFonts w:ascii="Arial" w:hAnsi="Arial" w:cs="Arial"/>
          <w:i/>
          <w:iCs/>
          <w:color w:val="000000"/>
          <w:sz w:val="20"/>
        </w:rPr>
        <w:t>amicus curiae</w:t>
      </w:r>
      <w:r>
        <w:rPr>
          <w:rFonts w:ascii="Arial" w:hAnsi="Arial" w:cs="Arial"/>
          <w:color w:val="000000"/>
          <w:sz w:val="20"/>
        </w:rPr>
        <w:t xml:space="preserve"> (literally ‘a friend of the court’) at common law.  </w:t>
      </w:r>
      <w:r w:rsidR="002D1FF3" w:rsidRPr="00C50555">
        <w:rPr>
          <w:rFonts w:ascii="Arial" w:hAnsi="Arial" w:cs="Arial"/>
          <w:color w:val="000000"/>
          <w:sz w:val="20"/>
          <w:szCs w:val="20"/>
        </w:rPr>
        <w:t>In</w:t>
      </w:r>
      <w:r>
        <w:rPr>
          <w:rFonts w:ascii="Arial" w:hAnsi="Arial" w:cs="Arial"/>
          <w:color w:val="000000"/>
          <w:sz w:val="20"/>
          <w:szCs w:val="20"/>
        </w:rPr>
        <w:t xml:space="preserve"> relation to the latter, in</w:t>
      </w:r>
      <w:r w:rsidR="002D1FF3" w:rsidRPr="00C50555">
        <w:rPr>
          <w:rFonts w:ascii="Arial" w:hAnsi="Arial" w:cs="Arial"/>
          <w:color w:val="000000"/>
          <w:sz w:val="20"/>
          <w:szCs w:val="20"/>
        </w:rPr>
        <w:t xml:space="preserve"> </w:t>
      </w:r>
      <w:r w:rsidR="002D1FF3" w:rsidRPr="00C50555">
        <w:rPr>
          <w:rFonts w:ascii="Arial" w:hAnsi="Arial" w:cs="Arial"/>
          <w:i/>
          <w:iCs/>
          <w:color w:val="000000"/>
          <w:sz w:val="20"/>
          <w:szCs w:val="20"/>
        </w:rPr>
        <w:t>JL v Mental Health Tribunal</w:t>
      </w:r>
      <w:r w:rsidR="002D1FF3" w:rsidRPr="00C50555">
        <w:rPr>
          <w:rFonts w:ascii="Arial" w:hAnsi="Arial" w:cs="Arial"/>
          <w:color w:val="000000"/>
          <w:sz w:val="20"/>
          <w:szCs w:val="20"/>
        </w:rPr>
        <w:t xml:space="preserve"> [2021] VSC 868 the </w:t>
      </w:r>
      <w:r w:rsidR="0075505A">
        <w:rPr>
          <w:rFonts w:ascii="Arial" w:hAnsi="Arial" w:cs="Arial"/>
          <w:color w:val="000000"/>
          <w:sz w:val="20"/>
          <w:szCs w:val="20"/>
        </w:rPr>
        <w:t>Court</w:t>
      </w:r>
      <w:r w:rsidR="002D1FF3" w:rsidRPr="00C50555">
        <w:rPr>
          <w:rFonts w:ascii="Arial" w:hAnsi="Arial" w:cs="Arial"/>
          <w:color w:val="000000"/>
          <w:sz w:val="20"/>
          <w:szCs w:val="20"/>
        </w:rPr>
        <w:t xml:space="preserve"> had </w:t>
      </w:r>
      <w:r w:rsidR="00C50555" w:rsidRPr="00C50555">
        <w:rPr>
          <w:rFonts w:ascii="Arial" w:hAnsi="Arial" w:cs="Arial"/>
          <w:color w:val="000000"/>
          <w:sz w:val="20"/>
          <w:szCs w:val="20"/>
        </w:rPr>
        <w:t xml:space="preserve">given leave to the Secretary of the Department of Health to appear as amicus curiae to ensure that there was a contradictor.  </w:t>
      </w:r>
      <w:r w:rsidR="0060302A">
        <w:rPr>
          <w:rFonts w:ascii="Arial" w:hAnsi="Arial" w:cs="Arial"/>
          <w:color w:val="000000"/>
          <w:sz w:val="20"/>
          <w:szCs w:val="20"/>
        </w:rPr>
        <w:t xml:space="preserve">The patient </w:t>
      </w:r>
      <w:r w:rsidR="00C50555" w:rsidRPr="00C50555">
        <w:rPr>
          <w:rFonts w:ascii="Arial" w:hAnsi="Arial" w:cs="Arial"/>
          <w:color w:val="000000"/>
          <w:sz w:val="20"/>
          <w:szCs w:val="20"/>
        </w:rPr>
        <w:t xml:space="preserve">JL </w:t>
      </w:r>
      <w:r w:rsidR="0060302A">
        <w:rPr>
          <w:rFonts w:ascii="Arial" w:hAnsi="Arial" w:cs="Arial"/>
          <w:color w:val="000000"/>
          <w:sz w:val="20"/>
          <w:szCs w:val="20"/>
        </w:rPr>
        <w:t xml:space="preserve">– whose compulsory treatment order Ginnane J held to be invalid – had </w:t>
      </w:r>
      <w:r w:rsidR="00C50555" w:rsidRPr="00C50555">
        <w:rPr>
          <w:rFonts w:ascii="Arial" w:hAnsi="Arial" w:cs="Arial"/>
          <w:color w:val="000000"/>
          <w:sz w:val="20"/>
          <w:szCs w:val="20"/>
        </w:rPr>
        <w:t xml:space="preserve">challenged the participation of the Secretary and submitted that the Secretary had acted in a manner inconsistent with the role of an amicus curiae.  </w:t>
      </w:r>
      <w:r w:rsidR="0060302A">
        <w:rPr>
          <w:rFonts w:ascii="Arial" w:hAnsi="Arial" w:cs="Arial"/>
          <w:color w:val="000000"/>
          <w:sz w:val="20"/>
          <w:szCs w:val="20"/>
        </w:rPr>
        <w:t>His Honour</w:t>
      </w:r>
      <w:r w:rsidR="00C50555" w:rsidRPr="00C50555">
        <w:rPr>
          <w:rFonts w:ascii="Arial" w:hAnsi="Arial" w:cs="Arial"/>
          <w:color w:val="000000"/>
          <w:sz w:val="20"/>
          <w:szCs w:val="20"/>
        </w:rPr>
        <w:t xml:space="preserve"> rejected JL’s assertion, holding</w:t>
      </w:r>
      <w:r w:rsidR="0063060A">
        <w:rPr>
          <w:rFonts w:ascii="Arial" w:hAnsi="Arial" w:cs="Arial"/>
          <w:color w:val="000000"/>
          <w:sz w:val="20"/>
          <w:szCs w:val="20"/>
        </w:rPr>
        <w:t xml:space="preserve"> at [32]</w:t>
      </w:r>
      <w:r w:rsidR="00C50555" w:rsidRPr="00C50555">
        <w:rPr>
          <w:rFonts w:ascii="Arial" w:hAnsi="Arial" w:cs="Arial"/>
          <w:color w:val="000000"/>
          <w:sz w:val="20"/>
          <w:szCs w:val="20"/>
        </w:rPr>
        <w:t xml:space="preserve">: “I do not consider that </w:t>
      </w:r>
      <w:r w:rsidR="00C50555" w:rsidRPr="00C50555">
        <w:rPr>
          <w:rFonts w:ascii="Arial" w:eastAsia="Book Antiqua" w:hAnsi="Arial" w:cs="Arial"/>
          <w:sz w:val="20"/>
          <w:szCs w:val="20"/>
        </w:rPr>
        <w:t>the Secretary’s submissions exceeded the role</w:t>
      </w:r>
      <w:r w:rsidR="00C50555" w:rsidRPr="00C50555">
        <w:rPr>
          <w:rFonts w:ascii="Arial" w:hAnsi="Arial" w:cs="Arial"/>
          <w:sz w:val="20"/>
          <w:szCs w:val="20"/>
        </w:rPr>
        <w:t xml:space="preserve"> of providing assistance to the Court</w:t>
      </w:r>
      <w:r w:rsidR="00C50555">
        <w:rPr>
          <w:rFonts w:ascii="Arial" w:hAnsi="Arial" w:cs="Arial"/>
          <w:color w:val="000000"/>
          <w:sz w:val="20"/>
          <w:szCs w:val="20"/>
        </w:rPr>
        <w:t>.”  At</w:t>
      </w:r>
      <w:r w:rsidR="00120454">
        <w:rPr>
          <w:rFonts w:ascii="Arial" w:hAnsi="Arial" w:cs="Arial"/>
          <w:color w:val="000000"/>
          <w:sz w:val="20"/>
          <w:szCs w:val="20"/>
        </w:rPr>
        <w:t> </w:t>
      </w:r>
      <w:r w:rsidR="00C50555">
        <w:rPr>
          <w:rFonts w:ascii="Arial" w:hAnsi="Arial" w:cs="Arial"/>
          <w:color w:val="000000"/>
          <w:sz w:val="20"/>
          <w:szCs w:val="20"/>
        </w:rPr>
        <w:t>[</w:t>
      </w:r>
      <w:r w:rsidR="00120454">
        <w:rPr>
          <w:rFonts w:ascii="Arial" w:hAnsi="Arial" w:cs="Arial"/>
          <w:color w:val="000000"/>
          <w:sz w:val="20"/>
          <w:szCs w:val="20"/>
        </w:rPr>
        <w:t>28</w:t>
      </w:r>
      <w:r w:rsidR="00C50555">
        <w:rPr>
          <w:rFonts w:ascii="Arial" w:hAnsi="Arial" w:cs="Arial"/>
          <w:color w:val="000000"/>
          <w:sz w:val="20"/>
          <w:szCs w:val="20"/>
        </w:rPr>
        <w:t>]</w:t>
      </w:r>
      <w:r w:rsidR="00120454">
        <w:rPr>
          <w:rFonts w:ascii="Arial" w:hAnsi="Arial" w:cs="Arial"/>
          <w:color w:val="000000"/>
          <w:sz w:val="20"/>
          <w:szCs w:val="20"/>
        </w:rPr>
        <w:noBreakHyphen/>
      </w:r>
      <w:r w:rsidR="00C50555">
        <w:rPr>
          <w:rFonts w:ascii="Arial" w:hAnsi="Arial" w:cs="Arial"/>
          <w:color w:val="000000"/>
          <w:sz w:val="20"/>
          <w:szCs w:val="20"/>
        </w:rPr>
        <w:t>[</w:t>
      </w:r>
      <w:r w:rsidR="00120454">
        <w:rPr>
          <w:rFonts w:ascii="Arial" w:hAnsi="Arial" w:cs="Arial"/>
          <w:color w:val="000000"/>
          <w:sz w:val="20"/>
          <w:szCs w:val="20"/>
        </w:rPr>
        <w:t>3</w:t>
      </w:r>
      <w:r w:rsidR="0063060A">
        <w:rPr>
          <w:rFonts w:ascii="Arial" w:hAnsi="Arial" w:cs="Arial"/>
          <w:color w:val="000000"/>
          <w:sz w:val="20"/>
          <w:szCs w:val="20"/>
        </w:rPr>
        <w:t>1</w:t>
      </w:r>
      <w:r w:rsidR="00C50555">
        <w:rPr>
          <w:rFonts w:ascii="Arial" w:hAnsi="Arial" w:cs="Arial"/>
          <w:color w:val="000000"/>
          <w:sz w:val="20"/>
          <w:szCs w:val="20"/>
        </w:rPr>
        <w:t>] his Honour said:</w:t>
      </w:r>
    </w:p>
    <w:p w14:paraId="43F78232" w14:textId="77777777" w:rsidR="00120454" w:rsidRDefault="00120454" w:rsidP="003431A4">
      <w:pPr>
        <w:spacing w:before="60"/>
        <w:ind w:left="567" w:right="567"/>
        <w:jc w:val="both"/>
        <w:rPr>
          <w:rFonts w:ascii="Arial" w:hAnsi="Arial" w:cs="Arial"/>
          <w:sz w:val="20"/>
          <w:szCs w:val="20"/>
        </w:rPr>
      </w:pPr>
      <w:r>
        <w:rPr>
          <w:rFonts w:ascii="Arial" w:hAnsi="Arial" w:cs="Arial"/>
          <w:color w:val="000000"/>
          <w:sz w:val="20"/>
          <w:szCs w:val="20"/>
        </w:rPr>
        <w:t xml:space="preserve">[28] </w:t>
      </w:r>
      <w:r w:rsidR="00C50555">
        <w:rPr>
          <w:rFonts w:ascii="Arial" w:hAnsi="Arial" w:cs="Arial"/>
          <w:color w:val="000000"/>
          <w:sz w:val="20"/>
          <w:szCs w:val="20"/>
        </w:rPr>
        <w:t>“[T]</w:t>
      </w:r>
      <w:r w:rsidR="00C50555" w:rsidRPr="00C50555">
        <w:rPr>
          <w:rFonts w:ascii="Arial" w:hAnsi="Arial" w:cs="Arial"/>
          <w:sz w:val="20"/>
          <w:szCs w:val="20"/>
        </w:rPr>
        <w:t xml:space="preserve">he Court has a discretion whether to allow a person to appear as amicus curiae. The functions of an amicus curiae are more constrained than those of either contradictors or interveners. As Wilcox J stated in </w:t>
      </w:r>
      <w:r w:rsidR="00C50555" w:rsidRPr="00C50555">
        <w:rPr>
          <w:rFonts w:ascii="Arial" w:eastAsia="Book Antiqua" w:hAnsi="Arial" w:cs="Arial"/>
          <w:i/>
          <w:sz w:val="20"/>
          <w:szCs w:val="20"/>
        </w:rPr>
        <w:t>Bropho v Tickner</w:t>
      </w:r>
      <w:r w:rsidR="00C50555">
        <w:rPr>
          <w:rFonts w:ascii="Arial" w:eastAsia="Book Antiqua" w:hAnsi="Arial" w:cs="Arial"/>
          <w:sz w:val="20"/>
          <w:szCs w:val="20"/>
        </w:rPr>
        <w:t xml:space="preserve"> (1993) </w:t>
      </w:r>
      <w:r w:rsidR="00C50555">
        <w:rPr>
          <w:rFonts w:ascii="Arial" w:eastAsia="Book Antiqua" w:hAnsi="Arial" w:cs="Arial"/>
          <w:sz w:val="20"/>
          <w:szCs w:val="20"/>
        </w:rPr>
        <w:lastRenderedPageBreak/>
        <w:t>40 FCR 165, 172-3</w:t>
      </w:r>
      <w:r w:rsidR="00C50555" w:rsidRPr="00C50555">
        <w:rPr>
          <w:rFonts w:ascii="Arial" w:eastAsia="Book Antiqua" w:hAnsi="Arial" w:cs="Arial"/>
          <w:sz w:val="20"/>
          <w:szCs w:val="20"/>
        </w:rPr>
        <w:t xml:space="preserve"> the amicus curiae’s </w:t>
      </w:r>
      <w:r w:rsidR="00C50555" w:rsidRPr="00C50555">
        <w:rPr>
          <w:rFonts w:ascii="Arial" w:hAnsi="Arial" w:cs="Arial"/>
          <w:sz w:val="20"/>
          <w:szCs w:val="20"/>
        </w:rPr>
        <w:t>role is usually</w:t>
      </w:r>
      <w:r>
        <w:rPr>
          <w:rFonts w:ascii="Arial" w:hAnsi="Arial" w:cs="Arial"/>
          <w:sz w:val="20"/>
          <w:szCs w:val="20"/>
        </w:rPr>
        <w:t xml:space="preserve"> ‘</w:t>
      </w:r>
      <w:r w:rsidR="00C50555" w:rsidRPr="00C50555">
        <w:rPr>
          <w:rFonts w:ascii="Arial" w:hAnsi="Arial" w:cs="Arial"/>
          <w:sz w:val="20"/>
          <w:szCs w:val="20"/>
        </w:rPr>
        <w:t>confined to assisting the court in its task of resolving the issues tendered by the parties by drawing attention to some aspect of the case which might otherwise be overlooked.</w:t>
      </w:r>
      <w:r>
        <w:rPr>
          <w:rFonts w:ascii="Arial" w:hAnsi="Arial" w:cs="Arial"/>
          <w:sz w:val="20"/>
          <w:szCs w:val="20"/>
        </w:rPr>
        <w:t>’</w:t>
      </w:r>
    </w:p>
    <w:p w14:paraId="094A96E1" w14:textId="77777777" w:rsidR="00C50555" w:rsidRPr="00120454" w:rsidRDefault="00120454" w:rsidP="00120454">
      <w:pPr>
        <w:spacing w:before="60"/>
        <w:ind w:left="567" w:right="567"/>
        <w:jc w:val="both"/>
        <w:rPr>
          <w:rFonts w:ascii="Arial" w:hAnsi="Arial" w:cs="Arial"/>
          <w:sz w:val="20"/>
          <w:szCs w:val="20"/>
        </w:rPr>
      </w:pPr>
      <w:r>
        <w:rPr>
          <w:rFonts w:ascii="Arial" w:hAnsi="Arial" w:cs="Arial"/>
          <w:sz w:val="20"/>
          <w:szCs w:val="20"/>
        </w:rPr>
        <w:t xml:space="preserve">[29] </w:t>
      </w:r>
      <w:r w:rsidR="00C50555" w:rsidRPr="00120454">
        <w:rPr>
          <w:rFonts w:ascii="Arial" w:hAnsi="Arial" w:cs="Arial"/>
          <w:sz w:val="20"/>
          <w:szCs w:val="20"/>
        </w:rPr>
        <w:t xml:space="preserve">The principal role of an amicus curiae is to provide assistance to the Court as Brennan CJ explained in </w:t>
      </w:r>
      <w:r w:rsidR="00C50555" w:rsidRPr="00120454">
        <w:rPr>
          <w:rFonts w:ascii="Arial" w:eastAsia="Book Antiqua" w:hAnsi="Arial" w:cs="Arial"/>
          <w:i/>
          <w:sz w:val="20"/>
          <w:szCs w:val="20"/>
        </w:rPr>
        <w:t>Levy v The State of Victoria</w:t>
      </w:r>
      <w:r w:rsidRPr="00120454">
        <w:rPr>
          <w:rFonts w:ascii="Arial" w:eastAsia="Book Antiqua" w:hAnsi="Arial" w:cs="Arial"/>
          <w:i/>
          <w:sz w:val="20"/>
          <w:szCs w:val="20"/>
        </w:rPr>
        <w:t xml:space="preserve"> </w:t>
      </w:r>
      <w:r w:rsidRPr="00120454">
        <w:rPr>
          <w:rFonts w:ascii="Arial" w:hAnsi="Arial" w:cs="Arial"/>
          <w:sz w:val="20"/>
          <w:szCs w:val="20"/>
        </w:rPr>
        <w:t>(1997) 189 CLR 579, 604</w:t>
      </w:r>
      <w:r>
        <w:rPr>
          <w:rFonts w:ascii="Arial" w:hAnsi="Arial" w:cs="Arial"/>
          <w:sz w:val="20"/>
          <w:szCs w:val="20"/>
        </w:rPr>
        <w:noBreakHyphen/>
      </w:r>
      <w:r w:rsidRPr="00120454">
        <w:rPr>
          <w:rFonts w:ascii="Arial" w:hAnsi="Arial" w:cs="Arial"/>
          <w:sz w:val="20"/>
          <w:szCs w:val="20"/>
        </w:rPr>
        <w:t>5</w:t>
      </w:r>
      <w:r>
        <w:rPr>
          <w:rFonts w:ascii="Arial" w:hAnsi="Arial" w:cs="Arial"/>
          <w:sz w:val="20"/>
          <w:szCs w:val="20"/>
        </w:rPr>
        <w:t xml:space="preserve"> (citations omitted)</w:t>
      </w:r>
      <w:r w:rsidR="00C50555" w:rsidRPr="00120454">
        <w:rPr>
          <w:rFonts w:ascii="Arial" w:hAnsi="Arial" w:cs="Arial"/>
          <w:sz w:val="20"/>
          <w:szCs w:val="20"/>
        </w:rPr>
        <w:t>:</w:t>
      </w:r>
    </w:p>
    <w:p w14:paraId="0D8AD9A2" w14:textId="77777777" w:rsidR="00C50555" w:rsidRPr="00120454" w:rsidRDefault="00120454" w:rsidP="00033D59">
      <w:pPr>
        <w:ind w:left="964" w:right="964"/>
        <w:jc w:val="both"/>
        <w:rPr>
          <w:rFonts w:ascii="Arial" w:hAnsi="Arial" w:cs="Arial"/>
          <w:sz w:val="18"/>
          <w:szCs w:val="18"/>
        </w:rPr>
      </w:pPr>
      <w:r w:rsidRPr="00120454">
        <w:rPr>
          <w:rFonts w:ascii="Arial" w:hAnsi="Arial" w:cs="Arial"/>
          <w:sz w:val="18"/>
          <w:szCs w:val="18"/>
        </w:rPr>
        <w:t>‘</w:t>
      </w:r>
      <w:r w:rsidR="00C50555" w:rsidRPr="00120454">
        <w:rPr>
          <w:rFonts w:ascii="Arial" w:hAnsi="Arial" w:cs="Arial"/>
          <w:sz w:val="18"/>
          <w:szCs w:val="18"/>
        </w:rPr>
        <w:t xml:space="preserve">The hearing of an amicus curiae is entirely in the Court's discretion. That discretion is exercised on a different basis from that which governs the allowance of intervention. The footing on which an amicus curiae is heard is that that person is willing to offer the Court a submission on law or relevant fact which will assist the Court in a way in which the Court would not otherwise have been assisted. In </w:t>
      </w:r>
      <w:r w:rsidR="00C50555" w:rsidRPr="00120454">
        <w:rPr>
          <w:rFonts w:ascii="Arial" w:eastAsia="Book Antiqua" w:hAnsi="Arial" w:cs="Arial"/>
          <w:i/>
          <w:sz w:val="18"/>
          <w:szCs w:val="18"/>
        </w:rPr>
        <w:t>Kruger v The Commonwealth</w:t>
      </w:r>
      <w:r w:rsidR="00C50555" w:rsidRPr="00120454">
        <w:rPr>
          <w:rFonts w:ascii="Arial" w:hAnsi="Arial" w:cs="Arial"/>
          <w:sz w:val="18"/>
          <w:szCs w:val="18"/>
        </w:rPr>
        <w:t>, speaking for the Court, I</w:t>
      </w:r>
      <w:r w:rsidR="0060302A">
        <w:rPr>
          <w:rFonts w:ascii="Arial" w:hAnsi="Arial" w:cs="Arial"/>
          <w:sz w:val="18"/>
          <w:szCs w:val="18"/>
        </w:rPr>
        <w:t> </w:t>
      </w:r>
      <w:r w:rsidR="00C50555" w:rsidRPr="00120454">
        <w:rPr>
          <w:rFonts w:ascii="Arial" w:hAnsi="Arial" w:cs="Arial"/>
          <w:sz w:val="18"/>
          <w:szCs w:val="18"/>
        </w:rPr>
        <w:t xml:space="preserve">said in refusing counsel's application to appear for a person as amicus curiae: </w:t>
      </w:r>
    </w:p>
    <w:p w14:paraId="22CBCF8E" w14:textId="77777777" w:rsidR="00C50555" w:rsidRPr="00120454" w:rsidRDefault="00C50555" w:rsidP="00033D59">
      <w:pPr>
        <w:spacing w:before="60"/>
        <w:ind w:left="1418" w:right="1418"/>
        <w:jc w:val="both"/>
        <w:rPr>
          <w:rFonts w:ascii="Arial" w:hAnsi="Arial" w:cs="Arial"/>
          <w:sz w:val="16"/>
          <w:szCs w:val="16"/>
        </w:rPr>
      </w:pPr>
      <w:r w:rsidRPr="00120454">
        <w:rPr>
          <w:rFonts w:ascii="Arial" w:hAnsi="Arial" w:cs="Arial"/>
          <w:sz w:val="16"/>
          <w:szCs w:val="16"/>
        </w:rPr>
        <w:t>As to his application to be heard as amicus curiae, he fails to show that the parties whose cause he would support are unable or unwilling adequately to protect their own interests or to assist the Court in arriving at the correct determination of the case. The Court must be cautious in considering applications to be heard by persons who would be amicus curiae lest the efficient operation of the Court be prejudiced. Where the Court has parties before it who are willing and able to provide adequate assistance to the Court it is inappropriate to grant the application.</w:t>
      </w:r>
    </w:p>
    <w:p w14:paraId="7FE63ACC" w14:textId="77777777" w:rsidR="00C50555" w:rsidRPr="00120454" w:rsidRDefault="00C50555" w:rsidP="00033D59">
      <w:pPr>
        <w:spacing w:before="60"/>
        <w:ind w:left="964" w:right="964"/>
        <w:jc w:val="both"/>
        <w:rPr>
          <w:rFonts w:ascii="Arial" w:hAnsi="Arial" w:cs="Arial"/>
          <w:sz w:val="18"/>
          <w:szCs w:val="18"/>
        </w:rPr>
      </w:pPr>
      <w:r w:rsidRPr="00120454">
        <w:rPr>
          <w:rFonts w:ascii="Arial" w:hAnsi="Arial" w:cs="Arial"/>
          <w:sz w:val="18"/>
          <w:szCs w:val="18"/>
        </w:rPr>
        <w:t>It is not possible to identify in advance the situations in which the Court will be assisted by submissions that will not or may not be presented by one of the parties nor to identify the requisite capacities of an amicus who is willing to offer assistance. All that can be said is that an amicus will be heard when the Court is of the opinion that it will be significantly assisted thereby, provided that any cost to the parties or any delay consequent on agreeing to hear the amicus is not disproportionate to the assistance that is expected.</w:t>
      </w:r>
      <w:r w:rsidR="00120454">
        <w:rPr>
          <w:rFonts w:ascii="Arial" w:hAnsi="Arial" w:cs="Arial"/>
          <w:sz w:val="18"/>
          <w:szCs w:val="18"/>
        </w:rPr>
        <w:t>’</w:t>
      </w:r>
    </w:p>
    <w:p w14:paraId="3E6A9780" w14:textId="77777777" w:rsidR="00C50555" w:rsidRPr="00C50555" w:rsidRDefault="00120454" w:rsidP="00120454">
      <w:pPr>
        <w:spacing w:before="60"/>
        <w:ind w:left="567" w:right="567"/>
        <w:jc w:val="both"/>
        <w:rPr>
          <w:rFonts w:ascii="Arial" w:hAnsi="Arial" w:cs="Arial"/>
          <w:sz w:val="20"/>
          <w:szCs w:val="20"/>
        </w:rPr>
      </w:pPr>
      <w:r>
        <w:rPr>
          <w:rFonts w:ascii="Arial" w:hAnsi="Arial" w:cs="Arial"/>
          <w:sz w:val="20"/>
          <w:szCs w:val="20"/>
        </w:rPr>
        <w:t xml:space="preserve">[30] </w:t>
      </w:r>
      <w:r w:rsidR="00C50555" w:rsidRPr="00C50555">
        <w:rPr>
          <w:rFonts w:ascii="Arial" w:hAnsi="Arial" w:cs="Arial"/>
          <w:sz w:val="20"/>
          <w:szCs w:val="20"/>
        </w:rPr>
        <w:t>In assisting the Court, an amicus curiae may offer different constructions of the law to those advanced by some or all of the parties. In doing so, the amicus is acting within their proper role, if, as in this case, they are providing assistance to the Court. JL noted that the Secretary submitted that the proceeding should be dismissed, but that was the logical outcome of the interpretation of the Act which the Secretary advanced to assist the Court.</w:t>
      </w:r>
    </w:p>
    <w:p w14:paraId="1A42D8DA" w14:textId="77777777" w:rsidR="00C50555" w:rsidRPr="00C50555" w:rsidRDefault="00120454" w:rsidP="00033D59">
      <w:pPr>
        <w:spacing w:before="60"/>
        <w:ind w:left="567" w:right="567"/>
        <w:jc w:val="both"/>
        <w:rPr>
          <w:rFonts w:ascii="Arial" w:hAnsi="Arial" w:cs="Arial"/>
          <w:sz w:val="20"/>
          <w:szCs w:val="20"/>
        </w:rPr>
      </w:pPr>
      <w:r>
        <w:rPr>
          <w:rFonts w:ascii="Arial" w:hAnsi="Arial" w:cs="Arial"/>
          <w:sz w:val="20"/>
          <w:szCs w:val="20"/>
        </w:rPr>
        <w:t xml:space="preserve">[31] </w:t>
      </w:r>
      <w:r w:rsidR="00C50555" w:rsidRPr="00C50555">
        <w:rPr>
          <w:rFonts w:ascii="Arial" w:hAnsi="Arial" w:cs="Arial"/>
          <w:sz w:val="20"/>
          <w:szCs w:val="20"/>
        </w:rPr>
        <w:t xml:space="preserve">The Secretary did not seek to tender evidence, but made submissions related to the construction and application of the law and the interpretation and operation of the Act. These were important issues to be properly resolved that otherwise would only </w:t>
      </w:r>
      <w:r w:rsidR="00C50555" w:rsidRPr="00C50555">
        <w:rPr>
          <w:rFonts w:ascii="Arial" w:eastAsia="Book Antiqua" w:hAnsi="Arial" w:cs="Arial"/>
          <w:sz w:val="20"/>
          <w:szCs w:val="20"/>
        </w:rPr>
        <w:t>have been addressed by JL. The Secretary’s submissions assisted the Court.</w:t>
      </w:r>
      <w:r w:rsidR="0063060A">
        <w:rPr>
          <w:rFonts w:ascii="Arial" w:eastAsia="Book Antiqua" w:hAnsi="Arial" w:cs="Arial"/>
          <w:sz w:val="20"/>
          <w:szCs w:val="20"/>
        </w:rPr>
        <w:t>”</w:t>
      </w:r>
    </w:p>
    <w:p w14:paraId="1185E463" w14:textId="77777777" w:rsidR="002D1FF3" w:rsidRDefault="002D1FF3" w:rsidP="0031041A">
      <w:pPr>
        <w:jc w:val="both"/>
        <w:rPr>
          <w:rFonts w:ascii="Arial" w:hAnsi="Arial" w:cs="Arial"/>
          <w:color w:val="000000"/>
          <w:sz w:val="20"/>
        </w:rPr>
      </w:pPr>
    </w:p>
    <w:p w14:paraId="58975E7D" w14:textId="6D158112" w:rsidR="0063060A" w:rsidRDefault="00777477" w:rsidP="0031041A">
      <w:pPr>
        <w:jc w:val="both"/>
        <w:rPr>
          <w:rFonts w:ascii="Arial" w:hAnsi="Arial" w:cs="Arial"/>
          <w:color w:val="000000"/>
          <w:sz w:val="20"/>
        </w:rPr>
      </w:pPr>
      <w:r>
        <w:rPr>
          <w:rFonts w:ascii="Arial" w:hAnsi="Arial" w:cs="Arial"/>
          <w:color w:val="000000"/>
          <w:sz w:val="20"/>
        </w:rPr>
        <w:t xml:space="preserve">While the </w:t>
      </w:r>
      <w:r w:rsidR="00095B7A">
        <w:rPr>
          <w:rFonts w:ascii="Arial" w:hAnsi="Arial" w:cs="Arial"/>
          <w:color w:val="000000"/>
          <w:sz w:val="20"/>
        </w:rPr>
        <w:t>BI</w:t>
      </w:r>
      <w:r>
        <w:rPr>
          <w:rFonts w:ascii="Arial" w:hAnsi="Arial" w:cs="Arial"/>
          <w:color w:val="000000"/>
          <w:sz w:val="20"/>
        </w:rPr>
        <w:t xml:space="preserve">L’s principal role remains to provide assistance to the Court, in doing so the </w:t>
      </w:r>
      <w:r w:rsidR="00095B7A">
        <w:rPr>
          <w:rFonts w:ascii="Arial" w:hAnsi="Arial" w:cs="Arial"/>
          <w:color w:val="000000"/>
          <w:sz w:val="20"/>
        </w:rPr>
        <w:t>BI</w:t>
      </w:r>
      <w:r>
        <w:rPr>
          <w:rFonts w:ascii="Arial" w:hAnsi="Arial" w:cs="Arial"/>
          <w:color w:val="000000"/>
          <w:sz w:val="20"/>
        </w:rPr>
        <w:t xml:space="preserve">L’s statutory duty under s.524(11) requires the </w:t>
      </w:r>
      <w:r w:rsidR="00095B7A">
        <w:rPr>
          <w:rFonts w:ascii="Arial" w:hAnsi="Arial" w:cs="Arial"/>
          <w:color w:val="000000"/>
          <w:sz w:val="20"/>
        </w:rPr>
        <w:t>BIL</w:t>
      </w:r>
      <w:r>
        <w:rPr>
          <w:rFonts w:ascii="Arial" w:hAnsi="Arial" w:cs="Arial"/>
          <w:color w:val="000000"/>
          <w:sz w:val="20"/>
        </w:rPr>
        <w:t xml:space="preserve"> to act in what he or she believes to be the best interests of the child and to communicate to the Court, as far as practicable, any instructions or wishes of the child.  </w:t>
      </w:r>
      <w:r w:rsidR="0075505A">
        <w:rPr>
          <w:rFonts w:ascii="Arial" w:hAnsi="Arial" w:cs="Arial"/>
          <w:color w:val="000000"/>
          <w:sz w:val="20"/>
        </w:rPr>
        <w:t>Accordingly the writer believes that a</w:t>
      </w:r>
      <w:r w:rsidR="00095B7A">
        <w:rPr>
          <w:rFonts w:ascii="Arial" w:hAnsi="Arial" w:cs="Arial"/>
          <w:color w:val="000000"/>
          <w:sz w:val="20"/>
        </w:rPr>
        <w:t xml:space="preserve"> BI</w:t>
      </w:r>
      <w:r w:rsidR="0075505A">
        <w:rPr>
          <w:rFonts w:ascii="Arial" w:hAnsi="Arial" w:cs="Arial"/>
          <w:color w:val="000000"/>
          <w:sz w:val="20"/>
        </w:rPr>
        <w:t xml:space="preserve">L’s role is broader than that of a common law </w:t>
      </w:r>
      <w:r w:rsidR="0075505A" w:rsidRPr="0075505A">
        <w:rPr>
          <w:rFonts w:ascii="Arial" w:hAnsi="Arial" w:cs="Arial"/>
          <w:i/>
          <w:iCs/>
          <w:color w:val="000000"/>
          <w:sz w:val="20"/>
        </w:rPr>
        <w:t>amicus curiae</w:t>
      </w:r>
      <w:r w:rsidR="0075505A">
        <w:rPr>
          <w:rFonts w:ascii="Arial" w:hAnsi="Arial" w:cs="Arial"/>
          <w:color w:val="000000"/>
          <w:sz w:val="20"/>
        </w:rPr>
        <w:t xml:space="preserve"> and hence i</w:t>
      </w:r>
      <w:r>
        <w:rPr>
          <w:rFonts w:ascii="Arial" w:hAnsi="Arial" w:cs="Arial"/>
          <w:color w:val="000000"/>
          <w:sz w:val="20"/>
        </w:rPr>
        <w:t xml:space="preserve">t is entirely appropriate for an </w:t>
      </w:r>
      <w:r w:rsidR="00095B7A">
        <w:rPr>
          <w:rFonts w:ascii="Arial" w:hAnsi="Arial" w:cs="Arial"/>
          <w:color w:val="000000"/>
          <w:sz w:val="20"/>
        </w:rPr>
        <w:t>BI</w:t>
      </w:r>
      <w:r>
        <w:rPr>
          <w:rFonts w:ascii="Arial" w:hAnsi="Arial" w:cs="Arial"/>
          <w:color w:val="000000"/>
          <w:sz w:val="20"/>
        </w:rPr>
        <w:t xml:space="preserve">L to </w:t>
      </w:r>
      <w:r w:rsidR="004818DD">
        <w:rPr>
          <w:rFonts w:ascii="Arial" w:hAnsi="Arial" w:cs="Arial"/>
          <w:color w:val="000000"/>
          <w:sz w:val="20"/>
        </w:rPr>
        <w:t xml:space="preserve">engage in fact finding – for example by interviewing the child </w:t>
      </w:r>
      <w:r w:rsidR="0075505A">
        <w:rPr>
          <w:rFonts w:ascii="Arial" w:hAnsi="Arial" w:cs="Arial"/>
          <w:color w:val="000000"/>
          <w:sz w:val="20"/>
        </w:rPr>
        <w:t xml:space="preserve">and/or relevant adults </w:t>
      </w:r>
      <w:r w:rsidR="004818DD">
        <w:rPr>
          <w:rFonts w:ascii="Arial" w:hAnsi="Arial" w:cs="Arial"/>
          <w:color w:val="000000"/>
          <w:sz w:val="20"/>
        </w:rPr>
        <w:t>and/or by visiting the child at the child</w:t>
      </w:r>
      <w:r w:rsidR="00033D59">
        <w:rPr>
          <w:rFonts w:ascii="Arial" w:hAnsi="Arial" w:cs="Arial"/>
          <w:color w:val="000000"/>
          <w:sz w:val="20"/>
        </w:rPr>
        <w:t>’s</w:t>
      </w:r>
      <w:r w:rsidR="004818DD">
        <w:rPr>
          <w:rFonts w:ascii="Arial" w:hAnsi="Arial" w:cs="Arial"/>
          <w:color w:val="000000"/>
          <w:sz w:val="20"/>
        </w:rPr>
        <w:t xml:space="preserve"> resid</w:t>
      </w:r>
      <w:r w:rsidR="00033D59">
        <w:rPr>
          <w:rFonts w:ascii="Arial" w:hAnsi="Arial" w:cs="Arial"/>
          <w:color w:val="000000"/>
          <w:sz w:val="20"/>
        </w:rPr>
        <w:t>ence</w:t>
      </w:r>
      <w:r w:rsidR="004818DD">
        <w:rPr>
          <w:rFonts w:ascii="Arial" w:hAnsi="Arial" w:cs="Arial"/>
          <w:color w:val="000000"/>
          <w:sz w:val="20"/>
        </w:rPr>
        <w:t xml:space="preserve"> – if the </w:t>
      </w:r>
      <w:r w:rsidR="00095B7A">
        <w:rPr>
          <w:rFonts w:ascii="Arial" w:hAnsi="Arial" w:cs="Arial"/>
          <w:color w:val="000000"/>
          <w:sz w:val="20"/>
        </w:rPr>
        <w:t>BI</w:t>
      </w:r>
      <w:r w:rsidR="004818DD">
        <w:rPr>
          <w:rFonts w:ascii="Arial" w:hAnsi="Arial" w:cs="Arial"/>
          <w:color w:val="000000"/>
          <w:sz w:val="20"/>
        </w:rPr>
        <w:t xml:space="preserve">L believes on reasonable grounds that </w:t>
      </w:r>
      <w:r w:rsidR="0060302A">
        <w:rPr>
          <w:rFonts w:ascii="Arial" w:hAnsi="Arial" w:cs="Arial"/>
          <w:color w:val="000000"/>
          <w:sz w:val="20"/>
        </w:rPr>
        <w:t>to do so is in the best interests of</w:t>
      </w:r>
      <w:r w:rsidR="00033D59">
        <w:rPr>
          <w:rFonts w:ascii="Arial" w:hAnsi="Arial" w:cs="Arial"/>
          <w:color w:val="000000"/>
          <w:sz w:val="20"/>
        </w:rPr>
        <w:t xml:space="preserve"> the child.</w:t>
      </w:r>
    </w:p>
    <w:p w14:paraId="4210C7EA" w14:textId="77777777" w:rsidR="0063060A" w:rsidRPr="003D5DFA" w:rsidRDefault="0063060A" w:rsidP="0031041A">
      <w:pPr>
        <w:jc w:val="both"/>
        <w:rPr>
          <w:rFonts w:ascii="Arial" w:hAnsi="Arial" w:cs="Arial"/>
          <w:color w:val="000000"/>
          <w:sz w:val="20"/>
        </w:rPr>
      </w:pPr>
    </w:p>
    <w:p w14:paraId="18D22212" w14:textId="77777777" w:rsidR="007D2F69" w:rsidRPr="003D5DFA" w:rsidRDefault="00B20158" w:rsidP="007D2F69">
      <w:pPr>
        <w:pStyle w:val="Heading3"/>
        <w:keepNext/>
        <w:keepLines/>
        <w:spacing w:after="120" w:line="240" w:lineRule="auto"/>
        <w:rPr>
          <w:rFonts w:ascii="Arial" w:hAnsi="Arial" w:cs="Arial"/>
          <w:b/>
          <w:bCs/>
          <w:color w:val="000000"/>
          <w:sz w:val="20"/>
        </w:rPr>
      </w:pPr>
      <w:bookmarkStart w:id="914" w:name="_4.7.5_Representing_more"/>
      <w:bookmarkStart w:id="915" w:name="B475"/>
      <w:bookmarkStart w:id="916" w:name="_Toc30649079"/>
      <w:bookmarkStart w:id="917" w:name="_Toc30649155"/>
      <w:bookmarkStart w:id="918" w:name="_Toc30649416"/>
      <w:bookmarkStart w:id="919" w:name="_Toc30649741"/>
      <w:bookmarkStart w:id="920" w:name="_Toc30651681"/>
      <w:bookmarkStart w:id="921" w:name="_Toc30652671"/>
      <w:bookmarkStart w:id="922" w:name="_Toc30652767"/>
      <w:bookmarkStart w:id="923" w:name="_Toc30654114"/>
      <w:bookmarkStart w:id="924" w:name="_Toc30654465"/>
      <w:bookmarkStart w:id="925" w:name="_Toc30655084"/>
      <w:bookmarkStart w:id="926" w:name="_Toc30655341"/>
      <w:bookmarkStart w:id="927" w:name="_Toc30657019"/>
      <w:bookmarkStart w:id="928" w:name="_Toc30661768"/>
      <w:bookmarkStart w:id="929" w:name="_Toc30666456"/>
      <w:bookmarkStart w:id="930" w:name="_Toc30666686"/>
      <w:bookmarkStart w:id="931" w:name="_Toc30667861"/>
      <w:bookmarkStart w:id="932" w:name="_Toc30669239"/>
      <w:bookmarkStart w:id="933" w:name="_Toc30671455"/>
      <w:bookmarkStart w:id="934" w:name="_Toc30673982"/>
      <w:bookmarkStart w:id="935" w:name="_Toc30691204"/>
      <w:bookmarkStart w:id="936" w:name="_Toc30691577"/>
      <w:bookmarkStart w:id="937" w:name="_Toc30691957"/>
      <w:bookmarkStart w:id="938" w:name="_Toc30692716"/>
      <w:bookmarkStart w:id="939" w:name="_Toc30693095"/>
      <w:bookmarkStart w:id="940" w:name="_Toc30693473"/>
      <w:bookmarkStart w:id="941" w:name="_Toc30693851"/>
      <w:bookmarkStart w:id="942" w:name="_Toc30694232"/>
      <w:bookmarkStart w:id="943" w:name="_Toc30698821"/>
      <w:bookmarkStart w:id="944" w:name="_Toc30699199"/>
      <w:bookmarkStart w:id="945" w:name="_Toc30699584"/>
      <w:bookmarkStart w:id="946" w:name="_Toc30700739"/>
      <w:bookmarkStart w:id="947" w:name="_Toc30701126"/>
      <w:bookmarkStart w:id="948" w:name="_Toc30743735"/>
      <w:bookmarkStart w:id="949" w:name="_Toc30754558"/>
      <w:bookmarkStart w:id="950" w:name="_Toc30756998"/>
      <w:bookmarkStart w:id="951" w:name="_Toc30757547"/>
      <w:bookmarkStart w:id="952" w:name="_Toc30757947"/>
      <w:bookmarkStart w:id="953" w:name="_Toc30762708"/>
      <w:bookmarkStart w:id="954" w:name="_Toc30767362"/>
      <w:bookmarkStart w:id="955" w:name="_Toc34823377"/>
      <w:bookmarkEnd w:id="914"/>
      <w:bookmarkEnd w:id="915"/>
      <w:r w:rsidRPr="003D5DFA">
        <w:rPr>
          <w:rFonts w:ascii="Arial" w:hAnsi="Arial" w:cs="Arial"/>
          <w:b/>
          <w:bCs/>
          <w:color w:val="000000"/>
          <w:sz w:val="20"/>
        </w:rPr>
        <w:t>4.7.</w:t>
      </w:r>
      <w:r w:rsidR="0031041A" w:rsidRPr="003D5DFA">
        <w:rPr>
          <w:rFonts w:ascii="Arial" w:hAnsi="Arial" w:cs="Arial"/>
          <w:b/>
          <w:bCs/>
          <w:color w:val="000000"/>
          <w:sz w:val="20"/>
        </w:rPr>
        <w:t>5</w:t>
      </w:r>
      <w:r w:rsidRPr="003D5DFA">
        <w:rPr>
          <w:rFonts w:ascii="Arial" w:hAnsi="Arial" w:cs="Arial"/>
          <w:b/>
          <w:bCs/>
          <w:color w:val="000000"/>
          <w:sz w:val="20"/>
        </w:rPr>
        <w:tab/>
        <w:t>Representing more than one child in a proceeding</w:t>
      </w:r>
    </w:p>
    <w:p w14:paraId="5071B9A5" w14:textId="77777777" w:rsidR="00B20158" w:rsidRPr="003D5DFA" w:rsidRDefault="00B20158" w:rsidP="00B20158">
      <w:pPr>
        <w:spacing w:before="120"/>
        <w:jc w:val="both"/>
        <w:rPr>
          <w:rFonts w:ascii="Arial" w:hAnsi="Arial" w:cs="Arial"/>
          <w:color w:val="000000"/>
          <w:sz w:val="20"/>
        </w:rPr>
      </w:pPr>
      <w:r w:rsidRPr="003D5DFA">
        <w:rPr>
          <w:rFonts w:ascii="Arial" w:hAnsi="Arial" w:cs="Arial"/>
          <w:color w:val="000000"/>
          <w:sz w:val="20"/>
        </w:rPr>
        <w:t>Section 524(5) of the CYFA permits more than one child in the same proceeding to be represented by the same legal practitioner with the leave of the Court.  Section 524(6) permits the Court to grant leave only if satisfied that no conflict of interest will arise.</w:t>
      </w:r>
    </w:p>
    <w:p w14:paraId="35EBD61E" w14:textId="77777777" w:rsidR="00B20158" w:rsidRPr="003D5DFA" w:rsidRDefault="00B20158" w:rsidP="00B20158">
      <w:pPr>
        <w:jc w:val="both"/>
        <w:rPr>
          <w:rFonts w:ascii="Arial" w:hAnsi="Arial" w:cs="Arial"/>
          <w:color w:val="000000"/>
          <w:sz w:val="20"/>
        </w:rPr>
      </w:pPr>
    </w:p>
    <w:p w14:paraId="33821B4F" w14:textId="77777777" w:rsidR="00B20158" w:rsidRPr="003D5DFA" w:rsidRDefault="00B20158" w:rsidP="00B20158">
      <w:pPr>
        <w:jc w:val="both"/>
        <w:rPr>
          <w:rFonts w:ascii="Arial" w:hAnsi="Arial" w:cs="Arial"/>
          <w:color w:val="000000"/>
          <w:sz w:val="20"/>
        </w:rPr>
      </w:pPr>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the presiding magistrate had refused to grant leave to two sisters aged 11 and 9 to be represented by the same legal practitioner.  The same legal representative had represented the girls over the preceding five months on five or six occasions.  Garde J held that the magistrate had made a jurisdictional error by refusing leave for the children to be represented by the same legal practitioner without assessing whether a conflict of interest existed pursuant to s.524(6).  At [130] Garde J said:</w:t>
      </w:r>
    </w:p>
    <w:p w14:paraId="215E7A72"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 xml:space="preserve">“A conflict of interest does not exist simply by virtue of clients ‘having different issues’.  A lawyer will not have a conflict of interest in acting for two clients in the </w:t>
      </w:r>
      <w:r w:rsidRPr="003D5DFA">
        <w:rPr>
          <w:rFonts w:ascii="Arial" w:hAnsi="Arial" w:cs="Arial"/>
          <w:bCs/>
          <w:color w:val="000000"/>
          <w:sz w:val="20"/>
        </w:rPr>
        <w:lastRenderedPageBreak/>
        <w:t>same proceeding unless the interests of each client genuinely come into conflict or can reasonably be anticipated to come into conflict, so that the independent judgment of the solicitor in relation to one client is compromised by an obligation in relation to a second client.”</w:t>
      </w:r>
    </w:p>
    <w:p w14:paraId="408C2B99" w14:textId="77777777" w:rsidR="00B20158" w:rsidRPr="003D5DFA" w:rsidRDefault="00B20158" w:rsidP="00B20158">
      <w:pPr>
        <w:jc w:val="both"/>
        <w:rPr>
          <w:rFonts w:ascii="Arial" w:hAnsi="Arial" w:cs="Arial"/>
          <w:color w:val="000000"/>
          <w:sz w:val="20"/>
        </w:rPr>
      </w:pPr>
    </w:p>
    <w:p w14:paraId="5C7171A9" w14:textId="77777777" w:rsidR="00B20158" w:rsidRPr="003D5DFA" w:rsidRDefault="00B20158" w:rsidP="0060302A">
      <w:pPr>
        <w:jc w:val="both"/>
        <w:rPr>
          <w:rFonts w:ascii="Arial" w:hAnsi="Arial" w:cs="Arial"/>
          <w:color w:val="000000"/>
          <w:sz w:val="20"/>
        </w:rPr>
      </w:pPr>
      <w:r w:rsidRPr="003D5DFA">
        <w:rPr>
          <w:rFonts w:ascii="Arial" w:hAnsi="Arial" w:cs="Arial"/>
          <w:color w:val="000000"/>
          <w:sz w:val="20"/>
        </w:rPr>
        <w:t xml:space="preserve">In enunciating this test, his Honour referred to the cases of </w:t>
      </w:r>
      <w:r w:rsidRPr="003D5DFA">
        <w:rPr>
          <w:rFonts w:ascii="Arial" w:hAnsi="Arial" w:cs="Arial"/>
          <w:i/>
          <w:color w:val="000000"/>
          <w:sz w:val="20"/>
        </w:rPr>
        <w:t>Bolkiah v KPMG</w:t>
      </w:r>
      <w:r w:rsidRPr="003D5DFA">
        <w:rPr>
          <w:rFonts w:ascii="Arial" w:hAnsi="Arial" w:cs="Arial"/>
          <w:color w:val="000000"/>
          <w:sz w:val="20"/>
        </w:rPr>
        <w:t xml:space="preserve"> [1999] 2 AC 222; </w:t>
      </w:r>
      <w:r w:rsidRPr="003D5DFA">
        <w:rPr>
          <w:rFonts w:ascii="Arial" w:hAnsi="Arial" w:cs="Arial"/>
          <w:i/>
          <w:color w:val="000000"/>
          <w:sz w:val="20"/>
        </w:rPr>
        <w:t>Giannarelli v Wraith</w:t>
      </w:r>
      <w:r w:rsidRPr="003D5DFA">
        <w:rPr>
          <w:rFonts w:ascii="Arial" w:hAnsi="Arial" w:cs="Arial"/>
          <w:color w:val="000000"/>
          <w:sz w:val="20"/>
        </w:rPr>
        <w:t xml:space="preserve"> (1988) 165 CLR 543 at [555]-[556] and </w:t>
      </w:r>
      <w:r w:rsidRPr="003D5DFA">
        <w:rPr>
          <w:rFonts w:ascii="Arial" w:hAnsi="Arial" w:cs="Arial"/>
          <w:i/>
          <w:color w:val="000000"/>
          <w:sz w:val="20"/>
        </w:rPr>
        <w:t>McVeigh v Linen House Pty Ltd</w:t>
      </w:r>
      <w:r w:rsidRPr="003D5DFA">
        <w:rPr>
          <w:rFonts w:ascii="Arial" w:hAnsi="Arial" w:cs="Arial"/>
          <w:color w:val="000000"/>
          <w:sz w:val="20"/>
        </w:rPr>
        <w:t xml:space="preserve"> [1999] 3 VR 394, 398 per Batt JA.  His Honour also noted that:</w:t>
      </w:r>
    </w:p>
    <w:p w14:paraId="07223B83" w14:textId="77777777" w:rsidR="00B20158" w:rsidRPr="003D5DFA" w:rsidRDefault="00B20158" w:rsidP="00B20158">
      <w:pPr>
        <w:spacing w:before="60" w:line="240" w:lineRule="exact"/>
        <w:ind w:left="567" w:right="567"/>
        <w:jc w:val="both"/>
        <w:rPr>
          <w:rFonts w:ascii="Arial" w:hAnsi="Arial" w:cs="Arial"/>
          <w:bCs/>
          <w:color w:val="000000"/>
          <w:sz w:val="20"/>
        </w:rPr>
      </w:pPr>
      <w:r w:rsidRPr="003D5DFA">
        <w:rPr>
          <w:rFonts w:ascii="Arial" w:hAnsi="Arial" w:cs="Arial"/>
          <w:bCs/>
          <w:color w:val="000000"/>
          <w:sz w:val="20"/>
        </w:rPr>
        <w:t>“I</w:t>
      </w:r>
      <w:r w:rsidRPr="003D5DFA">
        <w:rPr>
          <w:rFonts w:ascii="Arial" w:hAnsi="Arial" w:cs="Arial"/>
          <w:color w:val="000000"/>
          <w:sz w:val="20"/>
        </w:rPr>
        <w:t xml:space="preserve">n </w:t>
      </w:r>
      <w:r w:rsidRPr="003D5DFA">
        <w:rPr>
          <w:rFonts w:ascii="Arial" w:hAnsi="Arial" w:cs="Arial"/>
          <w:i/>
          <w:color w:val="000000"/>
          <w:sz w:val="20"/>
        </w:rPr>
        <w:t>Kallinicos v Hunt</w:t>
      </w:r>
      <w:r w:rsidRPr="003D5DFA">
        <w:rPr>
          <w:rFonts w:ascii="Arial" w:hAnsi="Arial" w:cs="Arial"/>
          <w:color w:val="000000"/>
          <w:sz w:val="20"/>
        </w:rPr>
        <w:t xml:space="preserve"> [2005] NSWSC 1181 at [76], the test for conflict of interest (to ground the Court’s inherent jurisdiction to restrain solicitors from acting in a particular case) was ‘whether a fair-minded, reasonably informed member of the public </w:t>
      </w:r>
      <w:r w:rsidRPr="003D5DFA">
        <w:rPr>
          <w:rFonts w:ascii="Arial" w:hAnsi="Arial" w:cs="Arial"/>
          <w:bCs/>
          <w:color w:val="000000"/>
          <w:sz w:val="20"/>
        </w:rPr>
        <w:t>would conclude that the proper administration of justice requires that a legal practitioner should be prevented from acting, in the interests of the integrity of the judicial process and the due administration of justice, including the appearance of justice’.”</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14:paraId="4751BF45" w14:textId="77777777" w:rsidR="00693223" w:rsidRPr="003D5DFA" w:rsidRDefault="00693223">
      <w:pPr>
        <w:jc w:val="both"/>
        <w:rPr>
          <w:rFonts w:ascii="Arial" w:hAnsi="Arial" w:cs="Arial"/>
          <w:color w:val="000000"/>
          <w:sz w:val="20"/>
        </w:rPr>
      </w:pPr>
    </w:p>
    <w:p w14:paraId="26239A20" w14:textId="77777777" w:rsidR="00693223" w:rsidRPr="003D5DFA" w:rsidRDefault="00693223" w:rsidP="00E76E28">
      <w:pPr>
        <w:pStyle w:val="Heading3"/>
        <w:keepNext/>
        <w:spacing w:line="240" w:lineRule="auto"/>
        <w:rPr>
          <w:rFonts w:ascii="Arial" w:hAnsi="Arial" w:cs="Arial"/>
          <w:b/>
          <w:bCs/>
          <w:color w:val="000000"/>
          <w:sz w:val="20"/>
        </w:rPr>
      </w:pPr>
      <w:bookmarkStart w:id="956" w:name="_4.7.6_Child_representation"/>
      <w:bookmarkStart w:id="957" w:name="B476"/>
      <w:bookmarkStart w:id="958" w:name="_Toc30649080"/>
      <w:bookmarkStart w:id="959" w:name="_Toc30649156"/>
      <w:bookmarkStart w:id="960" w:name="_Toc30649417"/>
      <w:bookmarkStart w:id="961" w:name="_Toc30649742"/>
      <w:bookmarkStart w:id="962" w:name="_Toc30651682"/>
      <w:bookmarkStart w:id="963" w:name="_Toc30652672"/>
      <w:bookmarkStart w:id="964" w:name="_Toc30652768"/>
      <w:bookmarkStart w:id="965" w:name="_Toc30654115"/>
      <w:bookmarkStart w:id="966" w:name="_Toc30654466"/>
      <w:bookmarkStart w:id="967" w:name="_Toc30655085"/>
      <w:bookmarkStart w:id="968" w:name="_Toc30655342"/>
      <w:bookmarkStart w:id="969" w:name="_Toc30657020"/>
      <w:bookmarkStart w:id="970" w:name="_Toc30661769"/>
      <w:bookmarkStart w:id="971" w:name="_Toc30666457"/>
      <w:bookmarkStart w:id="972" w:name="_Toc30666687"/>
      <w:bookmarkStart w:id="973" w:name="_Toc30667862"/>
      <w:bookmarkStart w:id="974" w:name="_Toc30669240"/>
      <w:bookmarkStart w:id="975" w:name="_Toc30671456"/>
      <w:bookmarkStart w:id="976" w:name="_Toc30673983"/>
      <w:bookmarkStart w:id="977" w:name="_Toc30691205"/>
      <w:bookmarkStart w:id="978" w:name="_Toc30691578"/>
      <w:bookmarkStart w:id="979" w:name="_Toc30691958"/>
      <w:bookmarkStart w:id="980" w:name="_Toc30692717"/>
      <w:bookmarkStart w:id="981" w:name="_Toc30693096"/>
      <w:bookmarkStart w:id="982" w:name="_Toc30693474"/>
      <w:bookmarkStart w:id="983" w:name="_Toc30693852"/>
      <w:bookmarkStart w:id="984" w:name="_Toc30694233"/>
      <w:bookmarkStart w:id="985" w:name="_Toc30698822"/>
      <w:bookmarkStart w:id="986" w:name="_Toc30699200"/>
      <w:bookmarkStart w:id="987" w:name="_Toc30699585"/>
      <w:bookmarkStart w:id="988" w:name="_Toc30700740"/>
      <w:bookmarkStart w:id="989" w:name="_Toc30701127"/>
      <w:bookmarkStart w:id="990" w:name="_Toc30743736"/>
      <w:bookmarkStart w:id="991" w:name="_Toc30754559"/>
      <w:bookmarkStart w:id="992" w:name="_Toc30756999"/>
      <w:bookmarkStart w:id="993" w:name="_Toc30757548"/>
      <w:bookmarkStart w:id="994" w:name="_Toc30757948"/>
      <w:bookmarkStart w:id="995" w:name="_Toc30762709"/>
      <w:bookmarkStart w:id="996" w:name="_Toc30767363"/>
      <w:bookmarkStart w:id="997" w:name="_Toc34823378"/>
      <w:bookmarkEnd w:id="956"/>
      <w:bookmarkEnd w:id="957"/>
      <w:r w:rsidRPr="003D5DFA">
        <w:rPr>
          <w:rFonts w:ascii="Arial" w:hAnsi="Arial" w:cs="Arial"/>
          <w:b/>
          <w:bCs/>
          <w:color w:val="000000"/>
          <w:sz w:val="20"/>
        </w:rPr>
        <w:t>4.7.</w:t>
      </w:r>
      <w:r w:rsidR="0094744E" w:rsidRPr="003D5DFA">
        <w:rPr>
          <w:rFonts w:ascii="Arial" w:hAnsi="Arial" w:cs="Arial"/>
          <w:b/>
          <w:bCs/>
          <w:color w:val="000000"/>
          <w:sz w:val="20"/>
        </w:rPr>
        <w:t>6</w:t>
      </w:r>
      <w:r w:rsidRPr="003D5DFA">
        <w:rPr>
          <w:rFonts w:ascii="Arial" w:hAnsi="Arial" w:cs="Arial"/>
          <w:b/>
          <w:bCs/>
          <w:color w:val="000000"/>
          <w:sz w:val="20"/>
        </w:rPr>
        <w:tab/>
        <w:t>Child representation in Children's Court and Family Court compared</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3EDC9238" w14:textId="77777777" w:rsidR="008C267B" w:rsidRPr="003D5DFA" w:rsidRDefault="000B6A6D" w:rsidP="0060302A">
      <w:pPr>
        <w:spacing w:before="120"/>
        <w:jc w:val="both"/>
        <w:rPr>
          <w:rFonts w:ascii="Arial" w:hAnsi="Arial" w:cs="Arial"/>
          <w:color w:val="000000"/>
          <w:sz w:val="20"/>
        </w:rPr>
      </w:pPr>
      <w:r w:rsidRPr="003D5DFA">
        <w:rPr>
          <w:rFonts w:ascii="Arial" w:hAnsi="Arial" w:cs="Arial"/>
          <w:color w:val="000000"/>
          <w:sz w:val="20"/>
        </w:rPr>
        <w:t>S</w:t>
      </w:r>
      <w:r w:rsidR="00890D42" w:rsidRPr="003D5DFA">
        <w:rPr>
          <w:rFonts w:ascii="Arial" w:hAnsi="Arial" w:cs="Arial"/>
          <w:color w:val="000000"/>
          <w:sz w:val="20"/>
        </w:rPr>
        <w:t xml:space="preserve">ave for those limited cases where a legal representative for a child has been appointed under s.524(4) of the CYFA, the Victorian legislature has </w:t>
      </w:r>
      <w:r w:rsidRPr="003D5DFA">
        <w:rPr>
          <w:rFonts w:ascii="Arial" w:hAnsi="Arial" w:cs="Arial"/>
          <w:color w:val="000000"/>
          <w:sz w:val="20"/>
        </w:rPr>
        <w:t>adopted model 2</w:t>
      </w:r>
      <w:r w:rsidR="00890D42" w:rsidRPr="003D5DFA">
        <w:rPr>
          <w:rFonts w:ascii="Arial" w:hAnsi="Arial" w:cs="Arial"/>
          <w:color w:val="000000"/>
          <w:sz w:val="20"/>
        </w:rPr>
        <w:t xml:space="preserve"> – </w:t>
      </w:r>
      <w:r w:rsidRPr="003D5DFA">
        <w:rPr>
          <w:rFonts w:ascii="Arial" w:hAnsi="Arial" w:cs="Arial"/>
          <w:color w:val="000000"/>
          <w:sz w:val="20"/>
        </w:rPr>
        <w:t>'</w:t>
      </w:r>
      <w:r w:rsidRPr="003D5DFA">
        <w:rPr>
          <w:rFonts w:ascii="Arial" w:hAnsi="Arial" w:cs="Arial"/>
          <w:b/>
          <w:bCs/>
          <w:color w:val="000000"/>
          <w:sz w:val="20"/>
        </w:rPr>
        <w:t>the</w:t>
      </w:r>
      <w:r w:rsidR="00890D42" w:rsidRPr="003D5DFA">
        <w:rPr>
          <w:rFonts w:ascii="Arial" w:hAnsi="Arial" w:cs="Arial"/>
          <w:b/>
          <w:bCs/>
          <w:color w:val="000000"/>
          <w:sz w:val="20"/>
        </w:rPr>
        <w:t xml:space="preserve"> </w:t>
      </w:r>
      <w:r w:rsidRPr="003D5DFA">
        <w:rPr>
          <w:rFonts w:ascii="Arial" w:hAnsi="Arial" w:cs="Arial"/>
          <w:b/>
          <w:bCs/>
          <w:color w:val="000000"/>
          <w:sz w:val="20"/>
        </w:rPr>
        <w:t>traditional model'</w:t>
      </w:r>
      <w:r w:rsidR="008C267B" w:rsidRPr="003D5DFA">
        <w:rPr>
          <w:rFonts w:ascii="Arial" w:hAnsi="Arial" w:cs="Arial"/>
          <w:bCs/>
          <w:color w:val="000000"/>
          <w:sz w:val="20"/>
        </w:rPr>
        <w:t xml:space="preserve"> </w:t>
      </w:r>
      <w:r w:rsidR="00890D42" w:rsidRPr="003D5DFA">
        <w:rPr>
          <w:rFonts w:ascii="Arial" w:hAnsi="Arial" w:cs="Arial"/>
          <w:color w:val="000000"/>
          <w:sz w:val="20"/>
        </w:rPr>
        <w:t xml:space="preserve">– </w:t>
      </w:r>
      <w:r w:rsidR="008C267B" w:rsidRPr="003D5DFA">
        <w:rPr>
          <w:rFonts w:ascii="Arial" w:hAnsi="Arial" w:cs="Arial"/>
          <w:bCs/>
          <w:color w:val="000000"/>
          <w:sz w:val="20"/>
        </w:rPr>
        <w:t xml:space="preserve">for child representation, a model </w:t>
      </w:r>
      <w:r w:rsidR="008C267B" w:rsidRPr="003D5DFA">
        <w:rPr>
          <w:rFonts w:ascii="Arial" w:hAnsi="Arial" w:cs="Arial"/>
          <w:color w:val="000000"/>
          <w:sz w:val="20"/>
        </w:rPr>
        <w:t xml:space="preserve">which requires the advocate to argue a case strictly upon the child's instructions </w:t>
      </w:r>
      <w:r w:rsidR="008C267B" w:rsidRPr="003D5DFA">
        <w:rPr>
          <w:rFonts w:ascii="Arial" w:hAnsi="Arial" w:cs="Arial"/>
          <w:bCs/>
          <w:color w:val="000000"/>
          <w:sz w:val="20"/>
        </w:rPr>
        <w:t>{ALRC Issues Paper #18, [3.12] p.18}.</w:t>
      </w:r>
    </w:p>
    <w:p w14:paraId="2EE24AF5" w14:textId="77777777" w:rsidR="008C267B" w:rsidRPr="003D5DFA" w:rsidRDefault="008C267B" w:rsidP="000B6A6D">
      <w:pPr>
        <w:jc w:val="both"/>
        <w:rPr>
          <w:rFonts w:ascii="Arial" w:hAnsi="Arial" w:cs="Arial"/>
          <w:color w:val="000000"/>
          <w:sz w:val="20"/>
        </w:rPr>
      </w:pPr>
    </w:p>
    <w:p w14:paraId="3A625FF6" w14:textId="77777777" w:rsidR="000B6A6D" w:rsidRPr="003D5DFA" w:rsidRDefault="000B6A6D" w:rsidP="000B6A6D">
      <w:pPr>
        <w:jc w:val="both"/>
        <w:rPr>
          <w:rFonts w:ascii="Arial" w:hAnsi="Arial" w:cs="Arial"/>
          <w:color w:val="000000"/>
          <w:sz w:val="20"/>
        </w:rPr>
      </w:pPr>
      <w:r w:rsidRPr="003D5DFA">
        <w:rPr>
          <w:rFonts w:ascii="Arial" w:hAnsi="Arial" w:cs="Arial"/>
          <w:color w:val="000000"/>
          <w:sz w:val="20"/>
        </w:rPr>
        <w:t xml:space="preserve">This is the converse of the situation in the Family Court of Australia </w:t>
      </w:r>
      <w:r w:rsidR="00176C77" w:rsidRPr="003D5DFA">
        <w:rPr>
          <w:rFonts w:ascii="Arial" w:hAnsi="Arial" w:cs="Arial"/>
          <w:color w:val="000000"/>
          <w:sz w:val="20"/>
        </w:rPr>
        <w:t xml:space="preserve">and the Federal Magistrates’ Court </w:t>
      </w:r>
      <w:r w:rsidRPr="003D5DFA">
        <w:rPr>
          <w:rFonts w:ascii="Arial" w:hAnsi="Arial" w:cs="Arial"/>
          <w:color w:val="000000"/>
          <w:sz w:val="20"/>
        </w:rPr>
        <w:t>where ‘separate’ child representation under s</w:t>
      </w:r>
      <w:r w:rsidR="008C267B" w:rsidRPr="003D5DFA">
        <w:rPr>
          <w:rFonts w:ascii="Arial" w:hAnsi="Arial" w:cs="Arial"/>
          <w:color w:val="000000"/>
          <w:sz w:val="20"/>
        </w:rPr>
        <w:t>s</w:t>
      </w:r>
      <w:r w:rsidRPr="003D5DFA">
        <w:rPr>
          <w:rFonts w:ascii="Arial" w:hAnsi="Arial" w:cs="Arial"/>
          <w:color w:val="000000"/>
          <w:sz w:val="20"/>
        </w:rPr>
        <w:t>.68L</w:t>
      </w:r>
      <w:r w:rsidR="008C267B" w:rsidRPr="003D5DFA">
        <w:rPr>
          <w:rFonts w:ascii="Arial" w:hAnsi="Arial" w:cs="Arial"/>
          <w:color w:val="000000"/>
          <w:sz w:val="20"/>
        </w:rPr>
        <w:t xml:space="preserve"> &amp; 68LA of the FLA</w:t>
      </w:r>
      <w:r w:rsidRPr="003D5DFA">
        <w:rPr>
          <w:rFonts w:ascii="Arial" w:hAnsi="Arial" w:cs="Arial"/>
          <w:color w:val="000000"/>
          <w:sz w:val="20"/>
        </w:rPr>
        <w:t xml:space="preserve"> is based on model 3, </w:t>
      </w:r>
      <w:r w:rsidRPr="003D5DFA">
        <w:rPr>
          <w:rFonts w:ascii="Arial" w:hAnsi="Arial" w:cs="Arial"/>
          <w:b/>
          <w:bCs/>
          <w:color w:val="000000"/>
          <w:sz w:val="20"/>
        </w:rPr>
        <w:t>'the best interests model'</w:t>
      </w:r>
      <w:r w:rsidR="008C267B" w:rsidRPr="003D5DFA">
        <w:rPr>
          <w:rFonts w:ascii="Arial" w:hAnsi="Arial" w:cs="Arial"/>
          <w:color w:val="000000"/>
          <w:sz w:val="20"/>
        </w:rPr>
        <w:t xml:space="preserve">, </w:t>
      </w:r>
      <w:r w:rsidR="008C267B" w:rsidRPr="003D5DFA">
        <w:rPr>
          <w:rFonts w:ascii="Arial" w:hAnsi="Arial" w:cs="Arial"/>
          <w:bCs/>
          <w:color w:val="000000"/>
          <w:sz w:val="20"/>
        </w:rPr>
        <w:t xml:space="preserve">a model which requires the advocate to present and argue his or her own professional view as to the child's best interests, even if this is inconsistent with the child's expressed wishes on the issue {ALRC Issues Paper #18, p.19}.  </w:t>
      </w:r>
      <w:r w:rsidRPr="003D5DFA">
        <w:rPr>
          <w:rFonts w:ascii="Arial" w:hAnsi="Arial" w:cs="Arial"/>
          <w:color w:val="000000"/>
          <w:sz w:val="20"/>
        </w:rPr>
        <w:t xml:space="preserve">In that model the separate representative "is not bound to make submissions to the court about the instructions of a child as to its wishes or otherwise.  She or he…should act in an independent and unfettered way in the best interests of the child."  See </w:t>
      </w:r>
      <w:r w:rsidRPr="003D5DFA">
        <w:rPr>
          <w:rFonts w:ascii="Arial" w:hAnsi="Arial" w:cs="Arial"/>
          <w:i/>
          <w:iCs/>
          <w:color w:val="000000"/>
          <w:sz w:val="20"/>
        </w:rPr>
        <w:t>Bennett</w:t>
      </w:r>
      <w:r w:rsidRPr="003D5DFA">
        <w:rPr>
          <w:rFonts w:ascii="Arial" w:hAnsi="Arial" w:cs="Arial"/>
          <w:color w:val="000000"/>
          <w:sz w:val="20"/>
        </w:rPr>
        <w:t xml:space="preserve"> (1991) FLC-92-191.  See also </w:t>
      </w:r>
      <w:r w:rsidRPr="003D5DFA">
        <w:rPr>
          <w:rFonts w:ascii="Arial" w:hAnsi="Arial" w:cs="Arial"/>
          <w:i/>
          <w:iCs/>
          <w:color w:val="000000"/>
          <w:sz w:val="20"/>
        </w:rPr>
        <w:t>Re K</w:t>
      </w:r>
      <w:r w:rsidRPr="003D5DFA">
        <w:rPr>
          <w:rFonts w:ascii="Arial" w:hAnsi="Arial" w:cs="Arial"/>
          <w:color w:val="000000"/>
          <w:sz w:val="20"/>
        </w:rPr>
        <w:t xml:space="preserve"> (1994) 17 Fam LR 537 for guidelines as to when a separate representative should be appointed in proceedings in the Family Court.</w:t>
      </w:r>
    </w:p>
    <w:p w14:paraId="6B083ABA" w14:textId="77777777" w:rsidR="008C267B" w:rsidRPr="003D5DFA" w:rsidRDefault="008C267B" w:rsidP="000B6A6D">
      <w:pPr>
        <w:jc w:val="both"/>
        <w:rPr>
          <w:rFonts w:ascii="Arial" w:hAnsi="Arial" w:cs="Arial"/>
          <w:color w:val="000000"/>
          <w:sz w:val="20"/>
        </w:rPr>
      </w:pPr>
    </w:p>
    <w:p w14:paraId="693D4732" w14:textId="277C72D1" w:rsidR="00E251CB" w:rsidRDefault="001E5D75" w:rsidP="0060302A">
      <w:pPr>
        <w:jc w:val="both"/>
        <w:rPr>
          <w:rFonts w:ascii="Arial" w:hAnsi="Arial" w:cs="Arial"/>
          <w:color w:val="000000"/>
          <w:sz w:val="20"/>
        </w:rPr>
      </w:pPr>
      <w:r w:rsidRPr="003D5DFA">
        <w:rPr>
          <w:rFonts w:ascii="Arial" w:hAnsi="Arial" w:cs="Arial"/>
          <w:color w:val="000000"/>
          <w:sz w:val="20"/>
        </w:rPr>
        <w:t xml:space="preserve">Guidelines for child legal representatives </w:t>
      </w:r>
      <w:r w:rsidR="00E251CB">
        <w:rPr>
          <w:rFonts w:ascii="Arial" w:hAnsi="Arial" w:cs="Arial"/>
          <w:color w:val="000000"/>
          <w:sz w:val="20"/>
        </w:rPr>
        <w:t xml:space="preserve">in the Family Division of the Children’s Court </w:t>
      </w:r>
      <w:r w:rsidRPr="003D5DFA">
        <w:rPr>
          <w:rFonts w:ascii="Arial" w:hAnsi="Arial" w:cs="Arial"/>
          <w:color w:val="000000"/>
          <w:sz w:val="20"/>
        </w:rPr>
        <w:t xml:space="preserve">are contained in </w:t>
      </w:r>
      <w:r w:rsidR="00E251CB">
        <w:rPr>
          <w:rFonts w:ascii="Arial" w:hAnsi="Arial" w:cs="Arial"/>
          <w:color w:val="000000"/>
          <w:sz w:val="20"/>
        </w:rPr>
        <w:t>the linked Victoria Legal Aid publication “</w:t>
      </w:r>
      <w:hyperlink r:id="rId32" w:history="1">
        <w:r w:rsidR="00E251CB" w:rsidRPr="00E251CB">
          <w:rPr>
            <w:rStyle w:val="Hyperlink"/>
            <w:rFonts w:ascii="Arial" w:hAnsi="Arial" w:cs="Arial"/>
            <w:sz w:val="20"/>
          </w:rPr>
          <w:t>Representing children in child protection proceedings – A guide for direct instructions and best interests lawyers</w:t>
        </w:r>
      </w:hyperlink>
      <w:r w:rsidR="00E251CB">
        <w:rPr>
          <w:rFonts w:ascii="Arial" w:hAnsi="Arial" w:cs="Arial"/>
          <w:color w:val="000000"/>
          <w:sz w:val="20"/>
        </w:rPr>
        <w:t>” (March 2019).</w:t>
      </w:r>
      <w:r w:rsidR="009328B0">
        <w:rPr>
          <w:rFonts w:ascii="Arial" w:hAnsi="Arial" w:cs="Arial"/>
          <w:color w:val="000000"/>
          <w:sz w:val="20"/>
        </w:rPr>
        <w:t xml:space="preserve">  In a foreword to the publication Liana Buchanan, Principal Commissioner for Children and Young People, said:</w:t>
      </w:r>
    </w:p>
    <w:p w14:paraId="68CCB4DB" w14:textId="2BA71C00" w:rsidR="009328B0" w:rsidRDefault="009328B0" w:rsidP="009328B0">
      <w:pPr>
        <w:spacing w:before="60"/>
        <w:ind w:left="567" w:right="567"/>
        <w:jc w:val="both"/>
        <w:rPr>
          <w:rFonts w:ascii="Arial" w:hAnsi="Arial" w:cs="Arial"/>
          <w:sz w:val="20"/>
          <w:szCs w:val="20"/>
        </w:rPr>
      </w:pPr>
      <w:r>
        <w:rPr>
          <w:rFonts w:ascii="Arial" w:hAnsi="Arial" w:cs="Arial"/>
          <w:bCs/>
          <w:color w:val="000000"/>
          <w:sz w:val="20"/>
        </w:rPr>
        <w:t>“</w:t>
      </w:r>
      <w:r w:rsidRPr="009328B0">
        <w:rPr>
          <w:rFonts w:ascii="Arial" w:hAnsi="Arial" w:cs="Arial"/>
          <w:sz w:val="20"/>
          <w:szCs w:val="20"/>
        </w:rPr>
        <w:t>In my work, I hear regularly from children and young people who have experienced the child protection legal system. I hear of positive experiences where lawyers have taken the time to listen to and engage children and young people in a way that supports their right to effective and meaningful participation.</w:t>
      </w:r>
    </w:p>
    <w:p w14:paraId="44E9FFB2" w14:textId="3DFDEC5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Too often, though, I hear children and young people describe their experiences of the system in negative terms, as one designed for, and run by, adults. These children and young people, who have often endured abuse and/or neglect, describe the legal process as confusing, disempowering and at times, dehumanising, one where they feel reduced to the sum of protective issues used to describe them.</w:t>
      </w:r>
    </w:p>
    <w:p w14:paraId="516159CA" w14:textId="53D745DC"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As the Convention on the Rights of the Child makes clear, children and young people have the right to participate in decisions affecting their lives. Lawyers in child protection proceedings play an essential role in supporting that participation at every stage of the legal process. Participation does not begin and end at the point of taking instructions – it is an ongoing and nuanced dialogue.</w:t>
      </w:r>
    </w:p>
    <w:p w14:paraId="049FFA84" w14:textId="5A12F0DF"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Participation means lawyers giving children and young people the information they need to be able to participate, and flexible options about how they want their voice and concerns to be heard.</w:t>
      </w:r>
    </w:p>
    <w:p w14:paraId="23AF8E54" w14:textId="2E981704"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t>When deciding what is in children’s best interests, children’s participation is inseparable from their protection.</w:t>
      </w:r>
    </w:p>
    <w:p w14:paraId="1BB7C60D" w14:textId="1654AEA0" w:rsidR="009328B0" w:rsidRDefault="009328B0" w:rsidP="009328B0">
      <w:pPr>
        <w:spacing w:before="60"/>
        <w:ind w:left="567" w:right="567"/>
        <w:jc w:val="both"/>
        <w:rPr>
          <w:rFonts w:ascii="Arial" w:hAnsi="Arial" w:cs="Arial"/>
          <w:sz w:val="20"/>
          <w:szCs w:val="20"/>
        </w:rPr>
      </w:pPr>
      <w:r w:rsidRPr="009328B0">
        <w:rPr>
          <w:rFonts w:ascii="Arial" w:hAnsi="Arial" w:cs="Arial"/>
          <w:sz w:val="20"/>
          <w:szCs w:val="20"/>
        </w:rPr>
        <w:lastRenderedPageBreak/>
        <w:t>For this reason, I am very pleased to see Child Participation Principles which set a high standard included in the guide, and I hope lawyers will use these principles as a platform for their professional work with children and young people.</w:t>
      </w:r>
    </w:p>
    <w:p w14:paraId="49BBDCC8" w14:textId="2A03E70A" w:rsidR="009328B0" w:rsidRDefault="009328B0" w:rsidP="009328B0">
      <w:pPr>
        <w:spacing w:before="60"/>
        <w:ind w:left="567" w:right="567"/>
        <w:jc w:val="both"/>
        <w:rPr>
          <w:rFonts w:ascii="Arial" w:hAnsi="Arial" w:cs="Arial"/>
          <w:bCs/>
          <w:color w:val="000000"/>
          <w:sz w:val="20"/>
        </w:rPr>
      </w:pPr>
      <w:r w:rsidRPr="009328B0">
        <w:rPr>
          <w:rFonts w:ascii="Arial" w:hAnsi="Arial" w:cs="Arial"/>
          <w:sz w:val="20"/>
          <w:szCs w:val="20"/>
        </w:rPr>
        <w:t>This guide gives practical guidance on how to ensure meaningful participation of children in child protection proceedings. It fulfils a clear need, and I encourage all lawyers who work with children and young people to make this resource part of their everyday work practice.</w:t>
      </w:r>
      <w:r>
        <w:rPr>
          <w:rFonts w:ascii="Arial" w:hAnsi="Arial" w:cs="Arial"/>
          <w:sz w:val="20"/>
          <w:szCs w:val="20"/>
        </w:rPr>
        <w:t>”</w:t>
      </w:r>
    </w:p>
    <w:p w14:paraId="16DC54DE" w14:textId="77777777" w:rsidR="009328B0" w:rsidRDefault="009328B0" w:rsidP="0060302A">
      <w:pPr>
        <w:jc w:val="both"/>
        <w:rPr>
          <w:rFonts w:ascii="Arial" w:hAnsi="Arial" w:cs="Arial"/>
          <w:color w:val="000000"/>
          <w:sz w:val="20"/>
        </w:rPr>
      </w:pPr>
    </w:p>
    <w:p w14:paraId="6797D7EC" w14:textId="77777777" w:rsidR="00745D3D" w:rsidRPr="003D5DFA" w:rsidRDefault="005A3F47" w:rsidP="00745D3D">
      <w:pPr>
        <w:jc w:val="both"/>
        <w:rPr>
          <w:rFonts w:ascii="Arial" w:hAnsi="Arial" w:cs="Arial"/>
          <w:color w:val="000000"/>
          <w:sz w:val="20"/>
        </w:rPr>
      </w:pPr>
      <w:bookmarkStart w:id="998" w:name="_Toc30649081"/>
      <w:bookmarkStart w:id="999" w:name="_Toc30649157"/>
      <w:bookmarkStart w:id="1000" w:name="_Toc30649418"/>
      <w:bookmarkStart w:id="1001" w:name="_Toc30649743"/>
      <w:bookmarkStart w:id="1002" w:name="_Toc30651683"/>
      <w:bookmarkStart w:id="1003" w:name="_Toc30652673"/>
      <w:bookmarkStart w:id="1004" w:name="_Toc30652769"/>
      <w:bookmarkStart w:id="1005" w:name="_Toc30654116"/>
      <w:bookmarkStart w:id="1006" w:name="_Toc30654467"/>
      <w:bookmarkStart w:id="1007" w:name="_Toc30655086"/>
      <w:bookmarkStart w:id="1008" w:name="_Toc30655343"/>
      <w:bookmarkStart w:id="1009" w:name="_Toc30657021"/>
      <w:bookmarkStart w:id="1010" w:name="_Toc30661770"/>
      <w:bookmarkStart w:id="1011" w:name="_Toc30666458"/>
      <w:bookmarkStart w:id="1012" w:name="_Toc30666688"/>
      <w:bookmarkStart w:id="1013" w:name="_Toc30667863"/>
      <w:bookmarkStart w:id="1014" w:name="_Toc30669241"/>
      <w:bookmarkStart w:id="1015" w:name="_Toc30671457"/>
      <w:bookmarkStart w:id="1016" w:name="_Toc30673984"/>
      <w:bookmarkStart w:id="1017" w:name="_Toc30691206"/>
      <w:bookmarkStart w:id="1018" w:name="_Toc30691579"/>
      <w:bookmarkStart w:id="1019" w:name="_Toc30691959"/>
      <w:bookmarkStart w:id="1020" w:name="_Toc30692718"/>
      <w:bookmarkStart w:id="1021" w:name="_Toc30693097"/>
      <w:bookmarkStart w:id="1022" w:name="_Toc30693475"/>
      <w:bookmarkStart w:id="1023" w:name="_Toc30693853"/>
      <w:bookmarkStart w:id="1024" w:name="_Toc30694234"/>
      <w:bookmarkStart w:id="1025" w:name="_Toc30698823"/>
      <w:bookmarkStart w:id="1026" w:name="_Toc30699201"/>
      <w:bookmarkStart w:id="1027" w:name="_Toc30699586"/>
      <w:bookmarkStart w:id="1028" w:name="_Toc30700741"/>
      <w:bookmarkStart w:id="1029" w:name="_Toc30701128"/>
      <w:bookmarkStart w:id="1030" w:name="_Toc30743737"/>
      <w:bookmarkStart w:id="1031" w:name="_Toc30754560"/>
      <w:bookmarkStart w:id="1032" w:name="_Toc30757000"/>
      <w:bookmarkStart w:id="1033" w:name="_Toc30757549"/>
      <w:bookmarkStart w:id="1034" w:name="_Toc30757949"/>
      <w:bookmarkStart w:id="1035" w:name="_Toc30762710"/>
      <w:bookmarkStart w:id="1036" w:name="_Toc30767364"/>
      <w:bookmarkStart w:id="1037" w:name="_Toc34823379"/>
      <w:r w:rsidRPr="003D5DFA">
        <w:rPr>
          <w:rFonts w:ascii="Arial" w:hAnsi="Arial" w:cs="Arial"/>
          <w:color w:val="000000"/>
          <w:sz w:val="20"/>
        </w:rPr>
        <w:t xml:space="preserve">In </w:t>
      </w:r>
      <w:r w:rsidRPr="003D5DFA">
        <w:rPr>
          <w:rFonts w:ascii="Arial" w:hAnsi="Arial" w:cs="Arial"/>
          <w:i/>
          <w:color w:val="000000"/>
          <w:sz w:val="20"/>
        </w:rPr>
        <w:t>A &amp; B v Children’s Court of Victoria</w:t>
      </w:r>
      <w:r w:rsidRPr="003D5DFA">
        <w:rPr>
          <w:rFonts w:ascii="Arial" w:hAnsi="Arial" w:cs="Arial"/>
          <w:color w:val="000000"/>
          <w:sz w:val="20"/>
        </w:rPr>
        <w:t xml:space="preserve"> [2012] VSC 589 </w:t>
      </w:r>
      <w:r w:rsidR="000D7389" w:rsidRPr="003D5DFA">
        <w:rPr>
          <w:rFonts w:ascii="Arial" w:hAnsi="Arial" w:cs="Arial"/>
          <w:color w:val="000000"/>
          <w:sz w:val="20"/>
        </w:rPr>
        <w:t xml:space="preserve">the plaintiffs were two sisters aged 11 &amp; 9 who were the subject of protection applications.  </w:t>
      </w:r>
      <w:r w:rsidR="00316CD0" w:rsidRPr="003D5DFA">
        <w:rPr>
          <w:rFonts w:ascii="Arial" w:hAnsi="Arial" w:cs="Arial"/>
          <w:color w:val="000000"/>
          <w:sz w:val="20"/>
        </w:rPr>
        <w:t xml:space="preserve">A had been physically assaulted by her mother.  B had witnessed the assault.  Both girls had given consistent instructions that they wanted absolutely no contact with their mother and for the next year they wanted to continue living with their aunt with whom they had been living since the protection applications were taken out.  One of the issues in the case involved sexual abuse allegations made by the mother against an uncle C.  No instructions had been taken from either child about those allegations because they had been judged to be too young to be informed of them.  </w:t>
      </w:r>
      <w:r w:rsidR="00123D44" w:rsidRPr="003D5DFA">
        <w:rPr>
          <w:rFonts w:ascii="Arial" w:hAnsi="Arial" w:cs="Arial"/>
          <w:color w:val="000000"/>
          <w:sz w:val="20"/>
        </w:rPr>
        <w:t xml:space="preserve">The presiding magistrate had </w:t>
      </w:r>
      <w:r w:rsidR="00E02355" w:rsidRPr="003D5DFA">
        <w:rPr>
          <w:rFonts w:ascii="Arial" w:hAnsi="Arial" w:cs="Arial"/>
          <w:color w:val="000000"/>
          <w:sz w:val="20"/>
        </w:rPr>
        <w:t xml:space="preserve">ordered </w:t>
      </w:r>
      <w:r w:rsidR="00745D3D" w:rsidRPr="003D5DFA">
        <w:rPr>
          <w:rFonts w:ascii="Arial" w:hAnsi="Arial" w:cs="Arial"/>
          <w:color w:val="000000"/>
          <w:sz w:val="20"/>
        </w:rPr>
        <w:t xml:space="preserve">– under a previous version of ss.524(1) &amp; 524(4) – </w:t>
      </w:r>
      <w:r w:rsidR="00E02355" w:rsidRPr="003D5DFA">
        <w:rPr>
          <w:rFonts w:ascii="Arial" w:hAnsi="Arial" w:cs="Arial"/>
          <w:color w:val="000000"/>
          <w:sz w:val="20"/>
        </w:rPr>
        <w:t>that A &amp; B each be represented on the “best interests” model, not on the “instructions” model.  Garde J granted an application by A &amp; B for an order in the nature of certiorari quashing the magistrate’s order</w:t>
      </w:r>
      <w:r w:rsidR="00316CD0" w:rsidRPr="003D5DFA">
        <w:rPr>
          <w:rFonts w:ascii="Arial" w:hAnsi="Arial" w:cs="Arial"/>
          <w:color w:val="000000"/>
          <w:sz w:val="20"/>
        </w:rPr>
        <w:t xml:space="preserve"> and upholding the plaintiffs’ submission that the children be represented on the “instructions” model under s.524(2) of the CYFA [as it then was].  </w:t>
      </w:r>
      <w:r w:rsidR="00E02355" w:rsidRPr="003D5DFA">
        <w:rPr>
          <w:rFonts w:ascii="Arial" w:hAnsi="Arial" w:cs="Arial"/>
          <w:color w:val="000000"/>
          <w:sz w:val="20"/>
        </w:rPr>
        <w:t xml:space="preserve">After tracing at [41]-[62] the legislative history of the legal representation of children in Victorian child protection proceedings and referring at [64] to the history of best interests representation in Commonwealth </w:t>
      </w:r>
      <w:r w:rsidR="00DF1862" w:rsidRPr="003D5DFA">
        <w:rPr>
          <w:rFonts w:ascii="Arial" w:hAnsi="Arial" w:cs="Arial"/>
          <w:color w:val="000000"/>
          <w:sz w:val="20"/>
        </w:rPr>
        <w:t xml:space="preserve">legislation in </w:t>
      </w:r>
      <w:r w:rsidR="00DF1862" w:rsidRPr="003D5DFA">
        <w:rPr>
          <w:rFonts w:ascii="Arial" w:hAnsi="Arial" w:cs="Arial"/>
          <w:i/>
          <w:color w:val="000000"/>
          <w:sz w:val="20"/>
        </w:rPr>
        <w:t>RCB v Forrest</w:t>
      </w:r>
      <w:r w:rsidR="00DF1862" w:rsidRPr="003D5DFA">
        <w:rPr>
          <w:rFonts w:ascii="Arial" w:hAnsi="Arial" w:cs="Arial"/>
          <w:color w:val="000000"/>
          <w:sz w:val="20"/>
        </w:rPr>
        <w:t xml:space="preserve"> [2012] H</w:t>
      </w:r>
      <w:r w:rsidR="00745D3D" w:rsidRPr="003D5DFA">
        <w:rPr>
          <w:rFonts w:ascii="Arial" w:hAnsi="Arial" w:cs="Arial"/>
          <w:color w:val="000000"/>
          <w:sz w:val="20"/>
        </w:rPr>
        <w:t xml:space="preserve">CA 47 at [33]-[35], Garde J at [97] &amp; [99] strongly favoured </w:t>
      </w:r>
      <w:r w:rsidR="00F448F9" w:rsidRPr="003D5DFA">
        <w:rPr>
          <w:rFonts w:ascii="Arial" w:hAnsi="Arial" w:cs="Arial"/>
          <w:color w:val="000000"/>
          <w:sz w:val="20"/>
        </w:rPr>
        <w:t>‘</w:t>
      </w:r>
      <w:r w:rsidR="00F448F9" w:rsidRPr="003D5DFA">
        <w:rPr>
          <w:rFonts w:ascii="Arial" w:hAnsi="Arial" w:cs="Arial"/>
          <w:b/>
          <w:color w:val="000000"/>
          <w:sz w:val="20"/>
        </w:rPr>
        <w:t>the instructions model</w:t>
      </w:r>
      <w:r w:rsidR="00F448F9" w:rsidRPr="003D5DFA">
        <w:rPr>
          <w:rFonts w:ascii="Arial" w:hAnsi="Arial" w:cs="Arial"/>
          <w:color w:val="000000"/>
          <w:sz w:val="20"/>
        </w:rPr>
        <w:t>’ [</w:t>
      </w:r>
      <w:r w:rsidR="00745D3D" w:rsidRPr="003D5DFA">
        <w:rPr>
          <w:rFonts w:ascii="Arial" w:hAnsi="Arial" w:cs="Arial"/>
          <w:color w:val="000000"/>
          <w:sz w:val="20"/>
        </w:rPr>
        <w:t>model 2</w:t>
      </w:r>
      <w:r w:rsidR="00F448F9" w:rsidRPr="003D5DFA">
        <w:rPr>
          <w:rFonts w:ascii="Arial" w:hAnsi="Arial" w:cs="Arial"/>
          <w:color w:val="000000"/>
          <w:sz w:val="20"/>
        </w:rPr>
        <w:t>]</w:t>
      </w:r>
      <w:r w:rsidR="00745D3D" w:rsidRPr="003D5DFA">
        <w:rPr>
          <w:rFonts w:ascii="Arial" w:hAnsi="Arial" w:cs="Arial"/>
          <w:color w:val="000000"/>
          <w:sz w:val="20"/>
        </w:rPr>
        <w:t>:</w:t>
      </w:r>
    </w:p>
    <w:p w14:paraId="47437471" w14:textId="77777777" w:rsidR="00DF1862" w:rsidRDefault="00DF1862" w:rsidP="009328B0">
      <w:pPr>
        <w:spacing w:before="60"/>
        <w:ind w:left="567" w:right="567"/>
        <w:jc w:val="both"/>
        <w:rPr>
          <w:rFonts w:ascii="Arial" w:hAnsi="Arial" w:cs="Arial"/>
          <w:bCs/>
          <w:color w:val="000000"/>
          <w:sz w:val="20"/>
        </w:rPr>
      </w:pPr>
      <w:r w:rsidRPr="003D5DFA">
        <w:rPr>
          <w:rFonts w:ascii="Arial" w:hAnsi="Arial" w:cs="Arial"/>
          <w:bCs/>
          <w:color w:val="000000"/>
          <w:sz w:val="20"/>
        </w:rPr>
        <w:t xml:space="preserve">“The diminished nature of best interests representation as a form of ensuring that children are heard has been recognized in other jurisdictions.  The English Court of Appeal in </w:t>
      </w:r>
      <w:r w:rsidRPr="003D5DFA">
        <w:rPr>
          <w:rFonts w:ascii="Arial" w:hAnsi="Arial" w:cs="Arial"/>
          <w:bCs/>
          <w:i/>
          <w:color w:val="000000"/>
          <w:sz w:val="20"/>
        </w:rPr>
        <w:t>Mahon v Mahon</w:t>
      </w:r>
      <w:r w:rsidRPr="003D5DFA">
        <w:rPr>
          <w:rFonts w:ascii="Arial" w:hAnsi="Arial" w:cs="Arial"/>
          <w:bCs/>
          <w:color w:val="000000"/>
          <w:sz w:val="20"/>
        </w:rPr>
        <w:t xml:space="preserve"> [2005] 3 WLR 460 preferred direct instructions representation over best interests representation in cases where children were articulate or capable of participation in the proceedings…Thorpe LJ, with whom Latham and Wall LJJ agreed, acknowledged the greater appreciation and weight that must now be attached to children’s autonomy and consequential right to meaningfully participate in decisions affecting their lives, stressing that ‘</w:t>
      </w:r>
      <w:r w:rsidRPr="003D5DFA">
        <w:rPr>
          <w:rFonts w:ascii="Arial" w:hAnsi="Arial" w:cs="Arial"/>
          <w:b/>
          <w:bCs/>
          <w:color w:val="000000"/>
          <w:sz w:val="20"/>
        </w:rPr>
        <w:t>the right to freedom of expression and participation outweighs the paternalistic judgment of welfare</w:t>
      </w:r>
      <w:r w:rsidRPr="003D5DFA">
        <w:rPr>
          <w:rFonts w:ascii="Arial" w:hAnsi="Arial" w:cs="Arial"/>
          <w:bCs/>
          <w:color w:val="000000"/>
          <w:sz w:val="20"/>
        </w:rPr>
        <w:t>’</w:t>
      </w:r>
      <w:r w:rsidR="00745D3D" w:rsidRPr="003D5DFA">
        <w:rPr>
          <w:rFonts w:ascii="Arial" w:hAnsi="Arial" w:cs="Arial"/>
          <w:bCs/>
          <w:color w:val="000000"/>
          <w:sz w:val="20"/>
        </w:rPr>
        <w:t xml:space="preserve"> [emphasis mine]</w:t>
      </w:r>
      <w:r w:rsidRPr="003D5DFA">
        <w:rPr>
          <w:rFonts w:ascii="Arial" w:hAnsi="Arial" w:cs="Arial"/>
          <w:bCs/>
          <w:color w:val="000000"/>
          <w:sz w:val="20"/>
        </w:rPr>
        <w:t>.”</w:t>
      </w:r>
    </w:p>
    <w:p w14:paraId="01D6E89F" w14:textId="77777777" w:rsidR="00777477" w:rsidRPr="003D5DFA" w:rsidRDefault="00777477" w:rsidP="00777477">
      <w:pPr>
        <w:spacing w:before="60"/>
        <w:jc w:val="both"/>
        <w:rPr>
          <w:rFonts w:ascii="Arial" w:hAnsi="Arial" w:cs="Arial"/>
          <w:bCs/>
          <w:color w:val="000000"/>
          <w:sz w:val="20"/>
        </w:rPr>
      </w:pPr>
    </w:p>
    <w:p w14:paraId="2CA6DFDF" w14:textId="77777777" w:rsidR="00693223" w:rsidRPr="003D5DFA" w:rsidRDefault="00693223">
      <w:pPr>
        <w:pStyle w:val="Heading3"/>
        <w:spacing w:after="120" w:line="240" w:lineRule="auto"/>
        <w:rPr>
          <w:rFonts w:ascii="Arial" w:hAnsi="Arial" w:cs="Arial"/>
          <w:color w:val="000000"/>
          <w:sz w:val="20"/>
        </w:rPr>
      </w:pPr>
      <w:bookmarkStart w:id="1038" w:name="_4.7.7_Recommendations_by"/>
      <w:bookmarkStart w:id="1039" w:name="B477"/>
      <w:bookmarkEnd w:id="1038"/>
      <w:bookmarkEnd w:id="1039"/>
      <w:r w:rsidRPr="003D5DFA">
        <w:rPr>
          <w:rFonts w:ascii="Arial" w:hAnsi="Arial" w:cs="Arial"/>
          <w:b/>
          <w:bCs/>
          <w:color w:val="000000"/>
          <w:sz w:val="20"/>
        </w:rPr>
        <w:t>4.7.</w:t>
      </w:r>
      <w:r w:rsidR="009B3556" w:rsidRPr="003D5DFA">
        <w:rPr>
          <w:rFonts w:ascii="Arial" w:hAnsi="Arial" w:cs="Arial"/>
          <w:b/>
          <w:bCs/>
          <w:color w:val="000000"/>
          <w:sz w:val="20"/>
        </w:rPr>
        <w:t>7</w:t>
      </w:r>
      <w:r w:rsidRPr="003D5DFA">
        <w:rPr>
          <w:rFonts w:ascii="Arial" w:hAnsi="Arial" w:cs="Arial"/>
          <w:b/>
          <w:bCs/>
          <w:color w:val="000000"/>
          <w:sz w:val="20"/>
        </w:rPr>
        <w:tab/>
      </w:r>
      <w:bookmarkEnd w:id="998"/>
      <w:bookmarkEnd w:id="999"/>
      <w:r w:rsidRPr="003D5DFA">
        <w:rPr>
          <w:rFonts w:ascii="Arial" w:hAnsi="Arial" w:cs="Arial"/>
          <w:b/>
          <w:bCs/>
          <w:color w:val="000000"/>
          <w:sz w:val="20"/>
        </w:rPr>
        <w:t>Recommendations by Australian Law Reform Commission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8E74C20" w14:textId="77777777" w:rsidR="00693223" w:rsidRPr="003D5DFA" w:rsidRDefault="00693223">
      <w:pPr>
        <w:jc w:val="both"/>
        <w:rPr>
          <w:rFonts w:ascii="Arial" w:hAnsi="Arial" w:cs="Arial"/>
          <w:color w:val="000000"/>
          <w:sz w:val="20"/>
        </w:rPr>
      </w:pPr>
      <w:r w:rsidRPr="003D5DFA">
        <w:rPr>
          <w:rFonts w:ascii="Arial" w:hAnsi="Arial" w:cs="Arial"/>
          <w:color w:val="000000"/>
          <w:sz w:val="20"/>
        </w:rPr>
        <w:t>The joint recommendations of the Australian Law Reform Commission &amp; the Human Rights and Equal Opportunity Commission in ALRC Report No.84, based on the United Nations Convention on the Rights of the Child, would make it mandatory for representatives to act for both verbal and pre-verbal children in child protection cases and would require such representatives to go much further than acting on the basis of the child’s instructions or the child’s wishes.  {ALRC Report #84, [13.30] p.273}.  For example, in relation to non-verbal children the recommended tasks of such representatives would include-</w:t>
      </w:r>
    </w:p>
    <w:p w14:paraId="7C60377F"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investigating all relevant facts, parties and people;</w:t>
      </w:r>
    </w:p>
    <w:p w14:paraId="123DF51B"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sub-poenaing all documents;</w:t>
      </w:r>
    </w:p>
    <w:p w14:paraId="6DF0CAEC"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retaining experts as needed;</w:t>
      </w:r>
    </w:p>
    <w:p w14:paraId="49A5AFD4"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observing the child in the caretaker’s setting and formulating optional plans;</w:t>
      </w:r>
    </w:p>
    <w:p w14:paraId="745727A9" w14:textId="77777777" w:rsidR="00693223" w:rsidRPr="003D5DFA" w:rsidRDefault="00693223" w:rsidP="00BA6FBE">
      <w:pPr>
        <w:numPr>
          <w:ilvl w:val="0"/>
          <w:numId w:val="6"/>
        </w:numPr>
        <w:ind w:left="284" w:hanging="284"/>
        <w:rPr>
          <w:rFonts w:ascii="Arial" w:hAnsi="Arial" w:cs="Arial"/>
          <w:color w:val="000000"/>
          <w:sz w:val="20"/>
        </w:rPr>
      </w:pPr>
      <w:r w:rsidRPr="003D5DFA">
        <w:rPr>
          <w:rFonts w:ascii="Arial" w:hAnsi="Arial" w:cs="Arial"/>
          <w:color w:val="000000"/>
          <w:sz w:val="20"/>
        </w:rPr>
        <w:t>challenging the basis for experts and agency conclusions in order to ensure accuracy;</w:t>
      </w:r>
    </w:p>
    <w:p w14:paraId="4E9981D1" w14:textId="77777777" w:rsidR="00693223" w:rsidRPr="003D5DFA" w:rsidRDefault="00693223" w:rsidP="00BA6FBE">
      <w:pPr>
        <w:keepNext/>
        <w:keepLines/>
        <w:numPr>
          <w:ilvl w:val="0"/>
          <w:numId w:val="6"/>
        </w:numPr>
        <w:ind w:left="284" w:hanging="284"/>
        <w:jc w:val="both"/>
        <w:rPr>
          <w:rFonts w:ascii="Arial" w:hAnsi="Arial" w:cs="Arial"/>
          <w:bCs/>
          <w:color w:val="000000"/>
          <w:sz w:val="20"/>
        </w:rPr>
      </w:pPr>
      <w:r w:rsidRPr="003D5DFA">
        <w:rPr>
          <w:rFonts w:ascii="Arial" w:hAnsi="Arial" w:cs="Arial"/>
          <w:bCs/>
          <w:color w:val="000000"/>
          <w:sz w:val="20"/>
        </w:rPr>
        <w:t>advocating zealously for the legal rights of the child including safety, visitation and sibling contact; and</w:t>
      </w:r>
    </w:p>
    <w:p w14:paraId="72161FD7" w14:textId="77777777" w:rsidR="00693223" w:rsidRPr="003D5DFA" w:rsidRDefault="00693223" w:rsidP="00BA6FBE">
      <w:pPr>
        <w:numPr>
          <w:ilvl w:val="0"/>
          <w:numId w:val="6"/>
        </w:numPr>
        <w:ind w:left="284" w:hanging="284"/>
        <w:jc w:val="both"/>
        <w:rPr>
          <w:rFonts w:ascii="Arial" w:hAnsi="Arial" w:cs="Arial"/>
          <w:bCs/>
          <w:color w:val="000000"/>
          <w:sz w:val="20"/>
        </w:rPr>
      </w:pPr>
      <w:r w:rsidRPr="003D5DFA">
        <w:rPr>
          <w:rFonts w:ascii="Arial" w:hAnsi="Arial" w:cs="Arial"/>
          <w:bCs/>
          <w:color w:val="000000"/>
          <w:sz w:val="20"/>
        </w:rPr>
        <w:t>ensuring that all relevant and material facts are put before the Court.</w:t>
      </w:r>
    </w:p>
    <w:p w14:paraId="55D0710B" w14:textId="77777777" w:rsidR="00693223" w:rsidRPr="003D5DFA" w:rsidRDefault="00693223">
      <w:pPr>
        <w:jc w:val="both"/>
        <w:rPr>
          <w:rFonts w:ascii="Arial" w:hAnsi="Arial" w:cs="Arial"/>
          <w:bCs/>
          <w:color w:val="000000"/>
          <w:sz w:val="20"/>
        </w:rPr>
      </w:pPr>
      <w:r w:rsidRPr="003D5DFA">
        <w:rPr>
          <w:rFonts w:ascii="Arial" w:hAnsi="Arial" w:cs="Arial"/>
          <w:bCs/>
          <w:color w:val="000000"/>
          <w:sz w:val="20"/>
        </w:rPr>
        <w:t xml:space="preserve">But that is </w:t>
      </w:r>
      <w:r w:rsidR="008C267B" w:rsidRPr="003D5DFA">
        <w:rPr>
          <w:rFonts w:ascii="Arial" w:hAnsi="Arial" w:cs="Arial"/>
          <w:bCs/>
          <w:color w:val="000000"/>
          <w:sz w:val="20"/>
        </w:rPr>
        <w:t>not the</w:t>
      </w:r>
      <w:r w:rsidRPr="003D5DFA">
        <w:rPr>
          <w:rFonts w:ascii="Arial" w:hAnsi="Arial" w:cs="Arial"/>
          <w:bCs/>
          <w:color w:val="000000"/>
          <w:sz w:val="20"/>
        </w:rPr>
        <w:t xml:space="preserv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388D893D" w14:textId="77777777" w:rsidR="00F917A7" w:rsidRPr="001A66E0" w:rsidRDefault="00F917A7" w:rsidP="00F917A7">
      <w:pPr>
        <w:pStyle w:val="Heading3"/>
        <w:spacing w:line="240" w:lineRule="auto"/>
        <w:rPr>
          <w:rFonts w:ascii="Arial" w:hAnsi="Arial" w:cs="Arial"/>
          <w:color w:val="000000"/>
          <w:sz w:val="20"/>
        </w:rPr>
      </w:pPr>
      <w:bookmarkStart w:id="1040" w:name="_Toc30607532"/>
      <w:bookmarkStart w:id="1041" w:name="_Toc30607661"/>
      <w:bookmarkStart w:id="1042" w:name="_Toc30607986"/>
      <w:bookmarkStart w:id="1043" w:name="_Toc30608819"/>
      <w:bookmarkStart w:id="1044" w:name="_Toc30610033"/>
      <w:bookmarkStart w:id="1045" w:name="_Toc30610277"/>
      <w:bookmarkStart w:id="1046" w:name="_Toc30638431"/>
      <w:bookmarkStart w:id="1047" w:name="_Toc30644244"/>
      <w:bookmarkStart w:id="1048" w:name="_Toc30644651"/>
      <w:bookmarkStart w:id="1049" w:name="_Toc30645201"/>
      <w:bookmarkStart w:id="1050" w:name="_Toc30646413"/>
      <w:bookmarkStart w:id="1051" w:name="_Toc30646708"/>
      <w:bookmarkStart w:id="1052" w:name="_Toc30646819"/>
      <w:bookmarkStart w:id="1053" w:name="_Toc30648181"/>
      <w:bookmarkStart w:id="1054" w:name="_Toc30649082"/>
      <w:bookmarkStart w:id="1055" w:name="_Toc30649158"/>
      <w:bookmarkStart w:id="1056" w:name="_Toc30649419"/>
      <w:bookmarkStart w:id="1057" w:name="_Toc30649744"/>
      <w:bookmarkStart w:id="1058" w:name="_Toc30651684"/>
      <w:bookmarkStart w:id="1059" w:name="_Toc30652674"/>
      <w:bookmarkStart w:id="1060" w:name="_Toc30652770"/>
      <w:bookmarkStart w:id="1061" w:name="_Toc30654117"/>
      <w:bookmarkStart w:id="1062" w:name="_Toc30654468"/>
      <w:bookmarkStart w:id="1063" w:name="_Toc30655087"/>
      <w:bookmarkStart w:id="1064" w:name="_Toc30655344"/>
      <w:bookmarkStart w:id="1065" w:name="_Toc30657022"/>
      <w:bookmarkStart w:id="1066" w:name="_Toc30661771"/>
      <w:bookmarkStart w:id="1067" w:name="_Toc30666459"/>
      <w:bookmarkStart w:id="1068" w:name="_Toc30666689"/>
      <w:bookmarkStart w:id="1069" w:name="_Toc30667864"/>
      <w:bookmarkStart w:id="1070" w:name="_Toc30669242"/>
      <w:bookmarkStart w:id="1071" w:name="_Toc30671458"/>
      <w:bookmarkStart w:id="1072" w:name="_Toc30673985"/>
      <w:bookmarkStart w:id="1073" w:name="_Toc30691207"/>
      <w:bookmarkStart w:id="1074" w:name="_Toc30691580"/>
      <w:bookmarkStart w:id="1075" w:name="_Toc30691960"/>
      <w:bookmarkStart w:id="1076" w:name="_Toc30692719"/>
      <w:bookmarkStart w:id="1077" w:name="_Toc30693098"/>
      <w:bookmarkStart w:id="1078" w:name="_Toc30693476"/>
      <w:bookmarkStart w:id="1079" w:name="_Toc30693854"/>
      <w:bookmarkStart w:id="1080" w:name="_Toc30694235"/>
      <w:bookmarkStart w:id="1081" w:name="_Toc30698824"/>
      <w:bookmarkStart w:id="1082" w:name="_Toc30699202"/>
      <w:bookmarkStart w:id="1083" w:name="_Toc30699587"/>
      <w:bookmarkStart w:id="1084" w:name="_Toc30700742"/>
      <w:bookmarkStart w:id="1085" w:name="_Toc30701129"/>
      <w:bookmarkStart w:id="1086" w:name="_Toc30743738"/>
      <w:bookmarkStart w:id="1087" w:name="_Toc30754561"/>
      <w:bookmarkStart w:id="1088" w:name="_Toc30757001"/>
      <w:bookmarkStart w:id="1089" w:name="_Toc30757550"/>
      <w:bookmarkStart w:id="1090" w:name="_Toc30757950"/>
      <w:bookmarkStart w:id="1091" w:name="_Toc30762711"/>
      <w:bookmarkStart w:id="1092" w:name="_Toc30767365"/>
      <w:bookmarkStart w:id="1093" w:name="_Toc34823380"/>
    </w:p>
    <w:p w14:paraId="28D6C5A0" w14:textId="77777777" w:rsidR="00F917A7" w:rsidRPr="003D5DFA" w:rsidRDefault="00F917A7" w:rsidP="009328B0">
      <w:pPr>
        <w:pStyle w:val="Heading3"/>
        <w:keepNext/>
        <w:keepLines/>
        <w:widowControl/>
        <w:spacing w:after="120" w:line="240" w:lineRule="auto"/>
        <w:rPr>
          <w:rFonts w:ascii="Arial" w:hAnsi="Arial" w:cs="Arial"/>
          <w:color w:val="000000"/>
          <w:sz w:val="20"/>
        </w:rPr>
      </w:pPr>
      <w:bookmarkStart w:id="1094" w:name="_4.7.8_Recommendations_by"/>
      <w:bookmarkStart w:id="1095" w:name="B478"/>
      <w:bookmarkEnd w:id="1094"/>
      <w:bookmarkEnd w:id="1095"/>
      <w:r w:rsidRPr="003D5DFA">
        <w:rPr>
          <w:rFonts w:ascii="Arial" w:hAnsi="Arial" w:cs="Arial"/>
          <w:b/>
          <w:bCs/>
          <w:color w:val="000000"/>
          <w:sz w:val="20"/>
        </w:rPr>
        <w:t>4.7.</w:t>
      </w:r>
      <w:r w:rsidR="009B3556" w:rsidRPr="003D5DFA">
        <w:rPr>
          <w:rFonts w:ascii="Arial" w:hAnsi="Arial" w:cs="Arial"/>
          <w:b/>
          <w:bCs/>
          <w:color w:val="000000"/>
          <w:sz w:val="20"/>
        </w:rPr>
        <w:t>8</w:t>
      </w:r>
      <w:r w:rsidRPr="003D5DFA">
        <w:rPr>
          <w:rFonts w:ascii="Arial" w:hAnsi="Arial" w:cs="Arial"/>
          <w:b/>
          <w:bCs/>
          <w:color w:val="000000"/>
          <w:sz w:val="20"/>
        </w:rPr>
        <w:tab/>
        <w:t>Recommendations by Victorian Law Reform Commission</w:t>
      </w:r>
    </w:p>
    <w:p w14:paraId="52684425" w14:textId="77777777" w:rsidR="00B75A27" w:rsidRPr="003D5DFA" w:rsidRDefault="00A03186" w:rsidP="00B75A27">
      <w:pPr>
        <w:spacing w:before="120"/>
        <w:jc w:val="both"/>
        <w:rPr>
          <w:rFonts w:ascii="Arial" w:hAnsi="Arial" w:cs="Arial"/>
          <w:color w:val="000000"/>
          <w:sz w:val="20"/>
        </w:rPr>
      </w:pPr>
      <w:r w:rsidRPr="003D5DFA">
        <w:rPr>
          <w:rFonts w:ascii="Arial" w:hAnsi="Arial" w:cs="Arial"/>
          <w:color w:val="000000"/>
          <w:sz w:val="20"/>
        </w:rPr>
        <w:t>The final report of the Victorian Law Reform Commission on “Protection Applications in the Children’s Court” [No.19, 30 June 2010] discusses models of legal representation at pp.317-331.  At p.331 the Commission expressed the following view:</w:t>
      </w:r>
    </w:p>
    <w:p w14:paraId="050B220D" w14:textId="77777777" w:rsidR="00A03186" w:rsidRPr="003D5DFA" w:rsidRDefault="00A03186">
      <w:pPr>
        <w:numPr>
          <w:ilvl w:val="0"/>
          <w:numId w:val="27"/>
        </w:numPr>
        <w:ind w:left="284" w:hanging="284"/>
        <w:jc w:val="both"/>
        <w:rPr>
          <w:rFonts w:ascii="Arial" w:hAnsi="Arial" w:cs="Arial"/>
          <w:color w:val="000000"/>
          <w:sz w:val="20"/>
        </w:rPr>
      </w:pPr>
      <w:r w:rsidRPr="003D5DFA">
        <w:rPr>
          <w:rFonts w:ascii="Arial" w:hAnsi="Arial" w:cs="Arial"/>
          <w:color w:val="000000"/>
          <w:sz w:val="20"/>
        </w:rPr>
        <w:lastRenderedPageBreak/>
        <w:t xml:space="preserve">Every child or young person who is a party to a protection application should be separately represented on either a best interests model or instructions model, but two or more </w:t>
      </w:r>
      <w:r w:rsidR="00CA4108" w:rsidRPr="003D5DFA">
        <w:rPr>
          <w:rFonts w:ascii="Arial" w:hAnsi="Arial" w:cs="Arial"/>
          <w:color w:val="000000"/>
          <w:sz w:val="20"/>
        </w:rPr>
        <w:t>siblings</w:t>
      </w:r>
      <w:r w:rsidRPr="003D5DFA">
        <w:rPr>
          <w:rFonts w:ascii="Arial" w:hAnsi="Arial" w:cs="Arial"/>
          <w:color w:val="000000"/>
          <w:sz w:val="20"/>
        </w:rPr>
        <w:t xml:space="preserve"> may be </w:t>
      </w:r>
      <w:r w:rsidR="00CA4108" w:rsidRPr="003D5DFA">
        <w:rPr>
          <w:rFonts w:ascii="Arial" w:hAnsi="Arial" w:cs="Arial"/>
          <w:color w:val="000000"/>
          <w:sz w:val="20"/>
        </w:rPr>
        <w:t>represented by the same lawyer on a best interests basis.</w:t>
      </w:r>
    </w:p>
    <w:p w14:paraId="172601B3" w14:textId="77777777" w:rsidR="00CA4108" w:rsidRPr="003D5DFA" w:rsidRDefault="00CA4108">
      <w:pPr>
        <w:numPr>
          <w:ilvl w:val="0"/>
          <w:numId w:val="27"/>
        </w:numPr>
        <w:ind w:left="284" w:hanging="284"/>
        <w:jc w:val="both"/>
        <w:rPr>
          <w:rFonts w:ascii="Arial" w:hAnsi="Arial" w:cs="Arial"/>
          <w:color w:val="000000"/>
          <w:sz w:val="20"/>
        </w:rPr>
      </w:pPr>
      <w:r w:rsidRPr="003D5DFA">
        <w:rPr>
          <w:rFonts w:ascii="Arial" w:hAnsi="Arial" w:cs="Arial"/>
          <w:color w:val="000000"/>
          <w:sz w:val="20"/>
        </w:rPr>
        <w:t>Children and young persons should be represented on a best interests model by a lawyer unless the lawyer considers that:</w:t>
      </w:r>
    </w:p>
    <w:p w14:paraId="281BF39D"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a mature child or young person has a desire to participate in proceedings and has the understanding and capacity to direct his or her representation;</w:t>
      </w:r>
    </w:p>
    <w:p w14:paraId="535DA1BB" w14:textId="77777777" w:rsidR="00CA4108" w:rsidRPr="003D5DFA" w:rsidRDefault="00CA4108">
      <w:pPr>
        <w:numPr>
          <w:ilvl w:val="1"/>
          <w:numId w:val="28"/>
        </w:numPr>
        <w:tabs>
          <w:tab w:val="clear" w:pos="1020"/>
        </w:tabs>
        <w:ind w:left="568" w:hanging="284"/>
        <w:jc w:val="both"/>
        <w:rPr>
          <w:rFonts w:ascii="Arial" w:hAnsi="Arial" w:cs="Arial"/>
          <w:color w:val="000000"/>
          <w:sz w:val="20"/>
        </w:rPr>
      </w:pPr>
      <w:r w:rsidRPr="003D5DFA">
        <w:rPr>
          <w:rFonts w:ascii="Arial" w:hAnsi="Arial" w:cs="Arial"/>
          <w:color w:val="000000"/>
          <w:sz w:val="20"/>
        </w:rPr>
        <w:t>the child or young person, who has had explained to him or her the duty of a lawyer to directly relay the child or young person’s views to the Court, nevertheless is unwilling to accept representation on a best interests basis.</w:t>
      </w:r>
    </w:p>
    <w:p w14:paraId="4A1258A7" w14:textId="77777777" w:rsidR="00CA4108" w:rsidRPr="003D5DFA" w:rsidRDefault="00CA4108" w:rsidP="00CA4108">
      <w:pPr>
        <w:ind w:left="357"/>
        <w:jc w:val="both"/>
        <w:rPr>
          <w:rFonts w:ascii="Arial" w:hAnsi="Arial" w:cs="Arial"/>
          <w:color w:val="000000"/>
          <w:sz w:val="20"/>
        </w:rPr>
      </w:pPr>
      <w:r w:rsidRPr="003D5DFA">
        <w:rPr>
          <w:rFonts w:ascii="Arial" w:hAnsi="Arial" w:cs="Arial"/>
          <w:color w:val="000000"/>
          <w:sz w:val="20"/>
        </w:rPr>
        <w:t>Where both of these conditions are satisfied, a separate practitioner should be appointed to represent the child or young person on the child or young person’s instructions.</w:t>
      </w:r>
    </w:p>
    <w:p w14:paraId="3CDFD0B7" w14:textId="77777777" w:rsidR="00CA4108" w:rsidRPr="003D5DFA" w:rsidRDefault="00CA4108" w:rsidP="00CA4108">
      <w:pPr>
        <w:jc w:val="both"/>
        <w:rPr>
          <w:rFonts w:ascii="Arial" w:hAnsi="Arial" w:cs="Arial"/>
          <w:bCs/>
          <w:color w:val="000000"/>
          <w:sz w:val="20"/>
        </w:rPr>
      </w:pPr>
      <w:r w:rsidRPr="003D5DFA">
        <w:rPr>
          <w:rFonts w:ascii="Arial" w:hAnsi="Arial" w:cs="Arial"/>
          <w:bCs/>
          <w:color w:val="000000"/>
          <w:sz w:val="20"/>
        </w:rPr>
        <w:t xml:space="preserve">But that is not the present state of the law in relation to child representation in </w:t>
      </w:r>
      <w:smartTag w:uri="urn:schemas-microsoft-com:office:smarttags" w:element="State">
        <w:smartTag w:uri="urn:schemas-microsoft-com:office:smarttags" w:element="place">
          <w:r w:rsidRPr="003D5DFA">
            <w:rPr>
              <w:rFonts w:ascii="Arial" w:hAnsi="Arial" w:cs="Arial"/>
              <w:bCs/>
              <w:color w:val="000000"/>
              <w:sz w:val="20"/>
            </w:rPr>
            <w:t>Victoria</w:t>
          </w:r>
        </w:smartTag>
      </w:smartTag>
      <w:r w:rsidRPr="003D5DFA">
        <w:rPr>
          <w:rFonts w:ascii="Arial" w:hAnsi="Arial" w:cs="Arial"/>
          <w:bCs/>
          <w:color w:val="000000"/>
          <w:sz w:val="20"/>
        </w:rPr>
        <w:t>.</w:t>
      </w:r>
    </w:p>
    <w:p w14:paraId="7156D258" w14:textId="77777777" w:rsidR="000B2C51" w:rsidRPr="003D5DFA" w:rsidRDefault="000B2C51" w:rsidP="000B2C51">
      <w:pPr>
        <w:jc w:val="both"/>
        <w:rPr>
          <w:rFonts w:ascii="Arial" w:hAnsi="Arial" w:cs="Arial"/>
          <w:color w:val="000000"/>
          <w:sz w:val="20"/>
        </w:rPr>
      </w:pPr>
    </w:p>
    <w:p w14:paraId="2AD08051" w14:textId="77777777" w:rsidR="009E5DAC" w:rsidRPr="003D5DFA" w:rsidRDefault="009E5DAC" w:rsidP="009E5DAC">
      <w:pPr>
        <w:pStyle w:val="Heading3"/>
        <w:spacing w:after="120" w:line="240" w:lineRule="auto"/>
        <w:rPr>
          <w:rFonts w:ascii="Arial" w:hAnsi="Arial" w:cs="Arial"/>
          <w:color w:val="000000"/>
          <w:sz w:val="20"/>
        </w:rPr>
      </w:pPr>
      <w:bookmarkStart w:id="1096" w:name="_4.7.9_Recommendations_by"/>
      <w:bookmarkStart w:id="1097" w:name="B479"/>
      <w:bookmarkEnd w:id="1096"/>
      <w:bookmarkEnd w:id="1097"/>
      <w:r w:rsidRPr="003D5DFA">
        <w:rPr>
          <w:rFonts w:ascii="Arial" w:hAnsi="Arial" w:cs="Arial"/>
          <w:b/>
          <w:bCs/>
          <w:color w:val="000000"/>
          <w:sz w:val="20"/>
        </w:rPr>
        <w:t>4.7.</w:t>
      </w:r>
      <w:r w:rsidR="009B3556" w:rsidRPr="003D5DFA">
        <w:rPr>
          <w:rFonts w:ascii="Arial" w:hAnsi="Arial" w:cs="Arial"/>
          <w:b/>
          <w:bCs/>
          <w:color w:val="000000"/>
          <w:sz w:val="20"/>
        </w:rPr>
        <w:t>9</w:t>
      </w:r>
      <w:r w:rsidRPr="003D5DFA">
        <w:rPr>
          <w:rFonts w:ascii="Arial" w:hAnsi="Arial" w:cs="Arial"/>
          <w:b/>
          <w:bCs/>
          <w:color w:val="000000"/>
          <w:sz w:val="20"/>
        </w:rPr>
        <w:tab/>
        <w:t>Recommendations by the “Cummins Inquiry”</w:t>
      </w:r>
    </w:p>
    <w:p w14:paraId="1BD77121" w14:textId="77777777" w:rsidR="009E5DAC" w:rsidRPr="003D5DFA" w:rsidRDefault="009E5DAC" w:rsidP="00F32C0E">
      <w:pPr>
        <w:spacing w:before="120"/>
        <w:jc w:val="both"/>
        <w:rPr>
          <w:rFonts w:ascii="Arial" w:hAnsi="Arial" w:cs="Arial"/>
          <w:color w:val="000000"/>
          <w:sz w:val="20"/>
        </w:rPr>
      </w:pPr>
      <w:r w:rsidRPr="003D5DFA">
        <w:rPr>
          <w:rFonts w:ascii="Arial" w:hAnsi="Arial" w:cs="Arial"/>
          <w:color w:val="000000"/>
          <w:sz w:val="20"/>
        </w:rPr>
        <w:t>In January 2012 the Department of Premier and Cabinet published a Report of the “Protecting Victoria’s Vulnerable Children Inquiry”</w:t>
      </w:r>
      <w:r w:rsidR="00F32C0E" w:rsidRPr="003D5DFA">
        <w:rPr>
          <w:rFonts w:ascii="Arial" w:hAnsi="Arial" w:cs="Arial"/>
          <w:color w:val="000000"/>
          <w:sz w:val="20"/>
        </w:rPr>
        <w:t xml:space="preserve"> conducted</w:t>
      </w:r>
      <w:r w:rsidRPr="003D5DFA">
        <w:rPr>
          <w:rFonts w:ascii="Arial" w:hAnsi="Arial" w:cs="Arial"/>
          <w:color w:val="000000"/>
          <w:sz w:val="20"/>
        </w:rPr>
        <w:t xml:space="preserve"> by The Honourable Philip Cummins (Chair), Emeritus Professor Dorothy Scott OAM and Mr Bill Scales AO.  The Cummins Inquiry’s Recommendation 53 [</w:t>
      </w:r>
      <w:r w:rsidR="00F32C0E" w:rsidRPr="003D5DFA">
        <w:rPr>
          <w:rFonts w:ascii="Arial" w:hAnsi="Arial" w:cs="Arial"/>
          <w:color w:val="000000"/>
          <w:sz w:val="20"/>
        </w:rPr>
        <w:t>Volume 2, paragraph 15.3.1, page 378] states:</w:t>
      </w:r>
    </w:p>
    <w:p w14:paraId="331BC054"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 xml:space="preserve">“The </w:t>
      </w:r>
      <w:r w:rsidRPr="003D5DFA">
        <w:rPr>
          <w:rFonts w:ascii="Arial" w:hAnsi="Arial" w:cs="Arial"/>
          <w:i/>
          <w:color w:val="000000"/>
          <w:sz w:val="20"/>
        </w:rPr>
        <w:t>Children, Youth and Families Act 2005</w:t>
      </w:r>
      <w:r w:rsidRPr="003D5DFA">
        <w:rPr>
          <w:rFonts w:ascii="Arial" w:hAnsi="Arial" w:cs="Arial"/>
          <w:color w:val="000000"/>
          <w:sz w:val="20"/>
        </w:rPr>
        <w:t xml:space="preserve"> should be amended to provide that:</w:t>
      </w:r>
    </w:p>
    <w:p w14:paraId="4AAE18FA"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named on a protection application should have the formal status of a party to the proceedings;</w:t>
      </w:r>
    </w:p>
    <w:p w14:paraId="14010D15"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under 10 years of age is presumed not to be capable of providing instructions unless shown otherwise and a child who is 10 years and over is presumed capable of giving instructions unless shown otherwise;</w:t>
      </w:r>
    </w:p>
    <w:p w14:paraId="075FA571"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A child who is not capable of providing instructions should be represented by an independent lawyer on a ‘best interests’ basis; and</w:t>
      </w:r>
    </w:p>
    <w:p w14:paraId="7B5A861C" w14:textId="77777777" w:rsidR="00F32C0E" w:rsidRPr="003D5DFA" w:rsidRDefault="00F32C0E" w:rsidP="00BA6FBE">
      <w:pPr>
        <w:numPr>
          <w:ilvl w:val="0"/>
          <w:numId w:val="6"/>
        </w:numPr>
        <w:spacing w:before="60"/>
        <w:ind w:left="851" w:right="567" w:hanging="284"/>
        <w:jc w:val="both"/>
        <w:rPr>
          <w:rFonts w:ascii="Arial" w:hAnsi="Arial" w:cs="Arial"/>
          <w:color w:val="000000"/>
          <w:sz w:val="20"/>
        </w:rPr>
      </w:pPr>
      <w:r w:rsidRPr="003D5DFA">
        <w:rPr>
          <w:rFonts w:ascii="Arial" w:hAnsi="Arial" w:cs="Arial"/>
          <w:color w:val="000000"/>
          <w:sz w:val="20"/>
        </w:rPr>
        <w:t>Other than in exceptional circumstances, a child is not required to attend at any stage of the court process in protection proceedings unless the child has expressed a wish to be present in court and has the capacity to understand the process.”</w:t>
      </w:r>
    </w:p>
    <w:p w14:paraId="5AD7EADD" w14:textId="77777777" w:rsidR="00BD3BD4" w:rsidRPr="003D5DFA" w:rsidRDefault="00BD3BD4" w:rsidP="005832E7">
      <w:pPr>
        <w:spacing w:before="120"/>
        <w:jc w:val="both"/>
        <w:rPr>
          <w:rFonts w:ascii="Arial" w:hAnsi="Arial" w:cs="Arial"/>
          <w:color w:val="000000"/>
          <w:sz w:val="20"/>
        </w:rPr>
      </w:pPr>
      <w:r w:rsidRPr="003D5DFA">
        <w:rPr>
          <w:rFonts w:ascii="Arial" w:hAnsi="Arial" w:cs="Arial"/>
          <w:color w:val="000000"/>
          <w:sz w:val="20"/>
        </w:rPr>
        <w:t>Its Recommendation 54 [Volume 2, paragraph 15.3.1, page 378] states:</w:t>
      </w:r>
    </w:p>
    <w:p w14:paraId="285A0285" w14:textId="77777777" w:rsidR="00BD3BD4" w:rsidRPr="003D5DFA" w:rsidRDefault="00BD3BD4" w:rsidP="00BD3BD4">
      <w:pPr>
        <w:spacing w:before="60"/>
        <w:ind w:left="567" w:right="567"/>
        <w:jc w:val="both"/>
        <w:rPr>
          <w:rFonts w:ascii="Arial" w:hAnsi="Arial" w:cs="Arial"/>
          <w:color w:val="000000"/>
          <w:sz w:val="20"/>
        </w:rPr>
      </w:pPr>
      <w:r w:rsidRPr="003D5DFA">
        <w:rPr>
          <w:rFonts w:ascii="Arial" w:hAnsi="Arial" w:cs="Arial"/>
          <w:color w:val="000000"/>
          <w:sz w:val="20"/>
        </w:rPr>
        <w:t>“The Victorian Government should develop guidelines to assist the court, tribunal, or the independent children’s lawyer to determine whether the child is capable of giving direct instructions and to provide criteria by which the presumption of capacity can be rebutted.”</w:t>
      </w:r>
    </w:p>
    <w:p w14:paraId="201F60D1" w14:textId="77777777" w:rsidR="00BB0912" w:rsidRPr="003D5DFA" w:rsidRDefault="00EA0B1A" w:rsidP="009E5DAC">
      <w:pPr>
        <w:spacing w:before="120"/>
        <w:jc w:val="both"/>
        <w:rPr>
          <w:rFonts w:ascii="Arial" w:hAnsi="Arial" w:cs="Arial"/>
          <w:color w:val="000000"/>
          <w:sz w:val="20"/>
        </w:rPr>
      </w:pPr>
      <w:r w:rsidRPr="003D5DFA">
        <w:rPr>
          <w:rFonts w:ascii="Arial" w:hAnsi="Arial" w:cs="Arial"/>
          <w:color w:val="000000"/>
          <w:sz w:val="20"/>
        </w:rPr>
        <w:t>T</w:t>
      </w:r>
      <w:r w:rsidR="004C6AED" w:rsidRPr="003D5DFA">
        <w:rPr>
          <w:rFonts w:ascii="Arial" w:hAnsi="Arial" w:cs="Arial"/>
          <w:color w:val="000000"/>
          <w:sz w:val="20"/>
        </w:rPr>
        <w:t>he amendments to s</w:t>
      </w:r>
      <w:r w:rsidRPr="003D5DFA">
        <w:rPr>
          <w:rFonts w:ascii="Arial" w:hAnsi="Arial" w:cs="Arial"/>
          <w:color w:val="000000"/>
          <w:sz w:val="20"/>
        </w:rPr>
        <w:t>s</w:t>
      </w:r>
      <w:r w:rsidR="004C6AED" w:rsidRPr="003D5DFA">
        <w:rPr>
          <w:rFonts w:ascii="Arial" w:hAnsi="Arial" w:cs="Arial"/>
          <w:color w:val="000000"/>
          <w:sz w:val="20"/>
        </w:rPr>
        <w:t xml:space="preserve">.524 &amp; 525 </w:t>
      </w:r>
      <w:r w:rsidRPr="003D5DFA">
        <w:rPr>
          <w:rFonts w:ascii="Arial" w:hAnsi="Arial" w:cs="Arial"/>
          <w:color w:val="000000"/>
          <w:sz w:val="20"/>
        </w:rPr>
        <w:t xml:space="preserve">of the CYFA </w:t>
      </w:r>
      <w:r w:rsidR="004C6AED" w:rsidRPr="003D5DFA">
        <w:rPr>
          <w:rFonts w:ascii="Arial" w:hAnsi="Arial" w:cs="Arial"/>
          <w:color w:val="000000"/>
          <w:sz w:val="20"/>
        </w:rPr>
        <w:t xml:space="preserve">which came into operation on 27/03/2013 </w:t>
      </w:r>
      <w:r w:rsidR="00BB0912" w:rsidRPr="003D5DFA">
        <w:rPr>
          <w:rFonts w:ascii="Arial" w:hAnsi="Arial" w:cs="Arial"/>
          <w:color w:val="000000"/>
          <w:sz w:val="20"/>
        </w:rPr>
        <w:t xml:space="preserve">fly in the face of the central </w:t>
      </w:r>
      <w:r w:rsidR="00FB7EED" w:rsidRPr="003D5DFA">
        <w:rPr>
          <w:rFonts w:ascii="Arial" w:hAnsi="Arial" w:cs="Arial"/>
          <w:color w:val="000000"/>
          <w:sz w:val="20"/>
        </w:rPr>
        <w:t>aspects</w:t>
      </w:r>
      <w:r w:rsidR="00BB0912" w:rsidRPr="003D5DFA">
        <w:rPr>
          <w:rFonts w:ascii="Arial" w:hAnsi="Arial" w:cs="Arial"/>
          <w:color w:val="000000"/>
          <w:sz w:val="20"/>
        </w:rPr>
        <w:t xml:space="preserve"> of Recommendation 53, namely that all children in protection proceedings be both parties to the proceeding and be legally represented.  They also render Recommendation 54 otiose.</w:t>
      </w:r>
    </w:p>
    <w:p w14:paraId="6ED1E3C0" w14:textId="77777777" w:rsidR="009E5DAC" w:rsidRPr="003D5DFA" w:rsidRDefault="009E5DAC" w:rsidP="000B2C51">
      <w:pPr>
        <w:jc w:val="both"/>
        <w:rPr>
          <w:rFonts w:ascii="Arial" w:hAnsi="Arial" w:cs="Arial"/>
          <w:color w:val="000000"/>
          <w:sz w:val="20"/>
        </w:rPr>
      </w:pPr>
    </w:p>
    <w:p w14:paraId="051B34F0" w14:textId="77777777" w:rsidR="000B2C51" w:rsidRPr="003D5DFA" w:rsidRDefault="000B2C51" w:rsidP="004C6AED">
      <w:pPr>
        <w:pStyle w:val="Heading3"/>
        <w:keepNext/>
        <w:spacing w:after="120" w:line="240" w:lineRule="auto"/>
        <w:rPr>
          <w:rFonts w:ascii="Arial" w:hAnsi="Arial" w:cs="Arial"/>
          <w:b/>
          <w:bCs/>
          <w:color w:val="000000"/>
          <w:sz w:val="20"/>
        </w:rPr>
      </w:pPr>
      <w:bookmarkStart w:id="1098" w:name="_4.7.10_Representation_of"/>
      <w:bookmarkStart w:id="1099" w:name="B4710"/>
      <w:bookmarkEnd w:id="1098"/>
      <w:bookmarkEnd w:id="1099"/>
      <w:r w:rsidRPr="003D5DFA">
        <w:rPr>
          <w:rFonts w:ascii="Arial" w:hAnsi="Arial" w:cs="Arial"/>
          <w:b/>
          <w:bCs/>
          <w:color w:val="000000"/>
          <w:sz w:val="20"/>
        </w:rPr>
        <w:t>4.7.</w:t>
      </w:r>
      <w:r w:rsidR="00F45D7F" w:rsidRPr="003D5DFA">
        <w:rPr>
          <w:rFonts w:ascii="Arial" w:hAnsi="Arial" w:cs="Arial"/>
          <w:b/>
          <w:bCs/>
          <w:color w:val="000000"/>
          <w:sz w:val="20"/>
        </w:rPr>
        <w:t>1</w:t>
      </w:r>
      <w:r w:rsidR="009B3556" w:rsidRPr="003D5DFA">
        <w:rPr>
          <w:rFonts w:ascii="Arial" w:hAnsi="Arial" w:cs="Arial"/>
          <w:b/>
          <w:bCs/>
          <w:color w:val="000000"/>
          <w:sz w:val="20"/>
        </w:rPr>
        <w:t>0</w:t>
      </w:r>
      <w:r w:rsidRPr="003D5DFA">
        <w:rPr>
          <w:rFonts w:ascii="Arial" w:hAnsi="Arial" w:cs="Arial"/>
          <w:b/>
          <w:bCs/>
          <w:color w:val="000000"/>
          <w:sz w:val="20"/>
        </w:rPr>
        <w:tab/>
        <w:t>Representation of child who is not respondent or applicant under the FVPA</w:t>
      </w:r>
    </w:p>
    <w:p w14:paraId="7FCA9C26"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 xml:space="preserve">Section 62(1) of the </w:t>
      </w:r>
      <w:r w:rsidRPr="003D5DFA">
        <w:rPr>
          <w:rFonts w:ascii="Arial" w:hAnsi="Arial" w:cs="Arial"/>
          <w:color w:val="000000"/>
          <w:sz w:val="20"/>
          <w:u w:val="single"/>
        </w:rPr>
        <w:t>Family Violence Protection Act 2008 (Vic)</w:t>
      </w:r>
      <w:r w:rsidRPr="003D5DFA">
        <w:rPr>
          <w:rFonts w:ascii="Arial" w:hAnsi="Arial" w:cs="Arial"/>
          <w:color w:val="000000"/>
          <w:sz w:val="20"/>
        </w:rPr>
        <w:t xml:space="preserve"> (‘the FVPA’) provides that if an affected family member in a proceeding under the FVPA is a child and is not the applicant, the child may have legal representation only if the court, on its own initiative-</w:t>
      </w:r>
    </w:p>
    <w:p w14:paraId="1AD54A27" w14:textId="77777777" w:rsidR="000B2C51" w:rsidRPr="003D5DFA" w:rsidRDefault="000B2C51" w:rsidP="00EF5014">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considers it appropriate in all the circumstances of the case; and</w:t>
      </w:r>
    </w:p>
    <w:p w14:paraId="038A86D3"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gives leave for the child to be represented.</w:t>
      </w:r>
    </w:p>
    <w:p w14:paraId="7462F928" w14:textId="77777777" w:rsidR="000B2C51" w:rsidRPr="003D5DFA" w:rsidRDefault="000B2C51" w:rsidP="000B2C51">
      <w:pPr>
        <w:jc w:val="both"/>
        <w:rPr>
          <w:rFonts w:ascii="Arial" w:hAnsi="Arial" w:cs="Arial"/>
          <w:color w:val="000000"/>
          <w:sz w:val="20"/>
        </w:rPr>
      </w:pPr>
    </w:p>
    <w:p w14:paraId="13FD6FB1" w14:textId="77777777" w:rsidR="000B2C51" w:rsidRPr="003D5DFA" w:rsidRDefault="000B2C51" w:rsidP="000B2C51">
      <w:pPr>
        <w:tabs>
          <w:tab w:val="left" w:pos="454"/>
        </w:tabs>
        <w:jc w:val="both"/>
        <w:rPr>
          <w:rFonts w:ascii="Arial" w:hAnsi="Arial" w:cs="Arial"/>
          <w:color w:val="000000"/>
          <w:sz w:val="20"/>
        </w:rPr>
      </w:pPr>
      <w:r w:rsidRPr="003D5DFA">
        <w:rPr>
          <w:rFonts w:ascii="Arial" w:hAnsi="Arial" w:cs="Arial"/>
          <w:color w:val="000000"/>
          <w:sz w:val="20"/>
        </w:rPr>
        <w:t>Section 62(2) of the FVPA provides that in deciding whether to grant such leave, the court must have regard to-</w:t>
      </w:r>
    </w:p>
    <w:p w14:paraId="7CB28C06"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(a)</w:t>
      </w:r>
      <w:r w:rsidRPr="003D5DFA">
        <w:rPr>
          <w:rFonts w:ascii="Arial" w:hAnsi="Arial" w:cs="Arial"/>
          <w:color w:val="000000"/>
          <w:sz w:val="20"/>
        </w:rPr>
        <w:tab/>
        <w:t>the desirability of protecting children from unnecessary exposure to the court system; and</w:t>
      </w:r>
    </w:p>
    <w:p w14:paraId="68B2C142" w14:textId="77777777" w:rsidR="000B2C51" w:rsidRPr="003D5DFA" w:rsidRDefault="000B2C51" w:rsidP="000B2C51">
      <w:pPr>
        <w:tabs>
          <w:tab w:val="left" w:pos="454"/>
        </w:tabs>
        <w:ind w:left="454" w:hanging="454"/>
        <w:jc w:val="both"/>
        <w:rPr>
          <w:rFonts w:ascii="Arial" w:hAnsi="Arial" w:cs="Arial"/>
          <w:color w:val="000000"/>
          <w:sz w:val="20"/>
        </w:rPr>
      </w:pPr>
      <w:r w:rsidRPr="003D5DFA">
        <w:rPr>
          <w:rFonts w:ascii="Arial" w:hAnsi="Arial" w:cs="Arial"/>
          <w:color w:val="000000"/>
          <w:sz w:val="20"/>
        </w:rPr>
        <w:t>(b)</w:t>
      </w:r>
      <w:r w:rsidRPr="003D5DFA">
        <w:rPr>
          <w:rFonts w:ascii="Arial" w:hAnsi="Arial" w:cs="Arial"/>
          <w:color w:val="000000"/>
          <w:sz w:val="20"/>
        </w:rPr>
        <w:tab/>
        <w:t>the harm that could occur to the child and to family relationships if the child is directly represented in the proceeding.</w:t>
      </w:r>
    </w:p>
    <w:p w14:paraId="2CACDD37" w14:textId="77777777" w:rsidR="000B2C51" w:rsidRPr="003D5DFA" w:rsidRDefault="000B2C51" w:rsidP="000B2C51">
      <w:pPr>
        <w:jc w:val="both"/>
        <w:rPr>
          <w:rFonts w:ascii="Arial" w:hAnsi="Arial" w:cs="Arial"/>
          <w:color w:val="000000"/>
          <w:sz w:val="20"/>
        </w:rPr>
      </w:pPr>
    </w:p>
    <w:p w14:paraId="7EAF5175" w14:textId="77777777" w:rsidR="000B2C51" w:rsidRPr="003D5DFA" w:rsidRDefault="000B2C51" w:rsidP="000B2C51">
      <w:pPr>
        <w:jc w:val="both"/>
        <w:rPr>
          <w:rFonts w:ascii="Arial" w:hAnsi="Arial" w:cs="Arial"/>
          <w:color w:val="000000"/>
          <w:sz w:val="20"/>
        </w:rPr>
      </w:pPr>
      <w:r w:rsidRPr="003D5DFA">
        <w:rPr>
          <w:rFonts w:ascii="Arial" w:hAnsi="Arial" w:cs="Arial"/>
          <w:color w:val="000000"/>
          <w:sz w:val="20"/>
        </w:rPr>
        <w:t>In relation to the representation of children in applications under the FVPA heard in the Children’s Court, it thus appears that there is-</w:t>
      </w:r>
    </w:p>
    <w:p w14:paraId="26D4E479"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lastRenderedPageBreak/>
        <w:t>a conflict in policy between s.524 of the CYFA and s.62 of the FVPA even though an intervention order proceeding is not one of the proceedings listed in s.525(1) of the CYFA for which it is mandatory that a child be represented; and</w:t>
      </w:r>
    </w:p>
    <w:p w14:paraId="504DD03F" w14:textId="77777777" w:rsidR="000B2C51" w:rsidRPr="003D5DFA" w:rsidRDefault="000B2C51" w:rsidP="00BA6FBE">
      <w:pPr>
        <w:numPr>
          <w:ilvl w:val="0"/>
          <w:numId w:val="7"/>
        </w:numPr>
        <w:jc w:val="both"/>
        <w:rPr>
          <w:rFonts w:ascii="Arial" w:hAnsi="Arial" w:cs="Arial"/>
          <w:color w:val="000000"/>
          <w:sz w:val="20"/>
        </w:rPr>
      </w:pPr>
      <w:r w:rsidRPr="003D5DFA">
        <w:rPr>
          <w:rFonts w:ascii="Arial" w:hAnsi="Arial" w:cs="Arial"/>
          <w:color w:val="000000"/>
          <w:sz w:val="20"/>
        </w:rPr>
        <w:t>a patent inconsistency where a child is neither the applicant nor the respondent.</w:t>
      </w:r>
    </w:p>
    <w:p w14:paraId="543AD601" w14:textId="09480E6B" w:rsidR="00DF3289" w:rsidRPr="003D5DFA" w:rsidRDefault="000B2C51" w:rsidP="00DF3289">
      <w:pPr>
        <w:jc w:val="both"/>
        <w:rPr>
          <w:rFonts w:ascii="Arial" w:hAnsi="Arial" w:cs="Arial"/>
          <w:color w:val="000000"/>
        </w:rPr>
      </w:pPr>
      <w:r w:rsidRPr="003D5DFA">
        <w:rPr>
          <w:rFonts w:ascii="Arial" w:hAnsi="Arial" w:cs="Arial"/>
          <w:color w:val="000000"/>
          <w:sz w:val="20"/>
        </w:rPr>
        <w:t>To the extent of any inconsistency, it is the writer’s view that s.62, being the later enactment, prevails.</w:t>
      </w:r>
    </w:p>
    <w:p w14:paraId="1512760C" w14:textId="77777777" w:rsidR="000B2C51" w:rsidRPr="003D5DFA" w:rsidRDefault="000B2C51" w:rsidP="000B2C51">
      <w:pPr>
        <w:jc w:val="both"/>
        <w:rPr>
          <w:rFonts w:ascii="Arial" w:hAnsi="Arial" w:cs="Arial"/>
          <w:color w:val="000000"/>
        </w:rPr>
      </w:pPr>
    </w:p>
    <w:p w14:paraId="004767E1" w14:textId="77777777" w:rsidR="00693223" w:rsidRPr="003D5DFA" w:rsidRDefault="00693223">
      <w:pPr>
        <w:pStyle w:val="Heading2"/>
        <w:tabs>
          <w:tab w:val="left" w:pos="567"/>
        </w:tabs>
        <w:spacing w:line="240" w:lineRule="auto"/>
        <w:rPr>
          <w:rFonts w:ascii="Arial" w:hAnsi="Arial" w:cs="Arial"/>
          <w:b/>
          <w:bCs/>
          <w:color w:val="000000"/>
        </w:rPr>
      </w:pPr>
      <w:bookmarkStart w:id="1100" w:name="_4.8_Conduct_of"/>
      <w:bookmarkStart w:id="1101" w:name="B48"/>
      <w:bookmarkEnd w:id="1100"/>
      <w:bookmarkEnd w:id="1101"/>
      <w:r w:rsidRPr="003D5DFA">
        <w:rPr>
          <w:rFonts w:ascii="Arial" w:hAnsi="Arial" w:cs="Arial"/>
          <w:b/>
          <w:bCs/>
          <w:color w:val="000000"/>
        </w:rPr>
        <w:t>4.8</w:t>
      </w:r>
      <w:r w:rsidRPr="003D5DFA">
        <w:rPr>
          <w:rFonts w:ascii="Arial" w:hAnsi="Arial" w:cs="Arial"/>
          <w:b/>
          <w:bCs/>
          <w:color w:val="000000"/>
        </w:rPr>
        <w:tab/>
        <w:t>Conduct of proceedings in Family Division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E68DB15" w14:textId="77777777" w:rsidR="00693223" w:rsidRPr="003D5DFA" w:rsidRDefault="00693223">
      <w:pPr>
        <w:jc w:val="both"/>
        <w:rPr>
          <w:rFonts w:ascii="Arial" w:hAnsi="Arial" w:cs="Arial"/>
          <w:color w:val="000000"/>
        </w:rPr>
      </w:pPr>
      <w:bookmarkStart w:id="1102" w:name="_Toc30654118"/>
      <w:bookmarkStart w:id="1103" w:name="_Toc30654469"/>
      <w:bookmarkStart w:id="1104" w:name="_Toc30655088"/>
      <w:bookmarkStart w:id="1105" w:name="_Toc30655345"/>
      <w:bookmarkStart w:id="1106" w:name="_Toc30657023"/>
      <w:bookmarkStart w:id="1107" w:name="_Toc30661772"/>
      <w:bookmarkStart w:id="1108" w:name="_Toc30666460"/>
      <w:bookmarkStart w:id="1109" w:name="_Toc30666690"/>
      <w:bookmarkStart w:id="1110" w:name="_Toc30667865"/>
      <w:bookmarkStart w:id="1111" w:name="_Toc30669243"/>
      <w:bookmarkStart w:id="1112" w:name="_Toc30671459"/>
      <w:bookmarkStart w:id="1113" w:name="_Toc30673986"/>
      <w:bookmarkStart w:id="1114" w:name="_Toc30691208"/>
      <w:bookmarkStart w:id="1115" w:name="_Toc30691581"/>
      <w:bookmarkStart w:id="1116" w:name="_Toc30691961"/>
      <w:bookmarkStart w:id="1117" w:name="_Toc30692720"/>
      <w:bookmarkStart w:id="1118" w:name="_Toc30693099"/>
      <w:bookmarkStart w:id="1119" w:name="_Toc30693477"/>
      <w:bookmarkStart w:id="1120" w:name="_Toc30693855"/>
      <w:bookmarkStart w:id="1121" w:name="_Toc30694236"/>
      <w:bookmarkStart w:id="1122" w:name="_Toc30698825"/>
      <w:bookmarkStart w:id="1123" w:name="_Toc30699203"/>
      <w:bookmarkStart w:id="1124" w:name="_Toc30699588"/>
      <w:bookmarkStart w:id="1125" w:name="_Toc30700743"/>
      <w:bookmarkStart w:id="1126" w:name="_Toc30701130"/>
      <w:bookmarkStart w:id="1127" w:name="_Toc30743739"/>
      <w:bookmarkStart w:id="1128" w:name="_Toc30754562"/>
      <w:bookmarkStart w:id="1129" w:name="_Toc30757002"/>
      <w:bookmarkStart w:id="1130" w:name="_Toc30757551"/>
      <w:bookmarkStart w:id="1131" w:name="_Toc30757951"/>
      <w:bookmarkStart w:id="1132" w:name="_Toc30762712"/>
      <w:bookmarkStart w:id="1133" w:name="_Toc30767366"/>
      <w:bookmarkStart w:id="1134" w:name="_Toc34823381"/>
    </w:p>
    <w:p w14:paraId="27A9A540" w14:textId="77777777" w:rsidR="00693223" w:rsidRPr="003D5DFA" w:rsidRDefault="00693223">
      <w:pPr>
        <w:pStyle w:val="Heading3"/>
        <w:spacing w:after="120" w:line="240" w:lineRule="auto"/>
        <w:rPr>
          <w:rFonts w:ascii="Arial" w:hAnsi="Arial" w:cs="Arial"/>
          <w:color w:val="000000"/>
          <w:sz w:val="16"/>
        </w:rPr>
      </w:pPr>
      <w:bookmarkStart w:id="1135" w:name="_4.8.1_Informal_procedure"/>
      <w:bookmarkStart w:id="1136" w:name="B481"/>
      <w:bookmarkEnd w:id="1135"/>
      <w:bookmarkEnd w:id="1136"/>
      <w:r w:rsidRPr="003D5DFA">
        <w:rPr>
          <w:rFonts w:ascii="Arial" w:hAnsi="Arial" w:cs="Arial"/>
          <w:b/>
          <w:bCs/>
          <w:color w:val="000000"/>
          <w:sz w:val="20"/>
        </w:rPr>
        <w:t>4.8.1</w:t>
      </w:r>
      <w:r w:rsidRPr="003D5DFA">
        <w:rPr>
          <w:rFonts w:ascii="Arial" w:hAnsi="Arial" w:cs="Arial"/>
          <w:b/>
          <w:bCs/>
          <w:color w:val="000000"/>
          <w:sz w:val="20"/>
        </w:rPr>
        <w:tab/>
        <w:t>Informal</w:t>
      </w:r>
      <w:bookmarkEnd w:id="1102"/>
      <w:r w:rsidRPr="003D5DFA">
        <w:rPr>
          <w:rFonts w:ascii="Arial" w:hAnsi="Arial" w:cs="Arial"/>
          <w:b/>
          <w:bCs/>
          <w:color w:val="000000"/>
          <w:sz w:val="20"/>
        </w:rPr>
        <w:t xml:space="preserve"> procedure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2354A57" w14:textId="77777777" w:rsidR="00693223" w:rsidRPr="003D5DFA" w:rsidRDefault="00693223">
      <w:pPr>
        <w:jc w:val="both"/>
        <w:rPr>
          <w:rFonts w:ascii="Arial" w:hAnsi="Arial" w:cs="Arial"/>
          <w:color w:val="000000"/>
          <w:sz w:val="20"/>
        </w:rPr>
      </w:pPr>
      <w:r w:rsidRPr="003D5DFA">
        <w:rPr>
          <w:rFonts w:ascii="Arial" w:hAnsi="Arial" w:cs="Arial"/>
          <w:color w:val="000000"/>
          <w:sz w:val="20"/>
        </w:rPr>
        <w:t>In addition to-</w:t>
      </w:r>
    </w:p>
    <w:p w14:paraId="4171A706" w14:textId="77777777" w:rsidR="00693223" w:rsidRPr="003D5DFA" w:rsidRDefault="00693223" w:rsidP="00BA6FBE">
      <w:pPr>
        <w:numPr>
          <w:ilvl w:val="0"/>
          <w:numId w:val="8"/>
        </w:numPr>
        <w:jc w:val="both"/>
        <w:rPr>
          <w:rFonts w:ascii="Arial" w:hAnsi="Arial" w:cs="Arial"/>
          <w:color w:val="000000"/>
          <w:sz w:val="20"/>
        </w:rPr>
      </w:pPr>
      <w:r w:rsidRPr="003D5DFA">
        <w:rPr>
          <w:rFonts w:ascii="Arial" w:hAnsi="Arial" w:cs="Arial"/>
          <w:color w:val="000000"/>
          <w:sz w:val="20"/>
        </w:rPr>
        <w:t xml:space="preserve">following the </w:t>
      </w:r>
      <w:r w:rsidR="00BD26FA" w:rsidRPr="003D5DFA">
        <w:rPr>
          <w:rFonts w:ascii="Arial" w:hAnsi="Arial" w:cs="Arial"/>
          <w:color w:val="000000"/>
          <w:sz w:val="20"/>
        </w:rPr>
        <w:t>p</w:t>
      </w:r>
      <w:r w:rsidRPr="003D5DFA">
        <w:rPr>
          <w:rFonts w:ascii="Arial" w:hAnsi="Arial" w:cs="Arial"/>
          <w:color w:val="000000"/>
          <w:sz w:val="20"/>
        </w:rPr>
        <w:t>roced</w:t>
      </w:r>
      <w:r w:rsidR="00BD26FA" w:rsidRPr="003D5DFA">
        <w:rPr>
          <w:rFonts w:ascii="Arial" w:hAnsi="Arial" w:cs="Arial"/>
          <w:color w:val="000000"/>
          <w:sz w:val="20"/>
        </w:rPr>
        <w:t>ural guidelines set out in s.522</w:t>
      </w:r>
      <w:r w:rsidRPr="003D5DFA">
        <w:rPr>
          <w:rFonts w:ascii="Arial" w:hAnsi="Arial" w:cs="Arial"/>
          <w:color w:val="000000"/>
          <w:sz w:val="20"/>
        </w:rPr>
        <w:t xml:space="preserve"> of the CY</w:t>
      </w:r>
      <w:r w:rsidR="00BD26FA" w:rsidRPr="003D5DFA">
        <w:rPr>
          <w:rFonts w:ascii="Arial" w:hAnsi="Arial" w:cs="Arial"/>
          <w:color w:val="000000"/>
          <w:sz w:val="20"/>
        </w:rPr>
        <w:t>F</w:t>
      </w:r>
      <w:r w:rsidRPr="003D5DFA">
        <w:rPr>
          <w:rFonts w:ascii="Arial" w:hAnsi="Arial" w:cs="Arial"/>
          <w:color w:val="000000"/>
          <w:sz w:val="20"/>
        </w:rPr>
        <w:t>A; and</w:t>
      </w:r>
    </w:p>
    <w:p w14:paraId="40216C98" w14:textId="77777777" w:rsidR="00693223" w:rsidRPr="003D5DFA" w:rsidRDefault="00BD26FA" w:rsidP="00BA6FBE">
      <w:pPr>
        <w:numPr>
          <w:ilvl w:val="0"/>
          <w:numId w:val="8"/>
        </w:numPr>
        <w:jc w:val="both"/>
        <w:rPr>
          <w:rFonts w:ascii="Arial" w:hAnsi="Arial" w:cs="Arial"/>
          <w:color w:val="000000"/>
          <w:sz w:val="20"/>
        </w:rPr>
      </w:pPr>
      <w:r w:rsidRPr="003D5DFA">
        <w:rPr>
          <w:rFonts w:ascii="Arial" w:hAnsi="Arial" w:cs="Arial"/>
          <w:color w:val="000000"/>
          <w:sz w:val="20"/>
        </w:rPr>
        <w:t>giving a plain and simple e</w:t>
      </w:r>
      <w:r w:rsidR="00693223" w:rsidRPr="003D5DFA">
        <w:rPr>
          <w:rFonts w:ascii="Arial" w:hAnsi="Arial" w:cs="Arial"/>
          <w:color w:val="000000"/>
          <w:sz w:val="20"/>
        </w:rPr>
        <w:t>xplanation of and reasons for orders as required by s.</w:t>
      </w:r>
      <w:r w:rsidRPr="003D5DFA">
        <w:rPr>
          <w:rFonts w:ascii="Arial" w:hAnsi="Arial" w:cs="Arial"/>
          <w:color w:val="000000"/>
          <w:sz w:val="20"/>
        </w:rPr>
        <w:t>527</w:t>
      </w:r>
      <w:r w:rsidR="00693223" w:rsidRPr="003D5DFA">
        <w:rPr>
          <w:rFonts w:ascii="Arial" w:hAnsi="Arial" w:cs="Arial"/>
          <w:color w:val="000000"/>
          <w:sz w:val="20"/>
        </w:rPr>
        <w:t>-</w:t>
      </w:r>
    </w:p>
    <w:p w14:paraId="5D4FCDC5" w14:textId="77777777" w:rsidR="00965A23" w:rsidRDefault="00693223">
      <w:pPr>
        <w:ind w:left="60"/>
        <w:jc w:val="both"/>
        <w:rPr>
          <w:rFonts w:ascii="Arial" w:hAnsi="Arial" w:cs="Arial"/>
          <w:sz w:val="20"/>
          <w:szCs w:val="20"/>
        </w:rPr>
      </w:pPr>
      <w:r w:rsidRPr="003D5DFA">
        <w:rPr>
          <w:rFonts w:ascii="Arial" w:hAnsi="Arial" w:cs="Arial"/>
          <w:color w:val="000000"/>
          <w:sz w:val="20"/>
          <w:szCs w:val="20"/>
        </w:rPr>
        <w:t>a judicial officer hearing a proceeding in the Family Division of the Court is required to conduct the proceeding in an informal manner and without regard to legal forms: ss.</w:t>
      </w:r>
      <w:r w:rsidR="00BD26FA" w:rsidRPr="003D5DFA">
        <w:rPr>
          <w:rFonts w:ascii="Arial" w:hAnsi="Arial" w:cs="Arial"/>
          <w:color w:val="000000"/>
          <w:sz w:val="20"/>
          <w:szCs w:val="20"/>
        </w:rPr>
        <w:t>215</w:t>
      </w:r>
      <w:r w:rsidRPr="003D5DFA">
        <w:rPr>
          <w:rFonts w:ascii="Arial" w:hAnsi="Arial" w:cs="Arial"/>
          <w:color w:val="000000"/>
          <w:sz w:val="20"/>
          <w:szCs w:val="20"/>
        </w:rPr>
        <w:t>(1)(a)</w:t>
      </w:r>
      <w:r w:rsidRPr="00EE4465">
        <w:rPr>
          <w:rFonts w:ascii="Arial" w:hAnsi="Arial" w:cs="Arial"/>
          <w:sz w:val="20"/>
          <w:szCs w:val="20"/>
        </w:rPr>
        <w:t xml:space="preserve"> &amp; </w:t>
      </w:r>
      <w:r w:rsidR="00A5281F" w:rsidRPr="00EE4465">
        <w:rPr>
          <w:rFonts w:ascii="Arial" w:hAnsi="Arial" w:cs="Arial"/>
          <w:sz w:val="20"/>
          <w:szCs w:val="20"/>
        </w:rPr>
        <w:t>215</w:t>
      </w:r>
      <w:r w:rsidRPr="00EE4465">
        <w:rPr>
          <w:rFonts w:ascii="Arial" w:hAnsi="Arial" w:cs="Arial"/>
          <w:sz w:val="20"/>
          <w:szCs w:val="20"/>
        </w:rPr>
        <w:t>(1)(b) of the CY</w:t>
      </w:r>
      <w:r w:rsidR="00BD26FA" w:rsidRPr="00EE4465">
        <w:rPr>
          <w:rFonts w:ascii="Arial" w:hAnsi="Arial" w:cs="Arial"/>
          <w:sz w:val="20"/>
          <w:szCs w:val="20"/>
        </w:rPr>
        <w:t>F</w:t>
      </w:r>
      <w:r w:rsidRPr="00EE4465">
        <w:rPr>
          <w:rFonts w:ascii="Arial" w:hAnsi="Arial" w:cs="Arial"/>
          <w:sz w:val="20"/>
          <w:szCs w:val="20"/>
        </w:rPr>
        <w:t>A.</w:t>
      </w:r>
      <w:r w:rsidR="005C0020" w:rsidRPr="00EE4465">
        <w:rPr>
          <w:rFonts w:ascii="Arial" w:hAnsi="Arial" w:cs="Arial"/>
          <w:sz w:val="20"/>
          <w:szCs w:val="20"/>
        </w:rPr>
        <w:t xml:space="preserve">  </w:t>
      </w:r>
      <w:r w:rsidR="00EE4465">
        <w:rPr>
          <w:rFonts w:ascii="Arial" w:hAnsi="Arial" w:cs="Arial"/>
          <w:sz w:val="20"/>
          <w:szCs w:val="20"/>
        </w:rPr>
        <w:t>However, t</w:t>
      </w:r>
      <w:r w:rsidR="005C0020" w:rsidRPr="00EE4465">
        <w:rPr>
          <w:rFonts w:ascii="Arial" w:hAnsi="Arial" w:cs="Arial"/>
          <w:sz w:val="20"/>
          <w:szCs w:val="20"/>
        </w:rPr>
        <w:t>hese broad sounding provisions do not</w:t>
      </w:r>
      <w:r w:rsidR="00EE4465">
        <w:rPr>
          <w:rFonts w:ascii="Arial" w:hAnsi="Arial" w:cs="Arial"/>
          <w:sz w:val="20"/>
          <w:szCs w:val="20"/>
        </w:rPr>
        <w:t xml:space="preserve"> </w:t>
      </w:r>
      <w:r w:rsidR="005C0020" w:rsidRPr="00EE4465">
        <w:rPr>
          <w:rFonts w:ascii="Arial" w:hAnsi="Arial" w:cs="Arial"/>
          <w:sz w:val="20"/>
          <w:szCs w:val="20"/>
        </w:rPr>
        <w:t xml:space="preserve">authorize a judicial officer to depart from the procedures followed by courts acting judicially.  They do not authorize the application of ‘palm tree justice’.  See </w:t>
      </w:r>
      <w:r w:rsidR="00287157" w:rsidRPr="00EE4465">
        <w:rPr>
          <w:rFonts w:ascii="Arial" w:hAnsi="Arial" w:cs="Arial"/>
          <w:i/>
          <w:sz w:val="20"/>
          <w:szCs w:val="20"/>
        </w:rPr>
        <w:t>DOHS v Ms B &amp; Mr G</w:t>
      </w:r>
      <w:r w:rsidR="00287157" w:rsidRPr="00EE4465">
        <w:rPr>
          <w:rFonts w:ascii="Arial" w:hAnsi="Arial" w:cs="Arial"/>
          <w:sz w:val="20"/>
          <w:szCs w:val="20"/>
        </w:rPr>
        <w:t xml:space="preserve"> [2008</w:t>
      </w:r>
      <w:r w:rsidR="00965A23">
        <w:rPr>
          <w:rFonts w:ascii="Arial" w:hAnsi="Arial" w:cs="Arial"/>
          <w:sz w:val="20"/>
          <w:szCs w:val="20"/>
        </w:rPr>
        <w:t xml:space="preserve">] </w:t>
      </w:r>
      <w:r w:rsidR="00C74768">
        <w:rPr>
          <w:rFonts w:ascii="Arial" w:hAnsi="Arial" w:cs="Arial"/>
          <w:sz w:val="20"/>
          <w:szCs w:val="20"/>
        </w:rPr>
        <w:t xml:space="preserve">VChC 1 </w:t>
      </w:r>
      <w:r w:rsidR="00965A23">
        <w:rPr>
          <w:rFonts w:ascii="Arial" w:hAnsi="Arial" w:cs="Arial"/>
          <w:sz w:val="20"/>
          <w:szCs w:val="20"/>
        </w:rPr>
        <w:t>at</w:t>
      </w:r>
      <w:r w:rsidR="000F6283" w:rsidRPr="00EE4465">
        <w:rPr>
          <w:rFonts w:ascii="Arial" w:hAnsi="Arial" w:cs="Arial"/>
          <w:sz w:val="20"/>
          <w:szCs w:val="20"/>
        </w:rPr>
        <w:t xml:space="preserve"> pp.</w:t>
      </w:r>
      <w:r w:rsidR="00965A23">
        <w:rPr>
          <w:rFonts w:ascii="Arial" w:hAnsi="Arial" w:cs="Arial"/>
          <w:sz w:val="20"/>
          <w:szCs w:val="20"/>
        </w:rPr>
        <w:t>27-28</w:t>
      </w:r>
      <w:r w:rsidR="00287157" w:rsidRPr="00EE4465">
        <w:rPr>
          <w:rFonts w:ascii="Arial" w:hAnsi="Arial" w:cs="Arial"/>
          <w:sz w:val="20"/>
          <w:szCs w:val="20"/>
        </w:rPr>
        <w:t xml:space="preserve"> and see the discussion in </w:t>
      </w:r>
      <w:r w:rsidR="006054BD" w:rsidRPr="00A40A28">
        <w:rPr>
          <w:rFonts w:ascii="Arial" w:hAnsi="Arial" w:cs="Arial"/>
          <w:b/>
          <w:bCs/>
          <w:sz w:val="20"/>
          <w:szCs w:val="20"/>
          <w:shd w:val="clear" w:color="auto" w:fill="C5E0B3"/>
        </w:rPr>
        <w:t>section 3.5.6</w:t>
      </w:r>
      <w:r w:rsidR="006054BD">
        <w:rPr>
          <w:rFonts w:ascii="Arial" w:hAnsi="Arial" w:cs="Arial"/>
          <w:sz w:val="20"/>
          <w:szCs w:val="20"/>
        </w:rPr>
        <w:t xml:space="preserve"> of these Research Materials</w:t>
      </w:r>
      <w:r w:rsidR="00287157" w:rsidRPr="00EE4465">
        <w:rPr>
          <w:rFonts w:ascii="Arial" w:hAnsi="Arial" w:cs="Arial"/>
          <w:sz w:val="20"/>
          <w:szCs w:val="20"/>
        </w:rPr>
        <w:t>.</w:t>
      </w:r>
    </w:p>
    <w:p w14:paraId="5995F481" w14:textId="77777777" w:rsidR="00965A23" w:rsidRDefault="00965A23">
      <w:pPr>
        <w:ind w:left="60"/>
        <w:jc w:val="both"/>
        <w:rPr>
          <w:rFonts w:ascii="Arial" w:hAnsi="Arial" w:cs="Arial"/>
          <w:sz w:val="20"/>
          <w:szCs w:val="20"/>
        </w:rPr>
      </w:pPr>
    </w:p>
    <w:p w14:paraId="68D1CEF4" w14:textId="28B47423" w:rsidR="00595EDE" w:rsidRDefault="003D4BCE" w:rsidP="003D4BCE">
      <w:pPr>
        <w:tabs>
          <w:tab w:val="left" w:pos="363"/>
        </w:tabs>
        <w:spacing w:before="60"/>
        <w:jc w:val="both"/>
        <w:rPr>
          <w:rFonts w:ascii="Arial" w:hAnsi="Arial" w:cs="Arial"/>
          <w:sz w:val="20"/>
          <w:szCs w:val="20"/>
        </w:rPr>
      </w:pPr>
      <w:r>
        <w:rPr>
          <w:rFonts w:ascii="Arial" w:hAnsi="Arial" w:cs="Arial"/>
          <w:color w:val="000000"/>
          <w:sz w:val="20"/>
        </w:rPr>
        <w:t>As from 01/12/2013 s.215B of the CYFA</w:t>
      </w:r>
      <w:r w:rsidRPr="003D4BCE">
        <w:rPr>
          <w:rFonts w:ascii="Arial" w:hAnsi="Arial" w:cs="Arial"/>
          <w:color w:val="000000"/>
          <w:sz w:val="20"/>
        </w:rPr>
        <w:t xml:space="preserve"> gives judicial officers much greater power to manage the conduct of </w:t>
      </w:r>
      <w:r w:rsidR="00713DC8">
        <w:rPr>
          <w:rFonts w:ascii="Arial" w:hAnsi="Arial" w:cs="Arial"/>
          <w:color w:val="000000"/>
          <w:sz w:val="20"/>
        </w:rPr>
        <w:t>child protection</w:t>
      </w:r>
      <w:r w:rsidRPr="003D4BCE">
        <w:rPr>
          <w:rFonts w:ascii="Arial" w:hAnsi="Arial" w:cs="Arial"/>
          <w:color w:val="000000"/>
          <w:sz w:val="20"/>
        </w:rPr>
        <w:t xml:space="preserve"> proceedings</w:t>
      </w:r>
      <w:r>
        <w:rPr>
          <w:rFonts w:ascii="Arial" w:hAnsi="Arial" w:cs="Arial"/>
          <w:color w:val="000000"/>
          <w:sz w:val="20"/>
        </w:rPr>
        <w:t xml:space="preserve"> in a less adversarial way.  </w:t>
      </w:r>
      <w:r w:rsidRPr="003D4BCE">
        <w:rPr>
          <w:rFonts w:ascii="Arial" w:hAnsi="Arial" w:cs="Arial"/>
          <w:color w:val="000000"/>
          <w:sz w:val="20"/>
          <w:szCs w:val="20"/>
        </w:rPr>
        <w:t xml:space="preserve">The </w:t>
      </w:r>
      <w:r w:rsidRPr="003D4BCE">
        <w:rPr>
          <w:rFonts w:ascii="Arial" w:hAnsi="Arial" w:cs="Arial"/>
          <w:sz w:val="20"/>
          <w:szCs w:val="20"/>
        </w:rPr>
        <w:t xml:space="preserve">heading of s.215B is </w:t>
      </w:r>
      <w:r w:rsidRPr="006D5EC2">
        <w:rPr>
          <w:rFonts w:ascii="Arial" w:hAnsi="Arial" w:cs="Arial"/>
          <w:sz w:val="20"/>
          <w:szCs w:val="20"/>
        </w:rPr>
        <w:t xml:space="preserve">“Management of </w:t>
      </w:r>
      <w:r w:rsidR="005832E7" w:rsidRPr="006D5EC2">
        <w:rPr>
          <w:rFonts w:ascii="Arial" w:hAnsi="Arial" w:cs="Arial"/>
          <w:sz w:val="20"/>
          <w:szCs w:val="20"/>
        </w:rPr>
        <w:t>child protection proceedings”</w:t>
      </w:r>
      <w:r w:rsidR="005832E7">
        <w:rPr>
          <w:rFonts w:ascii="Arial" w:hAnsi="Arial" w:cs="Arial"/>
          <w:sz w:val="20"/>
          <w:szCs w:val="20"/>
        </w:rPr>
        <w:t xml:space="preserve"> </w:t>
      </w:r>
      <w:r w:rsidR="006054BD">
        <w:rPr>
          <w:rFonts w:ascii="Arial" w:hAnsi="Arial" w:cs="Arial"/>
          <w:sz w:val="20"/>
          <w:szCs w:val="20"/>
        </w:rPr>
        <w:t>but</w:t>
      </w:r>
      <w:r w:rsidR="005832E7">
        <w:rPr>
          <w:rFonts w:ascii="Arial" w:hAnsi="Arial" w:cs="Arial"/>
          <w:sz w:val="20"/>
          <w:szCs w:val="20"/>
        </w:rPr>
        <w:t xml:space="preserve"> the section refers to “any proceeding before the Family Division </w:t>
      </w:r>
      <w:r w:rsidR="005832E7" w:rsidRPr="006D5EC2">
        <w:rPr>
          <w:rFonts w:ascii="Arial" w:hAnsi="Arial" w:cs="Arial"/>
          <w:sz w:val="20"/>
          <w:szCs w:val="20"/>
        </w:rPr>
        <w:t>under this Act”</w:t>
      </w:r>
      <w:r w:rsidR="005832E7">
        <w:rPr>
          <w:rFonts w:ascii="Arial" w:hAnsi="Arial" w:cs="Arial"/>
          <w:sz w:val="20"/>
          <w:szCs w:val="20"/>
        </w:rPr>
        <w:t xml:space="preserve">.  Although the wording </w:t>
      </w:r>
      <w:r w:rsidR="00A8112F">
        <w:rPr>
          <w:rFonts w:ascii="Arial" w:hAnsi="Arial" w:cs="Arial"/>
          <w:sz w:val="20"/>
          <w:szCs w:val="20"/>
        </w:rPr>
        <w:t xml:space="preserve">of </w:t>
      </w:r>
      <w:r w:rsidR="0093104F">
        <w:rPr>
          <w:rFonts w:ascii="Arial" w:hAnsi="Arial" w:cs="Arial"/>
          <w:sz w:val="20"/>
          <w:szCs w:val="20"/>
        </w:rPr>
        <w:t>s.215B</w:t>
      </w:r>
      <w:r w:rsidR="00A8112F">
        <w:rPr>
          <w:rFonts w:ascii="Arial" w:hAnsi="Arial" w:cs="Arial"/>
          <w:sz w:val="20"/>
          <w:szCs w:val="20"/>
        </w:rPr>
        <w:t xml:space="preserve"> </w:t>
      </w:r>
      <w:r w:rsidR="005832E7">
        <w:rPr>
          <w:rFonts w:ascii="Arial" w:hAnsi="Arial" w:cs="Arial"/>
          <w:sz w:val="20"/>
          <w:szCs w:val="20"/>
        </w:rPr>
        <w:t xml:space="preserve">is ambiguous, the writer has been advised that </w:t>
      </w:r>
      <w:r w:rsidR="0093104F">
        <w:rPr>
          <w:rFonts w:ascii="Arial" w:hAnsi="Arial" w:cs="Arial"/>
          <w:sz w:val="20"/>
          <w:szCs w:val="20"/>
        </w:rPr>
        <w:t>it</w:t>
      </w:r>
      <w:r w:rsidR="005832E7">
        <w:rPr>
          <w:rFonts w:ascii="Arial" w:hAnsi="Arial" w:cs="Arial"/>
          <w:sz w:val="20"/>
          <w:szCs w:val="20"/>
        </w:rPr>
        <w:t xml:space="preserve"> was intended to be read within the context of the section heading which restricts its operation to child protection p</w:t>
      </w:r>
      <w:r w:rsidR="00713DC8">
        <w:rPr>
          <w:rFonts w:ascii="Arial" w:hAnsi="Arial" w:cs="Arial"/>
          <w:sz w:val="20"/>
          <w:szCs w:val="20"/>
        </w:rPr>
        <w:t xml:space="preserve">roceedings and </w:t>
      </w:r>
      <w:r w:rsidR="006D5EC2">
        <w:rPr>
          <w:rFonts w:ascii="Arial" w:hAnsi="Arial" w:cs="Arial"/>
          <w:sz w:val="20"/>
          <w:szCs w:val="20"/>
        </w:rPr>
        <w:t xml:space="preserve">that </w:t>
      </w:r>
      <w:r w:rsidR="006054BD">
        <w:rPr>
          <w:rFonts w:ascii="Arial" w:hAnsi="Arial" w:cs="Arial"/>
          <w:sz w:val="20"/>
          <w:szCs w:val="20"/>
        </w:rPr>
        <w:t xml:space="preserve">it </w:t>
      </w:r>
      <w:r w:rsidR="00713DC8">
        <w:rPr>
          <w:rFonts w:ascii="Arial" w:hAnsi="Arial" w:cs="Arial"/>
          <w:sz w:val="20"/>
          <w:szCs w:val="20"/>
        </w:rPr>
        <w:t xml:space="preserve">does not apply to the conduct of </w:t>
      </w:r>
      <w:r w:rsidR="005832E7">
        <w:rPr>
          <w:rFonts w:ascii="Arial" w:hAnsi="Arial" w:cs="Arial"/>
          <w:sz w:val="20"/>
          <w:szCs w:val="20"/>
        </w:rPr>
        <w:t>intervention order proceedings.</w:t>
      </w:r>
      <w:r w:rsidR="006D5EC2">
        <w:rPr>
          <w:rFonts w:ascii="Arial" w:hAnsi="Arial" w:cs="Arial"/>
          <w:sz w:val="20"/>
          <w:szCs w:val="20"/>
        </w:rPr>
        <w:t xml:space="preserve">  </w:t>
      </w:r>
      <w:r w:rsidR="006054BD">
        <w:rPr>
          <w:rFonts w:ascii="Arial" w:hAnsi="Arial" w:cs="Arial"/>
          <w:sz w:val="20"/>
          <w:szCs w:val="20"/>
        </w:rPr>
        <w:t xml:space="preserve">How </w:t>
      </w:r>
      <w:r w:rsidR="00483E20">
        <w:rPr>
          <w:rFonts w:ascii="Arial" w:hAnsi="Arial" w:cs="Arial"/>
          <w:sz w:val="20"/>
          <w:szCs w:val="20"/>
        </w:rPr>
        <w:t xml:space="preserve">in </w:t>
      </w:r>
      <w:r w:rsidR="006D5EC2">
        <w:rPr>
          <w:rFonts w:ascii="Arial" w:hAnsi="Arial" w:cs="Arial"/>
          <w:sz w:val="20"/>
          <w:szCs w:val="20"/>
        </w:rPr>
        <w:t>fact</w:t>
      </w:r>
      <w:r w:rsidR="00483E20">
        <w:rPr>
          <w:rFonts w:ascii="Arial" w:hAnsi="Arial" w:cs="Arial"/>
          <w:sz w:val="20"/>
          <w:szCs w:val="20"/>
        </w:rPr>
        <w:t xml:space="preserve"> </w:t>
      </w:r>
      <w:r w:rsidR="006054BD">
        <w:rPr>
          <w:rFonts w:ascii="Arial" w:hAnsi="Arial" w:cs="Arial"/>
          <w:sz w:val="20"/>
          <w:szCs w:val="20"/>
        </w:rPr>
        <w:t xml:space="preserve">the Court is </w:t>
      </w:r>
      <w:r w:rsidR="00483E20">
        <w:rPr>
          <w:rFonts w:ascii="Arial" w:hAnsi="Arial" w:cs="Arial"/>
          <w:sz w:val="20"/>
          <w:szCs w:val="20"/>
        </w:rPr>
        <w:t xml:space="preserve">expected </w:t>
      </w:r>
      <w:r w:rsidR="006054BD">
        <w:rPr>
          <w:rFonts w:ascii="Arial" w:hAnsi="Arial" w:cs="Arial"/>
          <w:sz w:val="20"/>
          <w:szCs w:val="20"/>
        </w:rPr>
        <w:t xml:space="preserve">to </w:t>
      </w:r>
      <w:r w:rsidR="005275AD">
        <w:rPr>
          <w:rFonts w:ascii="Arial" w:hAnsi="Arial" w:cs="Arial"/>
          <w:sz w:val="20"/>
          <w:szCs w:val="20"/>
        </w:rPr>
        <w:t>manage</w:t>
      </w:r>
      <w:r w:rsidR="006054BD">
        <w:rPr>
          <w:rFonts w:ascii="Arial" w:hAnsi="Arial" w:cs="Arial"/>
          <w:sz w:val="20"/>
          <w:szCs w:val="20"/>
        </w:rPr>
        <w:t xml:space="preserve"> joint child protection and intervention order proceedings is </w:t>
      </w:r>
      <w:r w:rsidR="00BC54E3">
        <w:rPr>
          <w:rFonts w:ascii="Arial" w:hAnsi="Arial" w:cs="Arial"/>
          <w:sz w:val="20"/>
          <w:szCs w:val="20"/>
        </w:rPr>
        <w:t>un</w:t>
      </w:r>
      <w:r w:rsidR="006054BD">
        <w:rPr>
          <w:rFonts w:ascii="Arial" w:hAnsi="Arial" w:cs="Arial"/>
          <w:sz w:val="20"/>
          <w:szCs w:val="20"/>
        </w:rPr>
        <w:t>clear.</w:t>
      </w:r>
    </w:p>
    <w:p w14:paraId="53FD5B87" w14:textId="77777777" w:rsidR="003D4BCE" w:rsidRDefault="003D4BCE" w:rsidP="00DF3289">
      <w:pPr>
        <w:tabs>
          <w:tab w:val="left" w:pos="363"/>
        </w:tabs>
        <w:spacing w:before="60" w:line="240" w:lineRule="exact"/>
        <w:ind w:left="363" w:hanging="363"/>
        <w:jc w:val="both"/>
        <w:rPr>
          <w:rFonts w:ascii="Arial" w:hAnsi="Arial" w:cs="Arial"/>
          <w:color w:val="000000"/>
          <w:sz w:val="20"/>
        </w:rPr>
      </w:pPr>
      <w:r>
        <w:rPr>
          <w:rFonts w:ascii="Arial" w:hAnsi="Arial" w:cs="Arial"/>
          <w:color w:val="000000"/>
          <w:sz w:val="20"/>
        </w:rPr>
        <w:t>Section 215B provides:</w:t>
      </w:r>
    </w:p>
    <w:p w14:paraId="39AD31AB" w14:textId="0C5B811C" w:rsidR="003D4BCE" w:rsidRPr="003D4BCE" w:rsidRDefault="003D4BCE" w:rsidP="00DF3289">
      <w:pPr>
        <w:tabs>
          <w:tab w:val="left" w:pos="363"/>
        </w:tabs>
        <w:spacing w:before="60" w:line="240" w:lineRule="exact"/>
        <w:ind w:left="363" w:hanging="363"/>
        <w:jc w:val="both"/>
        <w:rPr>
          <w:rFonts w:ascii="Arial" w:hAnsi="Arial" w:cs="Arial"/>
          <w:color w:val="000000"/>
          <w:sz w:val="20"/>
        </w:rPr>
      </w:pPr>
      <w:r w:rsidRPr="003D4BCE">
        <w:rPr>
          <w:rFonts w:ascii="Arial" w:hAnsi="Arial" w:cs="Arial"/>
          <w:color w:val="000000"/>
          <w:sz w:val="20"/>
        </w:rPr>
        <w:t>“</w:t>
      </w:r>
      <w:r w:rsidR="004C770E">
        <w:rPr>
          <w:rFonts w:ascii="Arial" w:hAnsi="Arial" w:cs="Arial"/>
          <w:color w:val="000000"/>
          <w:sz w:val="20"/>
        </w:rPr>
        <w:t xml:space="preserve">(1) Without limiting </w:t>
      </w:r>
      <w:r w:rsidR="009E0C33">
        <w:rPr>
          <w:rFonts w:ascii="Arial" w:hAnsi="Arial" w:cs="Arial"/>
          <w:color w:val="000000"/>
          <w:sz w:val="20"/>
        </w:rPr>
        <w:t>Part 1.1B [</w:t>
      </w:r>
      <w:r w:rsidR="00097C38">
        <w:rPr>
          <w:rFonts w:ascii="Arial" w:hAnsi="Arial" w:cs="Arial"/>
          <w:color w:val="000000"/>
          <w:sz w:val="20"/>
        </w:rPr>
        <w:t>Recognition principles for Aboriginal children and families</w:t>
      </w:r>
      <w:r w:rsidR="009E0C33">
        <w:rPr>
          <w:rFonts w:ascii="Arial" w:hAnsi="Arial" w:cs="Arial"/>
          <w:color w:val="000000"/>
          <w:sz w:val="20"/>
        </w:rPr>
        <w:t xml:space="preserve">] or </w:t>
      </w:r>
      <w:r w:rsidR="004C770E">
        <w:rPr>
          <w:rFonts w:ascii="Arial" w:hAnsi="Arial" w:cs="Arial"/>
          <w:color w:val="000000"/>
          <w:sz w:val="20"/>
        </w:rPr>
        <w:t>Part 1.2 [b</w:t>
      </w:r>
      <w:r w:rsidRPr="003D4BCE">
        <w:rPr>
          <w:rFonts w:ascii="Arial" w:hAnsi="Arial" w:cs="Arial"/>
          <w:color w:val="000000"/>
          <w:sz w:val="20"/>
        </w:rPr>
        <w:t>est Interests principles] or s.215(1), in any proceeding before the Family Division under this Act, the Court may-</w:t>
      </w:r>
    </w:p>
    <w:p w14:paraId="44574EFA"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(a)</w:t>
      </w:r>
      <w:r w:rsidRPr="003D4BCE">
        <w:rPr>
          <w:rFonts w:ascii="Arial" w:hAnsi="Arial" w:cs="Arial"/>
          <w:color w:val="000000"/>
          <w:sz w:val="20"/>
        </w:rPr>
        <w:tab/>
        <w:t>consider the needs of the child and the impact that the proceeding may have on the child;</w:t>
      </w:r>
    </w:p>
    <w:p w14:paraId="647DAF3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(b)</w:t>
      </w:r>
      <w:r w:rsidRPr="003D4BCE">
        <w:rPr>
          <w:rFonts w:ascii="Arial" w:hAnsi="Arial" w:cs="Arial"/>
          <w:color w:val="000000"/>
          <w:sz w:val="20"/>
        </w:rPr>
        <w:tab/>
        <w:t xml:space="preserve">conduct proceedings in a manner that promotes cooperative relationships between the parties; </w:t>
      </w:r>
    </w:p>
    <w:p w14:paraId="44B72453" w14:textId="77777777" w:rsidR="003D4BCE" w:rsidRPr="003D4BCE" w:rsidRDefault="003D4BCE" w:rsidP="003D4BCE">
      <w:pPr>
        <w:tabs>
          <w:tab w:val="left" w:pos="851"/>
        </w:tabs>
        <w:spacing w:line="240" w:lineRule="exact"/>
        <w:ind w:left="714" w:hanging="357"/>
        <w:jc w:val="both"/>
        <w:rPr>
          <w:rFonts w:ascii="Arial" w:hAnsi="Arial" w:cs="Arial"/>
          <w:color w:val="000000"/>
          <w:sz w:val="20"/>
        </w:rPr>
      </w:pPr>
      <w:r w:rsidRPr="003D4BCE">
        <w:rPr>
          <w:rFonts w:ascii="Arial" w:hAnsi="Arial" w:cs="Arial"/>
          <w:color w:val="000000"/>
          <w:sz w:val="20"/>
        </w:rPr>
        <w:t>(c)</w:t>
      </w:r>
      <w:r w:rsidRPr="003D4BCE">
        <w:rPr>
          <w:rFonts w:ascii="Arial" w:hAnsi="Arial" w:cs="Arial"/>
          <w:color w:val="000000"/>
          <w:sz w:val="20"/>
        </w:rPr>
        <w:tab/>
        <w:t>ask any person connected to the proceeding whether that person considers that-</w:t>
      </w:r>
    </w:p>
    <w:p w14:paraId="40F9541A"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w:t>
      </w:r>
      <w:r w:rsidRPr="003D4BCE">
        <w:rPr>
          <w:rFonts w:ascii="Arial" w:hAnsi="Arial" w:cs="Arial"/>
          <w:color w:val="000000"/>
          <w:sz w:val="20"/>
          <w:lang w:val="en-US"/>
        </w:rPr>
        <w:tab/>
        <w:t>the child has been, or is at risk of being, subjected to or exposed to abuse, neglect or family violence within the meaning of the</w:t>
      </w:r>
      <w:r>
        <w:rPr>
          <w:rFonts w:ascii="Arial" w:hAnsi="Arial" w:cs="Arial"/>
          <w:color w:val="000000"/>
          <w:sz w:val="20"/>
          <w:lang w:val="en-US"/>
        </w:rPr>
        <w:t xml:space="preserve"> Family Violence Protection Act 2008;</w:t>
      </w:r>
    </w:p>
    <w:p w14:paraId="381C3C04" w14:textId="77777777" w:rsidR="003D4BCE" w:rsidRPr="003D4BCE" w:rsidRDefault="003D4BCE" w:rsidP="003D4BCE">
      <w:pPr>
        <w:tabs>
          <w:tab w:val="left" w:pos="363"/>
        </w:tabs>
        <w:spacing w:line="240" w:lineRule="exact"/>
        <w:ind w:left="1083" w:hanging="363"/>
        <w:jc w:val="both"/>
        <w:rPr>
          <w:rFonts w:ascii="Arial" w:hAnsi="Arial" w:cs="Arial"/>
          <w:color w:val="000000"/>
          <w:sz w:val="20"/>
          <w:lang w:val="en-US"/>
        </w:rPr>
      </w:pPr>
      <w:r w:rsidRPr="003D4BCE">
        <w:rPr>
          <w:rFonts w:ascii="Arial" w:hAnsi="Arial" w:cs="Arial"/>
          <w:color w:val="000000"/>
          <w:sz w:val="20"/>
          <w:lang w:val="en-US"/>
        </w:rPr>
        <w:t>(ii)</w:t>
      </w:r>
      <w:r w:rsidRPr="003D4BCE">
        <w:rPr>
          <w:rFonts w:ascii="Arial" w:hAnsi="Arial" w:cs="Arial"/>
          <w:color w:val="000000"/>
          <w:sz w:val="20"/>
          <w:lang w:val="en-US"/>
        </w:rPr>
        <w:tab/>
        <w:t>he or she or any other person connected to the proceeding has been, or is at risk of being subjected to family violence;</w:t>
      </w:r>
    </w:p>
    <w:p w14:paraId="2E3745BD"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actively direct, control and manage proceedings;</w:t>
      </w:r>
    </w:p>
    <w:p w14:paraId="197B26CC"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 xml:space="preserve">narrow the issues in dispute; </w:t>
      </w:r>
    </w:p>
    <w:p w14:paraId="248C305C"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determine the order in which the issues are decided;</w:t>
      </w:r>
    </w:p>
    <w:p w14:paraId="31280181"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give directions or make orders about the timing of steps that are to be taken in proceedings;</w:t>
      </w:r>
    </w:p>
    <w:p w14:paraId="66CE81A9"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in deciding whether a particular step is to be taken, consider whether the likely benefits justify the costs of taking it;</w:t>
      </w:r>
    </w:p>
    <w:p w14:paraId="1B511B65"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make appropriate use of technology, such as videoconferencing;</w:t>
      </w:r>
    </w:p>
    <w:p w14:paraId="1194B3DB"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deal with as many aspects of the matter on a single occasion as possible;</w:t>
      </w:r>
    </w:p>
    <w:p w14:paraId="10C49AF3" w14:textId="77777777" w:rsid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where possible, deal with the matter without requiring the parties attend Court;</w:t>
      </w:r>
    </w:p>
    <w:p w14:paraId="61790D34" w14:textId="77777777" w:rsidR="003D4BCE" w:rsidRPr="003D4BCE" w:rsidRDefault="003D4BCE">
      <w:pPr>
        <w:numPr>
          <w:ilvl w:val="0"/>
          <w:numId w:val="30"/>
        </w:numPr>
        <w:tabs>
          <w:tab w:val="clear" w:pos="1267"/>
        </w:tabs>
        <w:spacing w:line="240" w:lineRule="exact"/>
        <w:ind w:left="714" w:hanging="357"/>
        <w:jc w:val="both"/>
        <w:rPr>
          <w:rFonts w:ascii="Arial" w:hAnsi="Arial" w:cs="Arial"/>
          <w:color w:val="000000"/>
          <w:sz w:val="20"/>
        </w:rPr>
      </w:pPr>
      <w:r w:rsidRPr="003D4BCE">
        <w:rPr>
          <w:rFonts w:ascii="Arial" w:hAnsi="Arial" w:cs="Arial"/>
          <w:color w:val="000000"/>
          <w:sz w:val="20"/>
        </w:rPr>
        <w:t>do any other thing that the Court thinks fit.”</w:t>
      </w:r>
    </w:p>
    <w:p w14:paraId="7BFC752E" w14:textId="77777777" w:rsidR="003D4BCE" w:rsidRPr="003D4BCE" w:rsidRDefault="003D4BCE" w:rsidP="003D4BCE">
      <w:pPr>
        <w:tabs>
          <w:tab w:val="left" w:pos="363"/>
        </w:tabs>
        <w:spacing w:line="240" w:lineRule="exact"/>
        <w:jc w:val="both"/>
        <w:rPr>
          <w:rFonts w:ascii="Arial" w:hAnsi="Arial" w:cs="Arial"/>
          <w:color w:val="000000"/>
          <w:sz w:val="20"/>
          <w:lang w:val="en-US"/>
        </w:rPr>
      </w:pPr>
    </w:p>
    <w:p w14:paraId="1F285821" w14:textId="198D3D7F" w:rsidR="00E4509A" w:rsidRDefault="00E4509A" w:rsidP="00E4509A">
      <w:pPr>
        <w:tabs>
          <w:tab w:val="left" w:pos="363"/>
        </w:tabs>
        <w:spacing w:line="240" w:lineRule="exact"/>
        <w:jc w:val="both"/>
        <w:rPr>
          <w:rFonts w:ascii="Arial" w:hAnsi="Arial" w:cs="Arial"/>
          <w:color w:val="000000"/>
          <w:sz w:val="20"/>
        </w:rPr>
      </w:pPr>
      <w:r>
        <w:rPr>
          <w:rFonts w:ascii="Arial" w:hAnsi="Arial" w:cs="Arial"/>
          <w:color w:val="000000"/>
          <w:sz w:val="20"/>
        </w:rPr>
        <w:t>It is the writer’s view that, broad as they are, ss.215(1)(a)</w:t>
      </w:r>
      <w:r w:rsidR="00121D44">
        <w:rPr>
          <w:rFonts w:ascii="Arial" w:hAnsi="Arial" w:cs="Arial"/>
          <w:color w:val="000000"/>
          <w:sz w:val="20"/>
        </w:rPr>
        <w:t xml:space="preserve">, </w:t>
      </w:r>
      <w:r>
        <w:rPr>
          <w:rFonts w:ascii="Arial" w:hAnsi="Arial" w:cs="Arial"/>
          <w:color w:val="000000"/>
          <w:sz w:val="20"/>
        </w:rPr>
        <w:t xml:space="preserve">215(1)(b) &amp; 215B of the CYFA do not </w:t>
      </w:r>
      <w:r w:rsidR="00C86054">
        <w:rPr>
          <w:rFonts w:ascii="Arial" w:hAnsi="Arial" w:cs="Arial"/>
          <w:color w:val="000000"/>
          <w:sz w:val="20"/>
        </w:rPr>
        <w:t xml:space="preserve">generally </w:t>
      </w:r>
      <w:r>
        <w:rPr>
          <w:rFonts w:ascii="Arial" w:hAnsi="Arial" w:cs="Arial"/>
          <w:color w:val="000000"/>
          <w:sz w:val="20"/>
        </w:rPr>
        <w:t xml:space="preserve">allow the Court to </w:t>
      </w:r>
      <w:r w:rsidRPr="00EE4465">
        <w:rPr>
          <w:rFonts w:ascii="Arial" w:hAnsi="Arial" w:cs="Arial"/>
          <w:sz w:val="20"/>
          <w:szCs w:val="20"/>
        </w:rPr>
        <w:t>dispense with the rules of natural justice</w:t>
      </w:r>
      <w:r>
        <w:rPr>
          <w:rFonts w:ascii="Arial" w:hAnsi="Arial" w:cs="Arial"/>
          <w:sz w:val="20"/>
          <w:szCs w:val="20"/>
        </w:rPr>
        <w:t>,</w:t>
      </w:r>
      <w:r w:rsidRPr="00EE4465">
        <w:rPr>
          <w:rFonts w:ascii="Arial" w:hAnsi="Arial" w:cs="Arial"/>
          <w:sz w:val="20"/>
          <w:szCs w:val="20"/>
        </w:rPr>
        <w:t xml:space="preserve"> as </w:t>
      </w:r>
      <w:r>
        <w:rPr>
          <w:rFonts w:ascii="Arial" w:hAnsi="Arial" w:cs="Arial"/>
          <w:sz w:val="20"/>
          <w:szCs w:val="20"/>
        </w:rPr>
        <w:t xml:space="preserve">Byrne </w:t>
      </w:r>
      <w:r w:rsidRPr="00EE4465">
        <w:rPr>
          <w:rFonts w:ascii="Arial" w:hAnsi="Arial" w:cs="Arial"/>
          <w:sz w:val="20"/>
          <w:szCs w:val="20"/>
        </w:rPr>
        <w:t xml:space="preserve">J made clear in </w:t>
      </w:r>
      <w:r w:rsidRPr="00EE4465">
        <w:rPr>
          <w:rFonts w:ascii="Arial" w:hAnsi="Arial" w:cs="Arial"/>
          <w:i/>
          <w:sz w:val="20"/>
          <w:szCs w:val="20"/>
        </w:rPr>
        <w:t>Van</w:t>
      </w:r>
      <w:r>
        <w:rPr>
          <w:rFonts w:ascii="Arial" w:hAnsi="Arial" w:cs="Arial"/>
          <w:i/>
          <w:sz w:val="20"/>
          <w:szCs w:val="20"/>
        </w:rPr>
        <w:t> </w:t>
      </w:r>
      <w:r w:rsidRPr="00EE4465">
        <w:rPr>
          <w:rFonts w:ascii="Arial" w:hAnsi="Arial" w:cs="Arial"/>
          <w:i/>
          <w:sz w:val="20"/>
          <w:szCs w:val="20"/>
        </w:rPr>
        <w:t>Susteren v Packaje Pty Ltd</w:t>
      </w:r>
      <w:r w:rsidRPr="00EE4465">
        <w:rPr>
          <w:rFonts w:ascii="Arial" w:hAnsi="Arial" w:cs="Arial"/>
          <w:sz w:val="20"/>
          <w:szCs w:val="20"/>
        </w:rPr>
        <w:t xml:space="preserve"> [2008] VSC 586 at [5]-[6] in relation to similar provisions regulating the conduct of proceedings in the </w:t>
      </w:r>
      <w:r>
        <w:rPr>
          <w:rFonts w:ascii="Arial" w:hAnsi="Arial" w:cs="Arial"/>
          <w:sz w:val="20"/>
          <w:szCs w:val="20"/>
        </w:rPr>
        <w:t>Small Claims</w:t>
      </w:r>
      <w:r w:rsidRPr="00EE4465">
        <w:rPr>
          <w:rFonts w:ascii="Arial" w:hAnsi="Arial" w:cs="Arial"/>
          <w:sz w:val="20"/>
          <w:szCs w:val="20"/>
        </w:rPr>
        <w:t xml:space="preserve"> Tribunal:</w:t>
      </w:r>
    </w:p>
    <w:p w14:paraId="69C9AB8C" w14:textId="77777777" w:rsidR="000F6283" w:rsidRDefault="000F6283" w:rsidP="00B9721B">
      <w:pPr>
        <w:spacing w:before="60"/>
        <w:ind w:left="567" w:right="567"/>
        <w:jc w:val="both"/>
        <w:rPr>
          <w:rFonts w:ascii="Arial" w:hAnsi="Arial" w:cs="Arial"/>
          <w:bCs/>
          <w:sz w:val="20"/>
        </w:rPr>
      </w:pPr>
      <w:r>
        <w:rPr>
          <w:rFonts w:ascii="Arial" w:hAnsi="Arial" w:cs="Arial"/>
          <w:bCs/>
          <w:sz w:val="20"/>
        </w:rPr>
        <w:lastRenderedPageBreak/>
        <w:t>“</w:t>
      </w:r>
      <w:r w:rsidRPr="000F6283">
        <w:rPr>
          <w:rFonts w:ascii="Arial" w:hAnsi="Arial" w:cs="Arial"/>
          <w:sz w:val="20"/>
        </w:rPr>
        <w:t>It is common ground that the Small Claims Tribunal has a considerable degree of latitude in the conduct of its proceedings.  It is required by section 98 of the VCAT Act to proceed with as little formality or technicality as is appropriate, and evidence of an informal nature may be received.  Section 102 also provides a broad discretion as to the way the tribunal should be conducted</w:t>
      </w:r>
      <w:r>
        <w:rPr>
          <w:rFonts w:ascii="Arial" w:hAnsi="Arial" w:cs="Arial"/>
          <w:sz w:val="20"/>
        </w:rPr>
        <w:t>…</w:t>
      </w:r>
      <w:r w:rsidRPr="000F6283">
        <w:rPr>
          <w:rFonts w:ascii="Arial" w:hAnsi="Arial" w:cs="Arial"/>
          <w:sz w:val="20"/>
          <w:szCs w:val="20"/>
        </w:rPr>
        <w:t xml:space="preserve"> There is of course an obligation on the Small Claims Tribunal, however informal its procedures may be, to respect the rules of natural justice.  Accepting that the rules of natural justice will vary depending upon the nature of the hearing, the fact remains that, if it concerns a crucial matter or a vital issue, then the party should be given the opportunity to know, to test and to challenge evidence which is put against that party.</w:t>
      </w:r>
      <w:r>
        <w:rPr>
          <w:rFonts w:ascii="Arial" w:hAnsi="Arial" w:cs="Arial"/>
          <w:sz w:val="20"/>
          <w:szCs w:val="20"/>
        </w:rPr>
        <w:t>”</w:t>
      </w:r>
    </w:p>
    <w:p w14:paraId="78C71796" w14:textId="77777777" w:rsidR="000F6283" w:rsidRDefault="00EE4465" w:rsidP="00EE4465">
      <w:pPr>
        <w:spacing w:before="60"/>
        <w:ind w:left="62"/>
        <w:jc w:val="both"/>
        <w:rPr>
          <w:rFonts w:ascii="Arial" w:hAnsi="Arial" w:cs="Arial"/>
          <w:sz w:val="20"/>
        </w:rPr>
      </w:pPr>
      <w:r>
        <w:rPr>
          <w:rFonts w:ascii="Arial" w:hAnsi="Arial" w:cs="Arial"/>
          <w:sz w:val="20"/>
        </w:rPr>
        <w:t xml:space="preserve">See also the detailed discussion of natural justice and procedural fairness in relation to the granting of adjournments </w:t>
      </w:r>
      <w:r w:rsidR="006923D4">
        <w:rPr>
          <w:rFonts w:ascii="Arial" w:hAnsi="Arial" w:cs="Arial"/>
          <w:sz w:val="20"/>
        </w:rPr>
        <w:t>by</w:t>
      </w:r>
      <w:r>
        <w:rPr>
          <w:rFonts w:ascii="Arial" w:hAnsi="Arial" w:cs="Arial"/>
          <w:sz w:val="20"/>
        </w:rPr>
        <w:t xml:space="preserve"> the Victorian Civil and Administrative Tribunal by </w:t>
      </w:r>
      <w:r w:rsidR="006923D4">
        <w:rPr>
          <w:rFonts w:ascii="Arial" w:hAnsi="Arial" w:cs="Arial"/>
          <w:sz w:val="20"/>
        </w:rPr>
        <w:t>Warren C</w:t>
      </w:r>
      <w:r>
        <w:rPr>
          <w:rFonts w:ascii="Arial" w:hAnsi="Arial" w:cs="Arial"/>
          <w:sz w:val="20"/>
        </w:rPr>
        <w:t xml:space="preserve">J in </w:t>
      </w:r>
      <w:r w:rsidRPr="00EE4465">
        <w:rPr>
          <w:rFonts w:ascii="Arial" w:hAnsi="Arial" w:cs="Arial"/>
          <w:i/>
          <w:sz w:val="20"/>
        </w:rPr>
        <w:t>Macdiggers Pty Ltd v Maria Dickinson and Peter Dickinson</w:t>
      </w:r>
      <w:r>
        <w:rPr>
          <w:rFonts w:ascii="Arial" w:hAnsi="Arial" w:cs="Arial"/>
          <w:sz w:val="20"/>
        </w:rPr>
        <w:t xml:space="preserve"> [2008] VSC 576 at [23]-[28].</w:t>
      </w:r>
    </w:p>
    <w:p w14:paraId="08E0CDC1" w14:textId="77777777" w:rsidR="0048483D" w:rsidRDefault="0048483D">
      <w:pPr>
        <w:jc w:val="both"/>
        <w:rPr>
          <w:rFonts w:ascii="Arial" w:hAnsi="Arial" w:cs="Arial"/>
          <w:sz w:val="20"/>
        </w:rPr>
      </w:pPr>
    </w:p>
    <w:p w14:paraId="33422D1F" w14:textId="77777777" w:rsidR="006B04AA" w:rsidRDefault="00674508" w:rsidP="00121D44">
      <w:pPr>
        <w:jc w:val="both"/>
        <w:rPr>
          <w:rFonts w:ascii="Arial" w:hAnsi="Arial" w:cs="Arial"/>
          <w:sz w:val="20"/>
        </w:rPr>
      </w:pPr>
      <w:r>
        <w:rPr>
          <w:rFonts w:ascii="Arial" w:hAnsi="Arial" w:cs="Arial"/>
          <w:sz w:val="20"/>
        </w:rPr>
        <w:t xml:space="preserve">The </w:t>
      </w:r>
      <w:r w:rsidR="00121D44">
        <w:rPr>
          <w:rFonts w:ascii="Arial" w:hAnsi="Arial" w:cs="Arial"/>
          <w:sz w:val="20"/>
        </w:rPr>
        <w:t xml:space="preserve">genesis of s.215B is the </w:t>
      </w:r>
      <w:r>
        <w:rPr>
          <w:rFonts w:ascii="Arial" w:hAnsi="Arial" w:cs="Arial"/>
          <w:sz w:val="20"/>
        </w:rPr>
        <w:t xml:space="preserve">Less Adversarial Trial </w:t>
      </w:r>
      <w:r w:rsidR="00121D44">
        <w:rPr>
          <w:rFonts w:ascii="Arial" w:hAnsi="Arial" w:cs="Arial"/>
          <w:sz w:val="20"/>
        </w:rPr>
        <w:t xml:space="preserve">[“LAT”] approach </w:t>
      </w:r>
      <w:r>
        <w:rPr>
          <w:rFonts w:ascii="Arial" w:hAnsi="Arial" w:cs="Arial"/>
          <w:sz w:val="20"/>
        </w:rPr>
        <w:t>in operation in the Family Court of Australia</w:t>
      </w:r>
      <w:r w:rsidR="00121D44">
        <w:rPr>
          <w:rFonts w:ascii="Arial" w:hAnsi="Arial" w:cs="Arial"/>
          <w:sz w:val="20"/>
        </w:rPr>
        <w:t xml:space="preserve">.  </w:t>
      </w:r>
      <w:r w:rsidR="006B04AA">
        <w:rPr>
          <w:rFonts w:ascii="Arial" w:hAnsi="Arial" w:cs="Arial"/>
          <w:sz w:val="20"/>
        </w:rPr>
        <w:t xml:space="preserve">In </w:t>
      </w:r>
      <w:r w:rsidR="006B04AA" w:rsidRPr="001D42F1">
        <w:rPr>
          <w:rFonts w:ascii="Arial" w:hAnsi="Arial" w:cs="Arial"/>
          <w:i/>
          <w:sz w:val="20"/>
        </w:rPr>
        <w:t>T v T</w:t>
      </w:r>
      <w:r w:rsidR="006B04AA">
        <w:rPr>
          <w:rFonts w:ascii="Arial" w:hAnsi="Arial" w:cs="Arial"/>
          <w:sz w:val="20"/>
        </w:rPr>
        <w:t xml:space="preserve"> [2008] FamCAFC 4; (2008) FLC 93-360; (2008) 38 Fam LR 614 the Full Court of the Family Court of Australia (Bryant CJ, Kay &amp; Thackray JJ) highlighted at [163] the Court’s obligation to accord all of the parties procedural fairness and natural justice notwithstanding the LAT provisions:</w:t>
      </w:r>
    </w:p>
    <w:p w14:paraId="0CC9C718" w14:textId="77777777" w:rsidR="006B04AA" w:rsidRDefault="006B04AA" w:rsidP="00234612">
      <w:pPr>
        <w:spacing w:before="60"/>
        <w:ind w:left="567" w:right="567"/>
        <w:jc w:val="both"/>
        <w:rPr>
          <w:rFonts w:ascii="Arial" w:hAnsi="Arial" w:cs="Arial"/>
          <w:bCs/>
          <w:sz w:val="20"/>
        </w:rPr>
      </w:pPr>
      <w:r>
        <w:rPr>
          <w:rFonts w:ascii="Arial" w:hAnsi="Arial" w:cs="Arial"/>
          <w:bCs/>
          <w:sz w:val="20"/>
        </w:rPr>
        <w:t>“Whatever process for adjudication of cases is adopted by the Court, procedural fairness must be accorded to the parties (</w:t>
      </w:r>
      <w:r w:rsidRPr="00061CF0">
        <w:rPr>
          <w:rFonts w:ascii="Arial" w:hAnsi="Arial" w:cs="Arial"/>
          <w:bCs/>
          <w:i/>
          <w:sz w:val="20"/>
        </w:rPr>
        <w:t xml:space="preserve">R v Ludeke; Ex parte Customs Officers Association of </w:t>
      </w:r>
      <w:smartTag w:uri="urn:schemas-microsoft-com:office:smarttags" w:element="country-region">
        <w:smartTag w:uri="urn:schemas-microsoft-com:office:smarttags" w:element="place">
          <w:r w:rsidRPr="00061CF0">
            <w:rPr>
              <w:rFonts w:ascii="Arial" w:hAnsi="Arial" w:cs="Arial"/>
              <w:bCs/>
              <w:i/>
              <w:sz w:val="20"/>
            </w:rPr>
            <w:t>Australia</w:t>
          </w:r>
        </w:smartTag>
      </w:smartTag>
      <w:r>
        <w:rPr>
          <w:rFonts w:ascii="Arial" w:hAnsi="Arial" w:cs="Arial"/>
          <w:bCs/>
          <w:sz w:val="20"/>
        </w:rPr>
        <w:t xml:space="preserve"> (1985) 155 CLR 513; </w:t>
      </w:r>
      <w:r w:rsidRPr="00061CF0">
        <w:rPr>
          <w:rFonts w:ascii="Arial" w:hAnsi="Arial" w:cs="Arial"/>
          <w:bCs/>
          <w:i/>
          <w:sz w:val="20"/>
        </w:rPr>
        <w:t>Re JRL; Ex parte CJL</w:t>
      </w:r>
      <w:r>
        <w:rPr>
          <w:rFonts w:ascii="Arial" w:hAnsi="Arial" w:cs="Arial"/>
          <w:bCs/>
          <w:sz w:val="20"/>
        </w:rPr>
        <w:t xml:space="preserve"> (1986) 161 CLR 342; </w:t>
      </w:r>
      <w:r w:rsidRPr="00061CF0">
        <w:rPr>
          <w:rFonts w:ascii="Arial" w:hAnsi="Arial" w:cs="Arial"/>
          <w:bCs/>
          <w:i/>
          <w:sz w:val="20"/>
        </w:rPr>
        <w:t>J v Leischke</w:t>
      </w:r>
      <w:r>
        <w:rPr>
          <w:rFonts w:ascii="Arial" w:hAnsi="Arial" w:cs="Arial"/>
          <w:bCs/>
          <w:sz w:val="20"/>
        </w:rPr>
        <w:t xml:space="preserve"> (1987) 162 CLR 447.  The process adopted in the LAT, particularly on Day 1, gives no warrant to compromise fairness and the usual requirements must be met.  These are that determinations be made impartially, on the basis of all relevant material that the parties were able to put before the trial judge, without any pre-judgment and that the parties were given an adequate opportunity to be heard.”</w:t>
      </w:r>
    </w:p>
    <w:p w14:paraId="33E7AC7A" w14:textId="2DD83211" w:rsidR="006B04AA" w:rsidRDefault="006B04AA">
      <w:pPr>
        <w:jc w:val="both"/>
        <w:rPr>
          <w:rFonts w:ascii="Arial" w:hAnsi="Arial" w:cs="Arial"/>
          <w:sz w:val="20"/>
        </w:rPr>
      </w:pPr>
    </w:p>
    <w:p w14:paraId="170518F9" w14:textId="4A2BEB27" w:rsidR="00237A4D" w:rsidRDefault="00237A4D" w:rsidP="00237A4D">
      <w:pPr>
        <w:jc w:val="both"/>
        <w:rPr>
          <w:rFonts w:ascii="Arial" w:hAnsi="Arial" w:cs="Arial"/>
          <w:iCs/>
          <w:color w:val="000000"/>
          <w:sz w:val="20"/>
        </w:rPr>
      </w:pPr>
      <w:r w:rsidRPr="00237A4D">
        <w:rPr>
          <w:rFonts w:ascii="Arial" w:hAnsi="Arial" w:cs="Arial"/>
          <w:color w:val="000000"/>
          <w:sz w:val="20"/>
        </w:rPr>
        <w:t xml:space="preserve">In </w:t>
      </w:r>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xml:space="preserve">] </w:t>
      </w:r>
      <w:r>
        <w:rPr>
          <w:rFonts w:ascii="Arial" w:hAnsi="Arial" w:cs="Arial"/>
          <w:iCs/>
          <w:color w:val="000000"/>
          <w:sz w:val="20"/>
        </w:rPr>
        <w:t xml:space="preserve">circumstances arose which required the Court to consider the operation of s.215B in </w:t>
      </w:r>
      <w:r w:rsidR="005632CF">
        <w:rPr>
          <w:rFonts w:ascii="Arial" w:hAnsi="Arial" w:cs="Arial"/>
          <w:iCs/>
          <w:color w:val="000000"/>
          <w:sz w:val="20"/>
        </w:rPr>
        <w:t>two different contexts</w:t>
      </w:r>
      <w:r>
        <w:rPr>
          <w:rFonts w:ascii="Arial" w:hAnsi="Arial" w:cs="Arial"/>
          <w:iCs/>
          <w:color w:val="000000"/>
          <w:sz w:val="20"/>
        </w:rPr>
        <w:t>.</w:t>
      </w:r>
      <w:r w:rsidR="005632CF">
        <w:rPr>
          <w:rFonts w:ascii="Arial" w:hAnsi="Arial" w:cs="Arial"/>
          <w:iCs/>
          <w:color w:val="000000"/>
          <w:sz w:val="20"/>
        </w:rPr>
        <w:t xml:space="preserve">  This was a case in which the Magistrates’ Court – on application by a police officer – had made an intervention order excluding the father of 4 children from the family home because the Court was satisfied on an interim basis that he had subjected the mother to family violence in the sense of controlling behaviour.  </w:t>
      </w:r>
      <w:r w:rsidR="00C86054">
        <w:rPr>
          <w:rFonts w:ascii="Arial" w:hAnsi="Arial" w:cs="Arial"/>
          <w:iCs/>
          <w:color w:val="000000"/>
          <w:sz w:val="20"/>
        </w:rPr>
        <w:t>The Department had issued protection applications in relation to each of the children on the grounds in ss.162(1)(c) &amp; 162(1)(e) and based on the same protective concerns.  Both applications were listed concurrently for contested hearing in the Children’s Court.</w:t>
      </w:r>
    </w:p>
    <w:p w14:paraId="11E906BF" w14:textId="33B47D1E" w:rsidR="00872E57" w:rsidRDefault="00872E57" w:rsidP="00237A4D">
      <w:pPr>
        <w:jc w:val="both"/>
        <w:rPr>
          <w:rFonts w:ascii="Arial" w:hAnsi="Arial" w:cs="Arial"/>
          <w:iCs/>
          <w:color w:val="000000"/>
          <w:sz w:val="20"/>
        </w:rPr>
      </w:pPr>
    </w:p>
    <w:p w14:paraId="7CAF0924" w14:textId="248921C2" w:rsidR="00872E57" w:rsidRDefault="00872E57" w:rsidP="00237A4D">
      <w:pPr>
        <w:jc w:val="both"/>
        <w:rPr>
          <w:rFonts w:ascii="Arial" w:hAnsi="Arial" w:cs="Arial"/>
          <w:iCs/>
          <w:color w:val="000000"/>
          <w:sz w:val="20"/>
        </w:rPr>
      </w:pPr>
      <w:r>
        <w:rPr>
          <w:rFonts w:ascii="Arial" w:hAnsi="Arial" w:cs="Arial"/>
          <w:iCs/>
          <w:color w:val="000000"/>
          <w:sz w:val="20"/>
        </w:rPr>
        <w:t xml:space="preserve">At the commencement of the case, the police prosecutor asked to be excused, saying that he would come back </w:t>
      </w:r>
      <w:r w:rsidR="00D45735">
        <w:rPr>
          <w:rFonts w:ascii="Arial" w:hAnsi="Arial" w:cs="Arial"/>
          <w:iCs/>
          <w:color w:val="000000"/>
          <w:sz w:val="20"/>
        </w:rPr>
        <w:t xml:space="preserve">to prosecute the intervention order case </w:t>
      </w:r>
      <w:r>
        <w:rPr>
          <w:rFonts w:ascii="Arial" w:hAnsi="Arial" w:cs="Arial"/>
          <w:iCs/>
          <w:color w:val="000000"/>
          <w:sz w:val="20"/>
        </w:rPr>
        <w:t>after the child protection case was completed.  The Court refused to excuse him, noting that-</w:t>
      </w:r>
    </w:p>
    <w:p w14:paraId="26B873C3" w14:textId="22D77076" w:rsidR="00872E57" w:rsidRDefault="00872E57">
      <w:pPr>
        <w:pStyle w:val="ListParagraph"/>
        <w:numPr>
          <w:ilvl w:val="0"/>
          <w:numId w:val="92"/>
        </w:numPr>
        <w:ind w:left="357" w:hanging="357"/>
        <w:jc w:val="both"/>
        <w:rPr>
          <w:rFonts w:ascii="Arial" w:hAnsi="Arial" w:cs="Arial"/>
          <w:iCs/>
          <w:color w:val="000000"/>
          <w:sz w:val="20"/>
        </w:rPr>
      </w:pPr>
      <w:r w:rsidRPr="00872E57">
        <w:rPr>
          <w:rFonts w:ascii="Arial" w:hAnsi="Arial" w:cs="Arial"/>
          <w:iCs/>
          <w:color w:val="000000"/>
          <w:sz w:val="20"/>
        </w:rPr>
        <w:t>s.215B(1)(j) empowered the Court to “deal with as many aspects of the matter on a single occasion as possible</w:t>
      </w:r>
      <w:r>
        <w:rPr>
          <w:rFonts w:ascii="Arial" w:hAnsi="Arial" w:cs="Arial"/>
          <w:iCs/>
          <w:color w:val="000000"/>
          <w:sz w:val="20"/>
        </w:rPr>
        <w:t>”; and</w:t>
      </w:r>
    </w:p>
    <w:p w14:paraId="3E021FAE" w14:textId="28603E8A" w:rsidR="00872E57" w:rsidRPr="00872E57" w:rsidRDefault="00872E57">
      <w:pPr>
        <w:pStyle w:val="ListParagraph"/>
        <w:numPr>
          <w:ilvl w:val="0"/>
          <w:numId w:val="92"/>
        </w:numPr>
        <w:ind w:left="357" w:hanging="357"/>
        <w:jc w:val="both"/>
        <w:rPr>
          <w:rFonts w:ascii="Arial" w:hAnsi="Arial" w:cs="Arial"/>
          <w:iCs/>
          <w:color w:val="000000"/>
          <w:sz w:val="20"/>
        </w:rPr>
      </w:pPr>
      <w:r>
        <w:rPr>
          <w:rFonts w:ascii="Arial" w:hAnsi="Arial" w:cs="Arial"/>
          <w:sz w:val="20"/>
        </w:rPr>
        <w:t>t</w:t>
      </w:r>
      <w:r w:rsidRPr="00872E57">
        <w:rPr>
          <w:rFonts w:ascii="Arial" w:hAnsi="Arial" w:cs="Arial"/>
          <w:sz w:val="20"/>
        </w:rPr>
        <w:t>he IVO and protection proceedings could not sensibly be split because the primary issue raised by DHHS in the protection proceedings was the impact on the children of emotional abuse which it alleged that the father had perpetrated against the mother.</w:t>
      </w:r>
    </w:p>
    <w:p w14:paraId="2E30B66D" w14:textId="63807C3F" w:rsidR="00872E57" w:rsidRPr="00213CD2" w:rsidRDefault="00872E57" w:rsidP="00237A4D">
      <w:pPr>
        <w:jc w:val="both"/>
        <w:rPr>
          <w:rFonts w:ascii="Arial" w:hAnsi="Arial" w:cs="Arial"/>
          <w:color w:val="000000"/>
          <w:sz w:val="20"/>
        </w:rPr>
      </w:pPr>
      <w:r>
        <w:rPr>
          <w:rFonts w:ascii="Arial" w:hAnsi="Arial" w:cs="Arial"/>
          <w:iCs/>
          <w:color w:val="000000"/>
          <w:sz w:val="20"/>
        </w:rPr>
        <w:t xml:space="preserve">After the case was stood down for a period, the Court </w:t>
      </w:r>
      <w:r w:rsidR="00D45735">
        <w:rPr>
          <w:rFonts w:ascii="Arial" w:hAnsi="Arial" w:cs="Arial"/>
          <w:iCs/>
          <w:color w:val="000000"/>
          <w:sz w:val="20"/>
        </w:rPr>
        <w:t xml:space="preserve">ultimately </w:t>
      </w:r>
      <w:r>
        <w:rPr>
          <w:rFonts w:ascii="Arial" w:hAnsi="Arial" w:cs="Arial"/>
          <w:iCs/>
          <w:color w:val="000000"/>
          <w:sz w:val="20"/>
        </w:rPr>
        <w:t xml:space="preserve">struck out the intervention order </w:t>
      </w:r>
      <w:r w:rsidR="00234612">
        <w:rPr>
          <w:rFonts w:ascii="Arial" w:hAnsi="Arial" w:cs="Arial"/>
          <w:iCs/>
          <w:color w:val="000000"/>
          <w:sz w:val="20"/>
        </w:rPr>
        <w:t>a</w:t>
      </w:r>
      <w:r>
        <w:rPr>
          <w:rFonts w:ascii="Arial" w:hAnsi="Arial" w:cs="Arial"/>
          <w:iCs/>
          <w:color w:val="000000"/>
          <w:sz w:val="20"/>
        </w:rPr>
        <w:t>pplication at the request of the police prosecutor.</w:t>
      </w:r>
    </w:p>
    <w:p w14:paraId="5A05775D" w14:textId="3D4DED85" w:rsidR="00237A4D" w:rsidRDefault="00237A4D">
      <w:pPr>
        <w:jc w:val="both"/>
        <w:rPr>
          <w:rFonts w:ascii="Arial" w:hAnsi="Arial" w:cs="Arial"/>
          <w:sz w:val="20"/>
        </w:rPr>
      </w:pPr>
    </w:p>
    <w:p w14:paraId="78BD063F" w14:textId="1E0C1661" w:rsidR="00234612" w:rsidRPr="005D395B" w:rsidRDefault="00872E57" w:rsidP="00234612">
      <w:pPr>
        <w:pStyle w:val="ListParagraph"/>
        <w:ind w:left="0"/>
        <w:jc w:val="both"/>
        <w:rPr>
          <w:rFonts w:ascii="Arial" w:hAnsi="Arial" w:cs="Arial"/>
          <w:sz w:val="20"/>
        </w:rPr>
      </w:pPr>
      <w:r>
        <w:rPr>
          <w:rFonts w:ascii="Arial" w:hAnsi="Arial" w:cs="Arial"/>
          <w:sz w:val="20"/>
        </w:rPr>
        <w:t xml:space="preserve">On the fourth full day of the contested hearing </w:t>
      </w:r>
      <w:r w:rsidR="00234612">
        <w:rPr>
          <w:rFonts w:ascii="Arial" w:hAnsi="Arial" w:cs="Arial"/>
          <w:sz w:val="20"/>
        </w:rPr>
        <w:t xml:space="preserve">counsel for DHHS – with the consent of the other </w:t>
      </w:r>
      <w:r w:rsidR="00D45735">
        <w:rPr>
          <w:rFonts w:ascii="Arial" w:hAnsi="Arial" w:cs="Arial"/>
          <w:sz w:val="20"/>
        </w:rPr>
        <w:t>six</w:t>
      </w:r>
      <w:r w:rsidR="00234612">
        <w:rPr>
          <w:rFonts w:ascii="Arial" w:hAnsi="Arial" w:cs="Arial"/>
          <w:sz w:val="20"/>
        </w:rPr>
        <w:t xml:space="preserve"> counsel – </w:t>
      </w:r>
      <w:r w:rsidR="00234612" w:rsidRPr="005D395B">
        <w:rPr>
          <w:rFonts w:ascii="Arial" w:hAnsi="Arial" w:cs="Arial"/>
          <w:sz w:val="20"/>
        </w:rPr>
        <w:t>very</w:t>
      </w:r>
      <w:r w:rsidR="00234612">
        <w:rPr>
          <w:rFonts w:ascii="Arial" w:hAnsi="Arial" w:cs="Arial"/>
          <w:sz w:val="20"/>
        </w:rPr>
        <w:t xml:space="preserve"> </w:t>
      </w:r>
      <w:r w:rsidR="00234612" w:rsidRPr="005D395B">
        <w:rPr>
          <w:rFonts w:ascii="Arial" w:hAnsi="Arial" w:cs="Arial"/>
          <w:sz w:val="20"/>
        </w:rPr>
        <w:t>properly said-</w:t>
      </w:r>
    </w:p>
    <w:p w14:paraId="06A593B4" w14:textId="50C3444E" w:rsidR="00234612" w:rsidRPr="005D395B" w:rsidRDefault="00234612" w:rsidP="00234612">
      <w:pPr>
        <w:spacing w:before="60"/>
        <w:ind w:left="567" w:right="567"/>
        <w:jc w:val="both"/>
        <w:rPr>
          <w:rFonts w:ascii="Arial" w:hAnsi="Arial" w:cs="Arial"/>
          <w:color w:val="000000"/>
          <w:sz w:val="20"/>
          <w:szCs w:val="20"/>
        </w:rPr>
      </w:pPr>
      <w:r w:rsidRPr="005D395B">
        <w:rPr>
          <w:rFonts w:ascii="Arial" w:hAnsi="Arial" w:cs="Arial"/>
          <w:color w:val="000000"/>
          <w:sz w:val="20"/>
          <w:szCs w:val="20"/>
        </w:rPr>
        <w:t>“If the Court had a view at this point in relation to the utility or otherwise of calling any further witnesses, DHHS would be guided by any comments if the Court was minded to make them.  The critical question is the return of the father and the Court has the assessments provided by the Children’s Court Clinician in her evidence.  If the Court feels that there are vacuums that any of the proposed witnesses could speak to, DHHS can arrange that.”</w:t>
      </w:r>
    </w:p>
    <w:p w14:paraId="19201AC3" w14:textId="77777777" w:rsidR="00234612" w:rsidRPr="005D395B" w:rsidRDefault="00234612" w:rsidP="00234612">
      <w:pPr>
        <w:pStyle w:val="ListParagraph"/>
        <w:ind w:left="567" w:hanging="567"/>
        <w:jc w:val="both"/>
        <w:rPr>
          <w:rFonts w:ascii="Arial" w:hAnsi="Arial" w:cs="Arial"/>
          <w:sz w:val="20"/>
        </w:rPr>
      </w:pPr>
    </w:p>
    <w:p w14:paraId="719DE653" w14:textId="3728AFCA" w:rsidR="00872E57" w:rsidRDefault="00286F0B">
      <w:pPr>
        <w:jc w:val="both"/>
        <w:rPr>
          <w:rFonts w:ascii="Arial" w:hAnsi="Arial" w:cs="Arial"/>
          <w:sz w:val="20"/>
        </w:rPr>
      </w:pPr>
      <w:r>
        <w:rPr>
          <w:rFonts w:ascii="Arial" w:hAnsi="Arial" w:cs="Arial"/>
          <w:sz w:val="20"/>
        </w:rPr>
        <w:lastRenderedPageBreak/>
        <w:t>Given</w:t>
      </w:r>
      <w:r w:rsidR="00234612">
        <w:rPr>
          <w:rFonts w:ascii="Arial" w:hAnsi="Arial" w:cs="Arial"/>
          <w:sz w:val="20"/>
        </w:rPr>
        <w:t xml:space="preserve"> that the Court has an independent responsibility under ss.8(1) &amp; 10 CYFA to ensure that any orders it makes are in the best interests of the subject children, the Court </w:t>
      </w:r>
      <w:r>
        <w:rPr>
          <w:rFonts w:ascii="Arial" w:hAnsi="Arial" w:cs="Arial"/>
          <w:sz w:val="20"/>
        </w:rPr>
        <w:t>said</w:t>
      </w:r>
      <w:r w:rsidR="00234612">
        <w:rPr>
          <w:rFonts w:ascii="Arial" w:hAnsi="Arial" w:cs="Arial"/>
          <w:sz w:val="20"/>
        </w:rPr>
        <w:t xml:space="preserve"> that the case would be adjourned over the weekend and the Court would provide written reasons </w:t>
      </w:r>
      <w:r w:rsidR="00234612">
        <w:rPr>
          <w:rFonts w:ascii="Arial" w:hAnsi="Arial" w:cs="Arial"/>
          <w:sz w:val="20"/>
          <w:szCs w:val="20"/>
        </w:rPr>
        <w:t>detailing his</w:t>
      </w:r>
      <w:r w:rsidR="00234612" w:rsidRPr="005D395B">
        <w:rPr>
          <w:rFonts w:ascii="Arial" w:hAnsi="Arial" w:cs="Arial"/>
          <w:sz w:val="20"/>
          <w:szCs w:val="20"/>
        </w:rPr>
        <w:t xml:space="preserve"> interim view of this case based on the evidence heard up to </w:t>
      </w:r>
      <w:r w:rsidR="00234612">
        <w:rPr>
          <w:rFonts w:ascii="Arial" w:hAnsi="Arial" w:cs="Arial"/>
          <w:sz w:val="20"/>
          <w:szCs w:val="20"/>
        </w:rPr>
        <w:t>the point. However, the Court did</w:t>
      </w:r>
      <w:r w:rsidR="00234612" w:rsidRPr="005D395B">
        <w:rPr>
          <w:rFonts w:ascii="Arial" w:hAnsi="Arial" w:cs="Arial"/>
          <w:sz w:val="20"/>
          <w:szCs w:val="20"/>
        </w:rPr>
        <w:t xml:space="preserve"> not </w:t>
      </w:r>
      <w:r w:rsidR="00234612" w:rsidRPr="005D395B">
        <w:rPr>
          <w:rFonts w:ascii="Arial" w:hAnsi="Arial" w:cs="Arial"/>
          <w:color w:val="000000"/>
          <w:sz w:val="20"/>
          <w:szCs w:val="20"/>
        </w:rPr>
        <w:t>seek to bind any of the parties to accept these interim findings and orders</w:t>
      </w:r>
      <w:r w:rsidR="00234612">
        <w:rPr>
          <w:rFonts w:ascii="Arial" w:hAnsi="Arial" w:cs="Arial"/>
          <w:color w:val="000000"/>
          <w:sz w:val="20"/>
          <w:szCs w:val="20"/>
        </w:rPr>
        <w:t>.  Under the heading “</w:t>
      </w:r>
      <w:r w:rsidR="00234612" w:rsidRPr="00234612">
        <w:rPr>
          <w:rFonts w:ascii="Arial" w:hAnsi="Arial" w:cs="Arial"/>
          <w:b/>
          <w:bCs/>
          <w:color w:val="000000"/>
          <w:sz w:val="20"/>
          <w:szCs w:val="20"/>
        </w:rPr>
        <w:t>S.215B CYFA &amp; The Adversarial Process</w:t>
      </w:r>
      <w:r w:rsidR="00234612">
        <w:rPr>
          <w:rFonts w:ascii="Arial" w:hAnsi="Arial" w:cs="Arial"/>
          <w:color w:val="000000"/>
          <w:sz w:val="20"/>
          <w:szCs w:val="20"/>
        </w:rPr>
        <w:t>” the Court said</w:t>
      </w:r>
      <w:r>
        <w:rPr>
          <w:rFonts w:ascii="Arial" w:hAnsi="Arial" w:cs="Arial"/>
          <w:color w:val="000000"/>
          <w:sz w:val="20"/>
          <w:szCs w:val="20"/>
        </w:rPr>
        <w:t xml:space="preserve"> at pp.</w:t>
      </w:r>
      <w:r w:rsidR="00C956A5">
        <w:rPr>
          <w:rFonts w:ascii="Arial" w:hAnsi="Arial" w:cs="Arial"/>
          <w:color w:val="000000"/>
          <w:sz w:val="20"/>
          <w:szCs w:val="20"/>
        </w:rPr>
        <w:t>3-4</w:t>
      </w:r>
      <w:r w:rsidR="00234612">
        <w:rPr>
          <w:rFonts w:ascii="Arial" w:hAnsi="Arial" w:cs="Arial"/>
          <w:color w:val="000000"/>
          <w:sz w:val="20"/>
          <w:szCs w:val="20"/>
        </w:rPr>
        <w:t>:</w:t>
      </w:r>
    </w:p>
    <w:p w14:paraId="3BB27F33" w14:textId="335F2EBC" w:rsidR="00872E57" w:rsidRPr="005D395B" w:rsidRDefault="00234612" w:rsidP="00D45735">
      <w:pPr>
        <w:pStyle w:val="ListParagraph"/>
        <w:spacing w:before="120"/>
        <w:ind w:left="567" w:right="567"/>
        <w:jc w:val="both"/>
        <w:rPr>
          <w:rFonts w:ascii="Arial" w:hAnsi="Arial" w:cs="Arial"/>
          <w:sz w:val="20"/>
        </w:rPr>
      </w:pPr>
      <w:r>
        <w:rPr>
          <w:rFonts w:ascii="Arial" w:hAnsi="Arial" w:cs="Arial"/>
          <w:sz w:val="20"/>
        </w:rPr>
        <w:t>“</w:t>
      </w:r>
      <w:r w:rsidR="00872E57" w:rsidRPr="005D395B">
        <w:rPr>
          <w:rFonts w:ascii="Arial" w:hAnsi="Arial" w:cs="Arial"/>
          <w:sz w:val="20"/>
        </w:rPr>
        <w:t>The common law adversarial system underpins the procedure employed in trial proceedings in the Family Division of the Children’s Court of Victoria.  In that system it is the primary responsibility of the parties to determine what witnesses are to be called and how they are to be examined and cross-examined.  In many instances over the years it has proved to be an inefficient and wasteful process, not infrequently damaging to family relationships and sometimes to the relationship between family members and the Child Protection Authority.  To</w:t>
      </w:r>
      <w:r w:rsidR="00D45735">
        <w:rPr>
          <w:rFonts w:ascii="Arial" w:hAnsi="Arial" w:cs="Arial"/>
          <w:sz w:val="20"/>
        </w:rPr>
        <w:t> </w:t>
      </w:r>
      <w:r w:rsidR="00872E57" w:rsidRPr="005D395B">
        <w:rPr>
          <w:rFonts w:ascii="Arial" w:hAnsi="Arial" w:cs="Arial"/>
          <w:sz w:val="20"/>
        </w:rPr>
        <w:t xml:space="preserve">attempt to ameliorate some of the perceived negatives of the adversarial system, in 2013 Parliament enacted s.215B of the </w:t>
      </w:r>
      <w:r w:rsidR="00872E57" w:rsidRPr="005D395B">
        <w:rPr>
          <w:rFonts w:ascii="Arial" w:hAnsi="Arial" w:cs="Arial"/>
          <w:i/>
          <w:sz w:val="20"/>
        </w:rPr>
        <w:t>CYFA</w:t>
      </w:r>
      <w:r>
        <w:rPr>
          <w:rFonts w:ascii="Arial" w:hAnsi="Arial" w:cs="Arial"/>
          <w:sz w:val="20"/>
        </w:rPr>
        <w:t>…</w:t>
      </w:r>
      <w:r w:rsidR="00872E57" w:rsidRPr="005D395B">
        <w:rPr>
          <w:rFonts w:ascii="Arial" w:hAnsi="Arial" w:cs="Arial"/>
          <w:sz w:val="20"/>
        </w:rPr>
        <w:t xml:space="preserve">  </w:t>
      </w:r>
    </w:p>
    <w:p w14:paraId="49C69800" w14:textId="6F9565A1"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It was pursuant to ss.215B(1)(d) &amp; 215B(1)(j) that I directed</w:t>
      </w:r>
      <w:r w:rsidR="00B979FF">
        <w:rPr>
          <w:rFonts w:ascii="Arial" w:hAnsi="Arial" w:cs="Arial"/>
          <w:sz w:val="20"/>
        </w:rPr>
        <w:t>…</w:t>
      </w:r>
      <w:r w:rsidRPr="005D395B">
        <w:rPr>
          <w:rFonts w:ascii="Arial" w:hAnsi="Arial" w:cs="Arial"/>
          <w:sz w:val="20"/>
        </w:rPr>
        <w:t xml:space="preserve">that the four IVO proceedings and the child protection proceedings were to be dealt with in the one contest.  It was obvious that they had to be, that it would be farcical to deal with the child protection proceedings first and independently of the IVO proceedings, given that the central issue in both proceedings related to allegations of emotional abuse by the father of the mother to which the children were exposed and to related allegations of physical and emotional abuse of their mother by </w:t>
      </w:r>
      <w:r w:rsidR="00B979FF">
        <w:rPr>
          <w:rFonts w:ascii="Arial" w:hAnsi="Arial" w:cs="Arial"/>
          <w:sz w:val="20"/>
        </w:rPr>
        <w:t>[2 of the children]</w:t>
      </w:r>
      <w:r w:rsidRPr="005D395B">
        <w:rPr>
          <w:rFonts w:ascii="Arial" w:hAnsi="Arial" w:cs="Arial"/>
          <w:sz w:val="20"/>
        </w:rPr>
        <w:t>.</w:t>
      </w:r>
    </w:p>
    <w:p w14:paraId="4AABF158" w14:textId="7A96DF18" w:rsidR="00872E57" w:rsidRPr="005D395B" w:rsidRDefault="00872E57" w:rsidP="00D45735">
      <w:pPr>
        <w:pStyle w:val="ListParagraph"/>
        <w:spacing w:before="120"/>
        <w:ind w:left="567" w:right="567"/>
        <w:jc w:val="both"/>
        <w:rPr>
          <w:rFonts w:ascii="Arial" w:hAnsi="Arial" w:cs="Arial"/>
          <w:sz w:val="20"/>
        </w:rPr>
      </w:pPr>
      <w:r w:rsidRPr="005D395B">
        <w:rPr>
          <w:rFonts w:ascii="Arial" w:hAnsi="Arial" w:cs="Arial"/>
          <w:sz w:val="20"/>
        </w:rPr>
        <w:t>Giving the parties primary responsibility for deciding on appropriate witnesses in this simple, single-issue case has led to DHHS producing a witness list containing the names and thumbnail sketches of 19 witnesses, not including the mother and father should they wish to give evidence or call any other witnesses</w:t>
      </w:r>
      <w:r w:rsidR="00D45735">
        <w:rPr>
          <w:rFonts w:ascii="Arial" w:hAnsi="Arial" w:cs="Arial"/>
          <w:sz w:val="20"/>
        </w:rPr>
        <w:t>…</w:t>
      </w:r>
    </w:p>
    <w:p w14:paraId="34A1B551" w14:textId="7A1B6144" w:rsidR="00872E57" w:rsidRPr="00D45735" w:rsidRDefault="00872E57" w:rsidP="00286F0B">
      <w:pPr>
        <w:pStyle w:val="ListParagraph"/>
        <w:spacing w:before="120"/>
        <w:ind w:left="567" w:right="567"/>
        <w:jc w:val="both"/>
        <w:rPr>
          <w:rFonts w:ascii="Arial" w:hAnsi="Arial" w:cs="Arial"/>
          <w:sz w:val="20"/>
        </w:rPr>
      </w:pPr>
      <w:r w:rsidRPr="00D45735">
        <w:rPr>
          <w:rFonts w:ascii="Arial" w:hAnsi="Arial" w:cs="Arial"/>
          <w:sz w:val="20"/>
        </w:rPr>
        <w:t>Further, while s.215B is easy enough to understand, it is rarely easy to apply.  This is because one of the foundations of the adversarial system is the doctrine of procedural fairness</w:t>
      </w:r>
      <w:r w:rsidR="00D45735" w:rsidRPr="00D45735">
        <w:rPr>
          <w:rFonts w:ascii="Arial" w:hAnsi="Arial" w:cs="Arial"/>
          <w:sz w:val="20"/>
        </w:rPr>
        <w:t>.  F</w:t>
      </w:r>
      <w:r w:rsidR="00D45735" w:rsidRPr="00D45735">
        <w:rPr>
          <w:rFonts w:ascii="Arial" w:hAnsi="Arial" w:cs="Arial"/>
          <w:sz w:val="20"/>
          <w:szCs w:val="16"/>
        </w:rPr>
        <w:t xml:space="preserve">or the same reasons as the Court of Appeal held in </w:t>
      </w:r>
      <w:r w:rsidR="00D45735" w:rsidRPr="00D45735">
        <w:rPr>
          <w:rFonts w:ascii="Arial" w:hAnsi="Arial" w:cs="Arial"/>
          <w:i/>
          <w:sz w:val="20"/>
          <w:szCs w:val="16"/>
        </w:rPr>
        <w:t xml:space="preserve">Weinstein v Medical Practitioners Board of Victoria </w:t>
      </w:r>
      <w:r w:rsidR="00D45735" w:rsidRPr="00D45735">
        <w:rPr>
          <w:rFonts w:ascii="Arial" w:hAnsi="Arial" w:cs="Arial"/>
          <w:sz w:val="20"/>
          <w:szCs w:val="16"/>
        </w:rPr>
        <w:t xml:space="preserve">[2008] VSCA 193 at [28]-[29] that s.215(1)(d) of the </w:t>
      </w:r>
      <w:r w:rsidR="00D45735" w:rsidRPr="00D45735">
        <w:rPr>
          <w:rFonts w:ascii="Arial" w:hAnsi="Arial" w:cs="Arial"/>
          <w:i/>
          <w:sz w:val="20"/>
          <w:szCs w:val="16"/>
        </w:rPr>
        <w:t>CYFA</w:t>
      </w:r>
      <w:r w:rsidR="00D45735" w:rsidRPr="00D45735">
        <w:rPr>
          <w:rFonts w:ascii="Arial" w:hAnsi="Arial" w:cs="Arial"/>
          <w:sz w:val="20"/>
          <w:szCs w:val="16"/>
        </w:rPr>
        <w:t xml:space="preserve"> was subject to a requirement to afford procedural fairness to all parties</w:t>
      </w:r>
      <w:r w:rsidR="00D45735">
        <w:rPr>
          <w:rFonts w:ascii="Arial" w:hAnsi="Arial" w:cs="Arial"/>
          <w:sz w:val="20"/>
          <w:szCs w:val="16"/>
        </w:rPr>
        <w:t xml:space="preserve">, </w:t>
      </w:r>
      <w:r w:rsidRPr="00D45735">
        <w:rPr>
          <w:rFonts w:ascii="Arial" w:hAnsi="Arial" w:cs="Arial"/>
          <w:sz w:val="20"/>
        </w:rPr>
        <w:t>it seems probable to me that s.215B must be read subject to that doctrine unless to do so would be contrary to the best interests of the subject child.</w:t>
      </w:r>
    </w:p>
    <w:p w14:paraId="6809571E" w14:textId="46DC1883"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I am of the strong view that continuation of this trial – which is in many ways a Trial by Ordeal so far as both parents are concerned – is likely to have a negative impact on the family members and on the relationship between the parties and hence is contra-indicated by ss.215B(1)(a) &amp; 215B(1)(b)</w:t>
      </w:r>
      <w:r w:rsidR="00D45735">
        <w:rPr>
          <w:rFonts w:ascii="Arial" w:hAnsi="Arial" w:cs="Arial"/>
          <w:sz w:val="20"/>
        </w:rPr>
        <w:t xml:space="preserve">…  </w:t>
      </w:r>
      <w:r w:rsidR="00D45735" w:rsidRPr="005D395B">
        <w:rPr>
          <w:rFonts w:ascii="Arial" w:hAnsi="Arial" w:cs="Arial"/>
          <w:sz w:val="20"/>
        </w:rPr>
        <w:t>A</w:t>
      </w:r>
      <w:r w:rsidR="00286F0B">
        <w:rPr>
          <w:rFonts w:ascii="Arial" w:hAnsi="Arial" w:cs="Arial"/>
          <w:sz w:val="20"/>
        </w:rPr>
        <w:t> </w:t>
      </w:r>
      <w:r w:rsidR="00D45735" w:rsidRPr="005D395B">
        <w:rPr>
          <w:rFonts w:ascii="Arial" w:hAnsi="Arial" w:cs="Arial"/>
          <w:sz w:val="20"/>
        </w:rPr>
        <w:t>negative impact on the children’s mother has the risk of being translated into a negative impact on the children as well.  In</w:t>
      </w:r>
      <w:r w:rsidR="00D45735">
        <w:rPr>
          <w:rFonts w:ascii="Arial" w:hAnsi="Arial" w:cs="Arial"/>
          <w:sz w:val="20"/>
        </w:rPr>
        <w:t> </w:t>
      </w:r>
      <w:r w:rsidR="00D45735" w:rsidRPr="005D395B">
        <w:rPr>
          <w:rFonts w:ascii="Arial" w:hAnsi="Arial" w:cs="Arial"/>
          <w:sz w:val="20"/>
        </w:rPr>
        <w:t>addition, continuation of the trial in my view comes nowhere near justifying the costs which would be incurred by both parents and by the Victorian taxpayer and is therefore contra-indicated by s.215B(1)(h)</w:t>
      </w:r>
      <w:r w:rsidR="00D45735">
        <w:rPr>
          <w:rFonts w:ascii="Arial" w:hAnsi="Arial" w:cs="Arial"/>
          <w:sz w:val="20"/>
        </w:rPr>
        <w:t>.</w:t>
      </w:r>
    </w:p>
    <w:p w14:paraId="4C406245" w14:textId="77943B4E" w:rsidR="00872E57" w:rsidRPr="005D395B" w:rsidRDefault="00872E57" w:rsidP="00286F0B">
      <w:pPr>
        <w:pStyle w:val="ListParagraph"/>
        <w:spacing w:before="120"/>
        <w:ind w:left="567" w:right="567"/>
        <w:jc w:val="both"/>
        <w:rPr>
          <w:rFonts w:ascii="Arial" w:hAnsi="Arial" w:cs="Arial"/>
          <w:sz w:val="20"/>
        </w:rPr>
      </w:pPr>
      <w:r w:rsidRPr="005D395B">
        <w:rPr>
          <w:rFonts w:ascii="Arial" w:hAnsi="Arial" w:cs="Arial"/>
          <w:sz w:val="20"/>
        </w:rPr>
        <w:t>Having read the thumbnail sketches provided by DHHS of the rest of the witnesses, I</w:t>
      </w:r>
      <w:r w:rsidR="00C956A5">
        <w:rPr>
          <w:rFonts w:ascii="Arial" w:hAnsi="Arial" w:cs="Arial"/>
          <w:sz w:val="20"/>
        </w:rPr>
        <w:t xml:space="preserve"> </w:t>
      </w:r>
      <w:r w:rsidRPr="005D395B">
        <w:rPr>
          <w:rFonts w:ascii="Arial" w:hAnsi="Arial" w:cs="Arial"/>
          <w:sz w:val="20"/>
        </w:rPr>
        <w:t>think it is unlikely that any of their evidence would fundamentally change my preliminary view on the central disputed issue of the timing of the father’s return to the family home.  However, I cannot be certain of that based just on the synopses of their evidence and – as usual in this Court – there are no witness statements available.  Further, while I would prefer not to subject both parents to the stress of giving evidence in these proceedings – which would not be necessary if my preliminary view was accepted by all parties – it does not seem fair to require them and their counsel to make that decision in a vacuum.  Although the provisions of paragraphs (a), (b), (d), (f) &amp; (h) of s.215B(1) on their face appear to allow it, I am concerned that for me to state that the rest of the witnesses originally foreshadowed by DHHS need not be called may have the unintended effect of denying procedural fairness to one or more of the parties.  So I am taking the unusual step of providing the parties with this document which details my interim view of this case based on the evidence I</w:t>
      </w:r>
      <w:r w:rsidR="00286F0B">
        <w:rPr>
          <w:rFonts w:ascii="Arial" w:hAnsi="Arial" w:cs="Arial"/>
          <w:sz w:val="20"/>
        </w:rPr>
        <w:t xml:space="preserve"> </w:t>
      </w:r>
      <w:r w:rsidRPr="005D395B">
        <w:rPr>
          <w:rFonts w:ascii="Arial" w:hAnsi="Arial" w:cs="Arial"/>
          <w:sz w:val="20"/>
        </w:rPr>
        <w:t xml:space="preserve">have heard </w:t>
      </w:r>
      <w:r w:rsidR="00C956A5">
        <w:rPr>
          <w:rFonts w:ascii="Arial" w:hAnsi="Arial" w:cs="Arial"/>
          <w:sz w:val="20"/>
        </w:rPr>
        <w:t>[to date]</w:t>
      </w:r>
      <w:r w:rsidRPr="005D395B">
        <w:rPr>
          <w:rFonts w:ascii="Arial" w:hAnsi="Arial" w:cs="Arial"/>
          <w:sz w:val="20"/>
        </w:rPr>
        <w:t xml:space="preserve"> and which </w:t>
      </w:r>
      <w:r w:rsidRPr="005D395B">
        <w:rPr>
          <w:rFonts w:ascii="Arial" w:hAnsi="Arial" w:cs="Arial"/>
          <w:sz w:val="20"/>
        </w:rPr>
        <w:lastRenderedPageBreak/>
        <w:t>details the findings and orders that I</w:t>
      </w:r>
      <w:r w:rsidR="00C956A5">
        <w:rPr>
          <w:rFonts w:ascii="Arial" w:hAnsi="Arial" w:cs="Arial"/>
          <w:sz w:val="20"/>
        </w:rPr>
        <w:t xml:space="preserve"> </w:t>
      </w:r>
      <w:r w:rsidRPr="005D395B">
        <w:rPr>
          <w:rFonts w:ascii="Arial" w:hAnsi="Arial" w:cs="Arial"/>
          <w:sz w:val="20"/>
        </w:rPr>
        <w:t>consider to be in the best interests of each of the children based on that evidence.</w:t>
      </w:r>
    </w:p>
    <w:p w14:paraId="6BCEA771" w14:textId="2657533F" w:rsidR="00872E57" w:rsidRPr="005D395B" w:rsidRDefault="00872E57" w:rsidP="00286F0B">
      <w:pPr>
        <w:spacing w:before="120"/>
        <w:ind w:left="567" w:right="567"/>
        <w:jc w:val="both"/>
        <w:rPr>
          <w:rFonts w:ascii="Arial" w:hAnsi="Arial" w:cs="Arial"/>
          <w:color w:val="000000"/>
          <w:sz w:val="20"/>
          <w:szCs w:val="20"/>
        </w:rPr>
      </w:pPr>
      <w:r w:rsidRPr="005D395B">
        <w:rPr>
          <w:rFonts w:ascii="Arial" w:hAnsi="Arial" w:cs="Arial"/>
          <w:sz w:val="20"/>
          <w:szCs w:val="20"/>
        </w:rPr>
        <w:t xml:space="preserve">I do not </w:t>
      </w:r>
      <w:r w:rsidRPr="005D395B">
        <w:rPr>
          <w:rFonts w:ascii="Arial" w:hAnsi="Arial" w:cs="Arial"/>
          <w:color w:val="000000"/>
          <w:sz w:val="20"/>
          <w:szCs w:val="20"/>
        </w:rPr>
        <w:t>seek to bind any of the parties to accept these interim findings and orders.  If</w:t>
      </w:r>
      <w:r w:rsidR="00286F0B">
        <w:rPr>
          <w:rFonts w:ascii="Arial" w:hAnsi="Arial" w:cs="Arial"/>
          <w:color w:val="000000"/>
          <w:sz w:val="20"/>
          <w:szCs w:val="20"/>
        </w:rPr>
        <w:t xml:space="preserve"> </w:t>
      </w:r>
      <w:r w:rsidRPr="005D395B">
        <w:rPr>
          <w:rFonts w:ascii="Arial" w:hAnsi="Arial" w:cs="Arial"/>
          <w:color w:val="000000"/>
          <w:sz w:val="20"/>
          <w:szCs w:val="20"/>
        </w:rPr>
        <w:t>any of the parties wish to proceed with the contested hearing, the Court will provide the time to do so</w:t>
      </w:r>
      <w:r w:rsidR="00286F0B">
        <w:rPr>
          <w:rFonts w:ascii="Arial" w:hAnsi="Arial" w:cs="Arial"/>
          <w:color w:val="000000"/>
          <w:sz w:val="20"/>
          <w:szCs w:val="20"/>
        </w:rPr>
        <w:t>.”</w:t>
      </w:r>
    </w:p>
    <w:p w14:paraId="71FA8DE3" w14:textId="77777777" w:rsidR="00872E57" w:rsidRPr="005D395B" w:rsidRDefault="00872E57" w:rsidP="00872E57">
      <w:pPr>
        <w:jc w:val="both"/>
        <w:rPr>
          <w:rFonts w:ascii="Arial" w:hAnsi="Arial" w:cs="Arial"/>
          <w:color w:val="000000"/>
          <w:sz w:val="20"/>
          <w:szCs w:val="20"/>
        </w:rPr>
      </w:pPr>
    </w:p>
    <w:p w14:paraId="65FAEE24" w14:textId="05542E1E" w:rsidR="00872E57" w:rsidRDefault="00286F0B">
      <w:pPr>
        <w:jc w:val="both"/>
        <w:rPr>
          <w:rFonts w:ascii="Arial" w:hAnsi="Arial" w:cs="Arial"/>
          <w:sz w:val="20"/>
        </w:rPr>
      </w:pPr>
      <w:r>
        <w:rPr>
          <w:rFonts w:ascii="Arial" w:hAnsi="Arial" w:cs="Arial"/>
          <w:sz w:val="20"/>
        </w:rPr>
        <w:t>The case ultimately settled on the basis of the proposed orders contained in the Court’s interim written reasons.</w:t>
      </w:r>
    </w:p>
    <w:p w14:paraId="6E037DFC" w14:textId="5FF07FB5" w:rsidR="00237A4D" w:rsidRPr="00872E57" w:rsidRDefault="00237A4D">
      <w:pPr>
        <w:jc w:val="both"/>
        <w:rPr>
          <w:rFonts w:ascii="Arial" w:hAnsi="Arial" w:cs="Arial"/>
          <w:sz w:val="16"/>
          <w:szCs w:val="20"/>
        </w:rPr>
      </w:pPr>
    </w:p>
    <w:p w14:paraId="7C9F2B05" w14:textId="45B80C79" w:rsidR="0099333E" w:rsidRDefault="0099333E" w:rsidP="0099333E">
      <w:pPr>
        <w:pStyle w:val="Heading3"/>
        <w:keepNext/>
        <w:keepLines/>
        <w:widowControl/>
        <w:spacing w:after="120" w:line="240" w:lineRule="auto"/>
        <w:rPr>
          <w:rFonts w:ascii="Arial" w:hAnsi="Arial" w:cs="Arial"/>
          <w:sz w:val="20"/>
        </w:rPr>
      </w:pPr>
      <w:bookmarkStart w:id="1137" w:name="_4.8.2_Whether_an"/>
      <w:bookmarkEnd w:id="1137"/>
      <w:r>
        <w:rPr>
          <w:rFonts w:ascii="Arial" w:hAnsi="Arial" w:cs="Arial"/>
          <w:b/>
          <w:bCs/>
          <w:sz w:val="20"/>
        </w:rPr>
        <w:t>4.8.</w:t>
      </w:r>
      <w:r>
        <w:rPr>
          <w:rFonts w:ascii="Arial" w:hAnsi="Arial" w:cs="Arial"/>
          <w:b/>
          <w:bCs/>
          <w:color w:val="000000"/>
          <w:sz w:val="20"/>
        </w:rPr>
        <w:t>2</w:t>
      </w:r>
      <w:r>
        <w:rPr>
          <w:rFonts w:ascii="Arial" w:hAnsi="Arial" w:cs="Arial"/>
          <w:b/>
          <w:bCs/>
          <w:sz w:val="20"/>
        </w:rPr>
        <w:tab/>
        <w:t>Whether an adult party may be represented by a ‘litigation guardian’</w:t>
      </w:r>
    </w:p>
    <w:p w14:paraId="5266A010" w14:textId="77777777" w:rsidR="00323B33" w:rsidRDefault="00256DC5" w:rsidP="0099333E">
      <w:pPr>
        <w:keepNext/>
        <w:keepLines/>
        <w:jc w:val="both"/>
        <w:rPr>
          <w:rFonts w:ascii="Arial" w:hAnsi="Arial" w:cs="Arial"/>
          <w:sz w:val="20"/>
        </w:rPr>
      </w:pPr>
      <w:bookmarkStart w:id="1138" w:name="_Hlk119517881"/>
      <w:r>
        <w:rPr>
          <w:rFonts w:ascii="Arial" w:hAnsi="Arial" w:cs="Arial"/>
          <w:sz w:val="20"/>
        </w:rPr>
        <w:t>In the Family Division of the Children’s Court</w:t>
      </w:r>
      <w:r w:rsidR="00323B33">
        <w:rPr>
          <w:rFonts w:ascii="Arial" w:hAnsi="Arial" w:cs="Arial"/>
          <w:sz w:val="20"/>
        </w:rPr>
        <w:t>-</w:t>
      </w:r>
    </w:p>
    <w:p w14:paraId="3B45D075"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under 10 years</w:t>
      </w:r>
      <w:r w:rsidR="00323B33">
        <w:rPr>
          <w:rFonts w:ascii="Arial" w:hAnsi="Arial" w:cs="Arial"/>
          <w:sz w:val="20"/>
        </w:rPr>
        <w:t>;</w:t>
      </w:r>
      <w:r w:rsidRPr="00323B33">
        <w:rPr>
          <w:rFonts w:ascii="Arial" w:hAnsi="Arial" w:cs="Arial"/>
          <w:sz w:val="20"/>
        </w:rPr>
        <w:t xml:space="preserve"> or</w:t>
      </w:r>
    </w:p>
    <w:p w14:paraId="6D452FDC" w14:textId="77777777" w:rsidR="00323B33" w:rsidRDefault="00256DC5">
      <w:pPr>
        <w:pStyle w:val="ListParagraph"/>
        <w:numPr>
          <w:ilvl w:val="0"/>
          <w:numId w:val="73"/>
        </w:numPr>
        <w:ind w:left="357" w:hanging="357"/>
        <w:jc w:val="both"/>
        <w:rPr>
          <w:rFonts w:ascii="Arial" w:hAnsi="Arial" w:cs="Arial"/>
          <w:sz w:val="20"/>
        </w:rPr>
      </w:pPr>
      <w:r w:rsidRPr="00323B33">
        <w:rPr>
          <w:rFonts w:ascii="Arial" w:hAnsi="Arial" w:cs="Arial"/>
          <w:sz w:val="20"/>
        </w:rPr>
        <w:t>a child aged 10 years or more whom the Court determines is not mature enough to give instructions</w:t>
      </w:r>
      <w:r w:rsidR="00323B33">
        <w:rPr>
          <w:rFonts w:ascii="Arial" w:hAnsi="Arial" w:cs="Arial"/>
          <w:sz w:val="20"/>
        </w:rPr>
        <w:t>-</w:t>
      </w:r>
    </w:p>
    <w:p w14:paraId="64C8BF0C" w14:textId="6001A775" w:rsidR="0099333E" w:rsidRPr="00323B33" w:rsidRDefault="00256DC5" w:rsidP="00323B33">
      <w:pPr>
        <w:jc w:val="both"/>
        <w:rPr>
          <w:rFonts w:ascii="Arial" w:hAnsi="Arial" w:cs="Arial"/>
          <w:sz w:val="20"/>
        </w:rPr>
      </w:pPr>
      <w:r w:rsidRPr="00323B33">
        <w:rPr>
          <w:rFonts w:ascii="Arial" w:hAnsi="Arial" w:cs="Arial"/>
          <w:sz w:val="20"/>
        </w:rPr>
        <w:t>may be legally represented by a</w:t>
      </w:r>
      <w:r w:rsidR="00AF7ECC">
        <w:rPr>
          <w:rFonts w:ascii="Arial" w:hAnsi="Arial" w:cs="Arial"/>
          <w:sz w:val="20"/>
        </w:rPr>
        <w:t xml:space="preserve"> best interest</w:t>
      </w:r>
      <w:r w:rsidRPr="00323B33">
        <w:rPr>
          <w:rFonts w:ascii="Arial" w:hAnsi="Arial" w:cs="Arial"/>
          <w:sz w:val="20"/>
        </w:rPr>
        <w:t xml:space="preserve">s </w:t>
      </w:r>
      <w:r w:rsidR="00AF7ECC">
        <w:rPr>
          <w:rFonts w:ascii="Arial" w:hAnsi="Arial" w:cs="Arial"/>
          <w:sz w:val="20"/>
        </w:rPr>
        <w:t>l</w:t>
      </w:r>
      <w:r w:rsidRPr="00323B33">
        <w:rPr>
          <w:rFonts w:ascii="Arial" w:hAnsi="Arial" w:cs="Arial"/>
          <w:sz w:val="20"/>
        </w:rPr>
        <w:t>awyer (</w:t>
      </w:r>
      <w:r w:rsidR="00AF7ECC">
        <w:rPr>
          <w:rFonts w:ascii="Arial" w:hAnsi="Arial" w:cs="Arial"/>
          <w:sz w:val="20"/>
        </w:rPr>
        <w:t>BI</w:t>
      </w:r>
      <w:r w:rsidRPr="00323B33">
        <w:rPr>
          <w:rFonts w:ascii="Arial" w:hAnsi="Arial" w:cs="Arial"/>
          <w:sz w:val="20"/>
        </w:rPr>
        <w:t xml:space="preserve">L) if the Court is satisfied there are exceptional circumstances </w:t>
      </w:r>
      <w:r w:rsidR="00323B33" w:rsidRPr="00323B33">
        <w:rPr>
          <w:rFonts w:ascii="Arial" w:hAnsi="Arial" w:cs="Arial"/>
          <w:sz w:val="20"/>
        </w:rPr>
        <w:t xml:space="preserve">and that it is in the best interests of the child to do so: see </w:t>
      </w:r>
      <w:r w:rsidR="00323B33" w:rsidRPr="003B600E">
        <w:rPr>
          <w:rFonts w:ascii="Arial" w:hAnsi="Arial" w:cs="Arial"/>
          <w:b/>
          <w:bCs/>
          <w:sz w:val="20"/>
          <w:shd w:val="clear" w:color="auto" w:fill="C5E0B3"/>
        </w:rPr>
        <w:t>sections 4.7.3 &amp; 4.7.4</w:t>
      </w:r>
      <w:r w:rsidR="00323B33" w:rsidRPr="00323B33">
        <w:rPr>
          <w:rFonts w:ascii="Arial" w:hAnsi="Arial" w:cs="Arial"/>
          <w:sz w:val="20"/>
        </w:rPr>
        <w:t xml:space="preserve"> above.</w:t>
      </w:r>
    </w:p>
    <w:p w14:paraId="776EAFDF" w14:textId="332F4986" w:rsidR="0099333E" w:rsidRDefault="0099333E">
      <w:pPr>
        <w:jc w:val="both"/>
        <w:rPr>
          <w:rFonts w:ascii="Arial" w:hAnsi="Arial" w:cs="Arial"/>
          <w:sz w:val="20"/>
        </w:rPr>
      </w:pPr>
    </w:p>
    <w:p w14:paraId="38245E8A" w14:textId="4D19B8DE" w:rsidR="00323B33" w:rsidRPr="0082419B" w:rsidRDefault="00323B33">
      <w:pPr>
        <w:jc w:val="both"/>
        <w:rPr>
          <w:rFonts w:ascii="Arial" w:hAnsi="Arial" w:cs="Arial"/>
          <w:bCs/>
          <w:sz w:val="20"/>
          <w:szCs w:val="20"/>
        </w:rPr>
      </w:pPr>
      <w:r>
        <w:rPr>
          <w:rFonts w:ascii="Arial" w:hAnsi="Arial" w:cs="Arial"/>
          <w:sz w:val="20"/>
        </w:rPr>
        <w:t xml:space="preserve">However, there is an ongoing issue whether the Children’s Court has power to appoint a litigation guardian to represent an </w:t>
      </w:r>
      <w:r w:rsidRPr="00323B33">
        <w:rPr>
          <w:rFonts w:ascii="Arial" w:hAnsi="Arial" w:cs="Arial"/>
          <w:b/>
          <w:bCs/>
          <w:sz w:val="20"/>
          <w:u w:val="single"/>
        </w:rPr>
        <w:t>adult</w:t>
      </w:r>
      <w:r>
        <w:rPr>
          <w:rFonts w:ascii="Arial" w:hAnsi="Arial" w:cs="Arial"/>
          <w:sz w:val="20"/>
        </w:rPr>
        <w:t xml:space="preserve"> party </w:t>
      </w:r>
      <w:r w:rsidR="00E70D52">
        <w:rPr>
          <w:rFonts w:ascii="Arial" w:hAnsi="Arial" w:cs="Arial"/>
          <w:sz w:val="20"/>
        </w:rPr>
        <w:t xml:space="preserve">in the Family Division </w:t>
      </w:r>
      <w:r>
        <w:rPr>
          <w:rFonts w:ascii="Arial" w:hAnsi="Arial" w:cs="Arial"/>
          <w:sz w:val="20"/>
        </w:rPr>
        <w:t>who is “under disability”</w:t>
      </w:r>
      <w:r w:rsidR="008445F8">
        <w:rPr>
          <w:rFonts w:ascii="Arial" w:hAnsi="Arial" w:cs="Arial"/>
          <w:sz w:val="20"/>
        </w:rPr>
        <w:t>.</w:t>
      </w:r>
    </w:p>
    <w:p w14:paraId="7FF39FE9" w14:textId="5AB30CCD" w:rsidR="00323B33" w:rsidRDefault="00323B33">
      <w:pPr>
        <w:jc w:val="both"/>
        <w:rPr>
          <w:rFonts w:ascii="Arial" w:hAnsi="Arial" w:cs="Arial"/>
          <w:sz w:val="20"/>
        </w:rPr>
      </w:pPr>
    </w:p>
    <w:p w14:paraId="43F22AE9" w14:textId="58937429" w:rsidR="008445F8" w:rsidRDefault="0082419B">
      <w:pPr>
        <w:jc w:val="both"/>
        <w:rPr>
          <w:rFonts w:ascii="Arial" w:hAnsi="Arial" w:cs="Arial"/>
          <w:sz w:val="20"/>
        </w:rPr>
      </w:pPr>
      <w:r>
        <w:rPr>
          <w:rFonts w:ascii="Arial" w:hAnsi="Arial" w:cs="Arial"/>
          <w:sz w:val="20"/>
        </w:rPr>
        <w:t xml:space="preserve">The issue is </w:t>
      </w:r>
      <w:r w:rsidR="00614733">
        <w:rPr>
          <w:rFonts w:ascii="Arial" w:hAnsi="Arial" w:cs="Arial"/>
          <w:sz w:val="20"/>
        </w:rPr>
        <w:t xml:space="preserve">neatly </w:t>
      </w:r>
      <w:r w:rsidR="008445F8">
        <w:rPr>
          <w:rFonts w:ascii="Arial" w:hAnsi="Arial" w:cs="Arial"/>
          <w:sz w:val="20"/>
        </w:rPr>
        <w:t>analy</w:t>
      </w:r>
      <w:r w:rsidR="00614733">
        <w:rPr>
          <w:rFonts w:ascii="Arial" w:hAnsi="Arial" w:cs="Arial"/>
          <w:sz w:val="20"/>
        </w:rPr>
        <w:t>sed</w:t>
      </w:r>
      <w:r>
        <w:rPr>
          <w:rFonts w:ascii="Arial" w:hAnsi="Arial" w:cs="Arial"/>
          <w:sz w:val="20"/>
        </w:rPr>
        <w:t xml:space="preserve"> by Siobhan Mansfield in an article entitled “Parents lacking capacity” dated 01/04/2017 and published in the Law Institute of Victoria</w:t>
      </w:r>
      <w:r w:rsidR="000E7063">
        <w:rPr>
          <w:rFonts w:ascii="Arial" w:hAnsi="Arial" w:cs="Arial"/>
          <w:sz w:val="20"/>
        </w:rPr>
        <w:t xml:space="preserve"> Journal</w:t>
      </w:r>
      <w:r>
        <w:rPr>
          <w:rFonts w:ascii="Arial" w:hAnsi="Arial" w:cs="Arial"/>
          <w:sz w:val="20"/>
        </w:rPr>
        <w:t>.</w:t>
      </w:r>
      <w:r w:rsidR="00C030AE">
        <w:rPr>
          <w:rFonts w:ascii="Arial" w:hAnsi="Arial" w:cs="Arial"/>
          <w:sz w:val="20"/>
        </w:rPr>
        <w:t xml:space="preserve">  Ms</w:t>
      </w:r>
      <w:r w:rsidR="000E7063">
        <w:rPr>
          <w:rFonts w:ascii="Arial" w:hAnsi="Arial" w:cs="Arial"/>
          <w:sz w:val="20"/>
        </w:rPr>
        <w:t> </w:t>
      </w:r>
      <w:r w:rsidR="00C030AE">
        <w:rPr>
          <w:rFonts w:ascii="Arial" w:hAnsi="Arial" w:cs="Arial"/>
          <w:sz w:val="20"/>
        </w:rPr>
        <w:t xml:space="preserve">Mansfield </w:t>
      </w:r>
      <w:r w:rsidR="008445F8">
        <w:rPr>
          <w:rFonts w:ascii="Arial" w:hAnsi="Arial" w:cs="Arial"/>
          <w:sz w:val="20"/>
        </w:rPr>
        <w:t>note</w:t>
      </w:r>
      <w:r w:rsidR="00C030AE">
        <w:rPr>
          <w:rFonts w:ascii="Arial" w:hAnsi="Arial" w:cs="Arial"/>
          <w:sz w:val="20"/>
        </w:rPr>
        <w:t>s</w:t>
      </w:r>
      <w:r w:rsidR="008445F8">
        <w:rPr>
          <w:rFonts w:ascii="Arial" w:hAnsi="Arial" w:cs="Arial"/>
          <w:sz w:val="20"/>
        </w:rPr>
        <w:t>:</w:t>
      </w:r>
    </w:p>
    <w:p w14:paraId="5BDA530A" w14:textId="78DA618F" w:rsidR="008445F8" w:rsidRDefault="008445F8" w:rsidP="00286F0B">
      <w:pPr>
        <w:spacing w:before="60"/>
        <w:ind w:left="567" w:right="567"/>
        <w:jc w:val="both"/>
        <w:rPr>
          <w:rFonts w:ascii="Arial" w:hAnsi="Arial" w:cs="Arial"/>
          <w:bCs/>
          <w:sz w:val="20"/>
        </w:rPr>
      </w:pPr>
      <w:r>
        <w:rPr>
          <w:rFonts w:ascii="Arial" w:hAnsi="Arial" w:cs="Arial"/>
          <w:bCs/>
          <w:sz w:val="20"/>
        </w:rPr>
        <w:t>“As a court of inferior jurisdiction, the Children’s Court possesses no ‘inherent’ powers from which to make such an order.  It possesses some of the ‘implied powers’ that ‘may in many instances serve a function similar to that served by the inherent powers exercised by a superior court but they are derived from a different source and are limited in their extent’.  A court’s implied powers are derived from the doctrine of abuse of process which, although flexible, seems an unlikely vehicle from which to make such a significant appointment.</w:t>
      </w:r>
      <w:r w:rsidR="005B4A74">
        <w:rPr>
          <w:rFonts w:ascii="Arial" w:hAnsi="Arial" w:cs="Arial"/>
          <w:bCs/>
          <w:sz w:val="20"/>
        </w:rPr>
        <w:t>”</w:t>
      </w:r>
    </w:p>
    <w:p w14:paraId="6CDD9DF6" w14:textId="0D01DFAE" w:rsidR="005B4A74" w:rsidRDefault="005B4A74" w:rsidP="005B4A74">
      <w:pPr>
        <w:jc w:val="both"/>
        <w:rPr>
          <w:rFonts w:ascii="Arial" w:hAnsi="Arial" w:cs="Arial"/>
          <w:bCs/>
          <w:sz w:val="20"/>
        </w:rPr>
      </w:pPr>
    </w:p>
    <w:p w14:paraId="36465BFE" w14:textId="1E19A71A" w:rsidR="005B4A74" w:rsidRPr="005B4A74" w:rsidRDefault="005B4A74" w:rsidP="005B4A74">
      <w:pPr>
        <w:jc w:val="both"/>
        <w:rPr>
          <w:rFonts w:ascii="Arial" w:hAnsi="Arial" w:cs="Arial"/>
          <w:bCs/>
          <w:sz w:val="20"/>
        </w:rPr>
      </w:pPr>
      <w:r>
        <w:rPr>
          <w:rFonts w:ascii="Arial" w:hAnsi="Arial" w:cs="Arial"/>
          <w:bCs/>
          <w:sz w:val="20"/>
        </w:rPr>
        <w:t xml:space="preserve">It follows that Ms Mansfield considers – and the writer agrees – that if the Children’s Court has any such power, it must have been expressly conferred.  Referring to the </w:t>
      </w:r>
      <w:r w:rsidR="008445F8"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008445F8" w:rsidRPr="008D3853">
        <w:rPr>
          <w:rFonts w:ascii="Arial" w:hAnsi="Arial" w:cs="Arial"/>
          <w:bCs/>
          <w:sz w:val="20"/>
          <w:szCs w:val="20"/>
          <w:u w:val="single"/>
        </w:rPr>
        <w:t>20</w:t>
      </w:r>
      <w:r>
        <w:rPr>
          <w:rFonts w:ascii="Arial" w:hAnsi="Arial" w:cs="Arial"/>
          <w:bCs/>
          <w:sz w:val="20"/>
          <w:szCs w:val="20"/>
          <w:u w:val="single"/>
        </w:rPr>
        <w:t>1</w:t>
      </w:r>
      <w:r w:rsidR="008445F8" w:rsidRPr="008D3853">
        <w:rPr>
          <w:rFonts w:ascii="Arial" w:hAnsi="Arial" w:cs="Arial"/>
          <w:bCs/>
          <w:sz w:val="20"/>
          <w:szCs w:val="20"/>
          <w:u w:val="single"/>
        </w:rPr>
        <w:t>0</w:t>
      </w:r>
      <w:r w:rsidRPr="005B4A74">
        <w:rPr>
          <w:rFonts w:ascii="Arial" w:hAnsi="Arial" w:cs="Arial"/>
          <w:bCs/>
          <w:sz w:val="20"/>
          <w:szCs w:val="20"/>
        </w:rPr>
        <w:t xml:space="preserve"> – which have since been re-enacted </w:t>
      </w:r>
      <w:r>
        <w:rPr>
          <w:rFonts w:ascii="Arial" w:hAnsi="Arial" w:cs="Arial"/>
          <w:bCs/>
          <w:sz w:val="20"/>
          <w:szCs w:val="20"/>
        </w:rPr>
        <w:t xml:space="preserve">to like effect in the </w:t>
      </w:r>
      <w:r w:rsidRPr="008D3853">
        <w:rPr>
          <w:rFonts w:ascii="Arial" w:hAnsi="Arial" w:cs="Arial"/>
          <w:bCs/>
          <w:sz w:val="20"/>
          <w:szCs w:val="20"/>
          <w:u w:val="single"/>
        </w:rPr>
        <w:t>Magistrates' Court General Civil Procedure Rules</w:t>
      </w:r>
      <w:r w:rsidR="00703D27">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5B4A74">
        <w:rPr>
          <w:rFonts w:ascii="Arial" w:hAnsi="Arial" w:cs="Arial"/>
          <w:bCs/>
          <w:sz w:val="20"/>
          <w:szCs w:val="20"/>
        </w:rPr>
        <w:t xml:space="preserve"> </w:t>
      </w:r>
      <w:r>
        <w:rPr>
          <w:rFonts w:ascii="Arial" w:hAnsi="Arial" w:cs="Arial"/>
          <w:bCs/>
          <w:sz w:val="20"/>
          <w:szCs w:val="20"/>
        </w:rPr>
        <w:t>– Ms Mansfield traces the potential source of such power f</w:t>
      </w:r>
      <w:r w:rsidR="00703D27">
        <w:rPr>
          <w:rFonts w:ascii="Arial" w:hAnsi="Arial" w:cs="Arial"/>
          <w:bCs/>
          <w:sz w:val="20"/>
          <w:szCs w:val="20"/>
        </w:rPr>
        <w:t xml:space="preserve">lowing from these </w:t>
      </w:r>
      <w:r w:rsidR="007577D4">
        <w:rPr>
          <w:rFonts w:ascii="Arial" w:hAnsi="Arial" w:cs="Arial"/>
          <w:bCs/>
          <w:sz w:val="20"/>
          <w:szCs w:val="20"/>
        </w:rPr>
        <w:t>R</w:t>
      </w:r>
      <w:r w:rsidR="00703D27">
        <w:rPr>
          <w:rFonts w:ascii="Arial" w:hAnsi="Arial" w:cs="Arial"/>
          <w:bCs/>
          <w:sz w:val="20"/>
          <w:szCs w:val="20"/>
        </w:rPr>
        <w:t>ules and the CYFA as follows</w:t>
      </w:r>
      <w:r>
        <w:rPr>
          <w:rFonts w:ascii="Arial" w:hAnsi="Arial" w:cs="Arial"/>
          <w:bCs/>
          <w:sz w:val="20"/>
          <w:szCs w:val="20"/>
        </w:rPr>
        <w:t>:</w:t>
      </w:r>
    </w:p>
    <w:p w14:paraId="0A12BC18" w14:textId="4E00481A" w:rsidR="008445F8" w:rsidRPr="00C47AF6" w:rsidRDefault="005B4A74" w:rsidP="00C47AF6">
      <w:pPr>
        <w:spacing w:before="60"/>
        <w:ind w:left="567" w:right="567"/>
        <w:jc w:val="both"/>
        <w:rPr>
          <w:rFonts w:ascii="Arial" w:hAnsi="Arial" w:cs="Arial"/>
          <w:bCs/>
          <w:sz w:val="20"/>
          <w:szCs w:val="20"/>
        </w:rPr>
      </w:pPr>
      <w:r w:rsidRPr="005B4A74">
        <w:rPr>
          <w:rFonts w:ascii="Arial" w:hAnsi="Arial" w:cs="Arial"/>
          <w:bCs/>
          <w:sz w:val="20"/>
          <w:szCs w:val="20"/>
        </w:rPr>
        <w:t>“[Rule</w:t>
      </w:r>
      <w:r w:rsidR="00C47AF6">
        <w:rPr>
          <w:rFonts w:ascii="Arial" w:hAnsi="Arial" w:cs="Arial"/>
          <w:bCs/>
          <w:sz w:val="20"/>
          <w:szCs w:val="20"/>
        </w:rPr>
        <w:t>s</w:t>
      </w:r>
      <w:r w:rsidRPr="005B4A74">
        <w:rPr>
          <w:rFonts w:ascii="Arial" w:hAnsi="Arial" w:cs="Arial"/>
          <w:bCs/>
          <w:sz w:val="20"/>
          <w:szCs w:val="20"/>
        </w:rPr>
        <w:t xml:space="preserve"> 15.0</w:t>
      </w:r>
      <w:r w:rsidR="00C47AF6">
        <w:rPr>
          <w:rFonts w:ascii="Arial" w:hAnsi="Arial" w:cs="Arial"/>
          <w:bCs/>
          <w:sz w:val="20"/>
          <w:szCs w:val="20"/>
        </w:rPr>
        <w:t>3(3) &amp; 15.01(b)</w:t>
      </w:r>
      <w:r w:rsidRPr="005B4A74">
        <w:rPr>
          <w:rFonts w:ascii="Arial" w:hAnsi="Arial" w:cs="Arial"/>
          <w:bCs/>
          <w:sz w:val="20"/>
          <w:szCs w:val="20"/>
        </w:rPr>
        <w:t xml:space="preserve"> provide</w:t>
      </w:r>
      <w:r w:rsidR="00C47AF6">
        <w:rPr>
          <w:rFonts w:ascii="Arial" w:hAnsi="Arial" w:cs="Arial"/>
          <w:bCs/>
          <w:sz w:val="20"/>
          <w:szCs w:val="20"/>
        </w:rPr>
        <w:t>]</w:t>
      </w:r>
      <w:r w:rsidRPr="005B4A74">
        <w:rPr>
          <w:rFonts w:ascii="Arial" w:hAnsi="Arial" w:cs="Arial"/>
          <w:bCs/>
          <w:sz w:val="20"/>
          <w:szCs w:val="20"/>
        </w:rPr>
        <w:t xml:space="preserve"> that if, after </w:t>
      </w:r>
      <w:r>
        <w:rPr>
          <w:rFonts w:ascii="Arial" w:hAnsi="Arial" w:cs="Arial"/>
          <w:bCs/>
          <w:sz w:val="20"/>
          <w:szCs w:val="20"/>
        </w:rPr>
        <w:t xml:space="preserve">a proceeding is commenced, a party to the proceeding becomes a person ‘under disability’, the Court must appoint a litigation guardian.  </w:t>
      </w:r>
      <w:r w:rsidR="00B267C6">
        <w:rPr>
          <w:rFonts w:ascii="Arial" w:hAnsi="Arial" w:cs="Arial"/>
          <w:bCs/>
          <w:sz w:val="20"/>
          <w:szCs w:val="20"/>
        </w:rPr>
        <w:t xml:space="preserve">People ‘under disability’ are defined </w:t>
      </w:r>
      <w:r w:rsidR="00C47AF6">
        <w:rPr>
          <w:rFonts w:ascii="Arial" w:hAnsi="Arial" w:cs="Arial"/>
          <w:bCs/>
          <w:sz w:val="20"/>
          <w:szCs w:val="20"/>
        </w:rPr>
        <w:t xml:space="preserve">as </w:t>
      </w:r>
      <w:r w:rsidR="00C47AF6">
        <w:rPr>
          <w:rFonts w:ascii="Arial" w:hAnsi="Arial" w:cs="Arial"/>
          <w:sz w:val="20"/>
        </w:rPr>
        <w:t>‘</w:t>
      </w:r>
      <w:r w:rsidR="008445F8">
        <w:rPr>
          <w:rFonts w:ascii="Arial" w:hAnsi="Arial" w:cs="Arial"/>
          <w:sz w:val="20"/>
        </w:rPr>
        <w:t xml:space="preserve">incapable by reason of injury, disease, senility, illness or physical or mental infirmity of managing his or her affairs in relation to </w:t>
      </w:r>
      <w:r w:rsidR="00C47AF6">
        <w:rPr>
          <w:rFonts w:ascii="Arial" w:hAnsi="Arial" w:cs="Arial"/>
          <w:sz w:val="20"/>
        </w:rPr>
        <w:t xml:space="preserve">the </w:t>
      </w:r>
      <w:r w:rsidR="008445F8">
        <w:rPr>
          <w:rFonts w:ascii="Arial" w:hAnsi="Arial" w:cs="Arial"/>
          <w:sz w:val="20"/>
        </w:rPr>
        <w:t>proceeding</w:t>
      </w:r>
      <w:r w:rsidR="00C47AF6">
        <w:rPr>
          <w:rFonts w:ascii="Arial" w:hAnsi="Arial" w:cs="Arial"/>
          <w:sz w:val="20"/>
        </w:rPr>
        <w:t xml:space="preserve">’.  Section 528(1) of the CYFA provides that the Children’s Court has and may exercise all powers and authorities that the Magistrates’ Court has in relation to matters over which it has jurisdiction.  Section 528(2) of the CYFA provides that the </w:t>
      </w:r>
      <w:r w:rsidR="00C47AF6" w:rsidRPr="00451D58">
        <w:rPr>
          <w:rFonts w:ascii="Arial" w:hAnsi="Arial" w:cs="Arial"/>
          <w:bCs/>
          <w:sz w:val="20"/>
          <w:u w:val="single"/>
        </w:rPr>
        <w:t>Magistrates’ Court Act 1989 (Vic)</w:t>
      </w:r>
      <w:r w:rsidR="00C47AF6" w:rsidRPr="00C47AF6">
        <w:rPr>
          <w:rFonts w:ascii="Arial" w:hAnsi="Arial" w:cs="Arial"/>
          <w:bCs/>
          <w:sz w:val="20"/>
        </w:rPr>
        <w:t xml:space="preserve"> </w:t>
      </w:r>
      <w:r w:rsidR="003649FE">
        <w:rPr>
          <w:rFonts w:ascii="Arial" w:hAnsi="Arial" w:cs="Arial"/>
          <w:bCs/>
          <w:sz w:val="20"/>
        </w:rPr>
        <w:t xml:space="preserve">(MCA) </w:t>
      </w:r>
      <w:r w:rsidR="00C47AF6" w:rsidRPr="00C47AF6">
        <w:rPr>
          <w:rFonts w:ascii="Arial" w:hAnsi="Arial" w:cs="Arial"/>
          <w:bCs/>
          <w:sz w:val="20"/>
        </w:rPr>
        <w:t xml:space="preserve">has application </w:t>
      </w:r>
      <w:r w:rsidR="00C47AF6">
        <w:rPr>
          <w:rFonts w:ascii="Arial" w:hAnsi="Arial" w:cs="Arial"/>
          <w:bCs/>
          <w:sz w:val="20"/>
        </w:rPr>
        <w:t>in all Children’s Court proceedings (subject to consistency w</w:t>
      </w:r>
      <w:r w:rsidR="00703D27">
        <w:rPr>
          <w:rFonts w:ascii="Arial" w:hAnsi="Arial" w:cs="Arial"/>
          <w:bCs/>
          <w:sz w:val="20"/>
        </w:rPr>
        <w:t>i</w:t>
      </w:r>
      <w:r w:rsidR="00C47AF6">
        <w:rPr>
          <w:rFonts w:ascii="Arial" w:hAnsi="Arial" w:cs="Arial"/>
          <w:bCs/>
          <w:sz w:val="20"/>
        </w:rPr>
        <w:t>th the CYFA), with two exceptions: s.58 and Part 5 – Civil proceedings.”</w:t>
      </w:r>
    </w:p>
    <w:p w14:paraId="5D6D6076" w14:textId="77777777" w:rsidR="008445F8" w:rsidRDefault="008445F8">
      <w:pPr>
        <w:jc w:val="both"/>
        <w:rPr>
          <w:rFonts w:ascii="Arial" w:hAnsi="Arial" w:cs="Arial"/>
          <w:sz w:val="20"/>
        </w:rPr>
      </w:pPr>
    </w:p>
    <w:p w14:paraId="21FEEA7E" w14:textId="7F0EAE83" w:rsidR="0082419B" w:rsidRDefault="00703D27">
      <w:pPr>
        <w:jc w:val="both"/>
        <w:rPr>
          <w:rFonts w:ascii="Arial" w:hAnsi="Arial" w:cs="Arial"/>
          <w:sz w:val="20"/>
        </w:rPr>
      </w:pPr>
      <w:r>
        <w:rPr>
          <w:rFonts w:ascii="Arial" w:hAnsi="Arial" w:cs="Arial"/>
          <w:sz w:val="20"/>
        </w:rPr>
        <w:t xml:space="preserve">Ms Mansfield goes on to </w:t>
      </w:r>
      <w:r w:rsidR="008445F8">
        <w:rPr>
          <w:rFonts w:ascii="Arial" w:hAnsi="Arial" w:cs="Arial"/>
          <w:sz w:val="20"/>
        </w:rPr>
        <w:t xml:space="preserve">describe </w:t>
      </w:r>
      <w:r w:rsidR="00C030AE">
        <w:rPr>
          <w:rFonts w:ascii="Arial" w:hAnsi="Arial" w:cs="Arial"/>
          <w:sz w:val="20"/>
        </w:rPr>
        <w:t xml:space="preserve">the </w:t>
      </w:r>
      <w:r w:rsidR="000730EB">
        <w:rPr>
          <w:rFonts w:ascii="Arial" w:hAnsi="Arial" w:cs="Arial"/>
          <w:sz w:val="20"/>
        </w:rPr>
        <w:t xml:space="preserve">two </w:t>
      </w:r>
      <w:r w:rsidR="00C030AE">
        <w:rPr>
          <w:rFonts w:ascii="Arial" w:hAnsi="Arial" w:cs="Arial"/>
          <w:sz w:val="20"/>
        </w:rPr>
        <w:t>conflicting views as follows:</w:t>
      </w:r>
    </w:p>
    <w:p w14:paraId="58C37E7D" w14:textId="37932A5E" w:rsidR="00C030AE" w:rsidRDefault="00C030AE" w:rsidP="008D3853">
      <w:pPr>
        <w:spacing w:before="60"/>
        <w:ind w:left="567" w:right="567"/>
        <w:jc w:val="both"/>
        <w:rPr>
          <w:rFonts w:ascii="Arial" w:hAnsi="Arial" w:cs="Arial"/>
          <w:bCs/>
          <w:sz w:val="20"/>
        </w:rPr>
      </w:pPr>
      <w:r>
        <w:rPr>
          <w:rFonts w:ascii="Arial" w:hAnsi="Arial" w:cs="Arial"/>
          <w:bCs/>
          <w:sz w:val="20"/>
        </w:rPr>
        <w:t>“The provisions for the appointment of a litigation guardian in the Magistrates’ Court apply to civil proceedings.  It has been argued that this puts the appointment of litigation guardians within the exceptions provided in s.528(2) [CYFA].  If this argument is accepted, the Children’s Court has no authority to appoint a lit</w:t>
      </w:r>
      <w:r w:rsidR="008445F8">
        <w:rPr>
          <w:rFonts w:ascii="Arial" w:hAnsi="Arial" w:cs="Arial"/>
          <w:bCs/>
          <w:sz w:val="20"/>
        </w:rPr>
        <w:t>i</w:t>
      </w:r>
      <w:r>
        <w:rPr>
          <w:rFonts w:ascii="Arial" w:hAnsi="Arial" w:cs="Arial"/>
          <w:bCs/>
          <w:sz w:val="20"/>
        </w:rPr>
        <w:t>gation guardian pursuant to the general civil procedure rules.</w:t>
      </w:r>
    </w:p>
    <w:p w14:paraId="2EAC9A3A" w14:textId="17A4098B" w:rsidR="00C030AE" w:rsidRDefault="00C030AE" w:rsidP="008D3853">
      <w:pPr>
        <w:spacing w:before="60"/>
        <w:ind w:left="567" w:right="567"/>
        <w:jc w:val="both"/>
        <w:rPr>
          <w:rFonts w:ascii="Arial" w:hAnsi="Arial" w:cs="Arial"/>
          <w:bCs/>
          <w:sz w:val="20"/>
        </w:rPr>
      </w:pPr>
      <w:r>
        <w:rPr>
          <w:rFonts w:ascii="Arial" w:hAnsi="Arial" w:cs="Arial"/>
          <w:bCs/>
          <w:sz w:val="20"/>
        </w:rPr>
        <w:t>A contrary view argues that as the power to make rules is contained in Part 2 of the</w:t>
      </w:r>
      <w:r w:rsidR="003649FE">
        <w:rPr>
          <w:rFonts w:ascii="Arial" w:hAnsi="Arial" w:cs="Arial"/>
          <w:bCs/>
          <w:sz w:val="20"/>
        </w:rPr>
        <w:t xml:space="preserve"> MCA,</w:t>
      </w:r>
      <w:r>
        <w:rPr>
          <w:rFonts w:ascii="Arial" w:hAnsi="Arial" w:cs="Arial"/>
          <w:bCs/>
          <w:sz w:val="20"/>
        </w:rPr>
        <w:t xml:space="preserve"> it is </w:t>
      </w:r>
      <w:r w:rsidR="00451D58">
        <w:rPr>
          <w:rFonts w:ascii="Arial" w:hAnsi="Arial" w:cs="Arial"/>
          <w:bCs/>
          <w:sz w:val="20"/>
        </w:rPr>
        <w:t xml:space="preserve">not excluded from operation in the Children’s Court. This would enable the Children’s Court to appoint a litigation guardian.  The </w:t>
      </w:r>
      <w:r w:rsidR="00451D58" w:rsidRPr="00753A49">
        <w:rPr>
          <w:rFonts w:ascii="Arial" w:hAnsi="Arial" w:cs="Arial"/>
          <w:bCs/>
          <w:i/>
          <w:iCs/>
          <w:sz w:val="20"/>
        </w:rPr>
        <w:t>Charter</w:t>
      </w:r>
      <w:r w:rsidR="00451D58">
        <w:rPr>
          <w:rFonts w:ascii="Arial" w:hAnsi="Arial" w:cs="Arial"/>
          <w:bCs/>
          <w:sz w:val="20"/>
        </w:rPr>
        <w:t xml:space="preserve"> and Article 13 of the </w:t>
      </w:r>
      <w:r w:rsidR="00451D58" w:rsidRPr="00451D58">
        <w:rPr>
          <w:rFonts w:ascii="Arial" w:hAnsi="Arial" w:cs="Arial"/>
          <w:bCs/>
          <w:i/>
          <w:iCs/>
          <w:sz w:val="20"/>
        </w:rPr>
        <w:t>Convention on the Rights of Persons with Disabilities</w:t>
      </w:r>
      <w:r w:rsidR="00451D58">
        <w:rPr>
          <w:rFonts w:ascii="Arial" w:hAnsi="Arial" w:cs="Arial"/>
          <w:bCs/>
          <w:sz w:val="20"/>
        </w:rPr>
        <w:t xml:space="preserve"> [which states </w:t>
      </w:r>
      <w:r w:rsidR="00245BE6">
        <w:rPr>
          <w:rFonts w:ascii="Arial" w:hAnsi="Arial" w:cs="Arial"/>
          <w:bCs/>
          <w:sz w:val="20"/>
        </w:rPr>
        <w:lastRenderedPageBreak/>
        <w:t>that countries ‘shall ensure effective access to justice for persons with disabilities on an equal basis with others’] serve to strengthen this construction.  There have been a small number of appointments made by the Court on the bas</w:t>
      </w:r>
      <w:r w:rsidR="00753A49">
        <w:rPr>
          <w:rFonts w:ascii="Arial" w:hAnsi="Arial" w:cs="Arial"/>
          <w:bCs/>
          <w:sz w:val="20"/>
        </w:rPr>
        <w:t>i</w:t>
      </w:r>
      <w:r w:rsidR="00245BE6">
        <w:rPr>
          <w:rFonts w:ascii="Arial" w:hAnsi="Arial" w:cs="Arial"/>
          <w:bCs/>
          <w:sz w:val="20"/>
        </w:rPr>
        <w:t>s of this construction.”</w:t>
      </w:r>
    </w:p>
    <w:p w14:paraId="134C2632" w14:textId="6883D81E" w:rsidR="0082419B" w:rsidRDefault="0082419B">
      <w:pPr>
        <w:jc w:val="both"/>
        <w:rPr>
          <w:rFonts w:ascii="Arial" w:hAnsi="Arial" w:cs="Arial"/>
          <w:sz w:val="20"/>
        </w:rPr>
      </w:pPr>
    </w:p>
    <w:p w14:paraId="3A1CAFBC" w14:textId="5FE6A9A2" w:rsidR="00C030AE" w:rsidRDefault="00323B33" w:rsidP="007577D4">
      <w:pPr>
        <w:jc w:val="both"/>
        <w:rPr>
          <w:rFonts w:ascii="Arial" w:hAnsi="Arial" w:cs="Arial"/>
          <w:sz w:val="20"/>
        </w:rPr>
      </w:pPr>
      <w:r>
        <w:rPr>
          <w:rFonts w:ascii="Arial" w:hAnsi="Arial" w:cs="Arial"/>
          <w:sz w:val="20"/>
        </w:rPr>
        <w:t xml:space="preserve">In the writer’s </w:t>
      </w:r>
      <w:r w:rsidR="00C030AE">
        <w:rPr>
          <w:rFonts w:ascii="Arial" w:hAnsi="Arial" w:cs="Arial"/>
          <w:sz w:val="20"/>
        </w:rPr>
        <w:t xml:space="preserve">opinion, the better view is that the Children’s Court does </w:t>
      </w:r>
      <w:r w:rsidR="00C030AE" w:rsidRPr="00E11513">
        <w:rPr>
          <w:rFonts w:ascii="Arial" w:hAnsi="Arial" w:cs="Arial"/>
          <w:b/>
          <w:bCs/>
          <w:sz w:val="20"/>
          <w:u w:val="single"/>
        </w:rPr>
        <w:t>not</w:t>
      </w:r>
      <w:r w:rsidR="00C030AE">
        <w:rPr>
          <w:rFonts w:ascii="Arial" w:hAnsi="Arial" w:cs="Arial"/>
          <w:sz w:val="20"/>
        </w:rPr>
        <w:t xml:space="preserve"> have jurisdiction to appoint a litigation guardian to represent an adult party in Family Division proceedings whether they are-</w:t>
      </w:r>
    </w:p>
    <w:p w14:paraId="395306F1" w14:textId="1EEEEE76" w:rsidR="00323B33" w:rsidRDefault="00323B33">
      <w:pPr>
        <w:pStyle w:val="ListParagraph"/>
        <w:numPr>
          <w:ilvl w:val="0"/>
          <w:numId w:val="73"/>
        </w:numPr>
        <w:ind w:left="357" w:hanging="357"/>
        <w:jc w:val="both"/>
        <w:rPr>
          <w:rFonts w:ascii="Arial" w:hAnsi="Arial" w:cs="Arial"/>
          <w:sz w:val="20"/>
        </w:rPr>
      </w:pPr>
      <w:r>
        <w:rPr>
          <w:rFonts w:ascii="Arial" w:hAnsi="Arial" w:cs="Arial"/>
          <w:sz w:val="20"/>
        </w:rPr>
        <w:t xml:space="preserve">child protection proceedings in the Family Division </w:t>
      </w:r>
      <w:r w:rsidR="00753A49">
        <w:rPr>
          <w:rFonts w:ascii="Arial" w:hAnsi="Arial" w:cs="Arial"/>
          <w:sz w:val="20"/>
        </w:rPr>
        <w:t xml:space="preserve">as </w:t>
      </w:r>
      <w:r>
        <w:rPr>
          <w:rFonts w:ascii="Arial" w:hAnsi="Arial" w:cs="Arial"/>
          <w:sz w:val="20"/>
        </w:rPr>
        <w:t xml:space="preserve">listed in s.515(1) CYFA; </w:t>
      </w:r>
      <w:r w:rsidR="005F72F3">
        <w:rPr>
          <w:rFonts w:ascii="Arial" w:hAnsi="Arial" w:cs="Arial"/>
          <w:sz w:val="20"/>
        </w:rPr>
        <w:t>or</w:t>
      </w:r>
    </w:p>
    <w:p w14:paraId="3A6D1E2F" w14:textId="3CCE5651" w:rsidR="00323B33" w:rsidRDefault="0082419B">
      <w:pPr>
        <w:pStyle w:val="ListParagraph"/>
        <w:numPr>
          <w:ilvl w:val="0"/>
          <w:numId w:val="73"/>
        </w:numPr>
        <w:ind w:left="357" w:hanging="357"/>
        <w:jc w:val="both"/>
        <w:rPr>
          <w:rFonts w:ascii="Arial" w:hAnsi="Arial" w:cs="Arial"/>
          <w:sz w:val="20"/>
        </w:rPr>
      </w:pPr>
      <w:r>
        <w:rPr>
          <w:rFonts w:ascii="Arial" w:hAnsi="Arial" w:cs="Arial"/>
          <w:sz w:val="20"/>
        </w:rPr>
        <w:t xml:space="preserve">intervention order proceedings </w:t>
      </w:r>
      <w:r w:rsidR="00C030AE">
        <w:rPr>
          <w:rFonts w:ascii="Arial" w:hAnsi="Arial" w:cs="Arial"/>
          <w:sz w:val="20"/>
        </w:rPr>
        <w:t>or</w:t>
      </w:r>
      <w:r>
        <w:rPr>
          <w:rFonts w:ascii="Arial" w:hAnsi="Arial" w:cs="Arial"/>
          <w:sz w:val="20"/>
        </w:rPr>
        <w:t xml:space="preserve"> vexatious proceedings </w:t>
      </w:r>
      <w:r w:rsidR="00753A49">
        <w:rPr>
          <w:rFonts w:ascii="Arial" w:hAnsi="Arial" w:cs="Arial"/>
          <w:sz w:val="20"/>
        </w:rPr>
        <w:t xml:space="preserve">as </w:t>
      </w:r>
      <w:r>
        <w:rPr>
          <w:rFonts w:ascii="Arial" w:hAnsi="Arial" w:cs="Arial"/>
          <w:sz w:val="20"/>
        </w:rPr>
        <w:t>listed in s.515(2) CYFA.</w:t>
      </w:r>
    </w:p>
    <w:p w14:paraId="26A534FD" w14:textId="072E420E" w:rsidR="00323B33" w:rsidRDefault="00E70D52" w:rsidP="007577D4">
      <w:pPr>
        <w:jc w:val="both"/>
        <w:rPr>
          <w:rFonts w:ascii="Arial" w:hAnsi="Arial" w:cs="Arial"/>
          <w:sz w:val="20"/>
        </w:rPr>
      </w:pPr>
      <w:r>
        <w:rPr>
          <w:rFonts w:ascii="Arial" w:hAnsi="Arial" w:cs="Arial"/>
          <w:sz w:val="20"/>
        </w:rPr>
        <w:t>His</w:t>
      </w:r>
      <w:r w:rsidR="00703D27">
        <w:rPr>
          <w:rFonts w:ascii="Arial" w:hAnsi="Arial" w:cs="Arial"/>
          <w:sz w:val="20"/>
        </w:rPr>
        <w:t xml:space="preserve"> reas</w:t>
      </w:r>
      <w:r w:rsidR="003649FE">
        <w:rPr>
          <w:rFonts w:ascii="Arial" w:hAnsi="Arial" w:cs="Arial"/>
          <w:sz w:val="20"/>
        </w:rPr>
        <w:t>ons are</w:t>
      </w:r>
      <w:r w:rsidR="00703D27">
        <w:rPr>
          <w:rFonts w:ascii="Arial" w:hAnsi="Arial" w:cs="Arial"/>
          <w:sz w:val="20"/>
        </w:rPr>
        <w:t xml:space="preserve"> as follows.</w:t>
      </w:r>
    </w:p>
    <w:p w14:paraId="3D38CC4B" w14:textId="47023735" w:rsidR="00703D27" w:rsidRDefault="00703D27">
      <w:pPr>
        <w:jc w:val="both"/>
        <w:rPr>
          <w:rFonts w:ascii="Arial" w:hAnsi="Arial" w:cs="Arial"/>
          <w:sz w:val="20"/>
        </w:rPr>
      </w:pPr>
    </w:p>
    <w:p w14:paraId="7ECE73F8" w14:textId="36C95D95" w:rsidR="003649FE" w:rsidRDefault="003649FE">
      <w:pPr>
        <w:jc w:val="both"/>
        <w:rPr>
          <w:rFonts w:ascii="Arial" w:hAnsi="Arial" w:cs="Arial"/>
          <w:bCs/>
          <w:sz w:val="20"/>
          <w:szCs w:val="20"/>
        </w:rPr>
      </w:pPr>
      <w:r>
        <w:rPr>
          <w:rFonts w:ascii="Arial" w:hAnsi="Arial" w:cs="Arial"/>
          <w:sz w:val="20"/>
        </w:rPr>
        <w:t xml:space="preserve">First, the writer notes that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Pr="003649FE">
        <w:rPr>
          <w:rFonts w:ascii="Arial" w:hAnsi="Arial" w:cs="Arial"/>
          <w:bCs/>
          <w:sz w:val="20"/>
          <w:szCs w:val="20"/>
        </w:rPr>
        <w:t xml:space="preserve"> provide</w:t>
      </w:r>
      <w:r>
        <w:rPr>
          <w:rFonts w:ascii="Arial" w:hAnsi="Arial" w:cs="Arial"/>
          <w:bCs/>
          <w:sz w:val="20"/>
          <w:szCs w:val="20"/>
        </w:rPr>
        <w:t>-</w:t>
      </w:r>
    </w:p>
    <w:p w14:paraId="2CF930FA" w14:textId="1BF0069A" w:rsidR="00B06693" w:rsidRDefault="00B06693">
      <w:pPr>
        <w:pStyle w:val="ListParagraph"/>
        <w:numPr>
          <w:ilvl w:val="0"/>
          <w:numId w:val="73"/>
        </w:numPr>
        <w:ind w:left="357" w:hanging="357"/>
        <w:jc w:val="both"/>
        <w:rPr>
          <w:rFonts w:ascii="Arial" w:hAnsi="Arial" w:cs="Arial"/>
          <w:sz w:val="20"/>
        </w:rPr>
      </w:pPr>
      <w:r>
        <w:rPr>
          <w:rFonts w:ascii="Arial" w:hAnsi="Arial" w:cs="Arial"/>
          <w:sz w:val="20"/>
        </w:rPr>
        <w:t>in Rule 1.01(2) that “The object of these Rules is to remake with amendments the rule</w:t>
      </w:r>
      <w:r w:rsidR="00753A49">
        <w:rPr>
          <w:rFonts w:ascii="Arial" w:hAnsi="Arial" w:cs="Arial"/>
          <w:sz w:val="20"/>
        </w:rPr>
        <w:t>s</w:t>
      </w:r>
      <w:r>
        <w:rPr>
          <w:rFonts w:ascii="Arial" w:hAnsi="Arial" w:cs="Arial"/>
          <w:sz w:val="20"/>
        </w:rPr>
        <w:t xml:space="preserve"> of procedure in civil proceedings in the Magistrates’ Court of Victoria”;</w:t>
      </w:r>
    </w:p>
    <w:p w14:paraId="086671B7" w14:textId="22219A62" w:rsidR="003649FE" w:rsidRPr="0096449C" w:rsidRDefault="003649FE">
      <w:pPr>
        <w:pStyle w:val="ListParagraph"/>
        <w:numPr>
          <w:ilvl w:val="0"/>
          <w:numId w:val="73"/>
        </w:numPr>
        <w:ind w:left="357" w:hanging="357"/>
        <w:jc w:val="both"/>
        <w:rPr>
          <w:rFonts w:ascii="Arial" w:hAnsi="Arial" w:cs="Arial"/>
          <w:sz w:val="20"/>
        </w:rPr>
      </w:pPr>
      <w:r>
        <w:rPr>
          <w:rFonts w:ascii="Arial" w:hAnsi="Arial" w:cs="Arial"/>
          <w:sz w:val="20"/>
        </w:rPr>
        <w:t xml:space="preserve">in Rule 1.05(1) that </w:t>
      </w:r>
      <w:r>
        <w:rPr>
          <w:rFonts w:ascii="Arial" w:hAnsi="Arial" w:cs="Arial"/>
          <w:bCs/>
          <w:sz w:val="20"/>
        </w:rPr>
        <w:t>“</w:t>
      </w:r>
      <w:r w:rsidR="0096449C">
        <w:rPr>
          <w:rFonts w:ascii="Arial" w:hAnsi="Arial" w:cs="Arial"/>
          <w:bCs/>
          <w:sz w:val="20"/>
        </w:rPr>
        <w:t xml:space="preserve">Subject to this Part and to any…provision in these Rules to the contrary, </w:t>
      </w:r>
      <w:r w:rsidRPr="0096449C">
        <w:rPr>
          <w:rFonts w:ascii="Arial" w:hAnsi="Arial" w:cs="Arial"/>
          <w:bCs/>
          <w:sz w:val="20"/>
        </w:rPr>
        <w:t xml:space="preserve">these Rules apply to every civil proceeding commenced in the </w:t>
      </w:r>
      <w:r w:rsidR="00E11513" w:rsidRPr="0096449C">
        <w:rPr>
          <w:rFonts w:ascii="Arial" w:hAnsi="Arial" w:cs="Arial"/>
          <w:bCs/>
          <w:sz w:val="20"/>
        </w:rPr>
        <w:t xml:space="preserve">[Magistrates’] </w:t>
      </w:r>
      <w:r w:rsidRPr="0096449C">
        <w:rPr>
          <w:rFonts w:ascii="Arial" w:hAnsi="Arial" w:cs="Arial"/>
          <w:bCs/>
          <w:sz w:val="20"/>
        </w:rPr>
        <w:t>Court”; and</w:t>
      </w:r>
    </w:p>
    <w:p w14:paraId="2788277E" w14:textId="01DDF558" w:rsidR="003649FE" w:rsidRDefault="003649FE">
      <w:pPr>
        <w:pStyle w:val="ListParagraph"/>
        <w:numPr>
          <w:ilvl w:val="0"/>
          <w:numId w:val="73"/>
        </w:numPr>
        <w:ind w:left="357" w:hanging="357"/>
        <w:jc w:val="both"/>
        <w:rPr>
          <w:rFonts w:ascii="Arial" w:hAnsi="Arial" w:cs="Arial"/>
          <w:sz w:val="20"/>
        </w:rPr>
      </w:pPr>
      <w:r>
        <w:rPr>
          <w:rFonts w:ascii="Arial" w:hAnsi="Arial" w:cs="Arial"/>
          <w:bCs/>
          <w:sz w:val="20"/>
        </w:rPr>
        <w:t>in Rule 1.05(2) that “</w:t>
      </w:r>
      <w:r w:rsidR="00B06693">
        <w:rPr>
          <w:rFonts w:ascii="Arial" w:hAnsi="Arial" w:cs="Arial"/>
          <w:bCs/>
          <w:sz w:val="20"/>
        </w:rPr>
        <w:t>T</w:t>
      </w:r>
      <w:r>
        <w:rPr>
          <w:rFonts w:ascii="Arial" w:hAnsi="Arial" w:cs="Arial"/>
          <w:bCs/>
          <w:sz w:val="20"/>
        </w:rPr>
        <w:t>hese Rules do not apply to a civil proceeding to which the following Rules of the Magistrates’ Court apply except as those Rules provide-</w:t>
      </w:r>
    </w:p>
    <w:p w14:paraId="337EE589" w14:textId="1DD2C0D8" w:rsidR="003649FE" w:rsidRDefault="003649FE">
      <w:pPr>
        <w:pStyle w:val="ListParagraph"/>
        <w:numPr>
          <w:ilvl w:val="4"/>
          <w:numId w:val="96"/>
        </w:numPr>
        <w:ind w:left="714" w:hanging="357"/>
        <w:jc w:val="both"/>
        <w:rPr>
          <w:rFonts w:ascii="Arial" w:hAnsi="Arial" w:cs="Arial"/>
          <w:bCs/>
          <w:sz w:val="20"/>
        </w:rPr>
      </w:pPr>
      <w:r>
        <w:rPr>
          <w:rFonts w:ascii="Arial" w:hAnsi="Arial" w:cs="Arial"/>
          <w:bCs/>
          <w:sz w:val="20"/>
        </w:rPr>
        <w:t>the Magistrates’ Court (Family Violence Protection</w:t>
      </w:r>
      <w:r w:rsidR="00E11513">
        <w:rPr>
          <w:rFonts w:ascii="Arial" w:hAnsi="Arial" w:cs="Arial"/>
          <w:bCs/>
          <w:sz w:val="20"/>
        </w:rPr>
        <w:t>)</w:t>
      </w:r>
      <w:r>
        <w:rPr>
          <w:rFonts w:ascii="Arial" w:hAnsi="Arial" w:cs="Arial"/>
          <w:bCs/>
          <w:sz w:val="20"/>
        </w:rPr>
        <w:t xml:space="preserve"> Rules</w:t>
      </w:r>
      <w:r w:rsidR="00E11513">
        <w:rPr>
          <w:rFonts w:ascii="Arial" w:hAnsi="Arial" w:cs="Arial"/>
          <w:bCs/>
          <w:sz w:val="20"/>
        </w:rPr>
        <w:t xml:space="preserve"> 2018; and…</w:t>
      </w:r>
    </w:p>
    <w:p w14:paraId="2A1043AD" w14:textId="25D9235B" w:rsidR="00E11513" w:rsidRPr="003649FE" w:rsidRDefault="00E11513">
      <w:pPr>
        <w:pStyle w:val="ListParagraph"/>
        <w:numPr>
          <w:ilvl w:val="0"/>
          <w:numId w:val="74"/>
        </w:numPr>
        <w:ind w:left="714" w:hanging="357"/>
        <w:jc w:val="both"/>
        <w:rPr>
          <w:rFonts w:ascii="Arial" w:hAnsi="Arial" w:cs="Arial"/>
          <w:bCs/>
          <w:sz w:val="20"/>
        </w:rPr>
      </w:pPr>
      <w:r>
        <w:rPr>
          <w:rFonts w:ascii="Arial" w:hAnsi="Arial" w:cs="Arial"/>
          <w:bCs/>
          <w:sz w:val="20"/>
        </w:rPr>
        <w:t>the Magistrates’ Court (Personal Safety Intervention Order) Rules 2011;…”</w:t>
      </w:r>
    </w:p>
    <w:p w14:paraId="2410A861" w14:textId="77777777" w:rsidR="00B06693" w:rsidRDefault="00B06693">
      <w:pPr>
        <w:jc w:val="both"/>
        <w:rPr>
          <w:rFonts w:ascii="Arial" w:hAnsi="Arial" w:cs="Arial"/>
          <w:bCs/>
          <w:sz w:val="20"/>
          <w:szCs w:val="20"/>
        </w:rPr>
      </w:pPr>
    </w:p>
    <w:p w14:paraId="3B0CBD8D" w14:textId="47F2194C" w:rsidR="00703D27" w:rsidRDefault="00E11513" w:rsidP="00E11513">
      <w:pPr>
        <w:jc w:val="both"/>
        <w:rPr>
          <w:rFonts w:ascii="Arial" w:hAnsi="Arial" w:cs="Arial"/>
          <w:sz w:val="20"/>
        </w:rPr>
      </w:pPr>
      <w:r>
        <w:rPr>
          <w:rFonts w:ascii="Arial" w:hAnsi="Arial" w:cs="Arial"/>
          <w:sz w:val="20"/>
        </w:rPr>
        <w:t xml:space="preserve">Secondly, the writer considers that </w:t>
      </w:r>
      <w:r w:rsidR="00B06693">
        <w:rPr>
          <w:rFonts w:ascii="Arial" w:hAnsi="Arial" w:cs="Arial"/>
          <w:sz w:val="20"/>
        </w:rPr>
        <w:t xml:space="preserve">it is irrelevant that the rule-making power in s.16 of the MCA – which is in Part 2 – is not specifically excluded by s.528(2) CYFA.  The </w:t>
      </w:r>
      <w:r w:rsidR="003649FE">
        <w:rPr>
          <w:rFonts w:ascii="Arial" w:hAnsi="Arial" w:cs="Arial"/>
          <w:sz w:val="20"/>
        </w:rPr>
        <w:t xml:space="preserve">Magistrates’ Court civil jurisdiction – enshrined in Part 5 of the MCA – </w:t>
      </w:r>
      <w:r w:rsidR="0096449C">
        <w:rPr>
          <w:rFonts w:ascii="Arial" w:hAnsi="Arial" w:cs="Arial"/>
          <w:sz w:val="20"/>
        </w:rPr>
        <w:t>is</w:t>
      </w:r>
      <w:r w:rsidR="003649FE">
        <w:rPr>
          <w:rFonts w:ascii="Arial" w:hAnsi="Arial" w:cs="Arial"/>
          <w:sz w:val="20"/>
        </w:rPr>
        <w:t xml:space="preserve"> specifically excluded from the jurisdiction </w:t>
      </w:r>
      <w:r>
        <w:rPr>
          <w:rFonts w:ascii="Arial" w:hAnsi="Arial" w:cs="Arial"/>
          <w:sz w:val="20"/>
        </w:rPr>
        <w:t>of the Children’s Court</w:t>
      </w:r>
      <w:r w:rsidR="0096449C">
        <w:rPr>
          <w:rFonts w:ascii="Arial" w:hAnsi="Arial" w:cs="Arial"/>
          <w:sz w:val="20"/>
        </w:rPr>
        <w:t>.  Hence</w:t>
      </w:r>
      <w:r>
        <w:rPr>
          <w:rFonts w:ascii="Arial" w:hAnsi="Arial" w:cs="Arial"/>
          <w:sz w:val="20"/>
        </w:rPr>
        <w:t xml:space="preserve">, the Rules </w:t>
      </w:r>
      <w:r w:rsidR="00B06693">
        <w:rPr>
          <w:rFonts w:ascii="Arial" w:hAnsi="Arial" w:cs="Arial"/>
          <w:sz w:val="20"/>
        </w:rPr>
        <w:t>of procedure for</w:t>
      </w:r>
      <w:r>
        <w:rPr>
          <w:rFonts w:ascii="Arial" w:hAnsi="Arial" w:cs="Arial"/>
          <w:sz w:val="20"/>
        </w:rPr>
        <w:t xml:space="preserve"> that jurisdiction in the Magistrates’ Court can</w:t>
      </w:r>
      <w:r w:rsidR="00B06693">
        <w:rPr>
          <w:rFonts w:ascii="Arial" w:hAnsi="Arial" w:cs="Arial"/>
          <w:sz w:val="20"/>
        </w:rPr>
        <w:t>not sensibly</w:t>
      </w:r>
      <w:r>
        <w:rPr>
          <w:rFonts w:ascii="Arial" w:hAnsi="Arial" w:cs="Arial"/>
          <w:sz w:val="20"/>
        </w:rPr>
        <w:t xml:space="preserve"> have </w:t>
      </w:r>
      <w:r w:rsidR="00B06693">
        <w:rPr>
          <w:rFonts w:ascii="Arial" w:hAnsi="Arial" w:cs="Arial"/>
          <w:sz w:val="20"/>
        </w:rPr>
        <w:t>any</w:t>
      </w:r>
      <w:r>
        <w:rPr>
          <w:rFonts w:ascii="Arial" w:hAnsi="Arial" w:cs="Arial"/>
          <w:sz w:val="20"/>
        </w:rPr>
        <w:t xml:space="preserve"> </w:t>
      </w:r>
      <w:r w:rsidR="005F72F3">
        <w:rPr>
          <w:rFonts w:ascii="Arial" w:hAnsi="Arial" w:cs="Arial"/>
          <w:sz w:val="20"/>
        </w:rPr>
        <w:t xml:space="preserve">residual </w:t>
      </w:r>
      <w:r>
        <w:rPr>
          <w:rFonts w:ascii="Arial" w:hAnsi="Arial" w:cs="Arial"/>
          <w:sz w:val="20"/>
        </w:rPr>
        <w:t>application in the Family Division of the Children’s Court.</w:t>
      </w:r>
      <w:r w:rsidR="00E86D91">
        <w:rPr>
          <w:rFonts w:ascii="Arial" w:hAnsi="Arial" w:cs="Arial"/>
          <w:sz w:val="20"/>
        </w:rPr>
        <w:t xml:space="preserve">  In short, rules of procedure for a jurisdiction cannot have any application in a court which does not have that jurisdiction.</w:t>
      </w:r>
    </w:p>
    <w:p w14:paraId="49A8A62F" w14:textId="65FC2307" w:rsidR="00703D27" w:rsidRDefault="00703D27">
      <w:pPr>
        <w:jc w:val="both"/>
        <w:rPr>
          <w:rFonts w:ascii="Arial" w:hAnsi="Arial" w:cs="Arial"/>
          <w:sz w:val="20"/>
        </w:rPr>
      </w:pPr>
    </w:p>
    <w:p w14:paraId="18412805" w14:textId="53C4C5E5" w:rsidR="005F72F3" w:rsidRDefault="00B06693" w:rsidP="005F72F3">
      <w:pPr>
        <w:jc w:val="both"/>
        <w:rPr>
          <w:rFonts w:ascii="Arial" w:hAnsi="Arial" w:cs="Arial"/>
          <w:bCs/>
          <w:sz w:val="20"/>
        </w:rPr>
      </w:pPr>
      <w:r>
        <w:rPr>
          <w:rFonts w:ascii="Arial" w:hAnsi="Arial" w:cs="Arial"/>
          <w:sz w:val="20"/>
        </w:rPr>
        <w:t xml:space="preserve">Thirdly, by operation of Rule 1.05(2), the </w:t>
      </w:r>
      <w:r w:rsidRPr="008D3853">
        <w:rPr>
          <w:rFonts w:ascii="Arial" w:hAnsi="Arial" w:cs="Arial"/>
          <w:bCs/>
          <w:sz w:val="20"/>
          <w:szCs w:val="20"/>
          <w:u w:val="single"/>
        </w:rPr>
        <w:t>Magistrates' Court General Civil Procedure Rules</w:t>
      </w:r>
      <w:r>
        <w:rPr>
          <w:rFonts w:ascii="Arial" w:hAnsi="Arial" w:cs="Arial"/>
          <w:bCs/>
          <w:sz w:val="20"/>
          <w:szCs w:val="20"/>
          <w:u w:val="single"/>
        </w:rPr>
        <w:t xml:space="preserve"> </w:t>
      </w:r>
      <w:r w:rsidRPr="008D3853">
        <w:rPr>
          <w:rFonts w:ascii="Arial" w:hAnsi="Arial" w:cs="Arial"/>
          <w:bCs/>
          <w:sz w:val="20"/>
          <w:szCs w:val="20"/>
          <w:u w:val="single"/>
        </w:rPr>
        <w:t>20</w:t>
      </w:r>
      <w:r>
        <w:rPr>
          <w:rFonts w:ascii="Arial" w:hAnsi="Arial" w:cs="Arial"/>
          <w:bCs/>
          <w:sz w:val="20"/>
          <w:szCs w:val="20"/>
          <w:u w:val="single"/>
        </w:rPr>
        <w:t>2</w:t>
      </w:r>
      <w:r w:rsidRPr="008D3853">
        <w:rPr>
          <w:rFonts w:ascii="Arial" w:hAnsi="Arial" w:cs="Arial"/>
          <w:bCs/>
          <w:sz w:val="20"/>
          <w:szCs w:val="20"/>
          <w:u w:val="single"/>
        </w:rPr>
        <w:t>0</w:t>
      </w:r>
      <w:r w:rsidR="005F72F3" w:rsidRPr="005F72F3">
        <w:rPr>
          <w:rFonts w:ascii="Arial" w:hAnsi="Arial" w:cs="Arial"/>
          <w:bCs/>
          <w:sz w:val="20"/>
          <w:szCs w:val="20"/>
        </w:rPr>
        <w:t xml:space="preserve"> are excluded from application in </w:t>
      </w:r>
      <w:r w:rsidR="005F72F3">
        <w:rPr>
          <w:rFonts w:ascii="Arial" w:hAnsi="Arial" w:cs="Arial"/>
          <w:bCs/>
          <w:sz w:val="20"/>
          <w:szCs w:val="20"/>
        </w:rPr>
        <w:t xml:space="preserve">the Magistrates’ Court in proceedings under the </w:t>
      </w:r>
      <w:r w:rsidR="005F72F3" w:rsidRPr="005F72F3">
        <w:rPr>
          <w:rFonts w:ascii="Arial" w:hAnsi="Arial" w:cs="Arial"/>
          <w:bCs/>
          <w:sz w:val="20"/>
          <w:u w:val="single"/>
        </w:rPr>
        <w:t>Family Violence Protection Act 2008</w:t>
      </w:r>
      <w:r w:rsidR="005F72F3" w:rsidRPr="005F72F3">
        <w:rPr>
          <w:rFonts w:ascii="Arial" w:hAnsi="Arial" w:cs="Arial"/>
          <w:bCs/>
          <w:sz w:val="20"/>
        </w:rPr>
        <w:t xml:space="preserve"> </w:t>
      </w:r>
      <w:r w:rsidR="005F72F3">
        <w:rPr>
          <w:rFonts w:ascii="Arial" w:hAnsi="Arial" w:cs="Arial"/>
          <w:bCs/>
          <w:sz w:val="20"/>
        </w:rPr>
        <w:t xml:space="preserve">and the </w:t>
      </w:r>
      <w:r w:rsidR="005F72F3" w:rsidRPr="005F72F3">
        <w:rPr>
          <w:rFonts w:ascii="Arial" w:hAnsi="Arial" w:cs="Arial"/>
          <w:bCs/>
          <w:sz w:val="20"/>
          <w:u w:val="single"/>
        </w:rPr>
        <w:t>Personal Safety Intervention Order Act 2010</w:t>
      </w:r>
      <w:r w:rsidR="005F72F3">
        <w:rPr>
          <w:rFonts w:ascii="Arial" w:hAnsi="Arial" w:cs="Arial"/>
          <w:bCs/>
          <w:sz w:val="20"/>
        </w:rPr>
        <w:t xml:space="preserve"> </w:t>
      </w:r>
      <w:r w:rsidR="00D30271">
        <w:rPr>
          <w:rFonts w:ascii="Arial" w:hAnsi="Arial" w:cs="Arial"/>
          <w:bCs/>
          <w:sz w:val="20"/>
        </w:rPr>
        <w:t xml:space="preserve">except as provided by the Rules under either Act.  However, there </w:t>
      </w:r>
      <w:r w:rsidRPr="005F72F3">
        <w:rPr>
          <w:rFonts w:ascii="Arial" w:hAnsi="Arial" w:cs="Arial"/>
          <w:bCs/>
          <w:sz w:val="20"/>
          <w:szCs w:val="20"/>
        </w:rPr>
        <w:t xml:space="preserve">are no provisions in either </w:t>
      </w:r>
      <w:r w:rsidR="005F72F3" w:rsidRPr="005F72F3">
        <w:rPr>
          <w:rFonts w:ascii="Arial" w:hAnsi="Arial" w:cs="Arial"/>
          <w:bCs/>
          <w:sz w:val="20"/>
        </w:rPr>
        <w:t xml:space="preserve">the </w:t>
      </w:r>
      <w:r w:rsidR="005F72F3" w:rsidRPr="005F72F3">
        <w:rPr>
          <w:rFonts w:ascii="Arial" w:hAnsi="Arial" w:cs="Arial"/>
          <w:bCs/>
          <w:sz w:val="20"/>
          <w:u w:val="single"/>
        </w:rPr>
        <w:t>Magistrates’ Court (Family Violence Protection) Rules 201</w:t>
      </w:r>
      <w:r w:rsidR="00D30271">
        <w:rPr>
          <w:rFonts w:ascii="Arial" w:hAnsi="Arial" w:cs="Arial"/>
          <w:bCs/>
          <w:sz w:val="20"/>
          <w:u w:val="single"/>
        </w:rPr>
        <w:t>8</w:t>
      </w:r>
      <w:r w:rsidR="005F72F3">
        <w:rPr>
          <w:rFonts w:ascii="Arial" w:hAnsi="Arial" w:cs="Arial"/>
          <w:bCs/>
          <w:sz w:val="20"/>
        </w:rPr>
        <w:t xml:space="preserve"> </w:t>
      </w:r>
      <w:r w:rsidR="00D30271">
        <w:rPr>
          <w:rFonts w:ascii="Arial" w:hAnsi="Arial" w:cs="Arial"/>
          <w:bCs/>
          <w:sz w:val="20"/>
        </w:rPr>
        <w:t>or</w:t>
      </w:r>
      <w:r w:rsidR="005F72F3">
        <w:rPr>
          <w:rFonts w:ascii="Arial" w:hAnsi="Arial" w:cs="Arial"/>
          <w:bCs/>
          <w:sz w:val="20"/>
        </w:rPr>
        <w:t xml:space="preserve"> the </w:t>
      </w:r>
      <w:r w:rsidR="005F72F3" w:rsidRPr="005F72F3">
        <w:rPr>
          <w:rFonts w:ascii="Arial" w:hAnsi="Arial" w:cs="Arial"/>
          <w:bCs/>
          <w:sz w:val="20"/>
          <w:u w:val="single"/>
        </w:rPr>
        <w:t>Magistrates’ Court (Personal Safety Intervention Order) Rules 2011</w:t>
      </w:r>
      <w:r w:rsidR="005F72F3">
        <w:rPr>
          <w:rFonts w:ascii="Arial" w:hAnsi="Arial" w:cs="Arial"/>
          <w:bCs/>
          <w:sz w:val="20"/>
        </w:rPr>
        <w:t xml:space="preserve"> </w:t>
      </w:r>
      <w:r w:rsidR="00D30271">
        <w:rPr>
          <w:rFonts w:ascii="Arial" w:hAnsi="Arial" w:cs="Arial"/>
          <w:bCs/>
          <w:sz w:val="20"/>
        </w:rPr>
        <w:t>which</w:t>
      </w:r>
      <w:r w:rsidR="005F72F3">
        <w:rPr>
          <w:rFonts w:ascii="Arial" w:hAnsi="Arial" w:cs="Arial"/>
          <w:bCs/>
          <w:sz w:val="20"/>
        </w:rPr>
        <w:t xml:space="preserve"> give the Magistrates’ Court power to order the appointment of a litigation guardian to represent any party in proceedings under either Act.</w:t>
      </w:r>
      <w:r w:rsidR="000E7063">
        <w:rPr>
          <w:rFonts w:ascii="Arial" w:hAnsi="Arial" w:cs="Arial"/>
          <w:bCs/>
          <w:sz w:val="20"/>
        </w:rPr>
        <w:t xml:space="preserve">  </w:t>
      </w:r>
      <w:r w:rsidR="005F72F3">
        <w:rPr>
          <w:rFonts w:ascii="Arial" w:hAnsi="Arial" w:cs="Arial"/>
          <w:bCs/>
          <w:sz w:val="20"/>
        </w:rPr>
        <w:t xml:space="preserve">Accordingly, in the writer’s view there is no power </w:t>
      </w:r>
      <w:r w:rsidR="00D30271">
        <w:rPr>
          <w:rFonts w:ascii="Arial" w:hAnsi="Arial" w:cs="Arial"/>
          <w:bCs/>
          <w:sz w:val="20"/>
        </w:rPr>
        <w:t xml:space="preserve">in the Magistrates’ Court capable of being used in the Children’s Court pursuant to s.528(1) CYFA </w:t>
      </w:r>
      <w:r w:rsidR="005F72F3">
        <w:rPr>
          <w:rFonts w:ascii="Arial" w:hAnsi="Arial" w:cs="Arial"/>
          <w:bCs/>
          <w:sz w:val="20"/>
        </w:rPr>
        <w:t xml:space="preserve">to order </w:t>
      </w:r>
      <w:r w:rsidR="00D30271">
        <w:rPr>
          <w:rFonts w:ascii="Arial" w:hAnsi="Arial" w:cs="Arial"/>
          <w:bCs/>
          <w:sz w:val="20"/>
        </w:rPr>
        <w:t xml:space="preserve">the appointment of </w:t>
      </w:r>
      <w:r w:rsidR="005F72F3">
        <w:rPr>
          <w:rFonts w:ascii="Arial" w:hAnsi="Arial" w:cs="Arial"/>
          <w:bCs/>
          <w:sz w:val="20"/>
        </w:rPr>
        <w:t>a litigation guardian for an adult party in any proceedings under either Act.</w:t>
      </w:r>
    </w:p>
    <w:p w14:paraId="6E498DCD" w14:textId="00E09697" w:rsidR="005F72F3" w:rsidRDefault="005F72F3" w:rsidP="005F72F3">
      <w:pPr>
        <w:jc w:val="both"/>
        <w:rPr>
          <w:rFonts w:ascii="Arial" w:hAnsi="Arial" w:cs="Arial"/>
          <w:bCs/>
          <w:sz w:val="20"/>
        </w:rPr>
      </w:pPr>
    </w:p>
    <w:p w14:paraId="04C0ED4A" w14:textId="2D03047F" w:rsidR="008267E0" w:rsidRDefault="00657490" w:rsidP="0085089D">
      <w:pPr>
        <w:jc w:val="both"/>
        <w:rPr>
          <w:rFonts w:ascii="Arial" w:hAnsi="Arial" w:cs="Arial"/>
          <w:bCs/>
          <w:sz w:val="20"/>
          <w:szCs w:val="20"/>
        </w:rPr>
      </w:pPr>
      <w:r>
        <w:rPr>
          <w:rFonts w:ascii="Arial" w:hAnsi="Arial" w:cs="Arial"/>
          <w:bCs/>
          <w:sz w:val="20"/>
        </w:rPr>
        <w:t xml:space="preserve">The writer has only conducted one </w:t>
      </w:r>
      <w:r w:rsidR="0085089D">
        <w:rPr>
          <w:rFonts w:ascii="Arial" w:hAnsi="Arial" w:cs="Arial"/>
          <w:bCs/>
          <w:sz w:val="20"/>
        </w:rPr>
        <w:t xml:space="preserve">child protection </w:t>
      </w:r>
      <w:r>
        <w:rPr>
          <w:rFonts w:ascii="Arial" w:hAnsi="Arial" w:cs="Arial"/>
          <w:bCs/>
          <w:sz w:val="20"/>
        </w:rPr>
        <w:t xml:space="preserve">contest in which an adult party </w:t>
      </w:r>
      <w:r w:rsidR="0085089D">
        <w:rPr>
          <w:rFonts w:ascii="Arial" w:hAnsi="Arial" w:cs="Arial"/>
          <w:bCs/>
          <w:sz w:val="20"/>
        </w:rPr>
        <w:t xml:space="preserve">– the mother – </w:t>
      </w:r>
      <w:r>
        <w:rPr>
          <w:rFonts w:ascii="Arial" w:hAnsi="Arial" w:cs="Arial"/>
          <w:bCs/>
          <w:sz w:val="20"/>
        </w:rPr>
        <w:t>was</w:t>
      </w:r>
      <w:r w:rsidR="0085089D">
        <w:rPr>
          <w:rFonts w:ascii="Arial" w:hAnsi="Arial" w:cs="Arial"/>
          <w:bCs/>
          <w:sz w:val="20"/>
        </w:rPr>
        <w:t xml:space="preserve"> </w:t>
      </w:r>
      <w:r>
        <w:rPr>
          <w:rFonts w:ascii="Arial" w:hAnsi="Arial" w:cs="Arial"/>
          <w:bCs/>
          <w:sz w:val="20"/>
        </w:rPr>
        <w:t xml:space="preserve">represented by a litigation guardian.  The case </w:t>
      </w:r>
      <w:r w:rsidR="0085089D">
        <w:rPr>
          <w:rFonts w:ascii="Arial" w:hAnsi="Arial" w:cs="Arial"/>
          <w:bCs/>
          <w:sz w:val="20"/>
        </w:rPr>
        <w:t xml:space="preserve">– </w:t>
      </w:r>
      <w:r w:rsidR="0085089D" w:rsidRPr="00657490">
        <w:rPr>
          <w:rFonts w:ascii="Arial" w:hAnsi="Arial" w:cs="Arial"/>
          <w:bCs/>
          <w:i/>
          <w:iCs/>
          <w:sz w:val="20"/>
        </w:rPr>
        <w:t>Re</w:t>
      </w:r>
      <w:r w:rsidR="0085089D">
        <w:rPr>
          <w:rFonts w:ascii="Arial" w:hAnsi="Arial" w:cs="Arial"/>
          <w:bCs/>
          <w:i/>
          <w:iCs/>
          <w:sz w:val="20"/>
        </w:rPr>
        <w:t xml:space="preserve"> </w:t>
      </w:r>
      <w:r w:rsidR="0085089D" w:rsidRPr="00657490">
        <w:rPr>
          <w:rFonts w:ascii="Arial" w:hAnsi="Arial" w:cs="Arial"/>
          <w:bCs/>
          <w:i/>
          <w:iCs/>
          <w:sz w:val="20"/>
        </w:rPr>
        <w:t>C Children</w:t>
      </w:r>
      <w:r w:rsidR="0085089D">
        <w:rPr>
          <w:rFonts w:ascii="Arial" w:hAnsi="Arial" w:cs="Arial"/>
          <w:bCs/>
          <w:sz w:val="20"/>
        </w:rPr>
        <w:t xml:space="preserve"> [Children’s Court of Victoria-Power M, unreported, 18/07/2013] – </w:t>
      </w:r>
      <w:r>
        <w:rPr>
          <w:rFonts w:ascii="Arial" w:hAnsi="Arial" w:cs="Arial"/>
          <w:bCs/>
          <w:sz w:val="20"/>
        </w:rPr>
        <w:t>involved</w:t>
      </w:r>
      <w:r w:rsidR="0085089D">
        <w:rPr>
          <w:rFonts w:ascii="Arial" w:hAnsi="Arial" w:cs="Arial"/>
          <w:bCs/>
          <w:sz w:val="20"/>
        </w:rPr>
        <w:t xml:space="preserve"> </w:t>
      </w:r>
      <w:r>
        <w:rPr>
          <w:rFonts w:ascii="Arial" w:hAnsi="Arial" w:cs="Arial"/>
          <w:bCs/>
          <w:sz w:val="20"/>
        </w:rPr>
        <w:t xml:space="preserve">two children aged 9y11m &amp; 15y8m who were living with their father.  Their mother had </w:t>
      </w:r>
      <w:r w:rsidRPr="00657490">
        <w:rPr>
          <w:rFonts w:ascii="Arial" w:hAnsi="Arial" w:cs="Arial"/>
          <w:bCs/>
          <w:sz w:val="20"/>
          <w:szCs w:val="20"/>
        </w:rPr>
        <w:t xml:space="preserve">started to display symptoms of schizophrenia in the last trimester before the birth of </w:t>
      </w:r>
      <w:r>
        <w:rPr>
          <w:rFonts w:ascii="Arial" w:hAnsi="Arial" w:cs="Arial"/>
          <w:bCs/>
          <w:sz w:val="20"/>
          <w:szCs w:val="20"/>
        </w:rPr>
        <w:t xml:space="preserve">the older child and had a history of inpatient admissions.  </w:t>
      </w:r>
      <w:r w:rsidR="00C95C32">
        <w:rPr>
          <w:rFonts w:ascii="Arial" w:hAnsi="Arial" w:cs="Arial"/>
          <w:bCs/>
          <w:sz w:val="20"/>
          <w:szCs w:val="20"/>
        </w:rPr>
        <w:t xml:space="preserve">Even if </w:t>
      </w:r>
      <w:r w:rsidR="002C31FE">
        <w:rPr>
          <w:rFonts w:ascii="Arial" w:hAnsi="Arial" w:cs="Arial"/>
          <w:bCs/>
          <w:sz w:val="20"/>
          <w:szCs w:val="20"/>
        </w:rPr>
        <w:t xml:space="preserve">it was </w:t>
      </w:r>
      <w:r w:rsidR="00C95C32">
        <w:rPr>
          <w:rFonts w:ascii="Arial" w:hAnsi="Arial" w:cs="Arial"/>
          <w:bCs/>
          <w:sz w:val="20"/>
          <w:szCs w:val="20"/>
        </w:rPr>
        <w:t>authorised by law, a</w:t>
      </w:r>
      <w:r w:rsidR="002C31FE">
        <w:rPr>
          <w:rFonts w:ascii="Arial" w:hAnsi="Arial" w:cs="Arial"/>
          <w:bCs/>
          <w:sz w:val="20"/>
          <w:szCs w:val="20"/>
        </w:rPr>
        <w:t xml:space="preserve"> </w:t>
      </w:r>
      <w:r>
        <w:rPr>
          <w:rFonts w:ascii="Arial" w:hAnsi="Arial" w:cs="Arial"/>
          <w:bCs/>
          <w:sz w:val="20"/>
          <w:szCs w:val="20"/>
        </w:rPr>
        <w:t xml:space="preserve">practical difficulty </w:t>
      </w:r>
      <w:r w:rsidR="00BB642A">
        <w:rPr>
          <w:rFonts w:ascii="Arial" w:hAnsi="Arial" w:cs="Arial"/>
          <w:bCs/>
          <w:sz w:val="20"/>
          <w:szCs w:val="20"/>
        </w:rPr>
        <w:t>with</w:t>
      </w:r>
      <w:r>
        <w:rPr>
          <w:rFonts w:ascii="Arial" w:hAnsi="Arial" w:cs="Arial"/>
          <w:bCs/>
          <w:sz w:val="20"/>
          <w:szCs w:val="20"/>
        </w:rPr>
        <w:t xml:space="preserve"> such an appointment is that the litigation guardian is required to act in the best interests of the adult </w:t>
      </w:r>
      <w:r w:rsidR="00A46FC7">
        <w:rPr>
          <w:rFonts w:ascii="Arial" w:hAnsi="Arial" w:cs="Arial"/>
          <w:bCs/>
          <w:sz w:val="20"/>
          <w:szCs w:val="20"/>
        </w:rPr>
        <w:t>under disability</w:t>
      </w:r>
      <w:r w:rsidR="00AA54A1">
        <w:rPr>
          <w:rFonts w:ascii="Arial" w:hAnsi="Arial" w:cs="Arial"/>
          <w:bCs/>
          <w:sz w:val="20"/>
          <w:szCs w:val="20"/>
        </w:rPr>
        <w:t xml:space="preserve">: see </w:t>
      </w:r>
      <w:r w:rsidR="00AA54A1" w:rsidRPr="0085089D">
        <w:rPr>
          <w:rFonts w:ascii="Arial" w:hAnsi="Arial" w:cs="Arial"/>
          <w:sz w:val="20"/>
          <w:szCs w:val="20"/>
        </w:rPr>
        <w:t xml:space="preserve">ss.4(2) &amp; 16(1)(f) of the </w:t>
      </w:r>
      <w:r w:rsidR="00AA54A1" w:rsidRPr="0085089D">
        <w:rPr>
          <w:rFonts w:ascii="Arial" w:hAnsi="Arial" w:cs="Arial"/>
          <w:iCs/>
          <w:sz w:val="20"/>
          <w:szCs w:val="20"/>
          <w:u w:val="single"/>
        </w:rPr>
        <w:t>Guardianship and Administration Act 1986</w:t>
      </w:r>
      <w:r w:rsidR="00AA54A1">
        <w:rPr>
          <w:rFonts w:ascii="Arial" w:hAnsi="Arial" w:cs="Arial"/>
          <w:bCs/>
          <w:sz w:val="20"/>
          <w:szCs w:val="20"/>
        </w:rPr>
        <w:t>.  By</w:t>
      </w:r>
      <w:r w:rsidR="002C31FE">
        <w:rPr>
          <w:rFonts w:ascii="Arial" w:hAnsi="Arial" w:cs="Arial"/>
          <w:bCs/>
          <w:sz w:val="20"/>
          <w:szCs w:val="20"/>
        </w:rPr>
        <w:t> </w:t>
      </w:r>
      <w:r w:rsidR="00AA54A1">
        <w:rPr>
          <w:rFonts w:ascii="Arial" w:hAnsi="Arial" w:cs="Arial"/>
          <w:bCs/>
          <w:sz w:val="20"/>
          <w:szCs w:val="20"/>
        </w:rPr>
        <w:t xml:space="preserve">contrast, </w:t>
      </w:r>
      <w:r w:rsidR="0085089D">
        <w:rPr>
          <w:rFonts w:ascii="Arial" w:hAnsi="Arial" w:cs="Arial"/>
          <w:bCs/>
          <w:sz w:val="20"/>
          <w:szCs w:val="20"/>
        </w:rPr>
        <w:t>in child protection proceedings the C</w:t>
      </w:r>
      <w:r w:rsidR="00503285">
        <w:rPr>
          <w:rFonts w:ascii="Arial" w:hAnsi="Arial" w:cs="Arial"/>
          <w:bCs/>
          <w:sz w:val="20"/>
          <w:szCs w:val="20"/>
        </w:rPr>
        <w:t>hildren’s C</w:t>
      </w:r>
      <w:r w:rsidR="0085089D">
        <w:rPr>
          <w:rFonts w:ascii="Arial" w:hAnsi="Arial" w:cs="Arial"/>
          <w:bCs/>
          <w:sz w:val="20"/>
          <w:szCs w:val="20"/>
        </w:rPr>
        <w:t>ourt has to act on the basis that the best interests of the child are paramount: see s</w:t>
      </w:r>
      <w:r w:rsidR="00095B7A">
        <w:rPr>
          <w:rFonts w:ascii="Arial" w:hAnsi="Arial" w:cs="Arial"/>
          <w:bCs/>
          <w:sz w:val="20"/>
          <w:szCs w:val="20"/>
        </w:rPr>
        <w:t>s</w:t>
      </w:r>
      <w:r w:rsidR="0085089D">
        <w:rPr>
          <w:rFonts w:ascii="Arial" w:hAnsi="Arial" w:cs="Arial"/>
          <w:bCs/>
          <w:sz w:val="20"/>
          <w:szCs w:val="20"/>
        </w:rPr>
        <w:t xml:space="preserve">.8(1) </w:t>
      </w:r>
      <w:r w:rsidR="00095B7A">
        <w:rPr>
          <w:rFonts w:ascii="Arial" w:hAnsi="Arial" w:cs="Arial"/>
          <w:bCs/>
          <w:sz w:val="20"/>
          <w:szCs w:val="20"/>
        </w:rPr>
        <w:t xml:space="preserve">&amp; 10(1) </w:t>
      </w:r>
      <w:r w:rsidR="0085089D">
        <w:rPr>
          <w:rFonts w:ascii="Arial" w:hAnsi="Arial" w:cs="Arial"/>
          <w:bCs/>
          <w:sz w:val="20"/>
          <w:szCs w:val="20"/>
        </w:rPr>
        <w:t xml:space="preserve">CYFA.  This difficulty was ameliorated to some extent in this case because during the hearing of the case the mother had advised the </w:t>
      </w:r>
      <w:r w:rsidR="002C31FE">
        <w:rPr>
          <w:rFonts w:ascii="Arial" w:hAnsi="Arial" w:cs="Arial"/>
          <w:bCs/>
          <w:sz w:val="20"/>
          <w:szCs w:val="20"/>
        </w:rPr>
        <w:t>litigation guardian (the OPA) who had been appointed by another magistrate:</w:t>
      </w:r>
      <w:r w:rsidR="0085089D">
        <w:rPr>
          <w:rFonts w:ascii="Arial" w:hAnsi="Arial" w:cs="Arial"/>
          <w:bCs/>
          <w:sz w:val="20"/>
          <w:szCs w:val="20"/>
        </w:rPr>
        <w:t xml:space="preserve"> “Whatever is best for my kids is best for me.”  But some tension still remained and </w:t>
      </w:r>
      <w:r w:rsidR="00AA54A1">
        <w:rPr>
          <w:rFonts w:ascii="Arial" w:hAnsi="Arial" w:cs="Arial"/>
          <w:bCs/>
          <w:sz w:val="20"/>
          <w:szCs w:val="20"/>
        </w:rPr>
        <w:t>from time to time in the 14</w:t>
      </w:r>
      <w:r w:rsidR="008307BE">
        <w:rPr>
          <w:rFonts w:ascii="Arial" w:hAnsi="Arial" w:cs="Arial"/>
          <w:bCs/>
          <w:sz w:val="20"/>
          <w:szCs w:val="20"/>
        </w:rPr>
        <w:t>-</w:t>
      </w:r>
      <w:r w:rsidR="00AA54A1">
        <w:rPr>
          <w:rFonts w:ascii="Arial" w:hAnsi="Arial" w:cs="Arial"/>
          <w:bCs/>
          <w:sz w:val="20"/>
          <w:szCs w:val="20"/>
        </w:rPr>
        <w:t xml:space="preserve">day hearing </w:t>
      </w:r>
      <w:r w:rsidR="000E7063">
        <w:rPr>
          <w:rFonts w:ascii="Arial" w:hAnsi="Arial" w:cs="Arial"/>
          <w:bCs/>
          <w:sz w:val="20"/>
          <w:szCs w:val="20"/>
        </w:rPr>
        <w:t xml:space="preserve">counsel for </w:t>
      </w:r>
      <w:r w:rsidR="00AA54A1">
        <w:rPr>
          <w:rFonts w:ascii="Arial" w:hAnsi="Arial" w:cs="Arial"/>
          <w:bCs/>
          <w:sz w:val="20"/>
          <w:szCs w:val="20"/>
        </w:rPr>
        <w:t xml:space="preserve">the OPA </w:t>
      </w:r>
      <w:r w:rsidR="008267E0">
        <w:rPr>
          <w:rFonts w:ascii="Arial" w:hAnsi="Arial" w:cs="Arial"/>
          <w:bCs/>
          <w:sz w:val="20"/>
          <w:szCs w:val="20"/>
        </w:rPr>
        <w:t xml:space="preserve">found herself on a collision course with DFFH and the </w:t>
      </w:r>
      <w:r w:rsidR="00095B7A">
        <w:rPr>
          <w:rFonts w:ascii="Arial" w:hAnsi="Arial" w:cs="Arial"/>
          <w:bCs/>
          <w:sz w:val="20"/>
          <w:szCs w:val="20"/>
        </w:rPr>
        <w:t>BI</w:t>
      </w:r>
      <w:r w:rsidR="008267E0">
        <w:rPr>
          <w:rFonts w:ascii="Arial" w:hAnsi="Arial" w:cs="Arial"/>
          <w:bCs/>
          <w:sz w:val="20"/>
          <w:szCs w:val="20"/>
        </w:rPr>
        <w:t xml:space="preserve">L for the younger child, having assessed what was in the best interests of the children through a different lens, an assessment which was understandably not as well informed as </w:t>
      </w:r>
      <w:r w:rsidR="00D46FAD">
        <w:rPr>
          <w:rFonts w:ascii="Arial" w:hAnsi="Arial" w:cs="Arial"/>
          <w:bCs/>
          <w:sz w:val="20"/>
          <w:szCs w:val="20"/>
        </w:rPr>
        <w:t>those</w:t>
      </w:r>
      <w:r w:rsidR="008267E0">
        <w:rPr>
          <w:rFonts w:ascii="Arial" w:hAnsi="Arial" w:cs="Arial"/>
          <w:bCs/>
          <w:sz w:val="20"/>
          <w:szCs w:val="20"/>
        </w:rPr>
        <w:t xml:space="preserve"> of the other parties.</w:t>
      </w:r>
    </w:p>
    <w:p w14:paraId="79F606AF" w14:textId="77777777" w:rsidR="003431A4" w:rsidRDefault="003431A4" w:rsidP="0085089D">
      <w:pPr>
        <w:jc w:val="both"/>
        <w:rPr>
          <w:rFonts w:ascii="Arial" w:hAnsi="Arial" w:cs="Arial"/>
          <w:bCs/>
          <w:sz w:val="20"/>
          <w:szCs w:val="20"/>
        </w:rPr>
      </w:pPr>
    </w:p>
    <w:p w14:paraId="59D0861B" w14:textId="0A81B6E3" w:rsidR="00693223" w:rsidRDefault="00693223" w:rsidP="00121D44">
      <w:pPr>
        <w:pStyle w:val="Heading3"/>
        <w:keepNext/>
        <w:spacing w:after="120" w:line="240" w:lineRule="auto"/>
        <w:rPr>
          <w:rFonts w:ascii="Arial" w:hAnsi="Arial" w:cs="Arial"/>
          <w:sz w:val="20"/>
        </w:rPr>
      </w:pPr>
      <w:bookmarkStart w:id="1139" w:name="_4.8.3_Court_may"/>
      <w:bookmarkStart w:id="1140" w:name="_Toc30654119"/>
      <w:bookmarkStart w:id="1141" w:name="_Toc30654470"/>
      <w:bookmarkStart w:id="1142" w:name="_Toc30655089"/>
      <w:bookmarkStart w:id="1143" w:name="_Toc30655346"/>
      <w:bookmarkStart w:id="1144" w:name="_Toc30657024"/>
      <w:bookmarkStart w:id="1145" w:name="_Toc30661773"/>
      <w:bookmarkStart w:id="1146" w:name="_Toc30666461"/>
      <w:bookmarkStart w:id="1147" w:name="_Toc30666691"/>
      <w:bookmarkStart w:id="1148" w:name="_Toc30667866"/>
      <w:bookmarkStart w:id="1149" w:name="_Toc30669244"/>
      <w:bookmarkStart w:id="1150" w:name="_Toc30671460"/>
      <w:bookmarkStart w:id="1151" w:name="_Toc30673987"/>
      <w:bookmarkStart w:id="1152" w:name="_Toc30691209"/>
      <w:bookmarkStart w:id="1153" w:name="_Toc30691582"/>
      <w:bookmarkStart w:id="1154" w:name="_Toc30691962"/>
      <w:bookmarkStart w:id="1155" w:name="_Toc30692721"/>
      <w:bookmarkStart w:id="1156" w:name="_Toc30693100"/>
      <w:bookmarkStart w:id="1157" w:name="_Toc30693478"/>
      <w:bookmarkStart w:id="1158" w:name="_Toc30693856"/>
      <w:bookmarkStart w:id="1159" w:name="_Toc30694237"/>
      <w:bookmarkStart w:id="1160" w:name="_Toc30698826"/>
      <w:bookmarkStart w:id="1161" w:name="_Toc30699204"/>
      <w:bookmarkStart w:id="1162" w:name="_Toc30699589"/>
      <w:bookmarkStart w:id="1163" w:name="_Toc30700744"/>
      <w:bookmarkStart w:id="1164" w:name="_Toc30701131"/>
      <w:bookmarkStart w:id="1165" w:name="_Toc30743740"/>
      <w:bookmarkStart w:id="1166" w:name="_Toc30754563"/>
      <w:bookmarkStart w:id="1167" w:name="_Toc30757003"/>
      <w:bookmarkStart w:id="1168" w:name="_Toc30757552"/>
      <w:bookmarkStart w:id="1169" w:name="_Toc30757952"/>
      <w:bookmarkStart w:id="1170" w:name="_Toc30762713"/>
      <w:bookmarkStart w:id="1171" w:name="_Toc30767367"/>
      <w:bookmarkStart w:id="1172" w:name="_Toc34823382"/>
      <w:bookmarkEnd w:id="1138"/>
      <w:bookmarkEnd w:id="1139"/>
      <w:r>
        <w:rPr>
          <w:rFonts w:ascii="Arial" w:hAnsi="Arial" w:cs="Arial"/>
          <w:b/>
          <w:bCs/>
          <w:sz w:val="20"/>
        </w:rPr>
        <w:lastRenderedPageBreak/>
        <w:t>4.8.</w:t>
      </w:r>
      <w:r w:rsidR="0026104F">
        <w:rPr>
          <w:rFonts w:ascii="Arial" w:hAnsi="Arial" w:cs="Arial"/>
          <w:b/>
          <w:bCs/>
          <w:color w:val="000000"/>
          <w:sz w:val="20"/>
        </w:rPr>
        <w:t>3</w:t>
      </w:r>
      <w:r>
        <w:rPr>
          <w:rFonts w:ascii="Arial" w:hAnsi="Arial" w:cs="Arial"/>
          <w:b/>
          <w:bCs/>
          <w:sz w:val="20"/>
        </w:rPr>
        <w:tab/>
      </w:r>
      <w:r w:rsidR="00D36D17">
        <w:rPr>
          <w:rFonts w:ascii="Arial" w:hAnsi="Arial" w:cs="Arial"/>
          <w:b/>
          <w:bCs/>
          <w:sz w:val="20"/>
        </w:rPr>
        <w:t xml:space="preserve">Court may inform itself as it thinks fit </w:t>
      </w:r>
      <w:r w:rsidR="004C770E">
        <w:rPr>
          <w:rFonts w:ascii="Arial" w:hAnsi="Arial" w:cs="Arial"/>
          <w:b/>
          <w:bCs/>
          <w:sz w:val="20"/>
        </w:rPr>
        <w:t>–</w:t>
      </w:r>
      <w:r w:rsidR="00D36D17">
        <w:rPr>
          <w:rFonts w:ascii="Arial" w:hAnsi="Arial" w:cs="Arial"/>
          <w:b/>
          <w:bCs/>
          <w:sz w:val="20"/>
        </w:rPr>
        <w:t xml:space="preserve"> </w:t>
      </w:r>
      <w:r>
        <w:rPr>
          <w:rFonts w:ascii="Arial" w:hAnsi="Arial" w:cs="Arial"/>
          <w:b/>
          <w:bCs/>
          <w:sz w:val="20"/>
        </w:rPr>
        <w:t>Rules</w:t>
      </w:r>
      <w:r w:rsidR="004C770E">
        <w:rPr>
          <w:rFonts w:ascii="Arial" w:hAnsi="Arial" w:cs="Arial"/>
          <w:b/>
          <w:bCs/>
          <w:sz w:val="20"/>
        </w:rPr>
        <w:t xml:space="preserve"> </w:t>
      </w:r>
      <w:r>
        <w:rPr>
          <w:rFonts w:ascii="Arial" w:hAnsi="Arial" w:cs="Arial"/>
          <w:b/>
          <w:bCs/>
          <w:sz w:val="20"/>
        </w:rPr>
        <w:t>of evidence not mandatory</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2FB5A615" w14:textId="77777777" w:rsidR="00693223" w:rsidRDefault="00693223">
      <w:pPr>
        <w:jc w:val="both"/>
        <w:rPr>
          <w:rFonts w:ascii="Arial" w:hAnsi="Arial" w:cs="Arial"/>
          <w:bCs/>
          <w:sz w:val="20"/>
        </w:rPr>
      </w:pPr>
      <w:r>
        <w:rPr>
          <w:rFonts w:ascii="Arial" w:hAnsi="Arial" w:cs="Arial"/>
          <w:sz w:val="20"/>
        </w:rPr>
        <w:t xml:space="preserve">In the Family Division the Court </w:t>
      </w:r>
      <w:r w:rsidR="00411BA1">
        <w:rPr>
          <w:rFonts w:ascii="Arial" w:hAnsi="Arial" w:cs="Arial"/>
          <w:sz w:val="20"/>
        </w:rPr>
        <w:t>“</w:t>
      </w:r>
      <w:r>
        <w:rPr>
          <w:rFonts w:ascii="Arial" w:hAnsi="Arial" w:cs="Arial"/>
          <w:sz w:val="20"/>
        </w:rPr>
        <w:t>may inform itself on a matter in such manner as it thinks fit, despite any rules of evidence to the contrary</w:t>
      </w:r>
      <w:r w:rsidR="00411BA1">
        <w:rPr>
          <w:rFonts w:ascii="Arial" w:hAnsi="Arial" w:cs="Arial"/>
          <w:sz w:val="20"/>
        </w:rPr>
        <w:t>”</w:t>
      </w:r>
      <w:r>
        <w:rPr>
          <w:rFonts w:ascii="Arial" w:hAnsi="Arial" w:cs="Arial"/>
          <w:sz w:val="20"/>
        </w:rPr>
        <w:t>: s.</w:t>
      </w:r>
      <w:r w:rsidR="00AC69EC">
        <w:rPr>
          <w:rFonts w:ascii="Arial" w:hAnsi="Arial" w:cs="Arial"/>
          <w:sz w:val="20"/>
        </w:rPr>
        <w:t>215</w:t>
      </w:r>
      <w:r>
        <w:rPr>
          <w:rFonts w:ascii="Arial" w:hAnsi="Arial" w:cs="Arial"/>
          <w:sz w:val="20"/>
        </w:rPr>
        <w:t>(1)(d)</w:t>
      </w:r>
      <w:r w:rsidR="00AC69EC">
        <w:rPr>
          <w:rFonts w:ascii="Arial" w:hAnsi="Arial" w:cs="Arial"/>
          <w:sz w:val="20"/>
        </w:rPr>
        <w:t xml:space="preserve"> of the CYFA</w:t>
      </w:r>
      <w:r>
        <w:rPr>
          <w:rFonts w:ascii="Arial" w:hAnsi="Arial" w:cs="Arial"/>
          <w:sz w:val="20"/>
        </w:rPr>
        <w:t xml:space="preserve">.  There is a similar provision in s.93(3) of the Children's Services Act 1986 (A.C.T.): </w:t>
      </w:r>
      <w:r>
        <w:rPr>
          <w:rFonts w:ascii="Arial" w:hAnsi="Arial" w:cs="Arial"/>
          <w:bCs/>
          <w:sz w:val="20"/>
        </w:rPr>
        <w:t xml:space="preserve">“The Court is not bound by the rules of evidence and may inform itself in any manner it thinks fit.”  The proper operation of such a provision was explained by Higgins J in the Supreme Court of the A.C.T. in </w:t>
      </w:r>
      <w:r>
        <w:rPr>
          <w:rFonts w:ascii="Arial" w:hAnsi="Arial" w:cs="Arial"/>
          <w:bCs/>
          <w:i/>
          <w:iCs/>
          <w:sz w:val="20"/>
        </w:rPr>
        <w:t xml:space="preserve">A &amp; B v Director of Family Services </w:t>
      </w:r>
      <w:r>
        <w:rPr>
          <w:rFonts w:ascii="Arial" w:hAnsi="Arial" w:cs="Arial"/>
          <w:sz w:val="20"/>
        </w:rPr>
        <w:t>(1996) 20 Fam LR 549 at 553-4</w:t>
      </w:r>
      <w:r>
        <w:rPr>
          <w:rFonts w:ascii="Arial" w:hAnsi="Arial" w:cs="Arial"/>
          <w:bCs/>
          <w:sz w:val="20"/>
        </w:rPr>
        <w:t>-</w:t>
      </w:r>
    </w:p>
    <w:p w14:paraId="66B1392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“[I]t should be recognised that such provisions do not render the rules of evidence irrelevant.  They should still be applied unless, for sound reason, their application is dispensed with.</w:t>
      </w:r>
    </w:p>
    <w:p w14:paraId="37EAC950"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In these proceedings, it seems to have been assumed that the rules of evidence relating to both hearsay and to expert evidence had no application.</w:t>
      </w:r>
    </w:p>
    <w:p w14:paraId="4539DFB9" w14:textId="77777777" w:rsidR="00693223" w:rsidRDefault="00693223">
      <w:pPr>
        <w:spacing w:before="60" w:line="240" w:lineRule="exact"/>
        <w:ind w:left="567" w:right="567"/>
        <w:jc w:val="both"/>
        <w:rPr>
          <w:rFonts w:ascii="Arial" w:hAnsi="Arial" w:cs="Arial"/>
          <w:bCs/>
          <w:sz w:val="20"/>
        </w:rPr>
      </w:pPr>
      <w:r>
        <w:rPr>
          <w:rFonts w:ascii="Arial" w:hAnsi="Arial" w:cs="Arial"/>
          <w:bCs/>
          <w:sz w:val="20"/>
        </w:rPr>
        <w:t xml:space="preserve">The proper approach to the application of the rules of evidence in the face of such a provision was considered by Lockhart J in </w:t>
      </w:r>
      <w:r>
        <w:rPr>
          <w:rFonts w:ascii="Arial" w:hAnsi="Arial" w:cs="Arial"/>
          <w:bCs/>
          <w:i/>
          <w:iCs/>
          <w:sz w:val="20"/>
        </w:rPr>
        <w:t xml:space="preserve">Pearce v Button </w:t>
      </w:r>
      <w:r>
        <w:rPr>
          <w:rFonts w:ascii="Arial" w:hAnsi="Arial" w:cs="Arial"/>
          <w:sz w:val="20"/>
        </w:rPr>
        <w:t>(1985) 65 ALR 83 at 97; 8 FCR 408 at 422.</w:t>
      </w:r>
      <w:r>
        <w:rPr>
          <w:sz w:val="20"/>
        </w:rPr>
        <w:t xml:space="preserve">  </w:t>
      </w:r>
      <w:r>
        <w:rPr>
          <w:rFonts w:ascii="Arial" w:hAnsi="Arial" w:cs="Arial"/>
          <w:bCs/>
          <w:sz w:val="20"/>
        </w:rPr>
        <w:t>His Honour said-</w:t>
      </w:r>
    </w:p>
    <w:p w14:paraId="584897FE" w14:textId="77777777" w:rsidR="00693223" w:rsidRDefault="00693223">
      <w:pPr>
        <w:spacing w:before="60"/>
        <w:ind w:left="567" w:right="567"/>
        <w:jc w:val="both"/>
        <w:rPr>
          <w:rFonts w:ascii="Arial" w:hAnsi="Arial" w:cs="Arial"/>
          <w:bCs/>
          <w:sz w:val="20"/>
        </w:rPr>
      </w:pPr>
      <w:r>
        <w:rPr>
          <w:rFonts w:ascii="Arial" w:hAnsi="Arial" w:cs="Arial"/>
          <w:bCs/>
          <w:sz w:val="20"/>
        </w:rPr>
        <w:t>‘…a judge should be slow to invoke it [a power to dispense with compliance with rules of evidence] where there is a real dispute about matters which go to the heart of the case.’”</w:t>
      </w:r>
    </w:p>
    <w:p w14:paraId="73FBD8AA" w14:textId="77777777" w:rsidR="00693223" w:rsidRDefault="00693223">
      <w:pPr>
        <w:spacing w:before="120"/>
        <w:jc w:val="both"/>
        <w:rPr>
          <w:rFonts w:ascii="Arial" w:hAnsi="Arial" w:cs="Arial"/>
          <w:bCs/>
          <w:sz w:val="20"/>
        </w:rPr>
      </w:pPr>
      <w:r>
        <w:rPr>
          <w:rFonts w:ascii="Arial" w:hAnsi="Arial" w:cs="Arial"/>
          <w:bCs/>
          <w:sz w:val="20"/>
        </w:rPr>
        <w:t xml:space="preserve">Higgins J </w:t>
      </w:r>
      <w:r>
        <w:rPr>
          <w:rFonts w:ascii="Arial" w:hAnsi="Arial" w:cs="Arial"/>
          <w:sz w:val="20"/>
        </w:rPr>
        <w:t xml:space="preserve">went on to discuss in detail the dangers inherent in the reception of hearsay evidence, citing dicta of the High Court in </w:t>
      </w:r>
      <w:r>
        <w:rPr>
          <w:rFonts w:ascii="Arial" w:hAnsi="Arial" w:cs="Arial"/>
          <w:i/>
          <w:sz w:val="20"/>
        </w:rPr>
        <w:t>Bannon v R</w:t>
      </w:r>
      <w:r>
        <w:rPr>
          <w:rFonts w:ascii="Arial" w:hAnsi="Arial" w:cs="Arial"/>
          <w:sz w:val="20"/>
        </w:rPr>
        <w:t xml:space="preserve"> (1995) 132 ALR 87; 70 ALJR 25 and </w:t>
      </w:r>
      <w:r>
        <w:rPr>
          <w:rFonts w:ascii="Arial" w:hAnsi="Arial" w:cs="Arial"/>
          <w:i/>
          <w:sz w:val="20"/>
        </w:rPr>
        <w:t>Straker v R</w:t>
      </w:r>
      <w:r>
        <w:rPr>
          <w:rFonts w:ascii="Arial" w:hAnsi="Arial" w:cs="Arial"/>
          <w:sz w:val="20"/>
        </w:rPr>
        <w:t xml:space="preserve"> (1977) 15 ALR 103; 51 ALJR 690.</w:t>
      </w:r>
    </w:p>
    <w:p w14:paraId="1FB3F975" w14:textId="77777777" w:rsidR="00693223" w:rsidRDefault="00693223">
      <w:pPr>
        <w:jc w:val="both"/>
        <w:rPr>
          <w:rFonts w:ascii="Arial" w:hAnsi="Arial" w:cs="Arial"/>
          <w:sz w:val="20"/>
        </w:rPr>
      </w:pPr>
    </w:p>
    <w:p w14:paraId="5675AF2E" w14:textId="77777777" w:rsidR="00544F20" w:rsidRDefault="00544F20">
      <w:pPr>
        <w:jc w:val="both"/>
        <w:rPr>
          <w:rFonts w:ascii="Arial" w:hAnsi="Arial" w:cs="Arial"/>
          <w:sz w:val="20"/>
        </w:rPr>
      </w:pPr>
      <w:r>
        <w:rPr>
          <w:rFonts w:ascii="Arial" w:hAnsi="Arial" w:cs="Arial"/>
          <w:sz w:val="20"/>
        </w:rPr>
        <w:t xml:space="preserve">In </w:t>
      </w:r>
      <w:r w:rsidRPr="00544F20">
        <w:rPr>
          <w:rFonts w:ascii="Arial" w:hAnsi="Arial" w:cs="Arial"/>
          <w:i/>
          <w:sz w:val="20"/>
        </w:rPr>
        <w:t xml:space="preserve">Weinstein v Medical Practitioners Board of </w:t>
      </w:r>
      <w:smartTag w:uri="urn:schemas-microsoft-com:office:smarttags" w:element="State">
        <w:smartTag w:uri="urn:schemas-microsoft-com:office:smarttags" w:element="place">
          <w:r w:rsidRPr="00544F20">
            <w:rPr>
              <w:rFonts w:ascii="Arial" w:hAnsi="Arial" w:cs="Arial"/>
              <w:i/>
              <w:sz w:val="20"/>
            </w:rPr>
            <w:t>Victoria</w:t>
          </w:r>
        </w:smartTag>
      </w:smartTag>
      <w:r>
        <w:rPr>
          <w:rFonts w:ascii="Arial" w:hAnsi="Arial" w:cs="Arial"/>
          <w:sz w:val="20"/>
        </w:rPr>
        <w:t xml:space="preserve"> [2008] VSCA 193 the Court of Appeal discussed the operation of a similar provision in s.52(1)(c) of the Medical Practice Act 1994 (Vic).  </w:t>
      </w:r>
      <w:r w:rsidR="0031744F">
        <w:rPr>
          <w:rFonts w:ascii="Arial" w:hAnsi="Arial" w:cs="Arial"/>
          <w:sz w:val="20"/>
        </w:rPr>
        <w:t xml:space="preserve">In rejecting a submission that the words </w:t>
      </w:r>
      <w:r w:rsidR="000C259D">
        <w:rPr>
          <w:rFonts w:ascii="Arial" w:hAnsi="Arial" w:cs="Arial"/>
          <w:sz w:val="20"/>
        </w:rPr>
        <w:t xml:space="preserve">“may inform itself in any way it thinks fit” should be regarded as redundant </w:t>
      </w:r>
      <w:r w:rsidR="007660F0">
        <w:rPr>
          <w:rFonts w:ascii="Arial" w:hAnsi="Arial" w:cs="Arial"/>
          <w:sz w:val="20"/>
        </w:rPr>
        <w:t>but</w:t>
      </w:r>
      <w:r w:rsidR="000C259D">
        <w:rPr>
          <w:rFonts w:ascii="Arial" w:hAnsi="Arial" w:cs="Arial"/>
          <w:sz w:val="20"/>
        </w:rPr>
        <w:t xml:space="preserve"> holding that the words were subject to </w:t>
      </w:r>
      <w:r w:rsidR="001E0258">
        <w:rPr>
          <w:rFonts w:ascii="Arial" w:hAnsi="Arial" w:cs="Arial"/>
          <w:sz w:val="20"/>
        </w:rPr>
        <w:t>a</w:t>
      </w:r>
      <w:r w:rsidR="000C259D">
        <w:rPr>
          <w:rFonts w:ascii="Arial" w:hAnsi="Arial" w:cs="Arial"/>
          <w:sz w:val="20"/>
        </w:rPr>
        <w:t xml:space="preserve"> requirement to </w:t>
      </w:r>
      <w:r w:rsidR="00FC40FC">
        <w:rPr>
          <w:rFonts w:ascii="Arial" w:hAnsi="Arial" w:cs="Arial"/>
          <w:sz w:val="20"/>
        </w:rPr>
        <w:t>accord</w:t>
      </w:r>
      <w:r w:rsidR="000C259D">
        <w:rPr>
          <w:rFonts w:ascii="Arial" w:hAnsi="Arial" w:cs="Arial"/>
          <w:sz w:val="20"/>
        </w:rPr>
        <w:t xml:space="preserve"> </w:t>
      </w:r>
      <w:r w:rsidR="00BB1A34">
        <w:rPr>
          <w:rFonts w:ascii="Arial" w:hAnsi="Arial" w:cs="Arial"/>
          <w:sz w:val="20"/>
        </w:rPr>
        <w:t>procedural fairness</w:t>
      </w:r>
      <w:r w:rsidR="000C259D">
        <w:rPr>
          <w:rFonts w:ascii="Arial" w:hAnsi="Arial" w:cs="Arial"/>
          <w:sz w:val="20"/>
        </w:rPr>
        <w:t xml:space="preserve">, </w:t>
      </w:r>
      <w:r>
        <w:rPr>
          <w:rFonts w:ascii="Arial" w:hAnsi="Arial" w:cs="Arial"/>
          <w:sz w:val="20"/>
        </w:rPr>
        <w:t>Maxwell P said at [28]</w:t>
      </w:r>
      <w:r w:rsidR="0031744F">
        <w:rPr>
          <w:rFonts w:ascii="Arial" w:hAnsi="Arial" w:cs="Arial"/>
          <w:sz w:val="20"/>
        </w:rPr>
        <w:t>-[29]</w:t>
      </w:r>
      <w:r w:rsidR="00D741BD">
        <w:rPr>
          <w:rFonts w:ascii="Arial" w:hAnsi="Arial" w:cs="Arial"/>
          <w:sz w:val="20"/>
        </w:rPr>
        <w:t>-</w:t>
      </w:r>
    </w:p>
    <w:p w14:paraId="7BCE61F5" w14:textId="77777777" w:rsidR="006B7A0D" w:rsidRDefault="00544F20" w:rsidP="00FC40FC">
      <w:pPr>
        <w:spacing w:before="60"/>
        <w:ind w:left="567" w:right="567"/>
        <w:jc w:val="both"/>
        <w:rPr>
          <w:rFonts w:ascii="Arial" w:hAnsi="Arial" w:cs="Arial"/>
          <w:bCs/>
          <w:sz w:val="20"/>
        </w:rPr>
      </w:pPr>
      <w:r>
        <w:rPr>
          <w:rFonts w:ascii="Arial" w:hAnsi="Arial" w:cs="Arial"/>
          <w:bCs/>
          <w:sz w:val="20"/>
        </w:rPr>
        <w:t>“</w:t>
      </w:r>
      <w:r>
        <w:rPr>
          <w:rFonts w:ascii="Arial" w:hAnsi="Arial" w:cs="Arial"/>
          <w:sz w:val="20"/>
        </w:rPr>
        <w:t xml:space="preserve">The words ‘may inform itself…’ were plainly intended to have work to do: cf. </w:t>
      </w:r>
      <w:r w:rsidRPr="00FC40FC">
        <w:rPr>
          <w:rFonts w:ascii="Arial" w:hAnsi="Arial" w:cs="Arial"/>
          <w:i/>
          <w:sz w:val="20"/>
        </w:rPr>
        <w:t xml:space="preserve">Project Blue Sky Inc v </w:t>
      </w:r>
      <w:smartTag w:uri="urn:schemas-microsoft-com:office:smarttags" w:element="City">
        <w:smartTag w:uri="urn:schemas-microsoft-com:office:smarttags" w:element="place">
          <w:r w:rsidRPr="00FC40FC">
            <w:rPr>
              <w:rFonts w:ascii="Arial" w:hAnsi="Arial" w:cs="Arial"/>
              <w:i/>
              <w:sz w:val="20"/>
            </w:rPr>
            <w:t>ABA</w:t>
          </w:r>
        </w:smartTag>
      </w:smartTag>
      <w:r w:rsidRPr="00FC40FC">
        <w:rPr>
          <w:rFonts w:ascii="Arial" w:hAnsi="Arial" w:cs="Arial"/>
          <w:i/>
          <w:sz w:val="20"/>
        </w:rPr>
        <w:t xml:space="preserve"> </w:t>
      </w:r>
      <w:r>
        <w:rPr>
          <w:rFonts w:ascii="Arial" w:hAnsi="Arial" w:cs="Arial"/>
          <w:sz w:val="20"/>
        </w:rPr>
        <w:t>(1998)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Th</w:t>
      </w:r>
      <w:r w:rsidR="0098022D">
        <w:rPr>
          <w:rFonts w:ascii="Arial" w:hAnsi="Arial" w:cs="Arial"/>
          <w:sz w:val="20"/>
        </w:rPr>
        <w:t>is</w:t>
      </w:r>
      <w:r>
        <w:rPr>
          <w:rFonts w:ascii="Arial" w:hAnsi="Arial" w:cs="Arial"/>
          <w:sz w:val="20"/>
        </w:rPr>
        <w:t xml:space="preserve"> </w:t>
      </w:r>
      <w:r w:rsidR="005C0020">
        <w:rPr>
          <w:rFonts w:ascii="Arial" w:hAnsi="Arial" w:cs="Arial"/>
          <w:sz w:val="20"/>
        </w:rPr>
        <w:t>conclusion</w:t>
      </w:r>
      <w:r w:rsidR="0098022D">
        <w:rPr>
          <w:rFonts w:ascii="Arial" w:hAnsi="Arial" w:cs="Arial"/>
          <w:sz w:val="20"/>
        </w:rPr>
        <w:t xml:space="preserve"> </w:t>
      </w:r>
      <w:r>
        <w:rPr>
          <w:rFonts w:ascii="Arial" w:hAnsi="Arial" w:cs="Arial"/>
          <w:sz w:val="20"/>
        </w:rPr>
        <w:t xml:space="preserve">accords with what was said by McInerney J when considering analogous provisions in </w:t>
      </w:r>
      <w:r w:rsidRPr="00544F20">
        <w:rPr>
          <w:rFonts w:ascii="Arial" w:hAnsi="Arial" w:cs="Arial"/>
          <w:i/>
          <w:sz w:val="20"/>
        </w:rPr>
        <w:t xml:space="preserve">Wajnberg v Raynor and </w:t>
      </w:r>
      <w:smartTag w:uri="urn:schemas-microsoft-com:office:smarttags" w:element="City">
        <w:smartTag w:uri="urn:schemas-microsoft-com:office:smarttags" w:element="place">
          <w:r w:rsidRPr="00544F20">
            <w:rPr>
              <w:rFonts w:ascii="Arial" w:hAnsi="Arial" w:cs="Arial"/>
              <w:i/>
              <w:sz w:val="20"/>
            </w:rPr>
            <w:t>Melbourne</w:t>
          </w:r>
        </w:smartTag>
      </w:smartTag>
      <w:r w:rsidRPr="00544F20">
        <w:rPr>
          <w:rFonts w:ascii="Arial" w:hAnsi="Arial" w:cs="Arial"/>
          <w:i/>
          <w:sz w:val="20"/>
        </w:rPr>
        <w:t xml:space="preserve"> and Metropolitan Board of Works</w:t>
      </w:r>
      <w:r>
        <w:rPr>
          <w:rFonts w:ascii="Arial" w:hAnsi="Arial" w:cs="Arial"/>
          <w:sz w:val="20"/>
        </w:rPr>
        <w:t xml:space="preserve"> [1971] VR 665.</w:t>
      </w:r>
      <w:r w:rsidR="005C0020">
        <w:rPr>
          <w:rFonts w:ascii="Arial" w:hAnsi="Arial" w:cs="Arial"/>
          <w:sz w:val="20"/>
        </w:rPr>
        <w:t xml:space="preserve">  As Weinberg JA pointed out in argument, an equivalent power is conferred on the Family Division of the Children’s Court: s.215(1)(d) of the </w:t>
      </w:r>
      <w:r w:rsidR="005C0020" w:rsidRPr="00544F20">
        <w:rPr>
          <w:rFonts w:ascii="Arial" w:hAnsi="Arial" w:cs="Arial"/>
          <w:sz w:val="20"/>
        </w:rPr>
        <w:t>CYFA</w:t>
      </w:r>
      <w:r w:rsidR="005C0020">
        <w:rPr>
          <w:rFonts w:ascii="Arial" w:hAnsi="Arial" w:cs="Arial"/>
          <w:sz w:val="20"/>
        </w:rPr>
        <w:t>.</w:t>
      </w:r>
      <w:r w:rsidR="00FC40FC">
        <w:rPr>
          <w:rFonts w:ascii="Arial" w:hAnsi="Arial" w:cs="Arial"/>
          <w:sz w:val="20"/>
        </w:rPr>
        <w:t>”</w:t>
      </w:r>
    </w:p>
    <w:p w14:paraId="3790E393" w14:textId="77777777" w:rsidR="00E04070" w:rsidRDefault="00E04070" w:rsidP="00E04070">
      <w:pPr>
        <w:jc w:val="both"/>
        <w:rPr>
          <w:rFonts w:ascii="Arial" w:hAnsi="Arial" w:cs="Arial"/>
          <w:sz w:val="20"/>
        </w:rPr>
      </w:pPr>
    </w:p>
    <w:p w14:paraId="4C7743B6" w14:textId="77777777" w:rsidR="00E04070" w:rsidRPr="00E04070" w:rsidRDefault="0014387F" w:rsidP="00E04070">
      <w:pPr>
        <w:jc w:val="both"/>
        <w:rPr>
          <w:rFonts w:ascii="Arial" w:hAnsi="Arial" w:cs="Arial"/>
          <w:sz w:val="20"/>
          <w:u w:val="single"/>
        </w:rPr>
      </w:pPr>
      <w:r w:rsidRPr="0014387F">
        <w:rPr>
          <w:rFonts w:ascii="Arial" w:hAnsi="Arial" w:cs="Arial"/>
          <w:sz w:val="20"/>
        </w:rPr>
        <w:t xml:space="preserve">In </w:t>
      </w:r>
      <w:r w:rsidR="000F27BB">
        <w:rPr>
          <w:rFonts w:ascii="Arial" w:hAnsi="Arial" w:cs="Arial"/>
          <w:sz w:val="20"/>
        </w:rPr>
        <w:t xml:space="preserve">the dictionary annexed to the </w:t>
      </w:r>
      <w:r w:rsidR="000F27BB" w:rsidRPr="000F27BB">
        <w:rPr>
          <w:rFonts w:ascii="Arial" w:hAnsi="Arial" w:cs="Arial"/>
          <w:sz w:val="20"/>
          <w:u w:val="single"/>
        </w:rPr>
        <w:t>Evidence Act 2008 (Vic)</w:t>
      </w:r>
      <w:r w:rsidR="000F27BB" w:rsidRPr="000F27BB">
        <w:rPr>
          <w:rFonts w:ascii="Arial" w:hAnsi="Arial" w:cs="Arial"/>
          <w:sz w:val="20"/>
        </w:rPr>
        <w:t>, “Victorian court” means-</w:t>
      </w:r>
    </w:p>
    <w:p w14:paraId="166D77A2" w14:textId="77777777" w:rsidR="000F27BB" w:rsidRDefault="000F27BB">
      <w:pPr>
        <w:numPr>
          <w:ilvl w:val="0"/>
          <w:numId w:val="21"/>
        </w:numPr>
        <w:ind w:right="567"/>
        <w:jc w:val="both"/>
        <w:rPr>
          <w:rFonts w:ascii="Arial" w:hAnsi="Arial" w:cs="Arial"/>
          <w:bCs/>
          <w:sz w:val="20"/>
        </w:rPr>
      </w:pPr>
      <w:r>
        <w:rPr>
          <w:rFonts w:ascii="Arial" w:hAnsi="Arial" w:cs="Arial"/>
          <w:bCs/>
          <w:sz w:val="20"/>
        </w:rPr>
        <w:t>the Supreme Court; or</w:t>
      </w:r>
    </w:p>
    <w:p w14:paraId="00934584" w14:textId="77777777" w:rsidR="000F27BB" w:rsidRDefault="002563EE">
      <w:pPr>
        <w:numPr>
          <w:ilvl w:val="0"/>
          <w:numId w:val="21"/>
        </w:numPr>
        <w:ind w:right="567"/>
        <w:jc w:val="both"/>
        <w:rPr>
          <w:rFonts w:ascii="Arial" w:hAnsi="Arial" w:cs="Arial"/>
          <w:bCs/>
          <w:sz w:val="20"/>
        </w:rPr>
      </w:pPr>
      <w:r>
        <w:rPr>
          <w:rFonts w:ascii="Arial" w:hAnsi="Arial" w:cs="Arial"/>
          <w:bCs/>
          <w:sz w:val="20"/>
        </w:rPr>
        <w:t>any other Court created by Parliament-</w:t>
      </w:r>
    </w:p>
    <w:p w14:paraId="2CDE8D41" w14:textId="77777777" w:rsidR="002563EE" w:rsidRDefault="002563EE" w:rsidP="002563EE">
      <w:pPr>
        <w:ind w:left="567" w:right="567"/>
        <w:jc w:val="both"/>
        <w:rPr>
          <w:rFonts w:ascii="Arial" w:hAnsi="Arial" w:cs="Arial"/>
          <w:bCs/>
          <w:sz w:val="20"/>
        </w:rPr>
      </w:pPr>
      <w:r>
        <w:rPr>
          <w:rFonts w:ascii="Arial" w:hAnsi="Arial" w:cs="Arial"/>
          <w:bCs/>
          <w:sz w:val="20"/>
        </w:rPr>
        <w:t>and includes any person or body (other than a court) that, in exercising a function under the law of the State, is required to apply the laws of evidence.</w:t>
      </w:r>
    </w:p>
    <w:p w14:paraId="70DDC835" w14:textId="77777777" w:rsidR="002563EE" w:rsidRDefault="002563EE" w:rsidP="002563EE">
      <w:pPr>
        <w:jc w:val="both"/>
        <w:rPr>
          <w:rFonts w:ascii="Arial" w:hAnsi="Arial" w:cs="Arial"/>
          <w:sz w:val="20"/>
        </w:rPr>
      </w:pPr>
    </w:p>
    <w:p w14:paraId="07569D8B" w14:textId="77777777" w:rsidR="002563EE" w:rsidRDefault="002563EE" w:rsidP="002563EE">
      <w:pPr>
        <w:jc w:val="both"/>
        <w:rPr>
          <w:rFonts w:ascii="Arial" w:hAnsi="Arial" w:cs="Arial"/>
          <w:sz w:val="20"/>
        </w:rPr>
      </w:pPr>
      <w:r>
        <w:rPr>
          <w:rFonts w:ascii="Arial" w:hAnsi="Arial" w:cs="Arial"/>
          <w:sz w:val="20"/>
        </w:rPr>
        <w:t xml:space="preserve">It follows that the Children’s Court is a Victorian court within paragraph (b) of the definition.  Section 4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w:t>
      </w:r>
      <w:r w:rsidR="00411BA1" w:rsidRPr="00411BA1">
        <w:rPr>
          <w:rFonts w:ascii="Arial" w:hAnsi="Arial" w:cs="Arial"/>
          <w:i/>
          <w:sz w:val="20"/>
        </w:rPr>
        <w:t>inter alia</w:t>
      </w:r>
      <w:r>
        <w:rPr>
          <w:rFonts w:ascii="Arial" w:hAnsi="Arial" w:cs="Arial"/>
          <w:sz w:val="20"/>
        </w:rPr>
        <w:t>-</w:t>
      </w:r>
    </w:p>
    <w:p w14:paraId="20E6982B" w14:textId="77777777" w:rsidR="002563EE" w:rsidRDefault="00411BA1" w:rsidP="002563EE">
      <w:pPr>
        <w:ind w:left="924" w:right="567" w:hanging="357"/>
        <w:jc w:val="both"/>
        <w:rPr>
          <w:rFonts w:ascii="Arial" w:hAnsi="Arial" w:cs="Arial"/>
          <w:bCs/>
          <w:sz w:val="20"/>
        </w:rPr>
      </w:pPr>
      <w:r>
        <w:rPr>
          <w:rFonts w:ascii="Arial" w:hAnsi="Arial" w:cs="Arial"/>
          <w:bCs/>
          <w:sz w:val="20"/>
        </w:rPr>
        <w:t>“</w:t>
      </w:r>
      <w:r w:rsidR="002563EE">
        <w:rPr>
          <w:rFonts w:ascii="Arial" w:hAnsi="Arial" w:cs="Arial"/>
          <w:bCs/>
          <w:sz w:val="20"/>
        </w:rPr>
        <w:t>(1)</w:t>
      </w:r>
      <w:r w:rsidR="002563EE">
        <w:rPr>
          <w:rFonts w:ascii="Arial" w:hAnsi="Arial" w:cs="Arial"/>
          <w:bCs/>
          <w:sz w:val="20"/>
        </w:rPr>
        <w:tab/>
        <w:t>This Act applies to all proceedings in a Victorian court, including proceedings that-</w:t>
      </w:r>
    </w:p>
    <w:p w14:paraId="496865B7" w14:textId="77777777" w:rsidR="002563EE" w:rsidRDefault="002563EE" w:rsidP="00033D59">
      <w:pPr>
        <w:ind w:left="924" w:right="567" w:hanging="357"/>
        <w:jc w:val="both"/>
        <w:rPr>
          <w:rFonts w:ascii="Arial" w:hAnsi="Arial" w:cs="Arial"/>
          <w:bCs/>
          <w:sz w:val="20"/>
        </w:rPr>
      </w:pPr>
      <w:r>
        <w:rPr>
          <w:rFonts w:ascii="Arial" w:hAnsi="Arial" w:cs="Arial"/>
          <w:bCs/>
          <w:sz w:val="20"/>
        </w:rPr>
        <w:tab/>
        <w:t>(a)</w:t>
      </w:r>
      <w:r>
        <w:rPr>
          <w:rFonts w:ascii="Arial" w:hAnsi="Arial" w:cs="Arial"/>
          <w:bCs/>
          <w:sz w:val="20"/>
        </w:rPr>
        <w:tab/>
        <w:t>relate to bail; or</w:t>
      </w:r>
    </w:p>
    <w:p w14:paraId="4512EAE2" w14:textId="77777777" w:rsidR="002563EE" w:rsidRDefault="002563EE" w:rsidP="002563EE">
      <w:pPr>
        <w:ind w:left="924" w:right="567" w:hanging="357"/>
        <w:jc w:val="both"/>
        <w:rPr>
          <w:rFonts w:ascii="Arial" w:hAnsi="Arial" w:cs="Arial"/>
          <w:bCs/>
          <w:sz w:val="20"/>
        </w:rPr>
      </w:pPr>
      <w:r>
        <w:rPr>
          <w:rFonts w:ascii="Arial" w:hAnsi="Arial" w:cs="Arial"/>
          <w:bCs/>
          <w:sz w:val="20"/>
        </w:rPr>
        <w:tab/>
        <w:t>(b)</w:t>
      </w:r>
      <w:r>
        <w:rPr>
          <w:rFonts w:ascii="Arial" w:hAnsi="Arial" w:cs="Arial"/>
          <w:bCs/>
          <w:sz w:val="20"/>
        </w:rPr>
        <w:tab/>
        <w:t>are interlocutory proceedings or proceedings of a similar kind; or</w:t>
      </w:r>
    </w:p>
    <w:p w14:paraId="01C9ABEF" w14:textId="77777777" w:rsidR="002563EE" w:rsidRDefault="002563EE" w:rsidP="002563EE">
      <w:pPr>
        <w:ind w:left="924" w:right="567" w:hanging="357"/>
        <w:jc w:val="both"/>
        <w:rPr>
          <w:rFonts w:ascii="Arial" w:hAnsi="Arial" w:cs="Arial"/>
          <w:bCs/>
          <w:sz w:val="20"/>
        </w:rPr>
      </w:pPr>
      <w:r>
        <w:rPr>
          <w:rFonts w:ascii="Arial" w:hAnsi="Arial" w:cs="Arial"/>
          <w:bCs/>
          <w:sz w:val="20"/>
        </w:rPr>
        <w:tab/>
        <w:t>(c)</w:t>
      </w:r>
      <w:r>
        <w:rPr>
          <w:rFonts w:ascii="Arial" w:hAnsi="Arial" w:cs="Arial"/>
          <w:bCs/>
          <w:sz w:val="20"/>
        </w:rPr>
        <w:tab/>
        <w:t>are heard in chambers; or</w:t>
      </w:r>
    </w:p>
    <w:p w14:paraId="30D59C68" w14:textId="77777777" w:rsidR="002563EE" w:rsidRDefault="002563EE" w:rsidP="002563EE">
      <w:pPr>
        <w:ind w:left="924" w:right="567" w:hanging="357"/>
        <w:jc w:val="both"/>
        <w:rPr>
          <w:rFonts w:ascii="Arial" w:hAnsi="Arial" w:cs="Arial"/>
          <w:bCs/>
          <w:sz w:val="20"/>
        </w:rPr>
      </w:pPr>
      <w:r>
        <w:rPr>
          <w:rFonts w:ascii="Arial" w:hAnsi="Arial" w:cs="Arial"/>
          <w:bCs/>
          <w:sz w:val="20"/>
        </w:rPr>
        <w:tab/>
        <w:t>(d)</w:t>
      </w:r>
      <w:r>
        <w:rPr>
          <w:rFonts w:ascii="Arial" w:hAnsi="Arial" w:cs="Arial"/>
          <w:bCs/>
          <w:sz w:val="20"/>
        </w:rPr>
        <w:tab/>
        <w:t>subject to subsection (2) relate to sentencing.</w:t>
      </w:r>
    </w:p>
    <w:p w14:paraId="0DDE1E8C" w14:textId="77777777" w:rsidR="002563EE" w:rsidRDefault="002563EE" w:rsidP="002563EE">
      <w:pPr>
        <w:ind w:left="924" w:right="567" w:hanging="357"/>
        <w:jc w:val="both"/>
        <w:rPr>
          <w:rFonts w:ascii="Arial" w:hAnsi="Arial" w:cs="Arial"/>
          <w:bCs/>
          <w:sz w:val="20"/>
        </w:rPr>
      </w:pPr>
      <w:r>
        <w:rPr>
          <w:rFonts w:ascii="Arial" w:hAnsi="Arial" w:cs="Arial"/>
          <w:bCs/>
          <w:sz w:val="20"/>
        </w:rPr>
        <w:t>(2)</w:t>
      </w:r>
      <w:r>
        <w:rPr>
          <w:rFonts w:ascii="Arial" w:hAnsi="Arial" w:cs="Arial"/>
          <w:bCs/>
          <w:sz w:val="20"/>
        </w:rPr>
        <w:tab/>
        <w:t>If such a proceeding relates to sentencing-</w:t>
      </w:r>
    </w:p>
    <w:p w14:paraId="1D46A665" w14:textId="77777777" w:rsidR="002563EE" w:rsidRDefault="002563EE" w:rsidP="002563EE">
      <w:pPr>
        <w:ind w:left="1287" w:right="567" w:hanging="363"/>
        <w:jc w:val="both"/>
        <w:rPr>
          <w:rFonts w:ascii="Arial" w:hAnsi="Arial" w:cs="Arial"/>
          <w:bCs/>
          <w:sz w:val="20"/>
        </w:rPr>
      </w:pPr>
      <w:r>
        <w:rPr>
          <w:rFonts w:ascii="Arial" w:hAnsi="Arial" w:cs="Arial"/>
          <w:bCs/>
          <w:sz w:val="20"/>
        </w:rPr>
        <w:t>(a)</w:t>
      </w:r>
      <w:r>
        <w:rPr>
          <w:rFonts w:ascii="Arial" w:hAnsi="Arial" w:cs="Arial"/>
          <w:bCs/>
          <w:sz w:val="20"/>
        </w:rPr>
        <w:tab/>
        <w:t>this Act applies only if the court directs that the law of evidence applies in the proceeding; and</w:t>
      </w:r>
    </w:p>
    <w:p w14:paraId="3A6A39BF" w14:textId="77777777" w:rsidR="002563EE" w:rsidRDefault="002563EE" w:rsidP="002563EE">
      <w:pPr>
        <w:ind w:left="1287" w:right="567" w:hanging="363"/>
        <w:jc w:val="both"/>
        <w:rPr>
          <w:rFonts w:ascii="Arial" w:hAnsi="Arial" w:cs="Arial"/>
          <w:bCs/>
          <w:sz w:val="20"/>
        </w:rPr>
      </w:pPr>
      <w:r>
        <w:rPr>
          <w:rFonts w:ascii="Arial" w:hAnsi="Arial" w:cs="Arial"/>
          <w:bCs/>
          <w:sz w:val="20"/>
        </w:rPr>
        <w:t>(b)</w:t>
      </w:r>
      <w:r>
        <w:rPr>
          <w:rFonts w:ascii="Arial" w:hAnsi="Arial" w:cs="Arial"/>
          <w:bCs/>
          <w:sz w:val="20"/>
        </w:rPr>
        <w:tab/>
        <w:t>if the court specifies in the direction that the law of evidence applies only in relation to specified matters – the direction has effect accordingly.</w:t>
      </w:r>
      <w:r w:rsidR="00411BA1">
        <w:rPr>
          <w:rFonts w:ascii="Arial" w:hAnsi="Arial" w:cs="Arial"/>
          <w:bCs/>
          <w:sz w:val="20"/>
        </w:rPr>
        <w:t>”</w:t>
      </w:r>
    </w:p>
    <w:p w14:paraId="1836320D" w14:textId="77777777" w:rsidR="002563EE" w:rsidRDefault="002563EE" w:rsidP="002563EE">
      <w:pPr>
        <w:jc w:val="both"/>
        <w:rPr>
          <w:rFonts w:ascii="Arial" w:hAnsi="Arial" w:cs="Arial"/>
          <w:sz w:val="20"/>
        </w:rPr>
      </w:pPr>
    </w:p>
    <w:p w14:paraId="722AD225" w14:textId="77777777" w:rsidR="0014387F" w:rsidRDefault="002563EE">
      <w:pPr>
        <w:jc w:val="both"/>
        <w:rPr>
          <w:rFonts w:ascii="Arial" w:hAnsi="Arial" w:cs="Arial"/>
          <w:sz w:val="20"/>
        </w:rPr>
      </w:pPr>
      <w:r>
        <w:rPr>
          <w:rFonts w:ascii="Arial" w:hAnsi="Arial" w:cs="Arial"/>
          <w:sz w:val="20"/>
        </w:rPr>
        <w:lastRenderedPageBreak/>
        <w:t xml:space="preserve">However, s.8 of the </w:t>
      </w:r>
      <w:r w:rsidRPr="002563EE">
        <w:rPr>
          <w:rFonts w:ascii="Arial" w:hAnsi="Arial" w:cs="Arial"/>
          <w:sz w:val="20"/>
          <w:u w:val="single"/>
        </w:rPr>
        <w:t>Evidence Act 2008 (Vic)</w:t>
      </w:r>
      <w:r>
        <w:rPr>
          <w:rFonts w:ascii="Arial" w:hAnsi="Arial" w:cs="Arial"/>
          <w:sz w:val="20"/>
        </w:rPr>
        <w:t xml:space="preserve"> provides-</w:t>
      </w:r>
      <w:r w:rsidR="00411BA1">
        <w:rPr>
          <w:rFonts w:ascii="Arial" w:hAnsi="Arial" w:cs="Arial"/>
          <w:sz w:val="20"/>
        </w:rPr>
        <w:t xml:space="preserve"> “This Act does not affect the operation of the provisions of any other Act.”  Note 4 to s.4 states: “Provisions in other Victorian Acts which relieve courts from the obligation to apply the rules of evidence in certain proceedings are preserved by s.8 of this Act.  These include s.215 of the </w:t>
      </w:r>
      <w:r w:rsidR="00411BA1" w:rsidRPr="00411BA1">
        <w:rPr>
          <w:rFonts w:ascii="Arial" w:hAnsi="Arial" w:cs="Arial"/>
          <w:b/>
          <w:sz w:val="20"/>
        </w:rPr>
        <w:t>Children, Youth and Families Act 2005</w:t>
      </w:r>
      <w:r w:rsidR="00411BA1">
        <w:rPr>
          <w:rFonts w:ascii="Arial" w:hAnsi="Arial" w:cs="Arial"/>
          <w:sz w:val="20"/>
        </w:rPr>
        <w:t>.”</w:t>
      </w:r>
      <w:r w:rsidR="00E223F2">
        <w:rPr>
          <w:rFonts w:ascii="Arial" w:hAnsi="Arial" w:cs="Arial"/>
          <w:sz w:val="20"/>
        </w:rPr>
        <w:t xml:space="preserve">  It follows from all of this that the </w:t>
      </w:r>
      <w:r w:rsidR="00E223F2" w:rsidRPr="00E223F2">
        <w:rPr>
          <w:rFonts w:ascii="Arial" w:hAnsi="Arial" w:cs="Arial"/>
          <w:sz w:val="20"/>
          <w:u w:val="single"/>
        </w:rPr>
        <w:t>Evidence Act 2008</w:t>
      </w:r>
      <w:r w:rsidR="00E223F2">
        <w:rPr>
          <w:rFonts w:ascii="Arial" w:hAnsi="Arial" w:cs="Arial"/>
          <w:sz w:val="20"/>
        </w:rPr>
        <w:t xml:space="preserve"> does not alter the power of the Family Division of the Children’s Court to “inform itself on a matter in such manner as it thinks fit, despite any rules of evidence to the contrary”.</w:t>
      </w:r>
    </w:p>
    <w:p w14:paraId="6FCCC2D6" w14:textId="77777777" w:rsidR="00E223F2" w:rsidRDefault="00E223F2">
      <w:pPr>
        <w:jc w:val="both"/>
        <w:rPr>
          <w:rFonts w:ascii="Arial" w:hAnsi="Arial" w:cs="Arial"/>
          <w:sz w:val="16"/>
        </w:rPr>
      </w:pPr>
    </w:p>
    <w:p w14:paraId="1D5B6D14" w14:textId="77777777" w:rsidR="00061CF0" w:rsidRDefault="002A72C0">
      <w:pPr>
        <w:jc w:val="both"/>
        <w:rPr>
          <w:rFonts w:ascii="Arial" w:hAnsi="Arial" w:cs="Arial"/>
          <w:sz w:val="20"/>
        </w:rPr>
      </w:pPr>
      <w:r>
        <w:rPr>
          <w:rFonts w:ascii="Arial" w:hAnsi="Arial" w:cs="Arial"/>
          <w:sz w:val="20"/>
        </w:rPr>
        <w:t>T</w:t>
      </w:r>
      <w:r w:rsidR="00061CF0">
        <w:rPr>
          <w:rFonts w:ascii="Arial" w:hAnsi="Arial" w:cs="Arial"/>
          <w:sz w:val="20"/>
        </w:rPr>
        <w:t xml:space="preserve">he Less Adversarial Trial </w:t>
      </w:r>
      <w:r>
        <w:rPr>
          <w:rFonts w:ascii="Arial" w:hAnsi="Arial" w:cs="Arial"/>
          <w:sz w:val="20"/>
        </w:rPr>
        <w:t xml:space="preserve">[‘LAT’] approach currently in operation in the Family Court of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has as one of its cornerstones the amendments introduced in 2006 as </w:t>
      </w:r>
      <w:r>
        <w:rPr>
          <w:rFonts w:ascii="Arial" w:hAnsi="Arial" w:cs="Arial"/>
          <w:iCs/>
          <w:sz w:val="20"/>
        </w:rPr>
        <w:t xml:space="preserve">Division 12A of Part VII of the </w:t>
      </w:r>
      <w:r w:rsidRPr="002A72C0">
        <w:rPr>
          <w:rFonts w:ascii="Arial" w:hAnsi="Arial" w:cs="Arial"/>
          <w:iCs/>
          <w:sz w:val="20"/>
          <w:u w:val="single"/>
        </w:rPr>
        <w:t>Family Law Act 1975 (Cth)</w:t>
      </w:r>
      <w:r>
        <w:rPr>
          <w:rFonts w:ascii="Arial" w:hAnsi="Arial" w:cs="Arial"/>
          <w:iCs/>
          <w:sz w:val="20"/>
        </w:rPr>
        <w:t>.  One of these amendments is the insertion of s.69ZT which provides that in child-related proceedings:</w:t>
      </w:r>
    </w:p>
    <w:p w14:paraId="577449F1" w14:textId="77777777" w:rsidR="002A72C0" w:rsidRDefault="002A72C0">
      <w:pPr>
        <w:numPr>
          <w:ilvl w:val="0"/>
          <w:numId w:val="44"/>
        </w:numPr>
        <w:ind w:left="419" w:hanging="357"/>
        <w:jc w:val="both"/>
        <w:rPr>
          <w:rFonts w:ascii="Arial" w:hAnsi="Arial" w:cs="Arial"/>
          <w:sz w:val="20"/>
        </w:rPr>
      </w:pPr>
      <w:r>
        <w:rPr>
          <w:rFonts w:ascii="Arial" w:hAnsi="Arial" w:cs="Arial"/>
          <w:sz w:val="20"/>
        </w:rPr>
        <w:t>certain of the rules of evidence do not apply unless – in exceptional circumstances - the Court decides to the contrary; the</w:t>
      </w:r>
      <w:r w:rsidR="00D451AD">
        <w:rPr>
          <w:rFonts w:ascii="Arial" w:hAnsi="Arial" w:cs="Arial"/>
          <w:sz w:val="20"/>
        </w:rPr>
        <w:t xml:space="preserve"> </w:t>
      </w:r>
      <w:r w:rsidR="00E96907">
        <w:rPr>
          <w:rFonts w:ascii="Arial" w:hAnsi="Arial" w:cs="Arial"/>
          <w:sz w:val="20"/>
        </w:rPr>
        <w:t xml:space="preserve">generally </w:t>
      </w:r>
      <w:r w:rsidR="00D451AD">
        <w:rPr>
          <w:rFonts w:ascii="Arial" w:hAnsi="Arial" w:cs="Arial"/>
          <w:sz w:val="20"/>
        </w:rPr>
        <w:t>inapplicable rules</w:t>
      </w:r>
      <w:r w:rsidR="00E96907">
        <w:rPr>
          <w:rFonts w:ascii="Arial" w:hAnsi="Arial" w:cs="Arial"/>
          <w:sz w:val="20"/>
        </w:rPr>
        <w:t xml:space="preserve"> include the traditional procedures for</w:t>
      </w:r>
      <w:r>
        <w:rPr>
          <w:rFonts w:ascii="Arial" w:hAnsi="Arial" w:cs="Arial"/>
          <w:sz w:val="20"/>
        </w:rPr>
        <w:t xml:space="preserve"> giving </w:t>
      </w:r>
      <w:r w:rsidR="00E96907" w:rsidRPr="00E96907">
        <w:rPr>
          <w:rFonts w:ascii="Arial" w:hAnsi="Arial" w:cs="Arial"/>
          <w:i/>
          <w:sz w:val="20"/>
        </w:rPr>
        <w:t>viva voce</w:t>
      </w:r>
      <w:r w:rsidR="00E96907">
        <w:rPr>
          <w:rFonts w:ascii="Arial" w:hAnsi="Arial" w:cs="Arial"/>
          <w:sz w:val="20"/>
        </w:rPr>
        <w:t xml:space="preserve"> </w:t>
      </w:r>
      <w:r>
        <w:rPr>
          <w:rFonts w:ascii="Arial" w:hAnsi="Arial" w:cs="Arial"/>
          <w:sz w:val="20"/>
        </w:rPr>
        <w:t>evidence, rules dealing</w:t>
      </w:r>
      <w:r w:rsidR="00D451AD">
        <w:rPr>
          <w:rFonts w:ascii="Arial" w:hAnsi="Arial" w:cs="Arial"/>
          <w:sz w:val="20"/>
        </w:rPr>
        <w:t xml:space="preserve"> with documents and </w:t>
      </w:r>
      <w:r>
        <w:rPr>
          <w:rFonts w:ascii="Arial" w:hAnsi="Arial" w:cs="Arial"/>
          <w:sz w:val="20"/>
        </w:rPr>
        <w:t>hearsay evidence, opinion evidence, evidence of judgments and convictions, tendency and coincidence evidence and evidence of credibility [ss.69ZT(1) &amp; 69ZT(3)]; and</w:t>
      </w:r>
    </w:p>
    <w:p w14:paraId="23458CCD" w14:textId="77777777" w:rsidR="002A72C0" w:rsidRDefault="002A72C0">
      <w:pPr>
        <w:numPr>
          <w:ilvl w:val="0"/>
          <w:numId w:val="44"/>
        </w:numPr>
        <w:jc w:val="both"/>
        <w:rPr>
          <w:rFonts w:ascii="Arial" w:hAnsi="Arial" w:cs="Arial"/>
          <w:sz w:val="20"/>
        </w:rPr>
      </w:pPr>
      <w:r>
        <w:rPr>
          <w:rFonts w:ascii="Arial" w:hAnsi="Arial" w:cs="Arial"/>
          <w:sz w:val="20"/>
        </w:rPr>
        <w:t>the Court may give such weight (if any) as it thinks fit to evidence admitted either contrary to or in accord with the rules of evidence [ss.69ZT(2) &amp; 69ZT(4)].</w:t>
      </w:r>
    </w:p>
    <w:p w14:paraId="3E375DAE" w14:textId="77777777" w:rsidR="002A72C0" w:rsidRDefault="002A72C0">
      <w:pPr>
        <w:jc w:val="both"/>
        <w:rPr>
          <w:rFonts w:ascii="Arial" w:hAnsi="Arial" w:cs="Arial"/>
          <w:sz w:val="20"/>
        </w:rPr>
      </w:pPr>
    </w:p>
    <w:p w14:paraId="6D11A171" w14:textId="77777777" w:rsidR="00061CF0" w:rsidRDefault="002A72C0" w:rsidP="00BB1A34">
      <w:pPr>
        <w:jc w:val="both"/>
        <w:rPr>
          <w:rFonts w:ascii="Arial" w:hAnsi="Arial" w:cs="Arial"/>
          <w:sz w:val="20"/>
        </w:rPr>
      </w:pPr>
      <w:bookmarkStart w:id="1173" w:name="_Toc30654120"/>
      <w:bookmarkStart w:id="1174" w:name="_Toc30654471"/>
      <w:bookmarkStart w:id="1175" w:name="_Toc30655090"/>
      <w:bookmarkStart w:id="1176" w:name="_Toc30655347"/>
      <w:bookmarkStart w:id="1177" w:name="_Toc30657025"/>
      <w:bookmarkStart w:id="1178" w:name="_Toc30661774"/>
      <w:bookmarkStart w:id="1179" w:name="_Toc30666462"/>
      <w:bookmarkStart w:id="1180" w:name="_Toc30666692"/>
      <w:bookmarkStart w:id="1181" w:name="_Toc30667867"/>
      <w:bookmarkStart w:id="1182" w:name="_Toc30669245"/>
      <w:bookmarkStart w:id="1183" w:name="_Toc30671461"/>
      <w:bookmarkStart w:id="1184" w:name="_Toc30673988"/>
      <w:bookmarkStart w:id="1185" w:name="_Toc30691210"/>
      <w:bookmarkStart w:id="1186" w:name="_Toc30691583"/>
      <w:bookmarkStart w:id="1187" w:name="_Toc30691963"/>
      <w:bookmarkStart w:id="1188" w:name="_Toc30692722"/>
      <w:bookmarkStart w:id="1189" w:name="_Toc30693101"/>
      <w:bookmarkStart w:id="1190" w:name="_Toc30693479"/>
      <w:bookmarkStart w:id="1191" w:name="_Toc30693857"/>
      <w:bookmarkStart w:id="1192" w:name="_Toc30694238"/>
      <w:bookmarkStart w:id="1193" w:name="_Toc30698827"/>
      <w:bookmarkStart w:id="1194" w:name="_Toc30699205"/>
      <w:bookmarkStart w:id="1195" w:name="_Toc30699590"/>
      <w:bookmarkStart w:id="1196" w:name="_Toc30700745"/>
      <w:bookmarkStart w:id="1197" w:name="_Toc30701132"/>
      <w:bookmarkStart w:id="1198" w:name="_Toc30743741"/>
      <w:bookmarkStart w:id="1199" w:name="_Toc30754564"/>
      <w:bookmarkStart w:id="1200" w:name="_Toc30757004"/>
      <w:bookmarkStart w:id="1201" w:name="_Toc30757553"/>
      <w:bookmarkStart w:id="1202" w:name="_Toc30757953"/>
      <w:bookmarkStart w:id="1203" w:name="_Toc30762714"/>
      <w:bookmarkStart w:id="1204" w:name="_Toc30767368"/>
      <w:bookmarkStart w:id="1205" w:name="_Toc34823383"/>
      <w:r>
        <w:rPr>
          <w:rFonts w:ascii="Arial" w:hAnsi="Arial" w:cs="Arial"/>
          <w:sz w:val="20"/>
        </w:rPr>
        <w:t xml:space="preserve">The </w:t>
      </w:r>
      <w:r w:rsidRPr="002A72C0">
        <w:rPr>
          <w:rFonts w:ascii="Arial" w:hAnsi="Arial" w:cs="Arial"/>
          <w:sz w:val="20"/>
          <w:u w:val="single"/>
        </w:rPr>
        <w:t>Family Violence Protection Act 2008 (Vic)</w:t>
      </w:r>
      <w:r>
        <w:rPr>
          <w:rFonts w:ascii="Arial" w:hAnsi="Arial" w:cs="Arial"/>
          <w:sz w:val="20"/>
        </w:rPr>
        <w:t xml:space="preserve"> </w:t>
      </w:r>
      <w:r w:rsidR="009F7EDF">
        <w:rPr>
          <w:rFonts w:ascii="Arial" w:hAnsi="Arial" w:cs="Arial"/>
          <w:sz w:val="20"/>
        </w:rPr>
        <w:t>came</w:t>
      </w:r>
      <w:r>
        <w:rPr>
          <w:rFonts w:ascii="Arial" w:hAnsi="Arial" w:cs="Arial"/>
          <w:sz w:val="20"/>
        </w:rPr>
        <w:t xml:space="preserve"> into operation in </w:t>
      </w:r>
      <w:r w:rsidR="00D451AD">
        <w:rPr>
          <w:rFonts w:ascii="Arial" w:hAnsi="Arial" w:cs="Arial"/>
          <w:sz w:val="20"/>
        </w:rPr>
        <w:t>both the Magistrates’ Co</w:t>
      </w:r>
      <w:r w:rsidR="009F7EDF">
        <w:rPr>
          <w:rFonts w:ascii="Arial" w:hAnsi="Arial" w:cs="Arial"/>
          <w:sz w:val="20"/>
        </w:rPr>
        <w:t>urt and the Children’s Court on 08/12/</w:t>
      </w:r>
      <w:r>
        <w:rPr>
          <w:rFonts w:ascii="Arial" w:hAnsi="Arial" w:cs="Arial"/>
          <w:sz w:val="20"/>
        </w:rPr>
        <w:t xml:space="preserve">2008.  Section 65 of that Act provides </w:t>
      </w:r>
      <w:r w:rsidR="00A07795">
        <w:rPr>
          <w:rFonts w:ascii="Arial" w:hAnsi="Arial" w:cs="Arial"/>
          <w:sz w:val="20"/>
        </w:rPr>
        <w:t>a broad but qualified dispensation from the rules of evidence:</w:t>
      </w:r>
    </w:p>
    <w:p w14:paraId="586B65F5"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“(1)</w:t>
      </w:r>
      <w:r>
        <w:rPr>
          <w:rFonts w:ascii="Arial" w:hAnsi="Arial" w:cs="Arial"/>
          <w:bCs/>
          <w:sz w:val="20"/>
        </w:rPr>
        <w:tab/>
        <w:t>Subje</w:t>
      </w:r>
      <w:r w:rsidR="00D451AD">
        <w:rPr>
          <w:rFonts w:ascii="Arial" w:hAnsi="Arial" w:cs="Arial"/>
          <w:bCs/>
          <w:sz w:val="20"/>
        </w:rPr>
        <w:t>ct to this Act, in a proceeding</w:t>
      </w:r>
      <w:r>
        <w:rPr>
          <w:rFonts w:ascii="Arial" w:hAnsi="Arial" w:cs="Arial"/>
          <w:bCs/>
          <w:sz w:val="20"/>
        </w:rPr>
        <w:t xml:space="preserve"> for a family violence intervention order the court may inform itself in any way it thinks fit, despite any rules of evidence to the contrary…</w:t>
      </w:r>
    </w:p>
    <w:p w14:paraId="2B33563A" w14:textId="77777777" w:rsidR="00A07795" w:rsidRDefault="00A07795" w:rsidP="00A07795">
      <w:pPr>
        <w:tabs>
          <w:tab w:val="left" w:pos="363"/>
          <w:tab w:val="left" w:pos="1083"/>
        </w:tabs>
        <w:spacing w:before="60"/>
        <w:ind w:left="930" w:right="567" w:hanging="363"/>
        <w:jc w:val="both"/>
        <w:rPr>
          <w:rFonts w:ascii="Arial" w:hAnsi="Arial" w:cs="Arial"/>
          <w:bCs/>
          <w:sz w:val="20"/>
        </w:rPr>
      </w:pPr>
      <w:r>
        <w:rPr>
          <w:rFonts w:ascii="Arial" w:hAnsi="Arial" w:cs="Arial"/>
          <w:bCs/>
          <w:sz w:val="20"/>
        </w:rPr>
        <w:t>(3)</w:t>
      </w:r>
      <w:r>
        <w:rPr>
          <w:rFonts w:ascii="Arial" w:hAnsi="Arial" w:cs="Arial"/>
          <w:bCs/>
          <w:sz w:val="20"/>
        </w:rPr>
        <w:tab/>
        <w:t xml:space="preserve">The </w:t>
      </w:r>
      <w:r w:rsidR="00D451AD">
        <w:rPr>
          <w:rFonts w:ascii="Arial" w:hAnsi="Arial" w:cs="Arial"/>
          <w:bCs/>
          <w:sz w:val="20"/>
        </w:rPr>
        <w:t>c</w:t>
      </w:r>
      <w:r>
        <w:rPr>
          <w:rFonts w:ascii="Arial" w:hAnsi="Arial" w:cs="Arial"/>
          <w:bCs/>
          <w:sz w:val="20"/>
        </w:rPr>
        <w:t xml:space="preserve">ourt may refuse to admit, or may limit the use to be made of, evidence if the </w:t>
      </w:r>
      <w:r w:rsidR="00D451AD">
        <w:rPr>
          <w:rFonts w:ascii="Arial" w:hAnsi="Arial" w:cs="Arial"/>
          <w:bCs/>
          <w:sz w:val="20"/>
        </w:rPr>
        <w:t>court is satisfied-</w:t>
      </w:r>
    </w:p>
    <w:p w14:paraId="6B7FA9F6" w14:textId="77777777" w:rsidR="00A07795" w:rsidRDefault="00A07795" w:rsidP="00033D59">
      <w:pPr>
        <w:tabs>
          <w:tab w:val="left" w:pos="284"/>
        </w:tabs>
        <w:ind w:left="1650" w:right="567" w:hanging="720"/>
        <w:jc w:val="both"/>
        <w:rPr>
          <w:rFonts w:ascii="Arial" w:hAnsi="Arial" w:cs="Arial"/>
          <w:sz w:val="20"/>
        </w:rPr>
      </w:pPr>
      <w:r>
        <w:rPr>
          <w:rFonts w:ascii="Arial" w:hAnsi="Arial" w:cs="Arial"/>
          <w:sz w:val="20"/>
        </w:rPr>
        <w:t>(a)   it is just and equitable to do so; or</w:t>
      </w:r>
    </w:p>
    <w:p w14:paraId="1BA839BB" w14:textId="77777777" w:rsidR="00A07795" w:rsidRDefault="00A07795" w:rsidP="00A07795">
      <w:pPr>
        <w:tabs>
          <w:tab w:val="left" w:pos="363"/>
          <w:tab w:val="left" w:pos="1083"/>
        </w:tabs>
        <w:ind w:left="1293" w:right="567" w:hanging="363"/>
        <w:jc w:val="both"/>
        <w:rPr>
          <w:rFonts w:ascii="Arial" w:hAnsi="Arial" w:cs="Arial"/>
          <w:sz w:val="20"/>
        </w:rPr>
      </w:pPr>
      <w:r>
        <w:rPr>
          <w:rFonts w:ascii="Arial" w:hAnsi="Arial" w:cs="Arial"/>
          <w:sz w:val="20"/>
        </w:rPr>
        <w:t>(b)  the probative value of the evidence is substantially outweighed by the danger that the evidence may be unfairly prejudicial to a party or misleading or confusing.”</w:t>
      </w:r>
    </w:p>
    <w:p w14:paraId="1FBB7C0C" w14:textId="77777777" w:rsidR="00A07795" w:rsidRDefault="00A07795" w:rsidP="00A07795">
      <w:pPr>
        <w:jc w:val="both"/>
        <w:rPr>
          <w:rFonts w:ascii="Arial" w:hAnsi="Arial" w:cs="Arial"/>
          <w:sz w:val="20"/>
        </w:rPr>
      </w:pPr>
    </w:p>
    <w:p w14:paraId="7692AC47" w14:textId="77777777" w:rsidR="004E7B22" w:rsidRDefault="004E7B22" w:rsidP="00A07795">
      <w:pPr>
        <w:jc w:val="both"/>
        <w:rPr>
          <w:rFonts w:ascii="Arial" w:hAnsi="Arial" w:cs="Arial"/>
          <w:bCs/>
          <w:sz w:val="20"/>
        </w:rPr>
      </w:pPr>
      <w:r>
        <w:rPr>
          <w:rFonts w:ascii="Arial" w:hAnsi="Arial" w:cs="Arial"/>
          <w:bCs/>
          <w:sz w:val="20"/>
        </w:rPr>
        <w:t xml:space="preserve">See also s.47 of the </w:t>
      </w:r>
      <w:r w:rsidRPr="004E7B22">
        <w:rPr>
          <w:rFonts w:ascii="Arial" w:hAnsi="Arial" w:cs="Arial"/>
          <w:bCs/>
          <w:sz w:val="20"/>
          <w:u w:val="single"/>
        </w:rPr>
        <w:t>Personal Safety Intervention Orders Act 2010 (Vic)</w:t>
      </w:r>
      <w:r>
        <w:rPr>
          <w:rFonts w:ascii="Arial" w:hAnsi="Arial" w:cs="Arial"/>
          <w:bCs/>
          <w:sz w:val="20"/>
        </w:rPr>
        <w:t xml:space="preserve"> to like effect.</w:t>
      </w:r>
    </w:p>
    <w:p w14:paraId="73E80A6A" w14:textId="77777777" w:rsidR="004E7B22" w:rsidRDefault="004E7B22" w:rsidP="00A07795">
      <w:pPr>
        <w:jc w:val="both"/>
        <w:rPr>
          <w:rFonts w:ascii="Arial" w:hAnsi="Arial" w:cs="Arial"/>
          <w:bCs/>
          <w:sz w:val="20"/>
        </w:rPr>
      </w:pPr>
    </w:p>
    <w:p w14:paraId="27E470A2" w14:textId="77777777" w:rsidR="00D741BD" w:rsidRPr="00A07795" w:rsidRDefault="00A07795" w:rsidP="00A07795">
      <w:pPr>
        <w:jc w:val="both"/>
        <w:rPr>
          <w:rFonts w:ascii="Arial" w:hAnsi="Arial" w:cs="Arial"/>
          <w:sz w:val="20"/>
        </w:rPr>
      </w:pPr>
      <w:r>
        <w:rPr>
          <w:rFonts w:ascii="Arial" w:hAnsi="Arial" w:cs="Arial"/>
          <w:bCs/>
          <w:sz w:val="20"/>
        </w:rPr>
        <w:t xml:space="preserve">In </w:t>
      </w:r>
      <w:r w:rsidRPr="00A07795">
        <w:rPr>
          <w:rFonts w:ascii="Arial" w:hAnsi="Arial" w:cs="Arial"/>
          <w:bCs/>
          <w:i/>
          <w:sz w:val="20"/>
        </w:rPr>
        <w:t>H v H</w:t>
      </w:r>
      <w:r>
        <w:rPr>
          <w:rFonts w:ascii="Arial" w:hAnsi="Arial" w:cs="Arial"/>
          <w:bCs/>
          <w:sz w:val="20"/>
        </w:rPr>
        <w:t xml:space="preserve"> [2008] FMCAfam 884 the Federal Magistrates’ Court held that where family violence is a serious issue in proceedings under the </w:t>
      </w:r>
      <w:r w:rsidRPr="002A72C0">
        <w:rPr>
          <w:rFonts w:ascii="Arial" w:hAnsi="Arial" w:cs="Arial"/>
          <w:iCs/>
          <w:sz w:val="20"/>
          <w:u w:val="single"/>
        </w:rPr>
        <w:t>Family Law Act 1975 (Cth)</w:t>
      </w:r>
      <w:r w:rsidRPr="00A07795">
        <w:rPr>
          <w:rFonts w:ascii="Arial" w:hAnsi="Arial" w:cs="Arial"/>
          <w:iCs/>
          <w:sz w:val="20"/>
        </w:rPr>
        <w:t xml:space="preserve"> “</w:t>
      </w:r>
      <w:r>
        <w:rPr>
          <w:rFonts w:ascii="Arial" w:hAnsi="Arial" w:cs="Arial"/>
          <w:iCs/>
          <w:sz w:val="20"/>
        </w:rPr>
        <w:t>the Court should be careful in admitting into evidence…only that evidence which each of the parties has had an appropriate opportunity to test”.</w:t>
      </w:r>
    </w:p>
    <w:p w14:paraId="01C1AE87" w14:textId="77777777" w:rsidR="00E04070" w:rsidRPr="00785E1A" w:rsidRDefault="00E04070" w:rsidP="00BB1A34">
      <w:pPr>
        <w:jc w:val="both"/>
        <w:rPr>
          <w:rFonts w:ascii="Arial" w:hAnsi="Arial" w:cs="Arial"/>
          <w:color w:val="000000"/>
          <w:sz w:val="20"/>
        </w:rPr>
      </w:pPr>
    </w:p>
    <w:p w14:paraId="7E5122F1" w14:textId="3A949E5D" w:rsidR="007D2F69" w:rsidRPr="003D5DFA" w:rsidRDefault="00C75CA9" w:rsidP="007D2F69">
      <w:pPr>
        <w:pStyle w:val="Heading3"/>
        <w:keepNext/>
        <w:keepLines/>
        <w:spacing w:after="120" w:line="240" w:lineRule="auto"/>
        <w:rPr>
          <w:rFonts w:ascii="Arial" w:hAnsi="Arial" w:cs="Arial"/>
          <w:b/>
          <w:bCs/>
          <w:color w:val="000000"/>
          <w:sz w:val="20"/>
        </w:rPr>
      </w:pPr>
      <w:bookmarkStart w:id="1206" w:name="_4.8.3_Impact_of"/>
      <w:bookmarkStart w:id="1207" w:name="B483"/>
      <w:bookmarkEnd w:id="1206"/>
      <w:bookmarkEnd w:id="1207"/>
      <w:r w:rsidRPr="00785E1A">
        <w:rPr>
          <w:rFonts w:ascii="Arial" w:hAnsi="Arial" w:cs="Arial"/>
          <w:b/>
          <w:bCs/>
          <w:color w:val="000000"/>
          <w:sz w:val="20"/>
        </w:rPr>
        <w:t>4.8.</w:t>
      </w:r>
      <w:r w:rsidR="0026104F">
        <w:rPr>
          <w:rFonts w:ascii="Arial" w:hAnsi="Arial" w:cs="Arial"/>
          <w:b/>
          <w:bCs/>
          <w:color w:val="000000"/>
          <w:sz w:val="20"/>
        </w:rPr>
        <w:t>4</w:t>
      </w:r>
      <w:r w:rsidRPr="00785E1A">
        <w:rPr>
          <w:rFonts w:ascii="Arial" w:hAnsi="Arial" w:cs="Arial"/>
          <w:b/>
          <w:bCs/>
          <w:color w:val="000000"/>
          <w:sz w:val="20"/>
        </w:rPr>
        <w:tab/>
        <w:t>Impact of the “best interests” principle on the Court’s procedure</w:t>
      </w:r>
    </w:p>
    <w:p w14:paraId="09B676B6" w14:textId="77777777" w:rsidR="00192251" w:rsidRDefault="00192251" w:rsidP="00192251">
      <w:pPr>
        <w:jc w:val="both"/>
        <w:rPr>
          <w:rFonts w:ascii="Arial" w:hAnsi="Arial" w:cs="Arial"/>
          <w:color w:val="000000"/>
          <w:sz w:val="20"/>
        </w:rPr>
      </w:pPr>
      <w:r w:rsidRPr="00785E1A">
        <w:rPr>
          <w:rFonts w:ascii="Arial" w:hAnsi="Arial" w:cs="Arial"/>
          <w:bCs/>
          <w:i/>
          <w:color w:val="000000"/>
          <w:sz w:val="20"/>
        </w:rPr>
        <w:t>DOHS v Sanding</w:t>
      </w:r>
      <w:r w:rsidRPr="00785E1A">
        <w:rPr>
          <w:rFonts w:ascii="Arial" w:hAnsi="Arial" w:cs="Arial"/>
          <w:bCs/>
          <w:color w:val="000000"/>
          <w:sz w:val="20"/>
        </w:rPr>
        <w:t xml:space="preserve"> [2011] VSC 42</w:t>
      </w:r>
      <w:r>
        <w:rPr>
          <w:rFonts w:ascii="Arial" w:hAnsi="Arial" w:cs="Arial"/>
          <w:bCs/>
          <w:color w:val="000000"/>
          <w:sz w:val="20"/>
        </w:rPr>
        <w:t>; (2011) 36 VR 221</w:t>
      </w:r>
      <w:r w:rsidRPr="00785E1A">
        <w:rPr>
          <w:rFonts w:ascii="Arial" w:hAnsi="Arial" w:cs="Arial"/>
          <w:bCs/>
          <w:color w:val="000000"/>
          <w:sz w:val="20"/>
        </w:rPr>
        <w:t xml:space="preserve"> is in many ways a watershed Supreme Court decision on the relationship between the “best interests” principle, the court’s procedural discretion and the rules of natural justice</w:t>
      </w:r>
      <w:r>
        <w:rPr>
          <w:rFonts w:ascii="Arial" w:hAnsi="Arial" w:cs="Arial"/>
          <w:bCs/>
          <w:color w:val="000000"/>
          <w:sz w:val="20"/>
        </w:rPr>
        <w:t>/procedural fairness</w:t>
      </w:r>
      <w:r w:rsidRPr="00785E1A">
        <w:rPr>
          <w:rFonts w:ascii="Arial" w:hAnsi="Arial" w:cs="Arial"/>
          <w:bCs/>
          <w:color w:val="000000"/>
          <w:sz w:val="20"/>
        </w:rPr>
        <w:t xml:space="preserve">.  In that case </w:t>
      </w:r>
      <w:r w:rsidRPr="00785E1A">
        <w:rPr>
          <w:rFonts w:ascii="Arial" w:hAnsi="Arial" w:cs="Arial"/>
          <w:color w:val="000000"/>
          <w:sz w:val="20"/>
        </w:rPr>
        <w:t xml:space="preserve">four Aboriginal children aged 9, 7, 4 &amp; 2 had been residing in the care of their maternal grandmother under custody to Secretary orders.  At [279] Bell J described “the real risk to the wellbeing of the children” as “the drug-taking activity of their mother and her disturbance of the home of the grandmother in which the family was living”.  Nine weeks after the custody to Secretary orders were made by consent, the Department removed the children from the care of their grandmother and placed them separately in out of home care with non-Aboriginal families.  No family was available to take the four children together and no Aboriginal family was available to take any of them.  Within a week of their separation, the behaviour of the two oldest children substantially regressed.  The mother made applications to revoke each of the custody to Secretary orders on the basis that the children would live with her mother and that she would not live in the home.  A Children’s Court magistrate conducted a “submissions contest” in which he obtained information, but not </w:t>
      </w:r>
      <w:r w:rsidRPr="00365FFA">
        <w:rPr>
          <w:rFonts w:ascii="Arial" w:hAnsi="Arial" w:cs="Arial"/>
          <w:i/>
          <w:iCs/>
          <w:color w:val="000000"/>
          <w:sz w:val="20"/>
        </w:rPr>
        <w:t>viva voce</w:t>
      </w:r>
      <w:r w:rsidRPr="00785E1A">
        <w:rPr>
          <w:rFonts w:ascii="Arial" w:hAnsi="Arial" w:cs="Arial"/>
          <w:color w:val="000000"/>
          <w:sz w:val="20"/>
        </w:rPr>
        <w:t xml:space="preserve"> evidence, from </w:t>
      </w:r>
      <w:r>
        <w:rPr>
          <w:rFonts w:ascii="Arial" w:hAnsi="Arial" w:cs="Arial"/>
          <w:color w:val="000000"/>
          <w:sz w:val="20"/>
        </w:rPr>
        <w:t>DOHS’</w:t>
      </w:r>
      <w:r w:rsidRPr="00785E1A">
        <w:rPr>
          <w:rFonts w:ascii="Arial" w:hAnsi="Arial" w:cs="Arial"/>
          <w:color w:val="000000"/>
          <w:sz w:val="20"/>
        </w:rPr>
        <w:t xml:space="preserve"> reports and the legal representatives of </w:t>
      </w:r>
      <w:r>
        <w:rPr>
          <w:rFonts w:ascii="Arial" w:hAnsi="Arial" w:cs="Arial"/>
          <w:color w:val="000000"/>
          <w:sz w:val="20"/>
        </w:rPr>
        <w:t>DOHS</w:t>
      </w:r>
      <w:r w:rsidRPr="00785E1A">
        <w:rPr>
          <w:rFonts w:ascii="Arial" w:hAnsi="Arial" w:cs="Arial"/>
          <w:color w:val="000000"/>
          <w:sz w:val="20"/>
        </w:rPr>
        <w:t xml:space="preserve">, the grandmother and the mother.  He then revoked the custody to Secretary orders and placed the children on interim accommodation orders in the grandmother’s care with various conditions.  The Department appealed, submitting that the </w:t>
      </w:r>
      <w:r w:rsidRPr="00785E1A">
        <w:rPr>
          <w:rFonts w:ascii="Arial" w:hAnsi="Arial" w:cs="Arial"/>
          <w:color w:val="000000"/>
          <w:sz w:val="20"/>
        </w:rPr>
        <w:lastRenderedPageBreak/>
        <w:t xml:space="preserve">magistrate should have conducted a formal hearing at which at least some formal </w:t>
      </w:r>
      <w:r w:rsidRPr="00365FFA">
        <w:rPr>
          <w:rFonts w:ascii="Arial" w:hAnsi="Arial" w:cs="Arial"/>
          <w:i/>
          <w:iCs/>
          <w:color w:val="000000"/>
          <w:sz w:val="20"/>
        </w:rPr>
        <w:t>viva voce</w:t>
      </w:r>
      <w:r>
        <w:rPr>
          <w:rFonts w:ascii="Arial" w:hAnsi="Arial" w:cs="Arial"/>
          <w:color w:val="000000"/>
          <w:sz w:val="20"/>
        </w:rPr>
        <w:t xml:space="preserve"> </w:t>
      </w:r>
      <w:r w:rsidRPr="00785E1A">
        <w:rPr>
          <w:rFonts w:ascii="Arial" w:hAnsi="Arial" w:cs="Arial"/>
          <w:color w:val="000000"/>
          <w:sz w:val="20"/>
        </w:rPr>
        <w:t>evidence was taken.  The appeal was dismissed.</w:t>
      </w:r>
      <w:r>
        <w:rPr>
          <w:rFonts w:ascii="Arial" w:hAnsi="Arial" w:cs="Arial"/>
          <w:color w:val="000000"/>
          <w:sz w:val="20"/>
        </w:rPr>
        <w:t xml:space="preserve">  </w:t>
      </w:r>
    </w:p>
    <w:p w14:paraId="37F4D199" w14:textId="77777777" w:rsidR="00192251" w:rsidRPr="00785E1A" w:rsidRDefault="00192251" w:rsidP="00192251">
      <w:pPr>
        <w:jc w:val="both"/>
        <w:rPr>
          <w:rFonts w:ascii="Arial" w:hAnsi="Arial" w:cs="Arial"/>
          <w:caps/>
          <w:color w:val="000000"/>
          <w:sz w:val="20"/>
        </w:rPr>
      </w:pPr>
    </w:p>
    <w:p w14:paraId="4619BE3D" w14:textId="1C8ADD38" w:rsidR="00192251" w:rsidRDefault="00192251" w:rsidP="00192251">
      <w:pPr>
        <w:jc w:val="both"/>
        <w:rPr>
          <w:rFonts w:ascii="Arial" w:hAnsi="Arial" w:cs="Arial"/>
          <w:color w:val="000000"/>
          <w:sz w:val="20"/>
        </w:rPr>
      </w:pPr>
      <w:r w:rsidRPr="00785E1A">
        <w:rPr>
          <w:rFonts w:ascii="Arial" w:hAnsi="Arial" w:cs="Arial"/>
          <w:color w:val="000000"/>
          <w:sz w:val="20"/>
        </w:rPr>
        <w:t xml:space="preserve">This was the first Supreme Court endorsement of which the writer is aware of the approval of a “submissions contest” procedure in a case involving anything other than an </w:t>
      </w:r>
      <w:r w:rsidR="003F74A9">
        <w:rPr>
          <w:rFonts w:ascii="Arial" w:hAnsi="Arial" w:cs="Arial"/>
          <w:color w:val="000000"/>
          <w:sz w:val="20"/>
        </w:rPr>
        <w:t>interim</w:t>
      </w:r>
      <w:r w:rsidRPr="00785E1A">
        <w:rPr>
          <w:rFonts w:ascii="Arial" w:hAnsi="Arial" w:cs="Arial"/>
          <w:color w:val="000000"/>
          <w:sz w:val="20"/>
        </w:rPr>
        <w:t xml:space="preserve"> hearing on a protection application by apprehension.  In the writer’s view it extends the procedure approved by the Supreme Court in cases such as </w:t>
      </w:r>
      <w:r w:rsidRPr="00785E1A">
        <w:rPr>
          <w:rFonts w:ascii="Arial" w:hAnsi="Arial" w:cs="Arial"/>
          <w:i/>
          <w:iCs/>
          <w:color w:val="000000"/>
          <w:sz w:val="20"/>
        </w:rPr>
        <w:t>G v H [No 2]</w:t>
      </w:r>
      <w:r w:rsidRPr="00785E1A">
        <w:rPr>
          <w:rFonts w:ascii="Arial" w:hAnsi="Arial" w:cs="Arial"/>
          <w:color w:val="000000"/>
          <w:sz w:val="20"/>
        </w:rPr>
        <w:t xml:space="preserve"> [Supreme Court of Victoria-Beach J, unreported, 10/08/1994], </w:t>
      </w:r>
      <w:r w:rsidRPr="00785E1A">
        <w:rPr>
          <w:rFonts w:ascii="Arial" w:hAnsi="Arial" w:cs="Arial"/>
          <w:i/>
          <w:iCs/>
          <w:color w:val="000000"/>
          <w:sz w:val="20"/>
        </w:rPr>
        <w:t>The Secretary DOHS v R &amp; Anor</w:t>
      </w:r>
      <w:r w:rsidRPr="00785E1A">
        <w:rPr>
          <w:rFonts w:ascii="Arial" w:hAnsi="Arial" w:cs="Arial"/>
          <w:color w:val="000000"/>
          <w:sz w:val="20"/>
        </w:rPr>
        <w:t xml:space="preserve"> [2003] VSC 172 at [11] per Ashley J and </w:t>
      </w:r>
      <w:r w:rsidRPr="00785E1A">
        <w:rPr>
          <w:rFonts w:ascii="Arial" w:hAnsi="Arial" w:cs="Arial"/>
          <w:i/>
          <w:iCs/>
          <w:color w:val="000000"/>
          <w:sz w:val="20"/>
        </w:rPr>
        <w:t>P v RM &amp; Ors</w:t>
      </w:r>
      <w:r w:rsidRPr="00785E1A">
        <w:rPr>
          <w:rFonts w:ascii="Arial" w:hAnsi="Arial" w:cs="Arial"/>
          <w:color w:val="000000"/>
          <w:sz w:val="20"/>
        </w:rPr>
        <w:t xml:space="preserve"> [2004] VSC 14 per Gillard J.</w:t>
      </w:r>
    </w:p>
    <w:p w14:paraId="64A3F3F6" w14:textId="77777777" w:rsidR="00192251" w:rsidRDefault="00192251" w:rsidP="00192251">
      <w:pPr>
        <w:jc w:val="both"/>
        <w:rPr>
          <w:rFonts w:ascii="Arial" w:hAnsi="Arial" w:cs="Arial"/>
          <w:color w:val="000000"/>
          <w:sz w:val="20"/>
        </w:rPr>
      </w:pPr>
    </w:p>
    <w:p w14:paraId="00D3215A" w14:textId="77777777" w:rsidR="00192251" w:rsidRDefault="00192251" w:rsidP="00192251">
      <w:pPr>
        <w:jc w:val="both"/>
        <w:rPr>
          <w:rFonts w:ascii="Arial" w:hAnsi="Arial" w:cs="Arial"/>
          <w:bCs/>
          <w:color w:val="000000"/>
          <w:sz w:val="20"/>
        </w:rPr>
      </w:pPr>
      <w:r w:rsidRPr="00785E1A">
        <w:rPr>
          <w:rFonts w:ascii="Arial" w:hAnsi="Arial" w:cs="Arial"/>
          <w:bCs/>
          <w:color w:val="000000"/>
          <w:sz w:val="20"/>
        </w:rPr>
        <w:t>In the course of his extensive judgment</w:t>
      </w:r>
      <w:r>
        <w:rPr>
          <w:rFonts w:ascii="Arial" w:hAnsi="Arial" w:cs="Arial"/>
          <w:bCs/>
          <w:color w:val="000000"/>
          <w:sz w:val="20"/>
        </w:rPr>
        <w:t xml:space="preserve">, Bell J discussed the impact of the best interests of the child on the court’s procedural discretion, saying </w:t>
      </w:r>
      <w:r w:rsidRPr="00A24DDE">
        <w:rPr>
          <w:rFonts w:ascii="Arial" w:hAnsi="Arial" w:cs="Arial"/>
          <w:bCs/>
          <w:i/>
          <w:iCs/>
          <w:color w:val="000000"/>
          <w:sz w:val="20"/>
        </w:rPr>
        <w:t>inter alia</w:t>
      </w:r>
      <w:r>
        <w:rPr>
          <w:rFonts w:ascii="Arial" w:hAnsi="Arial" w:cs="Arial"/>
          <w:bCs/>
          <w:color w:val="000000"/>
          <w:sz w:val="20"/>
        </w:rPr>
        <w:t xml:space="preserve"> at [129]-[130], [135]-[137] &amp; [146]-[147]:</w:t>
      </w:r>
    </w:p>
    <w:p w14:paraId="3EB32C46" w14:textId="77777777" w:rsidR="00192251" w:rsidRDefault="00192251" w:rsidP="00192251">
      <w:pPr>
        <w:spacing w:before="60"/>
        <w:ind w:left="567" w:right="567"/>
        <w:jc w:val="both"/>
        <w:rPr>
          <w:rFonts w:ascii="Arial" w:hAnsi="Arial" w:cs="Arial"/>
          <w:sz w:val="20"/>
          <w:szCs w:val="20"/>
          <w:lang w:eastAsia="en-AU"/>
        </w:rPr>
      </w:pPr>
      <w:r w:rsidRPr="00365FFA">
        <w:rPr>
          <w:rFonts w:ascii="Arial" w:hAnsi="Arial" w:cs="Arial"/>
          <w:sz w:val="20"/>
          <w:szCs w:val="20"/>
          <w:lang w:eastAsia="en-AU"/>
        </w:rPr>
        <w:t xml:space="preserve">[129] “By the established principles, any statutory exclusion of the rules of natural justice must be by express words or plain intendment: see </w:t>
      </w:r>
      <w:r w:rsidRPr="00365FFA">
        <w:rPr>
          <w:rFonts w:ascii="Arial" w:hAnsi="Arial" w:cs="Arial"/>
          <w:i/>
          <w:sz w:val="20"/>
          <w:szCs w:val="20"/>
          <w:lang w:eastAsia="en-AU"/>
        </w:rPr>
        <w:t>Commissioner of Police v Tanos</w:t>
      </w:r>
      <w:r w:rsidRPr="00365FFA">
        <w:rPr>
          <w:rFonts w:ascii="Arial" w:hAnsi="Arial" w:cs="Arial"/>
          <w:sz w:val="20"/>
          <w:szCs w:val="20"/>
          <w:lang w:eastAsia="en-AU"/>
        </w:rPr>
        <w:t xml:space="preserve"> (1958) 98 CLR 383 at 395, per Dixon CJ and Webb J and </w:t>
      </w:r>
      <w:r w:rsidRPr="00365FFA">
        <w:rPr>
          <w:rFonts w:ascii="Arial" w:hAnsi="Arial" w:cs="Arial"/>
          <w:i/>
          <w:sz w:val="20"/>
          <w:szCs w:val="20"/>
          <w:lang w:eastAsia="en-AU"/>
        </w:rPr>
        <w:t xml:space="preserve">Annetts v </w:t>
      </w:r>
      <w:r w:rsidRPr="00365FFA">
        <w:rPr>
          <w:rFonts w:ascii="Arial" w:hAnsi="Arial" w:cs="Arial"/>
          <w:sz w:val="20"/>
          <w:szCs w:val="20"/>
          <w:lang w:eastAsia="en-AU"/>
        </w:rPr>
        <w:t xml:space="preserve">McCann (1990) 170 CLR 596, 598 per Mason CJ, Deane &amp; McHugh JJ.  There are no such express words and there is no such plain intendment in s 215(1) of the </w:t>
      </w:r>
      <w:r w:rsidRPr="00365FFA">
        <w:rPr>
          <w:rFonts w:ascii="Arial" w:hAnsi="Arial" w:cs="Arial"/>
          <w:i/>
          <w:sz w:val="20"/>
          <w:szCs w:val="20"/>
          <w:lang w:eastAsia="en-AU"/>
        </w:rPr>
        <w:t>Children, Youth &amp; Families Act</w:t>
      </w:r>
      <w:r w:rsidRPr="00365FFA">
        <w:rPr>
          <w:rFonts w:ascii="Arial" w:hAnsi="Arial" w:cs="Arial"/>
          <w:sz w:val="20"/>
          <w:szCs w:val="20"/>
          <w:lang w:eastAsia="en-AU"/>
        </w:rPr>
        <w:t>.   Therefore the obligation of the Children’s Court to observe the rules of natural justice has not been overridden.</w:t>
      </w:r>
    </w:p>
    <w:p w14:paraId="7AB64435" w14:textId="77777777" w:rsidR="00192251" w:rsidRDefault="00192251" w:rsidP="00192251">
      <w:pPr>
        <w:spacing w:before="60"/>
        <w:ind w:left="567" w:right="567"/>
        <w:jc w:val="both"/>
        <w:rPr>
          <w:rFonts w:ascii="Arial" w:hAnsi="Arial" w:cs="Arial"/>
          <w:color w:val="000000"/>
          <w:sz w:val="20"/>
          <w:szCs w:val="20"/>
          <w:bdr w:val="none" w:sz="0" w:space="0" w:color="auto" w:frame="1"/>
        </w:rPr>
      </w:pPr>
      <w:r>
        <w:rPr>
          <w:rFonts w:ascii="Arial" w:hAnsi="Arial" w:cs="Arial"/>
          <w:sz w:val="20"/>
          <w:szCs w:val="20"/>
          <w:lang w:eastAsia="en-AU"/>
        </w:rPr>
        <w:t xml:space="preserve">[130] While </w:t>
      </w:r>
      <w:r w:rsidRPr="00A24DDE">
        <w:rPr>
          <w:rFonts w:ascii="Arial" w:hAnsi="Arial" w:cs="Arial"/>
          <w:color w:val="000000"/>
          <w:sz w:val="20"/>
          <w:szCs w:val="20"/>
        </w:rPr>
        <w:t>a court or tribunal operating under flexible procedural provisions must</w:t>
      </w:r>
      <w:r w:rsidRPr="00A24DDE">
        <w:rPr>
          <w:rFonts w:ascii="Arial" w:hAnsi="Arial" w:cs="Arial"/>
          <w:color w:val="000000"/>
          <w:sz w:val="20"/>
          <w:szCs w:val="20"/>
          <w:bdr w:val="none" w:sz="0" w:space="0" w:color="auto" w:frame="1"/>
        </w:rPr>
        <w:t xml:space="preserve"> observe the rules of natural justice, this does not mean that those rules can be used to admit the rules of evidence through a side door or, as Brennan J put it in </w:t>
      </w:r>
      <w:r w:rsidRPr="00A24DDE">
        <w:rPr>
          <w:rFonts w:ascii="Arial" w:hAnsi="Arial" w:cs="Arial"/>
          <w:i/>
          <w:iCs/>
          <w:color w:val="000000"/>
          <w:sz w:val="20"/>
          <w:szCs w:val="20"/>
          <w:bdr w:val="none" w:sz="0" w:space="0" w:color="auto" w:frame="1"/>
        </w:rPr>
        <w:t>Re Pochi v Minister for Immigration and Ethnic Affairs</w:t>
      </w:r>
      <w:r w:rsidRPr="00A24DDE">
        <w:rPr>
          <w:rFonts w:ascii="Calibri" w:hAnsi="Calibri" w:cs="Calibri"/>
          <w:color w:val="000000"/>
          <w:sz w:val="20"/>
          <w:szCs w:val="20"/>
        </w:rPr>
        <w:t> </w:t>
      </w:r>
      <w:r w:rsidRPr="00A24DDE">
        <w:rPr>
          <w:rFonts w:ascii="Arial" w:hAnsi="Arial" w:cs="Arial"/>
          <w:color w:val="000000"/>
          <w:sz w:val="20"/>
          <w:szCs w:val="20"/>
          <w:bdr w:val="none" w:sz="0" w:space="0" w:color="auto" w:frame="1"/>
        </w:rPr>
        <w:t>(1979) 36 FLR 482, 492 to allow the rules of evidence to ‘creep back in through a domestic procedural rule’.  </w:t>
      </w:r>
      <w:r w:rsidRPr="00A24DDE">
        <w:rPr>
          <w:rFonts w:ascii="Arial" w:hAnsi="Arial" w:cs="Arial"/>
          <w:b/>
          <w:bCs/>
          <w:color w:val="000000"/>
          <w:sz w:val="20"/>
          <w:szCs w:val="20"/>
          <w:bdr w:val="none" w:sz="0" w:space="0" w:color="auto" w:frame="1"/>
        </w:rPr>
        <w:t>It is well</w:t>
      </w:r>
      <w:r w:rsidRPr="00A24DDE">
        <w:rPr>
          <w:rFonts w:ascii="Arial" w:hAnsi="Arial" w:cs="Arial"/>
          <w:b/>
          <w:bCs/>
          <w:color w:val="000000"/>
          <w:sz w:val="20"/>
          <w:szCs w:val="20"/>
          <w:bdr w:val="none" w:sz="0" w:space="0" w:color="auto" w:frame="1"/>
        </w:rPr>
        <w:noBreakHyphen/>
        <w:t>established that the rules of evidence ‘form no part of the rules of natural justice’</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Deputy Industrial Injuries Commissioner; ex parte Moore</w:t>
      </w:r>
      <w:r w:rsidRPr="00A24DDE">
        <w:rPr>
          <w:rFonts w:ascii="Arial" w:hAnsi="Arial" w:cs="Arial"/>
          <w:color w:val="000000"/>
          <w:sz w:val="20"/>
          <w:szCs w:val="20"/>
          <w:bdr w:val="none" w:sz="0" w:space="0" w:color="auto" w:frame="1"/>
        </w:rPr>
        <w:t> [1965] 1 QB 456, 488 per Diplock LJ; see also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249 per Starke J and 252 per Evatt J; </w:t>
      </w:r>
      <w:r w:rsidRPr="00A24DDE">
        <w:rPr>
          <w:rFonts w:ascii="Arial" w:hAnsi="Arial" w:cs="Arial"/>
          <w:i/>
          <w:iCs/>
          <w:color w:val="000000"/>
          <w:sz w:val="20"/>
          <w:szCs w:val="20"/>
          <w:bdr w:val="none" w:sz="0" w:space="0" w:color="auto" w:frame="1"/>
        </w:rPr>
        <w:t>Mahon v Air New Zealand</w:t>
      </w:r>
      <w:r w:rsidRPr="00A24DDE">
        <w:rPr>
          <w:rFonts w:ascii="Arial" w:hAnsi="Arial" w:cs="Arial"/>
          <w:color w:val="000000"/>
          <w:sz w:val="20"/>
          <w:szCs w:val="20"/>
          <w:bdr w:val="none" w:sz="0" w:space="0" w:color="auto" w:frame="1"/>
        </w:rPr>
        <w:t> [1984] 1 AC 808, 821; </w:t>
      </w:r>
      <w:r w:rsidRPr="00A24DDE">
        <w:rPr>
          <w:rFonts w:ascii="Arial" w:hAnsi="Arial" w:cs="Arial"/>
          <w:i/>
          <w:iCs/>
          <w:color w:val="000000"/>
          <w:sz w:val="20"/>
          <w:szCs w:val="20"/>
          <w:bdr w:val="none" w:sz="0" w:space="0" w:color="auto" w:frame="1"/>
        </w:rPr>
        <w:t>Hayward v Minister for Immigration and Citizenship</w:t>
      </w:r>
      <w:r w:rsidRPr="00A24DDE">
        <w:rPr>
          <w:rFonts w:ascii="Arial" w:hAnsi="Arial" w:cs="Arial"/>
          <w:color w:val="000000"/>
          <w:sz w:val="20"/>
          <w:szCs w:val="20"/>
          <w:bdr w:val="none" w:sz="0" w:space="0" w:color="auto" w:frame="1"/>
        </w:rPr>
        <w:t> [2009] FCA 1313, [64].  </w:t>
      </w:r>
      <w:r w:rsidRPr="00A24DDE">
        <w:rPr>
          <w:rFonts w:ascii="Arial" w:hAnsi="Arial" w:cs="Arial"/>
          <w:b/>
          <w:bCs/>
          <w:color w:val="000000"/>
          <w:sz w:val="20"/>
          <w:szCs w:val="20"/>
          <w:bdr w:val="none" w:sz="0" w:space="0" w:color="auto" w:frame="1"/>
        </w:rPr>
        <w:t>Certainly the rules of evidence may be valuable and should not be lightly discarded, particularly where there is a serious dispute over a matter which may be of importance to the outcome of the proceeding</w:t>
      </w:r>
      <w:r w:rsidRPr="00A24DDE">
        <w:rPr>
          <w:rFonts w:ascii="Arial" w:hAnsi="Arial" w:cs="Arial"/>
          <w:color w:val="000000"/>
          <w:sz w:val="20"/>
          <w:szCs w:val="20"/>
          <w:bdr w:val="none" w:sz="0" w:space="0" w:color="auto" w:frame="1"/>
        </w:rPr>
        <w:t>: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256 per Evatt J; </w:t>
      </w:r>
      <w:r w:rsidRPr="00A24DDE">
        <w:rPr>
          <w:rFonts w:ascii="Arial" w:hAnsi="Arial" w:cs="Arial"/>
          <w:i/>
          <w:iCs/>
          <w:color w:val="000000"/>
          <w:sz w:val="20"/>
          <w:szCs w:val="20"/>
          <w:bdr w:val="none" w:sz="0" w:space="0" w:color="auto" w:frame="1"/>
        </w:rPr>
        <w:t>Kostas v HIA Insurance Services Pty Ltd</w:t>
      </w:r>
      <w:r w:rsidRPr="00A24DDE">
        <w:rPr>
          <w:rFonts w:ascii="Arial" w:hAnsi="Arial" w:cs="Arial"/>
          <w:color w:val="000000"/>
          <w:sz w:val="20"/>
          <w:szCs w:val="20"/>
          <w:bdr w:val="none" w:sz="0" w:space="0" w:color="auto" w:frame="1"/>
        </w:rPr>
        <w:t> (2010) 84 ALJR 228 [17] per French CJ; </w:t>
      </w:r>
      <w:r w:rsidRPr="00A24DDE">
        <w:rPr>
          <w:rFonts w:ascii="Arial" w:hAnsi="Arial" w:cs="Arial"/>
          <w:i/>
          <w:iCs/>
          <w:color w:val="000000"/>
          <w:sz w:val="20"/>
          <w:szCs w:val="20"/>
          <w:bdr w:val="none" w:sz="0" w:space="0" w:color="auto" w:frame="1"/>
        </w:rPr>
        <w:t>Re Pochi v Minister for Immigration and Ethnic Affairs</w:t>
      </w:r>
      <w:r w:rsidRPr="00A24DDE">
        <w:rPr>
          <w:rFonts w:ascii="Arial" w:hAnsi="Arial" w:cs="Arial"/>
          <w:color w:val="000000"/>
          <w:sz w:val="20"/>
          <w:szCs w:val="20"/>
          <w:bdr w:val="none" w:sz="0" w:space="0" w:color="auto" w:frame="1"/>
        </w:rPr>
        <w:t> (1979) 36 FLR 482, 493 per Brennan J; </w:t>
      </w:r>
      <w:r w:rsidRPr="00A24DDE">
        <w:rPr>
          <w:rFonts w:ascii="Arial" w:hAnsi="Arial" w:cs="Arial"/>
          <w:i/>
          <w:iCs/>
          <w:color w:val="000000"/>
          <w:sz w:val="20"/>
          <w:szCs w:val="20"/>
          <w:bdr w:val="none" w:sz="0" w:space="0" w:color="auto" w:frame="1"/>
        </w:rPr>
        <w:t>Martin v Medical Complaints Tribunal</w:t>
      </w:r>
      <w:r w:rsidRPr="00A24DDE">
        <w:rPr>
          <w:rFonts w:ascii="Arial" w:hAnsi="Arial" w:cs="Arial"/>
          <w:color w:val="000000"/>
          <w:sz w:val="20"/>
          <w:szCs w:val="20"/>
          <w:bdr w:val="none" w:sz="0" w:space="0" w:color="auto" w:frame="1"/>
        </w:rPr>
        <w:t> (2006) 15 Tas R 413, [14]; </w:t>
      </w:r>
      <w:r w:rsidRPr="00A24DDE">
        <w:rPr>
          <w:rFonts w:ascii="Arial" w:hAnsi="Arial" w:cs="Arial"/>
          <w:i/>
          <w:iCs/>
          <w:color w:val="000000"/>
          <w:sz w:val="20"/>
          <w:szCs w:val="20"/>
          <w:bdr w:val="none" w:sz="0" w:space="0" w:color="auto" w:frame="1"/>
        </w:rPr>
        <w:t>A and B v Director of Family Services </w:t>
      </w:r>
      <w:r w:rsidRPr="00A24DDE">
        <w:rPr>
          <w:rFonts w:ascii="Arial" w:hAnsi="Arial" w:cs="Arial"/>
          <w:color w:val="000000"/>
          <w:sz w:val="20"/>
          <w:szCs w:val="20"/>
          <w:bdr w:val="none" w:sz="0" w:space="0" w:color="auto" w:frame="1"/>
        </w:rPr>
        <w:t>(1996) 20 Fam LR 549, 553; </w:t>
      </w:r>
      <w:r w:rsidRPr="00A24DDE">
        <w:rPr>
          <w:rFonts w:ascii="Arial" w:hAnsi="Arial" w:cs="Arial"/>
          <w:i/>
          <w:iCs/>
          <w:color w:val="000000"/>
          <w:sz w:val="20"/>
          <w:szCs w:val="20"/>
          <w:bdr w:val="none" w:sz="0" w:space="0" w:color="auto" w:frame="1"/>
        </w:rPr>
        <w:t>Pearce v Button</w:t>
      </w:r>
      <w:r w:rsidRPr="00A24DDE">
        <w:rPr>
          <w:rFonts w:ascii="Arial" w:hAnsi="Arial" w:cs="Arial"/>
          <w:color w:val="000000"/>
          <w:sz w:val="20"/>
          <w:szCs w:val="20"/>
          <w:bdr w:val="none" w:sz="0" w:space="0" w:color="auto" w:frame="1"/>
        </w:rPr>
        <w:t> (1985) 8 FCR 408, 422; </w:t>
      </w:r>
      <w:r w:rsidRPr="00A24DDE">
        <w:rPr>
          <w:rFonts w:ascii="Arial" w:hAnsi="Arial" w:cs="Arial"/>
          <w:i/>
          <w:iCs/>
          <w:color w:val="000000"/>
          <w:sz w:val="20"/>
          <w:szCs w:val="20"/>
          <w:bdr w:val="none" w:sz="0" w:space="0" w:color="auto" w:frame="1"/>
        </w:rPr>
        <w:t>Clean Ocean Foundation v Environment Protection Authority</w:t>
      </w:r>
      <w:r w:rsidRPr="00A24DDE">
        <w:rPr>
          <w:rFonts w:ascii="Arial" w:hAnsi="Arial" w:cs="Arial"/>
          <w:color w:val="000000"/>
          <w:sz w:val="20"/>
          <w:szCs w:val="20"/>
          <w:bdr w:val="none" w:sz="0" w:space="0" w:color="auto" w:frame="1"/>
        </w:rPr>
        <w:t> (2003) 20 VAR 227, 235.  But courts or tribunals operating under such provisions are not required to apply court</w:t>
      </w:r>
      <w:r w:rsidRPr="00A24DDE">
        <w:rPr>
          <w:rFonts w:ascii="Arial" w:hAnsi="Arial" w:cs="Arial"/>
          <w:color w:val="000000"/>
          <w:sz w:val="20"/>
          <w:szCs w:val="20"/>
          <w:bdr w:val="none" w:sz="0" w:space="0" w:color="auto" w:frame="1"/>
        </w:rPr>
        <w:noBreakHyphen/>
        <w:t>like rules or to act on evidence alone: </w:t>
      </w:r>
      <w:r w:rsidRPr="00A24DDE">
        <w:rPr>
          <w:rFonts w:ascii="Arial" w:hAnsi="Arial" w:cs="Arial"/>
          <w:i/>
          <w:iCs/>
          <w:color w:val="000000"/>
          <w:sz w:val="20"/>
          <w:szCs w:val="20"/>
          <w:bdr w:val="none" w:sz="0" w:space="0" w:color="auto" w:frame="1"/>
        </w:rPr>
        <w:t>R v War Pensions Entitlement Appeal Tribunal; ex parte Bott</w:t>
      </w:r>
      <w:r w:rsidRPr="00A24DDE">
        <w:rPr>
          <w:rFonts w:ascii="Arial" w:hAnsi="Arial" w:cs="Arial"/>
          <w:color w:val="000000"/>
          <w:sz w:val="20"/>
          <w:szCs w:val="20"/>
          <w:bdr w:val="none" w:sz="0" w:space="0" w:color="auto" w:frame="1"/>
        </w:rPr>
        <w:t> (1933) 50 CLR 228, 248 per Starke J and 256 per Evatt J; </w:t>
      </w:r>
      <w:r w:rsidRPr="00A24DDE">
        <w:rPr>
          <w:rFonts w:ascii="Arial" w:hAnsi="Arial" w:cs="Arial"/>
          <w:i/>
          <w:iCs/>
          <w:color w:val="000000"/>
          <w:sz w:val="20"/>
          <w:szCs w:val="20"/>
          <w:bdr w:val="none" w:sz="0" w:space="0" w:color="auto" w:frame="1"/>
        </w:rPr>
        <w:t>Wajnberg v Raynor and Melbourne Metropolitan Board of Works</w:t>
      </w:r>
      <w:r w:rsidRPr="00A24DDE">
        <w:rPr>
          <w:rFonts w:ascii="Arial" w:hAnsi="Arial" w:cs="Arial"/>
          <w:color w:val="000000"/>
          <w:sz w:val="20"/>
          <w:szCs w:val="20"/>
          <w:bdr w:val="none" w:sz="0" w:space="0" w:color="auto" w:frame="1"/>
        </w:rPr>
        <w:t> [1971] VR 665, 678.  The provisions are intended to be ‘facultative, not restrictive’ (</w:t>
      </w:r>
      <w:r w:rsidRPr="00A24DDE">
        <w:rPr>
          <w:rFonts w:ascii="Arial" w:hAnsi="Arial" w:cs="Arial"/>
          <w:i/>
          <w:iCs/>
          <w:color w:val="000000"/>
          <w:sz w:val="20"/>
          <w:szCs w:val="20"/>
          <w:bdr w:val="none" w:sz="0" w:space="0" w:color="auto" w:frame="1"/>
        </w:rPr>
        <w:t>Wecker v Secretary, Department of Education, Science and Training</w:t>
      </w:r>
      <w:r w:rsidRPr="00A24DDE">
        <w:rPr>
          <w:rFonts w:ascii="Arial" w:hAnsi="Arial" w:cs="Arial"/>
          <w:color w:val="000000"/>
          <w:sz w:val="20"/>
          <w:szCs w:val="20"/>
          <w:bdr w:val="none" w:sz="0" w:space="0" w:color="auto" w:frame="1"/>
        </w:rPr>
        <w:t> (2008) 168 FCR 272, [95] per Greenwood J) and are intended to free a court or tribunal ‘from constraints otherwise applicable to courts of law and regarded as in appropriate’: </w:t>
      </w:r>
      <w:r w:rsidRPr="00A24DDE">
        <w:rPr>
          <w:rFonts w:ascii="Arial" w:hAnsi="Arial" w:cs="Arial"/>
          <w:i/>
          <w:iCs/>
          <w:color w:val="000000"/>
          <w:sz w:val="20"/>
          <w:szCs w:val="20"/>
          <w:bdr w:val="none" w:sz="0" w:space="0" w:color="auto" w:frame="1"/>
        </w:rPr>
        <w:t>Minister for Immigration and Multicultural Affairs</w:t>
      </w:r>
      <w:r w:rsidRPr="00A24DDE">
        <w:rPr>
          <w:rFonts w:ascii="Arial" w:hAnsi="Arial" w:cs="Arial"/>
          <w:color w:val="000000"/>
          <w:sz w:val="20"/>
          <w:szCs w:val="20"/>
          <w:bdr w:val="none" w:sz="0" w:space="0" w:color="auto" w:frame="1"/>
        </w:rPr>
        <w:t> v </w:t>
      </w:r>
      <w:r w:rsidRPr="00A24DDE">
        <w:rPr>
          <w:rFonts w:ascii="Arial" w:hAnsi="Arial" w:cs="Arial"/>
          <w:i/>
          <w:iCs/>
          <w:color w:val="000000"/>
          <w:sz w:val="20"/>
          <w:szCs w:val="20"/>
          <w:bdr w:val="none" w:sz="0" w:space="0" w:color="auto" w:frame="1"/>
        </w:rPr>
        <w:t>Eshetu </w:t>
      </w:r>
      <w:r w:rsidRPr="00A24DDE">
        <w:rPr>
          <w:rFonts w:ascii="Arial" w:hAnsi="Arial" w:cs="Arial"/>
          <w:color w:val="000000"/>
          <w:sz w:val="20"/>
          <w:szCs w:val="20"/>
          <w:bdr w:val="none" w:sz="0" w:space="0" w:color="auto" w:frame="1"/>
        </w:rPr>
        <w:t>(1999) 197 CLR 611, [49] per Gleeson CJ and McHugh J. As Davies J said as the president of the federal tribunal in </w:t>
      </w:r>
      <w:r w:rsidRPr="00A24DDE">
        <w:rPr>
          <w:rFonts w:ascii="Arial" w:hAnsi="Arial" w:cs="Arial"/>
          <w:i/>
          <w:iCs/>
          <w:color w:val="000000"/>
          <w:sz w:val="20"/>
          <w:szCs w:val="20"/>
          <w:bdr w:val="none" w:sz="0" w:space="0" w:color="auto" w:frame="1"/>
        </w:rPr>
        <w:t>Re Barbaro and Minister for Immigration and Ethnic Affairs </w:t>
      </w:r>
      <w:r w:rsidRPr="00A24DDE">
        <w:rPr>
          <w:rFonts w:ascii="Arial" w:hAnsi="Arial" w:cs="Arial"/>
          <w:color w:val="000000"/>
          <w:sz w:val="20"/>
          <w:szCs w:val="20"/>
          <w:bdr w:val="none" w:sz="0" w:space="0" w:color="auto" w:frame="1"/>
        </w:rPr>
        <w:t>[(1980) 3 ALD 1, 5], flexible procedural provisions allow ‘the nature of the procedures adopted at the hearing and the nature of the evidence which is received … [to] be adapted to the functions which [the tribunal] performs.’” discretion.”</w:t>
      </w:r>
    </w:p>
    <w:p w14:paraId="3D639533"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305F8764" w14:textId="77777777" w:rsidR="00192251" w:rsidRDefault="00192251" w:rsidP="00192251">
      <w:pPr>
        <w:pBdr>
          <w:top w:val="single" w:sz="8" w:space="1" w:color="auto"/>
        </w:pBdr>
        <w:ind w:left="567" w:right="567"/>
        <w:jc w:val="both"/>
        <w:rPr>
          <w:rFonts w:ascii="Arial" w:hAnsi="Arial" w:cs="Arial"/>
          <w:sz w:val="12"/>
          <w:szCs w:val="12"/>
        </w:rPr>
      </w:pPr>
    </w:p>
    <w:p w14:paraId="5BD9D434" w14:textId="77777777" w:rsidR="00192251" w:rsidRDefault="00192251" w:rsidP="00192251">
      <w:pPr>
        <w:pBdr>
          <w:top w:val="single" w:sz="8" w:space="1" w:color="auto"/>
        </w:pBdr>
        <w:ind w:left="567" w:right="567"/>
        <w:jc w:val="both"/>
        <w:rPr>
          <w:rFonts w:ascii="Arial" w:hAnsi="Arial" w:cs="Arial"/>
          <w:sz w:val="12"/>
          <w:szCs w:val="12"/>
        </w:rPr>
      </w:pPr>
      <w:r>
        <w:rPr>
          <w:rFonts w:ascii="Arial" w:hAnsi="Arial" w:cs="Arial"/>
          <w:sz w:val="20"/>
          <w:szCs w:val="20"/>
        </w:rPr>
        <w:t>[135] “</w:t>
      </w:r>
      <w:r w:rsidRPr="00E10917">
        <w:rPr>
          <w:rFonts w:ascii="Arial" w:hAnsi="Arial" w:cs="Arial"/>
          <w:sz w:val="20"/>
          <w:szCs w:val="20"/>
          <w:lang w:eastAsia="en-AU"/>
        </w:rPr>
        <w:t>What is the relationship between the paramountcy principle, the court’s procedural discretion and the rules of natural justice which apply?  The well</w:t>
      </w:r>
      <w:r w:rsidRPr="00E10917">
        <w:rPr>
          <w:rFonts w:ascii="Arial" w:hAnsi="Arial" w:cs="Arial"/>
          <w:sz w:val="20"/>
          <w:szCs w:val="20"/>
          <w:lang w:eastAsia="en-AU"/>
        </w:rPr>
        <w:noBreakHyphen/>
        <w:t xml:space="preserve">established general principle is that the content of the rules of natural justice must take into account the </w:t>
      </w:r>
      <w:r w:rsidRPr="00964079">
        <w:rPr>
          <w:rFonts w:ascii="Arial" w:hAnsi="Arial" w:cs="Arial"/>
          <w:sz w:val="20"/>
          <w:szCs w:val="20"/>
          <w:lang w:eastAsia="en-AU"/>
        </w:rPr>
        <w:t xml:space="preserve">nature of the jurisdiction being exercised: </w:t>
      </w:r>
      <w:r w:rsidRPr="00964079">
        <w:rPr>
          <w:rFonts w:ascii="Arial" w:hAnsi="Arial" w:cs="Arial"/>
          <w:i/>
          <w:sz w:val="20"/>
          <w:szCs w:val="20"/>
        </w:rPr>
        <w:t>Kioa v West</w:t>
      </w:r>
      <w:r w:rsidRPr="00964079">
        <w:rPr>
          <w:rFonts w:ascii="Arial" w:hAnsi="Arial" w:cs="Arial"/>
          <w:sz w:val="20"/>
          <w:szCs w:val="20"/>
        </w:rPr>
        <w:t xml:space="preserve"> </w:t>
      </w:r>
      <w:r w:rsidRPr="00964079">
        <w:rPr>
          <w:rFonts w:ascii="Arial" w:hAnsi="Arial" w:cs="Arial"/>
          <w:sz w:val="20"/>
          <w:szCs w:val="20"/>
        </w:rPr>
        <w:lastRenderedPageBreak/>
        <w:t>(1985) 159 CLR 550, 615, 633-634.</w:t>
      </w:r>
      <w:r w:rsidRPr="00964079">
        <w:rPr>
          <w:rFonts w:ascii="Arial" w:hAnsi="Arial" w:cs="Arial"/>
          <w:sz w:val="20"/>
          <w:szCs w:val="20"/>
          <w:lang w:eastAsia="en-AU"/>
        </w:rPr>
        <w:t xml:space="preserve">  Where the jurisdiction is one in which the interests of the child are paramount, the particular content and application of the rules of natural justice will reflect the nature of that jurisdiction.  Likewise, the principle will influence the exercise of the court’s procedural discretion.</w:t>
      </w:r>
    </w:p>
    <w:p w14:paraId="4EAEB6AA" w14:textId="77777777" w:rsidR="00192251" w:rsidRPr="00964079" w:rsidRDefault="00192251" w:rsidP="00192251">
      <w:pPr>
        <w:spacing w:before="60"/>
        <w:ind w:left="567" w:right="567"/>
        <w:jc w:val="both"/>
      </w:pPr>
      <w:r>
        <w:rPr>
          <w:rFonts w:ascii="Arial" w:hAnsi="Arial" w:cs="Arial"/>
          <w:sz w:val="20"/>
          <w:szCs w:val="20"/>
          <w:lang w:eastAsia="en-AU"/>
        </w:rPr>
        <w:t xml:space="preserve">[136] </w:t>
      </w:r>
      <w:r w:rsidRPr="00E10917">
        <w:rPr>
          <w:rFonts w:ascii="Arial" w:hAnsi="Arial" w:cs="Arial"/>
          <w:sz w:val="20"/>
          <w:szCs w:val="20"/>
          <w:lang w:eastAsia="en-AU"/>
        </w:rPr>
        <w:t xml:space="preserve">Thus, in </w:t>
      </w:r>
      <w:r w:rsidRPr="00E10917">
        <w:rPr>
          <w:rFonts w:ascii="Arial" w:hAnsi="Arial" w:cs="Arial"/>
          <w:i/>
          <w:sz w:val="20"/>
          <w:szCs w:val="20"/>
          <w:lang w:eastAsia="en-AU"/>
        </w:rPr>
        <w:t>J v Leischke</w:t>
      </w:r>
      <w:r>
        <w:rPr>
          <w:rFonts w:ascii="Arial" w:hAnsi="Arial" w:cs="Arial"/>
          <w:i/>
          <w:sz w:val="20"/>
          <w:szCs w:val="20"/>
          <w:lang w:eastAsia="en-AU"/>
        </w:rPr>
        <w:t xml:space="preserve"> </w:t>
      </w:r>
      <w:r w:rsidRPr="00964079">
        <w:rPr>
          <w:rFonts w:ascii="Arial" w:hAnsi="Arial" w:cs="Arial"/>
          <w:sz w:val="20"/>
          <w:szCs w:val="20"/>
        </w:rPr>
        <w:t>(1987) 162 CLR 447</w:t>
      </w:r>
      <w:r>
        <w:rPr>
          <w:rFonts w:ascii="Arial" w:hAnsi="Arial" w:cs="Arial"/>
          <w:sz w:val="20"/>
          <w:szCs w:val="20"/>
        </w:rPr>
        <w:t xml:space="preserve"> at 457</w:t>
      </w:r>
      <w:r w:rsidRPr="00964079">
        <w:rPr>
          <w:rFonts w:ascii="Arial" w:hAnsi="Arial" w:cs="Arial"/>
          <w:sz w:val="20"/>
          <w:szCs w:val="20"/>
          <w:lang w:eastAsia="en-AU"/>
        </w:rPr>
        <w:t>, it</w:t>
      </w:r>
      <w:r w:rsidRPr="00E10917">
        <w:rPr>
          <w:rFonts w:ascii="Arial" w:hAnsi="Arial" w:cs="Arial"/>
          <w:sz w:val="20"/>
          <w:szCs w:val="20"/>
          <w:lang w:eastAsia="en-AU"/>
        </w:rPr>
        <w:t xml:space="preserve"> was held by Brennan J </w:t>
      </w:r>
      <w:r>
        <w:rPr>
          <w:rFonts w:ascii="Arial" w:hAnsi="Arial" w:cs="Arial"/>
          <w:sz w:val="20"/>
          <w:szCs w:val="20"/>
          <w:lang w:eastAsia="en-AU"/>
        </w:rPr>
        <w:t>(with whom Mason, Wilson, Deane &amp; Dawson JJ agreed) t</w:t>
      </w:r>
      <w:r w:rsidRPr="00E10917">
        <w:rPr>
          <w:rFonts w:ascii="Arial" w:hAnsi="Arial" w:cs="Arial"/>
          <w:sz w:val="20"/>
          <w:szCs w:val="20"/>
          <w:lang w:eastAsia="en-AU"/>
        </w:rPr>
        <w:t xml:space="preserve">hat in </w:t>
      </w:r>
      <w:r>
        <w:rPr>
          <w:rFonts w:ascii="Arial" w:hAnsi="Arial" w:cs="Arial"/>
          <w:sz w:val="20"/>
          <w:szCs w:val="20"/>
          <w:lang w:eastAsia="en-AU"/>
        </w:rPr>
        <w:t>‘</w:t>
      </w:r>
      <w:r w:rsidRPr="00E10917">
        <w:rPr>
          <w:rFonts w:ascii="Arial" w:hAnsi="Arial" w:cs="Arial"/>
          <w:sz w:val="20"/>
          <w:szCs w:val="20"/>
          <w:lang w:eastAsia="en-AU"/>
        </w:rPr>
        <w:t>some custody proceedings, some qualification of the principles of natural justice may be necessary in order to ensure paramountcy of the welfare of the child</w:t>
      </w:r>
      <w:r>
        <w:rPr>
          <w:rFonts w:ascii="Arial" w:hAnsi="Arial" w:cs="Arial"/>
          <w:sz w:val="20"/>
          <w:szCs w:val="20"/>
          <w:lang w:eastAsia="en-AU"/>
        </w:rPr>
        <w:t>’</w:t>
      </w:r>
      <w:r w:rsidRPr="00E10917">
        <w:rPr>
          <w:rFonts w:ascii="Arial" w:hAnsi="Arial" w:cs="Arial"/>
          <w:sz w:val="20"/>
          <w:szCs w:val="20"/>
          <w:lang w:eastAsia="en-AU"/>
        </w:rPr>
        <w:t xml:space="preserve">, but only </w:t>
      </w:r>
      <w:r>
        <w:rPr>
          <w:rFonts w:ascii="Arial" w:hAnsi="Arial" w:cs="Arial"/>
          <w:sz w:val="20"/>
          <w:szCs w:val="20"/>
          <w:lang w:eastAsia="en-AU"/>
        </w:rPr>
        <w:t>‘</w:t>
      </w:r>
      <w:r w:rsidRPr="00E10917">
        <w:rPr>
          <w:rFonts w:ascii="Arial" w:hAnsi="Arial" w:cs="Arial"/>
          <w:sz w:val="20"/>
          <w:szCs w:val="20"/>
          <w:lang w:eastAsia="en-AU"/>
        </w:rPr>
        <w:t>so far as necessary to avoid frustration of the purpose for which the jurisdiction is conferred</w:t>
      </w:r>
      <w:r>
        <w:rPr>
          <w:rFonts w:ascii="Arial" w:hAnsi="Arial" w:cs="Arial"/>
          <w:sz w:val="20"/>
          <w:szCs w:val="20"/>
          <w:lang w:eastAsia="en-AU"/>
        </w:rPr>
        <w:t>’</w:t>
      </w:r>
      <w:r w:rsidRPr="00E10917">
        <w:rPr>
          <w:rFonts w:ascii="Arial" w:hAnsi="Arial" w:cs="Arial"/>
          <w:sz w:val="20"/>
          <w:szCs w:val="20"/>
          <w:lang w:eastAsia="en-AU"/>
        </w:rPr>
        <w:t>.</w:t>
      </w:r>
      <w:r>
        <w:t xml:space="preserve">  </w:t>
      </w:r>
      <w:r w:rsidRPr="00E10917">
        <w:rPr>
          <w:rFonts w:ascii="Arial" w:hAnsi="Arial" w:cs="Arial"/>
          <w:sz w:val="20"/>
          <w:szCs w:val="20"/>
          <w:lang w:eastAsia="en-AU"/>
        </w:rPr>
        <w:t xml:space="preserve">That principle was applied in the Family Court of Australia in </w:t>
      </w:r>
      <w:r w:rsidRPr="00E10917">
        <w:rPr>
          <w:rFonts w:ascii="Arial" w:hAnsi="Arial" w:cs="Arial"/>
          <w:i/>
          <w:sz w:val="20"/>
          <w:szCs w:val="20"/>
          <w:lang w:eastAsia="en-AU"/>
        </w:rPr>
        <w:t>Separate Representative v E</w:t>
      </w:r>
      <w:r w:rsidRPr="00E10917">
        <w:rPr>
          <w:rFonts w:ascii="Arial" w:hAnsi="Arial" w:cs="Arial"/>
          <w:sz w:val="20"/>
          <w:szCs w:val="20"/>
          <w:lang w:eastAsia="en-AU"/>
        </w:rPr>
        <w:t xml:space="preserve"> </w:t>
      </w:r>
      <w:r w:rsidRPr="00964079">
        <w:rPr>
          <w:rFonts w:ascii="Arial" w:hAnsi="Arial" w:cs="Arial"/>
          <w:sz w:val="20"/>
          <w:szCs w:val="20"/>
        </w:rPr>
        <w:t>(1993) 114 FLR 1</w:t>
      </w:r>
      <w:r>
        <w:rPr>
          <w:rFonts w:ascii="Arial" w:hAnsi="Arial" w:cs="Arial"/>
          <w:sz w:val="20"/>
          <w:szCs w:val="20"/>
        </w:rPr>
        <w:t xml:space="preserve"> </w:t>
      </w:r>
      <w:r w:rsidRPr="00964079">
        <w:rPr>
          <w:rFonts w:ascii="Arial" w:hAnsi="Arial" w:cs="Arial"/>
          <w:sz w:val="20"/>
          <w:szCs w:val="20"/>
          <w:lang w:eastAsia="en-AU"/>
        </w:rPr>
        <w:t xml:space="preserve">by </w:t>
      </w:r>
      <w:r w:rsidRPr="00E10917">
        <w:rPr>
          <w:rFonts w:ascii="Arial" w:hAnsi="Arial" w:cs="Arial"/>
          <w:sz w:val="20"/>
          <w:szCs w:val="20"/>
          <w:lang w:eastAsia="en-AU"/>
        </w:rPr>
        <w:t>Nicholson CJ and Fogarty J, who held</w:t>
      </w:r>
      <w:r>
        <w:rPr>
          <w:rFonts w:ascii="Arial" w:hAnsi="Arial" w:cs="Arial"/>
          <w:sz w:val="20"/>
          <w:szCs w:val="20"/>
          <w:lang w:eastAsia="en-AU"/>
        </w:rPr>
        <w:t xml:space="preserve"> at 14</w:t>
      </w:r>
      <w:r w:rsidRPr="00E10917">
        <w:rPr>
          <w:rFonts w:ascii="Arial" w:hAnsi="Arial" w:cs="Arial"/>
          <w:sz w:val="20"/>
          <w:szCs w:val="20"/>
          <w:lang w:eastAsia="en-AU"/>
        </w:rPr>
        <w:t>:</w:t>
      </w:r>
    </w:p>
    <w:p w14:paraId="1FA2878E" w14:textId="77777777" w:rsidR="00192251" w:rsidRPr="00E10917" w:rsidRDefault="00192251" w:rsidP="00192251">
      <w:pPr>
        <w:pStyle w:val="Quote1"/>
        <w:widowControl/>
        <w:spacing w:before="60" w:after="0" w:line="240" w:lineRule="auto"/>
        <w:ind w:left="1021" w:right="1021" w:firstLine="0"/>
        <w:rPr>
          <w:rFonts w:ascii="Arial" w:hAnsi="Arial" w:cs="Arial"/>
          <w:sz w:val="20"/>
          <w:lang w:eastAsia="en-AU"/>
        </w:rPr>
      </w:pPr>
      <w:r>
        <w:rPr>
          <w:rFonts w:ascii="Arial" w:hAnsi="Arial" w:cs="Arial"/>
          <w:sz w:val="20"/>
          <w:lang w:eastAsia="en-AU"/>
        </w:rPr>
        <w:t>‘</w:t>
      </w:r>
      <w:r w:rsidRPr="00E10917">
        <w:rPr>
          <w:rFonts w:ascii="Arial" w:hAnsi="Arial" w:cs="Arial"/>
          <w:sz w:val="20"/>
          <w:lang w:eastAsia="en-AU"/>
        </w:rPr>
        <w:t>In the exercise of its jurisdiction to determine disputes relating to the custody, guardianship or welfare of, or access to a child, the Family Court has obligations to regard the child’s welfare as paramount (s 64(1)(a)), to protect the child from harm (s 64(1)(b)(a)), and to make ‘such order in respect of those matters as it considers proper’ (s 64(1)(c)).  The rights of the disputants to natural justice are therefore qualified to the extent that those rights encroach on or are in conflict with these obligations.</w:t>
      </w:r>
      <w:r>
        <w:rPr>
          <w:rFonts w:ascii="Arial" w:hAnsi="Arial" w:cs="Arial"/>
          <w:sz w:val="20"/>
          <w:lang w:eastAsia="en-AU"/>
        </w:rPr>
        <w:t>’</w:t>
      </w:r>
    </w:p>
    <w:p w14:paraId="3937065D" w14:textId="77777777" w:rsidR="00192251" w:rsidRPr="005960F3" w:rsidRDefault="00192251" w:rsidP="00192251">
      <w:pPr>
        <w:spacing w:before="60"/>
        <w:ind w:left="567" w:right="567"/>
        <w:jc w:val="both"/>
        <w:rPr>
          <w:rFonts w:ascii="Arial" w:hAnsi="Arial" w:cs="Arial"/>
          <w:sz w:val="20"/>
          <w:szCs w:val="20"/>
        </w:rPr>
      </w:pPr>
      <w:r w:rsidRPr="005960F3">
        <w:rPr>
          <w:rFonts w:ascii="Arial" w:hAnsi="Arial" w:cs="Arial"/>
          <w:sz w:val="20"/>
          <w:szCs w:val="20"/>
        </w:rPr>
        <w:t>[137]</w:t>
      </w:r>
      <w:r>
        <w:rPr>
          <w:rFonts w:ascii="Arial" w:hAnsi="Arial" w:cs="Arial"/>
          <w:sz w:val="20"/>
          <w:szCs w:val="20"/>
        </w:rPr>
        <w:t xml:space="preserve"> </w:t>
      </w:r>
      <w:r w:rsidRPr="00E10917">
        <w:rPr>
          <w:rFonts w:ascii="Arial" w:hAnsi="Arial" w:cs="Arial"/>
          <w:sz w:val="20"/>
          <w:szCs w:val="20"/>
          <w:lang w:eastAsia="en-AU"/>
        </w:rPr>
        <w:t>Accordingly, the rules of natural justice do not prevent a court, when exercising a wardship, guardianship, protection or like jurisdiction in the best interests of the child, from exercising its discretion to adopt fair procedures which will suit that purpose.</w:t>
      </w:r>
      <w:r>
        <w:rPr>
          <w:rFonts w:ascii="Arial" w:hAnsi="Arial" w:cs="Arial"/>
          <w:sz w:val="20"/>
          <w:szCs w:val="20"/>
          <w:lang w:eastAsia="en-AU"/>
        </w:rPr>
        <w:t>”</w:t>
      </w:r>
    </w:p>
    <w:p w14:paraId="0EFBE4F8" w14:textId="77777777" w:rsidR="00192251" w:rsidRPr="006B1B1F" w:rsidRDefault="00192251" w:rsidP="00192251">
      <w:pPr>
        <w:ind w:left="567" w:right="567"/>
        <w:jc w:val="both"/>
        <w:rPr>
          <w:rFonts w:ascii="Arial" w:hAnsi="Arial" w:cs="Arial"/>
          <w:color w:val="000000"/>
          <w:sz w:val="12"/>
          <w:szCs w:val="12"/>
          <w:bdr w:val="none" w:sz="0" w:space="0" w:color="auto" w:frame="1"/>
        </w:rPr>
      </w:pPr>
    </w:p>
    <w:p w14:paraId="708BC6FF" w14:textId="77777777" w:rsidR="00192251" w:rsidRDefault="00192251" w:rsidP="00192251">
      <w:pPr>
        <w:pBdr>
          <w:top w:val="single" w:sz="8" w:space="1" w:color="auto"/>
        </w:pBdr>
        <w:ind w:left="567" w:right="567"/>
        <w:jc w:val="both"/>
        <w:rPr>
          <w:rFonts w:ascii="Arial" w:hAnsi="Arial" w:cs="Arial"/>
          <w:sz w:val="12"/>
          <w:szCs w:val="12"/>
        </w:rPr>
      </w:pPr>
    </w:p>
    <w:p w14:paraId="3D5E1AB9"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[146] </w:t>
      </w:r>
      <w:r>
        <w:rPr>
          <w:rFonts w:ascii="Arial" w:hAnsi="Arial" w:cs="Arial"/>
          <w:bCs/>
          <w:color w:val="000000"/>
          <w:sz w:val="20"/>
        </w:rPr>
        <w:t>“</w:t>
      </w:r>
      <w:r w:rsidRPr="00785E1A">
        <w:rPr>
          <w:rFonts w:ascii="Arial" w:hAnsi="Arial" w:cs="Arial"/>
          <w:bCs/>
          <w:color w:val="000000"/>
          <w:sz w:val="20"/>
        </w:rPr>
        <w:t xml:space="preserve">While the natural justice afforded to parties, and the procedures followed by the court, may be influenced by the overriding consideration of the best interests of the child, the parties must still be afforded procedural fairness.  So it was that, in </w:t>
      </w:r>
      <w:r w:rsidRPr="00785E1A">
        <w:rPr>
          <w:rFonts w:ascii="Arial" w:hAnsi="Arial" w:cs="Arial"/>
          <w:bCs/>
          <w:i/>
          <w:color w:val="000000"/>
          <w:sz w:val="20"/>
        </w:rPr>
        <w:t>T v T</w:t>
      </w:r>
      <w:r w:rsidRPr="00785E1A">
        <w:rPr>
          <w:rFonts w:ascii="Arial" w:hAnsi="Arial" w:cs="Arial"/>
          <w:bCs/>
          <w:color w:val="000000"/>
          <w:sz w:val="20"/>
        </w:rPr>
        <w:t xml:space="preserve"> (2008) 38 Fam LR 614, the Full Court of the Family Court of Australia held that trials conducted under the new less adversarial trial arrangements must conform to that requirement.  Similarly, in </w:t>
      </w:r>
      <w:r w:rsidRPr="00785E1A">
        <w:rPr>
          <w:rFonts w:ascii="Arial" w:hAnsi="Arial" w:cs="Arial"/>
          <w:bCs/>
          <w:i/>
          <w:color w:val="000000"/>
          <w:sz w:val="20"/>
        </w:rPr>
        <w:t>Re Timothy</w:t>
      </w:r>
      <w:r w:rsidRPr="00785E1A">
        <w:rPr>
          <w:rFonts w:ascii="Arial" w:hAnsi="Arial" w:cs="Arial"/>
          <w:bCs/>
          <w:color w:val="000000"/>
          <w:sz w:val="20"/>
        </w:rPr>
        <w:t xml:space="preserve"> (2010) 43 Fam LR 234 at [32], a magistrate of the Children’s Court of New South Wales was held to have breached the rules of natural justice by not disqualifying herself from making orders when she had followed a procedure, in the best interests of the child, which created a reasonable apprehension of bias.</w:t>
      </w:r>
    </w:p>
    <w:p w14:paraId="5E340F3C" w14:textId="77777777" w:rsidR="00192251" w:rsidRPr="00785E1A" w:rsidRDefault="00192251" w:rsidP="001922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[147] The principle of the best interests of the child cannot override a legislative prohibition.  For example, the principle cannot be employed to make admissible in evidence admissions made in a counselling session which is confidential under a specific legislative provision: </w:t>
      </w:r>
      <w:r w:rsidRPr="00785E1A">
        <w:rPr>
          <w:rFonts w:ascii="Arial" w:hAnsi="Arial" w:cs="Arial"/>
          <w:bCs/>
          <w:i/>
          <w:color w:val="000000"/>
          <w:sz w:val="20"/>
        </w:rPr>
        <w:t>Centacare Central Queensland v G</w:t>
      </w:r>
      <w:r w:rsidRPr="00785E1A">
        <w:rPr>
          <w:rFonts w:ascii="Arial" w:hAnsi="Arial" w:cs="Arial"/>
          <w:bCs/>
          <w:color w:val="000000"/>
          <w:sz w:val="20"/>
        </w:rPr>
        <w:t xml:space="preserve"> (1998) 146 FLR 252, 264; approved </w:t>
      </w:r>
      <w:r w:rsidRPr="00785E1A">
        <w:rPr>
          <w:rFonts w:ascii="Arial" w:hAnsi="Arial" w:cs="Arial"/>
          <w:bCs/>
          <w:i/>
          <w:color w:val="000000"/>
          <w:sz w:val="20"/>
        </w:rPr>
        <w:t>Northern Territory v GPAO</w:t>
      </w:r>
      <w:r w:rsidRPr="00785E1A">
        <w:rPr>
          <w:rFonts w:ascii="Arial" w:hAnsi="Arial" w:cs="Arial"/>
          <w:bCs/>
          <w:color w:val="000000"/>
          <w:sz w:val="20"/>
        </w:rPr>
        <w:t xml:space="preserve"> (1999) 196 CLR 553, 585 per Gleeson CJ and Gummow J.”</w:t>
      </w:r>
    </w:p>
    <w:p w14:paraId="0E395D72" w14:textId="77777777" w:rsidR="00046C07" w:rsidRPr="00785E1A" w:rsidRDefault="00046C07" w:rsidP="00046C07">
      <w:pPr>
        <w:jc w:val="both"/>
        <w:rPr>
          <w:rFonts w:ascii="Arial" w:hAnsi="Arial" w:cs="Arial"/>
          <w:bCs/>
          <w:color w:val="000000"/>
          <w:sz w:val="20"/>
        </w:rPr>
      </w:pPr>
    </w:p>
    <w:p w14:paraId="49C2A06D" w14:textId="77777777" w:rsidR="00563451" w:rsidRPr="00785E1A" w:rsidRDefault="00562644" w:rsidP="00046C07">
      <w:pPr>
        <w:jc w:val="both"/>
        <w:rPr>
          <w:rFonts w:ascii="Arial" w:hAnsi="Arial" w:cs="Arial"/>
          <w:bCs/>
          <w:color w:val="000000"/>
          <w:sz w:val="20"/>
        </w:rPr>
      </w:pPr>
      <w:r w:rsidRPr="00785E1A">
        <w:rPr>
          <w:rFonts w:ascii="Arial" w:hAnsi="Arial" w:cs="Arial"/>
          <w:bCs/>
          <w:color w:val="000000"/>
          <w:sz w:val="20"/>
        </w:rPr>
        <w:t xml:space="preserve">In </w:t>
      </w:r>
      <w:r w:rsidRPr="00785E1A">
        <w:rPr>
          <w:rFonts w:ascii="Arial" w:hAnsi="Arial" w:cs="Arial"/>
          <w:color w:val="000000"/>
          <w:sz w:val="20"/>
        </w:rPr>
        <w:t>endorsing the decision of the Children’s Court Magistrate to revoke the custody to Secretary orders without hearing evidence in the traditional way</w:t>
      </w:r>
      <w:r w:rsidRPr="00785E1A">
        <w:rPr>
          <w:rFonts w:ascii="Arial" w:hAnsi="Arial" w:cs="Arial"/>
          <w:bCs/>
          <w:color w:val="000000"/>
          <w:sz w:val="20"/>
        </w:rPr>
        <w:t xml:space="preserve">, </w:t>
      </w:r>
      <w:r w:rsidR="00563451" w:rsidRPr="00785E1A">
        <w:rPr>
          <w:rFonts w:ascii="Arial" w:hAnsi="Arial" w:cs="Arial"/>
          <w:bCs/>
          <w:color w:val="000000"/>
          <w:sz w:val="20"/>
        </w:rPr>
        <w:t>his Honour concluded</w:t>
      </w:r>
      <w:r w:rsidRPr="00785E1A">
        <w:rPr>
          <w:rFonts w:ascii="Arial" w:hAnsi="Arial" w:cs="Arial"/>
          <w:bCs/>
          <w:color w:val="000000"/>
          <w:sz w:val="20"/>
        </w:rPr>
        <w:t xml:space="preserve"> at [280]-[283]</w:t>
      </w:r>
      <w:r w:rsidR="00563451" w:rsidRPr="00785E1A">
        <w:rPr>
          <w:rFonts w:ascii="Arial" w:hAnsi="Arial" w:cs="Arial"/>
          <w:bCs/>
          <w:color w:val="000000"/>
          <w:sz w:val="20"/>
        </w:rPr>
        <w:t>:</w:t>
      </w:r>
    </w:p>
    <w:p w14:paraId="4A915069" w14:textId="77777777" w:rsidR="00562644" w:rsidRPr="00785E1A" w:rsidRDefault="00562644"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[280] “</w:t>
      </w:r>
      <w:r w:rsidR="00CF2B7F" w:rsidRPr="00785E1A">
        <w:rPr>
          <w:rFonts w:ascii="Arial" w:hAnsi="Arial" w:cs="Arial"/>
          <w:bCs/>
          <w:color w:val="000000"/>
          <w:sz w:val="20"/>
        </w:rPr>
        <w:t>[T]he information [before the magistrate] was sufficiently reliable and probative to form a proper basis for the magistrate’s decision.</w:t>
      </w:r>
    </w:p>
    <w:p w14:paraId="43C6ABAE" w14:textId="77777777" w:rsidR="00563451"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[281] </w:t>
      </w:r>
      <w:r w:rsidR="00563451" w:rsidRPr="00785E1A">
        <w:rPr>
          <w:rFonts w:ascii="Arial" w:hAnsi="Arial" w:cs="Arial"/>
          <w:bCs/>
          <w:color w:val="000000"/>
          <w:sz w:val="20"/>
        </w:rPr>
        <w:t xml:space="preserve">The </w:t>
      </w:r>
      <w:r w:rsidR="00563451" w:rsidRPr="00785E1A">
        <w:rPr>
          <w:rFonts w:ascii="Arial" w:hAnsi="Arial" w:cs="Arial"/>
          <w:bCs/>
          <w:i/>
          <w:color w:val="000000"/>
          <w:sz w:val="20"/>
        </w:rPr>
        <w:t>Children, Youth and Families Act 2005</w:t>
      </w:r>
      <w:r w:rsidR="00563451" w:rsidRPr="00785E1A">
        <w:rPr>
          <w:rFonts w:ascii="Arial" w:hAnsi="Arial" w:cs="Arial"/>
          <w:bCs/>
          <w:color w:val="000000"/>
          <w:sz w:val="20"/>
        </w:rPr>
        <w:t xml:space="preserve"> requires the court to have regard to the best interests of the child as the paramount consideration.  In my view, that consideration not only governs the orders which the court can make in the Family Division.  It also governs the procedures which should be followed in protection proceedings in that division, which must also be fair to all of the parties.”</w:t>
      </w:r>
    </w:p>
    <w:p w14:paraId="37B4FC64" w14:textId="77777777" w:rsidR="00EE02FD" w:rsidRPr="00785E1A" w:rsidRDefault="00EE02FD"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[282] </w:t>
      </w:r>
      <w:r w:rsidR="00397F16" w:rsidRPr="00785E1A">
        <w:rPr>
          <w:rFonts w:ascii="Arial" w:hAnsi="Arial" w:cs="Arial"/>
          <w:bCs/>
          <w:color w:val="000000"/>
          <w:sz w:val="20"/>
        </w:rPr>
        <w:t xml:space="preserve">The legislation gives the court a wide discretion as to the procedure which can be adopted in protection proceedings.  </w:t>
      </w:r>
      <w:r w:rsidR="00562644" w:rsidRPr="00785E1A">
        <w:rPr>
          <w:rFonts w:ascii="Arial" w:hAnsi="Arial" w:cs="Arial"/>
          <w:bCs/>
          <w:color w:val="000000"/>
          <w:sz w:val="20"/>
        </w:rPr>
        <w:t xml:space="preserve">The court is required to conduct </w:t>
      </w:r>
      <w:r w:rsidR="00CF2B7F" w:rsidRPr="00785E1A">
        <w:rPr>
          <w:rFonts w:ascii="Arial" w:hAnsi="Arial" w:cs="Arial"/>
          <w:bCs/>
          <w:color w:val="000000"/>
          <w:sz w:val="20"/>
        </w:rPr>
        <w:t xml:space="preserve">such proceedings in an informal manner and is permitted to inform itself as it sees fit, despite any rules of evidence to the contrary.  These procedural powers enable the court, in its discretion, to conduct protection proceedings in a flexible manner, without legal forms and in the best interest of the child.  In appropriate cases, </w:t>
      </w:r>
      <w:r w:rsidR="00CF2B7F" w:rsidRPr="00785E1A">
        <w:rPr>
          <w:rFonts w:ascii="Arial" w:hAnsi="Arial" w:cs="Arial"/>
          <w:bCs/>
          <w:color w:val="000000"/>
          <w:sz w:val="20"/>
        </w:rPr>
        <w:lastRenderedPageBreak/>
        <w:t>including in revocation proceedings, conducting a submissions contest hearing which is fair to all of the parties falls within the zone of that discretion.</w:t>
      </w:r>
    </w:p>
    <w:p w14:paraId="35435B6D" w14:textId="77777777" w:rsidR="00CF2B7F" w:rsidRPr="00785E1A" w:rsidRDefault="00CF2B7F" w:rsidP="00563451">
      <w:pPr>
        <w:spacing w:before="60" w:line="240" w:lineRule="exact"/>
        <w:ind w:left="567" w:right="567"/>
        <w:jc w:val="both"/>
        <w:rPr>
          <w:rFonts w:ascii="Arial" w:hAnsi="Arial" w:cs="Arial"/>
          <w:bCs/>
          <w:color w:val="000000"/>
          <w:sz w:val="20"/>
        </w:rPr>
      </w:pPr>
      <w:r w:rsidRPr="00785E1A">
        <w:rPr>
          <w:rFonts w:ascii="Arial" w:hAnsi="Arial" w:cs="Arial"/>
          <w:bCs/>
          <w:color w:val="000000"/>
          <w:sz w:val="20"/>
        </w:rPr>
        <w:t xml:space="preserve">[283] The procedural powers of the court are not absolute.  The court must observe the rules of natural justice and act compatibly with the human right of children, parents and potentially others to a fair hearing </w:t>
      </w:r>
      <w:r w:rsidR="003D6604" w:rsidRPr="00785E1A">
        <w:rPr>
          <w:rFonts w:ascii="Arial" w:hAnsi="Arial" w:cs="Arial"/>
          <w:bCs/>
          <w:color w:val="000000"/>
          <w:sz w:val="20"/>
        </w:rPr>
        <w:t xml:space="preserve">under s.24(1) of the </w:t>
      </w:r>
      <w:r w:rsidR="003D6604" w:rsidRPr="00785E1A">
        <w:rPr>
          <w:rFonts w:ascii="Arial" w:hAnsi="Arial" w:cs="Arial"/>
          <w:bCs/>
          <w:i/>
          <w:color w:val="000000"/>
          <w:sz w:val="20"/>
        </w:rPr>
        <w:t>Charter of Human Rights and Responsibilities Act 2006</w:t>
      </w:r>
      <w:r w:rsidR="003D6604" w:rsidRPr="00785E1A">
        <w:rPr>
          <w:rFonts w:ascii="Arial" w:hAnsi="Arial" w:cs="Arial"/>
          <w:bCs/>
          <w:color w:val="000000"/>
          <w:sz w:val="20"/>
        </w:rPr>
        <w:t xml:space="preserve">.  It must respect the </w:t>
      </w:r>
      <w:r w:rsidR="005D33AE" w:rsidRPr="00785E1A">
        <w:rPr>
          <w:rFonts w:ascii="Arial" w:hAnsi="Arial" w:cs="Arial"/>
          <w:bCs/>
          <w:color w:val="000000"/>
          <w:sz w:val="20"/>
        </w:rPr>
        <w:t>important function of the Secretary under the Children, Youth and Families Act, including her role as a protective intervener, and her position as a statutory party.  In the present case, adopting the submissions contest procedure was open to the court in the best interests of the children and did not breach the procedural rights of the Secretary or any other party.”</w:t>
      </w:r>
    </w:p>
    <w:p w14:paraId="741728EE" w14:textId="77777777" w:rsidR="00D6007D" w:rsidRPr="00D00CAA" w:rsidRDefault="00D6007D" w:rsidP="00C75CA9">
      <w:pPr>
        <w:jc w:val="both"/>
        <w:rPr>
          <w:rFonts w:ascii="Arial" w:hAnsi="Arial" w:cs="Arial"/>
          <w:bCs/>
          <w:color w:val="000000"/>
          <w:sz w:val="20"/>
        </w:rPr>
      </w:pPr>
    </w:p>
    <w:p w14:paraId="378A257A" w14:textId="77777777" w:rsidR="00C46E65" w:rsidRPr="009E171F" w:rsidRDefault="00E53F32" w:rsidP="00C75CA9">
      <w:pPr>
        <w:jc w:val="both"/>
        <w:rPr>
          <w:rFonts w:ascii="Arial" w:hAnsi="Arial" w:cs="Arial"/>
          <w:bCs/>
          <w:color w:val="000000"/>
          <w:sz w:val="20"/>
        </w:rPr>
      </w:pPr>
      <w:r w:rsidRPr="009E171F">
        <w:rPr>
          <w:rFonts w:ascii="Arial" w:hAnsi="Arial" w:cs="Arial"/>
          <w:bCs/>
          <w:color w:val="000000"/>
          <w:sz w:val="20"/>
        </w:rPr>
        <w:t>However, i</w:t>
      </w:r>
      <w:r w:rsidR="00C46E65" w:rsidRPr="009E171F">
        <w:rPr>
          <w:rFonts w:ascii="Arial" w:hAnsi="Arial" w:cs="Arial"/>
          <w:bCs/>
          <w:color w:val="000000"/>
          <w:sz w:val="20"/>
        </w:rPr>
        <w:t xml:space="preserve">n </w:t>
      </w:r>
      <w:r w:rsidR="00C46E65" w:rsidRPr="009E171F">
        <w:rPr>
          <w:rFonts w:ascii="Arial" w:hAnsi="Arial" w:cs="Arial"/>
          <w:bCs/>
          <w:i/>
          <w:color w:val="000000"/>
          <w:sz w:val="20"/>
        </w:rPr>
        <w:t>DOHS v Children’s Court</w:t>
      </w:r>
      <w:r w:rsidR="009E171F" w:rsidRPr="009E171F">
        <w:rPr>
          <w:rFonts w:ascii="Arial" w:hAnsi="Arial" w:cs="Arial"/>
          <w:bCs/>
          <w:i/>
          <w:color w:val="000000"/>
          <w:sz w:val="20"/>
        </w:rPr>
        <w:t xml:space="preserve"> of Victoria</w:t>
      </w:r>
      <w:r w:rsidR="00C46E65" w:rsidRPr="009E171F">
        <w:rPr>
          <w:rFonts w:ascii="Arial" w:hAnsi="Arial" w:cs="Arial"/>
          <w:bCs/>
          <w:i/>
          <w:color w:val="000000"/>
          <w:sz w:val="20"/>
        </w:rPr>
        <w:t xml:space="preserve"> &amp; Ors</w:t>
      </w:r>
      <w:r w:rsidR="00C46E65" w:rsidRPr="009E171F">
        <w:rPr>
          <w:rFonts w:ascii="Arial" w:hAnsi="Arial" w:cs="Arial"/>
          <w:bCs/>
          <w:color w:val="000000"/>
          <w:sz w:val="20"/>
        </w:rPr>
        <w:t xml:space="preserve"> [2012] VSC </w:t>
      </w:r>
      <w:r w:rsidR="00F81051" w:rsidRPr="009E171F">
        <w:rPr>
          <w:rFonts w:ascii="Arial" w:hAnsi="Arial" w:cs="Arial"/>
          <w:bCs/>
          <w:color w:val="000000"/>
          <w:sz w:val="20"/>
        </w:rPr>
        <w:t xml:space="preserve">422 </w:t>
      </w:r>
      <w:r w:rsidR="0051174D" w:rsidRPr="009E171F">
        <w:rPr>
          <w:rFonts w:ascii="Arial" w:hAnsi="Arial" w:cs="Arial"/>
          <w:bCs/>
          <w:color w:val="000000"/>
          <w:sz w:val="20"/>
        </w:rPr>
        <w:t xml:space="preserve">a magistrate </w:t>
      </w:r>
      <w:r w:rsidRPr="009E171F">
        <w:rPr>
          <w:rFonts w:ascii="Arial" w:hAnsi="Arial" w:cs="Arial"/>
          <w:bCs/>
          <w:color w:val="000000"/>
          <w:sz w:val="20"/>
        </w:rPr>
        <w:t xml:space="preserve">had </w:t>
      </w:r>
      <w:r w:rsidR="0051174D" w:rsidRPr="009E171F">
        <w:rPr>
          <w:rFonts w:ascii="Arial" w:hAnsi="Arial" w:cs="Arial"/>
          <w:bCs/>
          <w:color w:val="000000"/>
          <w:sz w:val="20"/>
        </w:rPr>
        <w:t>varied a custody to Secretary orde</w:t>
      </w:r>
      <w:r w:rsidR="000E7A31" w:rsidRPr="009E171F">
        <w:rPr>
          <w:rFonts w:ascii="Arial" w:hAnsi="Arial" w:cs="Arial"/>
          <w:bCs/>
          <w:color w:val="000000"/>
          <w:sz w:val="20"/>
        </w:rPr>
        <w:t xml:space="preserve">r by adding conditions for </w:t>
      </w:r>
      <w:r w:rsidR="00502296" w:rsidRPr="001E38BA">
        <w:rPr>
          <w:rFonts w:ascii="Arial" w:hAnsi="Arial" w:cs="Arial"/>
          <w:bCs/>
          <w:color w:val="000000"/>
          <w:sz w:val="20"/>
        </w:rPr>
        <w:t>contact</w:t>
      </w:r>
      <w:r w:rsidR="0051174D" w:rsidRPr="001E38BA">
        <w:rPr>
          <w:rFonts w:ascii="Arial" w:hAnsi="Arial" w:cs="Arial"/>
          <w:bCs/>
          <w:color w:val="000000"/>
          <w:sz w:val="20"/>
        </w:rPr>
        <w:t xml:space="preserve"> by a cousin and a grandmother after </w:t>
      </w:r>
      <w:r w:rsidR="001B168F" w:rsidRPr="001E38BA">
        <w:rPr>
          <w:rFonts w:ascii="Arial" w:hAnsi="Arial" w:cs="Arial"/>
          <w:bCs/>
          <w:color w:val="000000"/>
          <w:sz w:val="20"/>
        </w:rPr>
        <w:t xml:space="preserve">a submissions </w:t>
      </w:r>
      <w:r w:rsidR="0051174D" w:rsidRPr="001E38BA">
        <w:rPr>
          <w:rFonts w:ascii="Arial" w:hAnsi="Arial" w:cs="Arial"/>
          <w:bCs/>
          <w:color w:val="000000"/>
          <w:sz w:val="20"/>
        </w:rPr>
        <w:t xml:space="preserve">hearing.  Counsel for </w:t>
      </w:r>
      <w:r w:rsidR="001B168F" w:rsidRPr="001E38BA">
        <w:rPr>
          <w:rFonts w:ascii="Arial" w:hAnsi="Arial" w:cs="Arial"/>
          <w:bCs/>
          <w:color w:val="000000"/>
          <w:sz w:val="20"/>
        </w:rPr>
        <w:t xml:space="preserve">DOHS </w:t>
      </w:r>
      <w:r w:rsidR="0051174D" w:rsidRPr="001E38BA">
        <w:rPr>
          <w:rFonts w:ascii="Arial" w:hAnsi="Arial" w:cs="Arial"/>
          <w:bCs/>
          <w:color w:val="000000"/>
          <w:sz w:val="20"/>
        </w:rPr>
        <w:t xml:space="preserve">had </w:t>
      </w:r>
      <w:r w:rsidR="001B168F" w:rsidRPr="001E38BA">
        <w:rPr>
          <w:rFonts w:ascii="Arial" w:hAnsi="Arial" w:cs="Arial"/>
          <w:bCs/>
          <w:color w:val="000000"/>
          <w:sz w:val="20"/>
        </w:rPr>
        <w:t>forcefully</w:t>
      </w:r>
      <w:r w:rsidR="0051174D" w:rsidRPr="001E38BA">
        <w:rPr>
          <w:rFonts w:ascii="Arial" w:hAnsi="Arial" w:cs="Arial"/>
          <w:bCs/>
          <w:color w:val="000000"/>
          <w:sz w:val="20"/>
        </w:rPr>
        <w:t xml:space="preserve"> opposed this course, noting that she had two witnesses in court who could give relevant evidence.  The pressure of other court business did not permit this case to be heard by evidence that day or indeed for some months.  In</w:t>
      </w:r>
      <w:r w:rsidR="00A976E1" w:rsidRPr="001E38BA">
        <w:rPr>
          <w:rFonts w:ascii="Arial" w:hAnsi="Arial" w:cs="Arial"/>
          <w:bCs/>
          <w:color w:val="000000"/>
          <w:sz w:val="20"/>
        </w:rPr>
        <w:t> </w:t>
      </w:r>
      <w:r w:rsidR="0051174D" w:rsidRPr="001E38BA">
        <w:rPr>
          <w:rFonts w:ascii="Arial" w:hAnsi="Arial" w:cs="Arial"/>
          <w:bCs/>
          <w:color w:val="000000"/>
          <w:sz w:val="20"/>
        </w:rPr>
        <w:t xml:space="preserve">allowing the Department’s application for judicial review, </w:t>
      </w:r>
      <w:r w:rsidR="00F81051" w:rsidRPr="001E38BA">
        <w:rPr>
          <w:rFonts w:ascii="Arial" w:hAnsi="Arial" w:cs="Arial"/>
          <w:bCs/>
          <w:color w:val="000000"/>
          <w:sz w:val="20"/>
        </w:rPr>
        <w:t xml:space="preserve">Dixon J distinguished </w:t>
      </w:r>
      <w:r w:rsidR="00F81051" w:rsidRPr="001E38BA">
        <w:rPr>
          <w:rFonts w:ascii="Arial" w:hAnsi="Arial" w:cs="Arial"/>
          <w:bCs/>
          <w:i/>
          <w:color w:val="000000"/>
          <w:sz w:val="20"/>
        </w:rPr>
        <w:t>Sanding’s Case</w:t>
      </w:r>
      <w:r w:rsidR="00F81051" w:rsidRPr="001E38BA">
        <w:rPr>
          <w:rFonts w:ascii="Arial" w:hAnsi="Arial" w:cs="Arial"/>
          <w:bCs/>
          <w:color w:val="000000"/>
          <w:sz w:val="20"/>
        </w:rPr>
        <w:t xml:space="preserve">, holding that </w:t>
      </w:r>
      <w:r w:rsidR="001B168F" w:rsidRPr="001E38BA">
        <w:rPr>
          <w:rFonts w:ascii="Arial" w:hAnsi="Arial" w:cs="Arial"/>
          <w:bCs/>
          <w:color w:val="000000"/>
          <w:sz w:val="20"/>
        </w:rPr>
        <w:t xml:space="preserve">the Department had been denied procedural fairness and adding that there </w:t>
      </w:r>
      <w:r w:rsidR="000E7A31" w:rsidRPr="001E38BA">
        <w:rPr>
          <w:rFonts w:ascii="Arial" w:hAnsi="Arial" w:cs="Arial"/>
          <w:bCs/>
          <w:color w:val="000000"/>
          <w:sz w:val="20"/>
        </w:rPr>
        <w:t>“</w:t>
      </w:r>
      <w:r w:rsidR="001B168F" w:rsidRPr="001E38BA">
        <w:rPr>
          <w:rFonts w:ascii="Arial" w:hAnsi="Arial" w:cs="Arial"/>
          <w:bCs/>
          <w:color w:val="000000"/>
          <w:sz w:val="20"/>
        </w:rPr>
        <w:t>was clearly a significant risk for the child’s welfare through destabilization of his pla</w:t>
      </w:r>
      <w:r w:rsidR="000E7A31" w:rsidRPr="001E38BA">
        <w:rPr>
          <w:rFonts w:ascii="Arial" w:hAnsi="Arial" w:cs="Arial"/>
          <w:bCs/>
          <w:color w:val="000000"/>
          <w:sz w:val="20"/>
        </w:rPr>
        <w:t>c</w:t>
      </w:r>
      <w:r w:rsidR="001B168F" w:rsidRPr="001E38BA">
        <w:rPr>
          <w:rFonts w:ascii="Arial" w:hAnsi="Arial" w:cs="Arial"/>
          <w:bCs/>
          <w:color w:val="000000"/>
          <w:sz w:val="20"/>
        </w:rPr>
        <w:t xml:space="preserve">ement </w:t>
      </w:r>
      <w:r w:rsidR="000E7A31" w:rsidRPr="001E38BA">
        <w:rPr>
          <w:rFonts w:ascii="Arial" w:hAnsi="Arial" w:cs="Arial"/>
          <w:bCs/>
          <w:color w:val="000000"/>
          <w:sz w:val="20"/>
        </w:rPr>
        <w:t xml:space="preserve">with a long term carer through extended </w:t>
      </w:r>
      <w:r w:rsidR="00502296" w:rsidRPr="001E38BA">
        <w:rPr>
          <w:rFonts w:ascii="Arial" w:hAnsi="Arial" w:cs="Arial"/>
          <w:bCs/>
          <w:color w:val="000000"/>
          <w:sz w:val="20"/>
        </w:rPr>
        <w:t>[contact with]</w:t>
      </w:r>
      <w:r w:rsidR="000E7A31" w:rsidRPr="009E171F">
        <w:rPr>
          <w:rFonts w:ascii="Arial" w:hAnsi="Arial" w:cs="Arial"/>
          <w:bCs/>
          <w:color w:val="000000"/>
          <w:sz w:val="20"/>
        </w:rPr>
        <w:t xml:space="preserve"> different family members other than in accordance with a properly considered approach”.</w:t>
      </w:r>
    </w:p>
    <w:p w14:paraId="49CC8C44" w14:textId="77777777" w:rsidR="00C46E65" w:rsidRPr="009E171F" w:rsidRDefault="00C46E65" w:rsidP="00C75CA9">
      <w:pPr>
        <w:jc w:val="both"/>
        <w:rPr>
          <w:rFonts w:ascii="Arial" w:hAnsi="Arial" w:cs="Arial"/>
          <w:bCs/>
          <w:color w:val="000000"/>
          <w:sz w:val="20"/>
        </w:rPr>
      </w:pPr>
    </w:p>
    <w:p w14:paraId="472DE977" w14:textId="08C68AE2" w:rsidR="00693223" w:rsidRPr="00785E1A" w:rsidRDefault="00693223">
      <w:pPr>
        <w:pStyle w:val="Heading3"/>
        <w:keepNext/>
        <w:keepLines/>
        <w:spacing w:after="120" w:line="240" w:lineRule="auto"/>
        <w:rPr>
          <w:rFonts w:ascii="Arial" w:hAnsi="Arial" w:cs="Arial"/>
          <w:color w:val="000000"/>
          <w:sz w:val="20"/>
        </w:rPr>
      </w:pPr>
      <w:bookmarkStart w:id="1208" w:name="_4.8.4_Findings_on"/>
      <w:bookmarkStart w:id="1209" w:name="B484"/>
      <w:bookmarkEnd w:id="1208"/>
      <w:bookmarkEnd w:id="1209"/>
      <w:r w:rsidRPr="00785E1A">
        <w:rPr>
          <w:rFonts w:ascii="Arial" w:hAnsi="Arial" w:cs="Arial"/>
          <w:b/>
          <w:bCs/>
          <w:color w:val="000000"/>
          <w:sz w:val="20"/>
        </w:rPr>
        <w:t>4.8.</w:t>
      </w:r>
      <w:r w:rsidR="0026104F">
        <w:rPr>
          <w:rFonts w:ascii="Arial" w:hAnsi="Arial" w:cs="Arial"/>
          <w:b/>
          <w:bCs/>
          <w:color w:val="000000"/>
          <w:sz w:val="20"/>
        </w:rPr>
        <w:t>5</w:t>
      </w:r>
      <w:r w:rsidRPr="00785E1A">
        <w:rPr>
          <w:rFonts w:ascii="Arial" w:hAnsi="Arial" w:cs="Arial"/>
          <w:b/>
          <w:bCs/>
          <w:color w:val="000000"/>
          <w:sz w:val="20"/>
        </w:rPr>
        <w:tab/>
        <w:t>Findings on balance of probabilities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6B8253D4" w14:textId="54F5BD47" w:rsidR="00135B61" w:rsidRPr="00135B61" w:rsidRDefault="00771977" w:rsidP="00135B61">
      <w:pPr>
        <w:spacing w:before="20" w:after="20"/>
        <w:jc w:val="both"/>
        <w:rPr>
          <w:rFonts w:ascii="Arial" w:hAnsi="Arial" w:cs="Arial"/>
        </w:rPr>
      </w:pPr>
      <w:r>
        <w:rPr>
          <w:rFonts w:ascii="Arial" w:hAnsi="Arial" w:cs="Arial"/>
          <w:sz w:val="20"/>
        </w:rPr>
        <w:t xml:space="preserve">Section </w:t>
      </w:r>
      <w:r w:rsidR="001E38BA">
        <w:rPr>
          <w:rFonts w:ascii="Arial" w:hAnsi="Arial" w:cs="Arial"/>
          <w:sz w:val="20"/>
        </w:rPr>
        <w:t>215A of the CYFA – which replace</w:t>
      </w:r>
      <w:r>
        <w:rPr>
          <w:rFonts w:ascii="Arial" w:hAnsi="Arial" w:cs="Arial"/>
          <w:sz w:val="20"/>
        </w:rPr>
        <w:t>d</w:t>
      </w:r>
      <w:r w:rsidR="001E38BA">
        <w:rPr>
          <w:rFonts w:ascii="Arial" w:hAnsi="Arial" w:cs="Arial"/>
          <w:sz w:val="20"/>
        </w:rPr>
        <w:t xml:space="preserve"> s.215(1)(c)</w:t>
      </w:r>
      <w:r>
        <w:rPr>
          <w:rFonts w:ascii="Arial" w:hAnsi="Arial" w:cs="Arial"/>
          <w:sz w:val="20"/>
        </w:rPr>
        <w:t xml:space="preserve"> in 2013</w:t>
      </w:r>
      <w:r w:rsidR="001E38BA">
        <w:rPr>
          <w:rFonts w:ascii="Arial" w:hAnsi="Arial" w:cs="Arial"/>
          <w:sz w:val="20"/>
        </w:rPr>
        <w:t xml:space="preserve"> – provides that the </w:t>
      </w:r>
      <w:r w:rsidR="003C09B3">
        <w:rPr>
          <w:rFonts w:ascii="Arial" w:hAnsi="Arial" w:cs="Arial"/>
          <w:sz w:val="20"/>
        </w:rPr>
        <w:t>“</w:t>
      </w:r>
      <w:r w:rsidR="001E38BA">
        <w:rPr>
          <w:rFonts w:ascii="Arial" w:hAnsi="Arial" w:cs="Arial"/>
          <w:sz w:val="20"/>
        </w:rPr>
        <w:t xml:space="preserve">standard of proof of any fact in an application under </w:t>
      </w:r>
      <w:r w:rsidR="003C09B3">
        <w:rPr>
          <w:rFonts w:ascii="Arial" w:hAnsi="Arial" w:cs="Arial"/>
          <w:sz w:val="20"/>
        </w:rPr>
        <w:t>[</w:t>
      </w:r>
      <w:r w:rsidR="001E38BA">
        <w:rPr>
          <w:rFonts w:ascii="Arial" w:hAnsi="Arial" w:cs="Arial"/>
          <w:sz w:val="20"/>
        </w:rPr>
        <w:t>the CYFA</w:t>
      </w:r>
      <w:r w:rsidR="003C09B3">
        <w:rPr>
          <w:rFonts w:ascii="Arial" w:hAnsi="Arial" w:cs="Arial"/>
          <w:sz w:val="20"/>
        </w:rPr>
        <w:t>]</w:t>
      </w:r>
      <w:r w:rsidR="001E38BA">
        <w:rPr>
          <w:rFonts w:ascii="Arial" w:hAnsi="Arial" w:cs="Arial"/>
          <w:sz w:val="20"/>
        </w:rPr>
        <w:t xml:space="preserve"> in the Family Division i</w:t>
      </w:r>
      <w:r w:rsidR="003C09B3">
        <w:rPr>
          <w:rFonts w:ascii="Arial" w:hAnsi="Arial" w:cs="Arial"/>
          <w:sz w:val="20"/>
          <w:szCs w:val="20"/>
        </w:rPr>
        <w:t>s the balance of probabilities.”</w:t>
      </w:r>
      <w:r>
        <w:rPr>
          <w:rFonts w:ascii="Arial" w:hAnsi="Arial" w:cs="Arial"/>
          <w:sz w:val="20"/>
          <w:szCs w:val="20"/>
        </w:rPr>
        <w:t xml:space="preserve">  For </w:t>
      </w:r>
      <w:r w:rsidR="00135B61">
        <w:rPr>
          <w:rFonts w:ascii="Arial" w:hAnsi="Arial" w:cs="Arial"/>
          <w:sz w:val="20"/>
          <w:szCs w:val="20"/>
        </w:rPr>
        <w:t xml:space="preserve">a </w:t>
      </w:r>
      <w:r>
        <w:rPr>
          <w:rFonts w:ascii="Arial" w:hAnsi="Arial" w:cs="Arial"/>
          <w:sz w:val="20"/>
          <w:szCs w:val="20"/>
        </w:rPr>
        <w:t xml:space="preserve">discussion of </w:t>
      </w:r>
      <w:r w:rsidR="00135B61">
        <w:rPr>
          <w:rFonts w:ascii="Arial" w:hAnsi="Arial" w:cs="Arial"/>
          <w:sz w:val="20"/>
          <w:szCs w:val="20"/>
        </w:rPr>
        <w:t xml:space="preserve">some of the caselaw on “balance of probabilities” see </w:t>
      </w:r>
      <w:r w:rsidR="00135B61" w:rsidRPr="003B600E">
        <w:rPr>
          <w:rFonts w:ascii="Arial" w:hAnsi="Arial" w:cs="Arial"/>
          <w:b/>
          <w:bCs/>
          <w:sz w:val="20"/>
          <w:shd w:val="clear" w:color="auto" w:fill="C5E0B3"/>
        </w:rPr>
        <w:t>subsections 3.5.3.</w:t>
      </w:r>
      <w:r w:rsidR="0061127C" w:rsidRPr="003B600E">
        <w:rPr>
          <w:rFonts w:ascii="Arial" w:hAnsi="Arial" w:cs="Arial"/>
          <w:b/>
          <w:bCs/>
          <w:sz w:val="20"/>
          <w:shd w:val="clear" w:color="auto" w:fill="C5E0B3"/>
        </w:rPr>
        <w:t>8</w:t>
      </w:r>
      <w:r w:rsidR="00135B61" w:rsidRPr="003B600E">
        <w:rPr>
          <w:rFonts w:ascii="Arial" w:hAnsi="Arial" w:cs="Arial"/>
          <w:b/>
          <w:bCs/>
          <w:sz w:val="20"/>
          <w:shd w:val="clear" w:color="auto" w:fill="C5E0B3"/>
        </w:rPr>
        <w:t xml:space="preserve"> &amp; 3.5.6.1</w:t>
      </w:r>
      <w:r w:rsidR="00135B61">
        <w:rPr>
          <w:rFonts w:ascii="Arial" w:hAnsi="Arial" w:cs="Arial"/>
          <w:sz w:val="20"/>
        </w:rPr>
        <w:t>.</w:t>
      </w:r>
    </w:p>
    <w:p w14:paraId="218250C0" w14:textId="77777777" w:rsidR="003C09B3" w:rsidRDefault="003C09B3">
      <w:pPr>
        <w:jc w:val="both"/>
        <w:rPr>
          <w:rFonts w:ascii="Arial" w:hAnsi="Arial" w:cs="Arial"/>
          <w:sz w:val="20"/>
          <w:szCs w:val="20"/>
        </w:rPr>
      </w:pPr>
    </w:p>
    <w:p w14:paraId="1F608C3A" w14:textId="77777777" w:rsidR="003C09B3" w:rsidRDefault="003C09B3">
      <w:pPr>
        <w:jc w:val="both"/>
        <w:rPr>
          <w:rFonts w:ascii="Arial" w:hAnsi="Arial" w:cs="Arial"/>
          <w:sz w:val="20"/>
          <w:szCs w:val="20"/>
        </w:rPr>
      </w:pPr>
      <w:r w:rsidRPr="003C09B3">
        <w:rPr>
          <w:rFonts w:ascii="Arial" w:hAnsi="Arial" w:cs="Arial"/>
          <w:color w:val="000000"/>
          <w:sz w:val="20"/>
          <w:szCs w:val="20"/>
        </w:rPr>
        <w:t>Applications under the</w:t>
      </w:r>
      <w:r>
        <w:rPr>
          <w:rFonts w:ascii="Arial" w:hAnsi="Arial" w:cs="Arial"/>
          <w:color w:val="000000"/>
          <w:sz w:val="20"/>
          <w:szCs w:val="20"/>
        </w:rPr>
        <w:t xml:space="preserve"> </w:t>
      </w:r>
      <w:r w:rsidRPr="006C72B1">
        <w:rPr>
          <w:rFonts w:ascii="Arial" w:hAnsi="Arial" w:cs="Arial"/>
          <w:color w:val="000000"/>
          <w:sz w:val="20"/>
          <w:szCs w:val="20"/>
          <w:u w:val="single"/>
        </w:rPr>
        <w:t>Family Violence Protection Act 2008 (Vic)</w:t>
      </w:r>
      <w:r>
        <w:rPr>
          <w:rFonts w:ascii="Arial" w:hAnsi="Arial" w:cs="Arial"/>
          <w:color w:val="000000"/>
          <w:sz w:val="20"/>
          <w:szCs w:val="20"/>
        </w:rPr>
        <w:t xml:space="preserve"> and the </w:t>
      </w:r>
      <w:r w:rsidRPr="006C72B1">
        <w:rPr>
          <w:rFonts w:ascii="Arial" w:hAnsi="Arial" w:cs="Arial"/>
          <w:color w:val="000000"/>
          <w:sz w:val="20"/>
          <w:szCs w:val="20"/>
          <w:u w:val="single"/>
        </w:rPr>
        <w:t>Personal Safety Intervention Orders Act 2010 (Vic)</w:t>
      </w:r>
      <w:r>
        <w:rPr>
          <w:rFonts w:ascii="Arial" w:hAnsi="Arial" w:cs="Arial"/>
          <w:color w:val="000000"/>
          <w:sz w:val="20"/>
          <w:szCs w:val="20"/>
        </w:rPr>
        <w:t xml:space="preserve"> [excluding contravention applications] are also heard in the Family Division.  </w:t>
      </w:r>
      <w:r w:rsidR="006C72B1">
        <w:rPr>
          <w:rFonts w:ascii="Arial" w:hAnsi="Arial" w:cs="Arial"/>
          <w:color w:val="000000"/>
          <w:sz w:val="20"/>
          <w:szCs w:val="20"/>
        </w:rPr>
        <w:t xml:space="preserve">Although s.215A of the CYFA does not in its terms apply to them, the balance of probabilities test </w:t>
      </w:r>
      <w:r w:rsidRPr="003C09B3">
        <w:rPr>
          <w:rFonts w:ascii="Arial" w:hAnsi="Arial" w:cs="Arial"/>
          <w:color w:val="000000"/>
          <w:sz w:val="20"/>
          <w:szCs w:val="20"/>
        </w:rPr>
        <w:t xml:space="preserve">is enshrined in all of the substantive provisions relating to the making or extension of intervention orders: see, for example, </w:t>
      </w:r>
      <w:r w:rsidR="006C72B1">
        <w:rPr>
          <w:rFonts w:ascii="Arial" w:hAnsi="Arial" w:cs="Arial"/>
          <w:color w:val="000000"/>
          <w:sz w:val="20"/>
          <w:szCs w:val="20"/>
        </w:rPr>
        <w:t>ss.53(1)(a), 74(1), 76(1)(b), 77(2) &amp; 106(2) of the FVPA and ss.35(1)(a), 61(1) &amp; 83(2) of the PSIA.</w:t>
      </w:r>
    </w:p>
    <w:p w14:paraId="55F04291" w14:textId="77777777" w:rsidR="003C09B3" w:rsidRDefault="003C09B3">
      <w:pPr>
        <w:jc w:val="both"/>
        <w:rPr>
          <w:rFonts w:ascii="Arial" w:hAnsi="Arial" w:cs="Arial"/>
          <w:sz w:val="20"/>
          <w:szCs w:val="20"/>
        </w:rPr>
      </w:pPr>
    </w:p>
    <w:p w14:paraId="7D36A909" w14:textId="77777777" w:rsidR="00315D52" w:rsidRDefault="003C09B3">
      <w:pPr>
        <w:jc w:val="both"/>
        <w:rPr>
          <w:rFonts w:ascii="Arial" w:hAnsi="Arial" w:cs="Arial"/>
          <w:sz w:val="20"/>
        </w:rPr>
      </w:pPr>
      <w:r>
        <w:rPr>
          <w:rFonts w:ascii="Arial" w:hAnsi="Arial" w:cs="Arial"/>
          <w:sz w:val="20"/>
          <w:szCs w:val="20"/>
        </w:rPr>
        <w:t>It is said that t</w:t>
      </w:r>
      <w:r w:rsidR="001E38BA" w:rsidRPr="001E38BA">
        <w:rPr>
          <w:rFonts w:ascii="Arial" w:hAnsi="Arial" w:cs="Arial"/>
          <w:sz w:val="20"/>
          <w:szCs w:val="20"/>
        </w:rPr>
        <w:t xml:space="preserve">he </w:t>
      </w:r>
      <w:r w:rsidR="001E38BA" w:rsidRPr="001E38BA">
        <w:rPr>
          <w:rFonts w:ascii="Arial" w:hAnsi="Arial" w:cs="Arial"/>
          <w:color w:val="000000"/>
          <w:sz w:val="20"/>
          <w:szCs w:val="20"/>
        </w:rPr>
        <w:t xml:space="preserve">purpose of the </w:t>
      </w:r>
      <w:r>
        <w:rPr>
          <w:rFonts w:ascii="Arial" w:hAnsi="Arial" w:cs="Arial"/>
          <w:color w:val="000000"/>
          <w:sz w:val="20"/>
          <w:szCs w:val="20"/>
        </w:rPr>
        <w:t xml:space="preserve">introduction of s.215A </w:t>
      </w:r>
      <w:r w:rsidR="001E38BA" w:rsidRPr="001E38BA">
        <w:rPr>
          <w:rFonts w:ascii="Arial" w:hAnsi="Arial" w:cs="Arial"/>
          <w:color w:val="000000"/>
          <w:sz w:val="20"/>
          <w:szCs w:val="20"/>
        </w:rPr>
        <w:t xml:space="preserve">is to remove any suggestion that dicta from </w:t>
      </w:r>
      <w:r w:rsidR="001E38BA" w:rsidRPr="001E38BA">
        <w:rPr>
          <w:rFonts w:ascii="Arial" w:hAnsi="Arial" w:cs="Arial"/>
          <w:i/>
          <w:color w:val="000000"/>
          <w:sz w:val="20"/>
          <w:szCs w:val="20"/>
        </w:rPr>
        <w:t>Briginshaw v Briginshaw</w:t>
      </w:r>
      <w:r w:rsidR="001E38BA" w:rsidRPr="001E38BA">
        <w:rPr>
          <w:rFonts w:ascii="Arial" w:hAnsi="Arial" w:cs="Arial"/>
          <w:color w:val="000000"/>
          <w:sz w:val="20"/>
          <w:szCs w:val="20"/>
        </w:rPr>
        <w:t xml:space="preserve"> (1938) 60 CLR 336 requires a higher standard of proof to be applied in certain child protection cases</w:t>
      </w:r>
      <w:r w:rsidR="006C72B1">
        <w:rPr>
          <w:rFonts w:ascii="Arial" w:hAnsi="Arial" w:cs="Arial"/>
          <w:color w:val="000000"/>
          <w:sz w:val="20"/>
          <w:szCs w:val="20"/>
        </w:rPr>
        <w:t xml:space="preserve">, especially cases in which it is alleged that </w:t>
      </w:r>
      <w:r w:rsidR="006C72B1">
        <w:rPr>
          <w:rFonts w:ascii="Arial" w:hAnsi="Arial" w:cs="Arial"/>
          <w:sz w:val="20"/>
        </w:rPr>
        <w:t xml:space="preserve">a child has suffered actual physical and/or sexual harm at the hands of some person.  </w:t>
      </w:r>
      <w:r w:rsidR="001E38BA">
        <w:rPr>
          <w:rFonts w:ascii="Arial" w:hAnsi="Arial" w:cs="Arial"/>
          <w:sz w:val="20"/>
        </w:rPr>
        <w:t>At p.362 Dixon J (as he then was) said-</w:t>
      </w:r>
    </w:p>
    <w:p w14:paraId="34FFC1D8"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r>
        <w:rPr>
          <w:rFonts w:ascii="Arial" w:hAnsi="Arial" w:cs="Arial"/>
          <w:iCs/>
          <w:sz w:val="20"/>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52BC53CF" w14:textId="77777777" w:rsidR="001E38BA" w:rsidRDefault="001E38BA" w:rsidP="001E38BA">
      <w:pPr>
        <w:spacing w:before="120"/>
        <w:jc w:val="both"/>
        <w:rPr>
          <w:rFonts w:ascii="Arial" w:hAnsi="Arial" w:cs="Arial"/>
          <w:bCs/>
          <w:sz w:val="20"/>
        </w:rPr>
      </w:pPr>
      <w:r>
        <w:rPr>
          <w:rFonts w:ascii="Arial" w:hAnsi="Arial" w:cs="Arial"/>
          <w:sz w:val="20"/>
        </w:rPr>
        <w:t>And at p.343 Latham CJ said-</w:t>
      </w:r>
    </w:p>
    <w:p w14:paraId="1DE80BF6" w14:textId="77777777" w:rsidR="001E38BA" w:rsidRDefault="001E38BA" w:rsidP="001E38BA">
      <w:pPr>
        <w:spacing w:before="60"/>
        <w:ind w:left="567" w:right="567"/>
        <w:jc w:val="both"/>
        <w:rPr>
          <w:rFonts w:ascii="Arial" w:hAnsi="Arial" w:cs="Arial"/>
          <w:bCs/>
          <w:sz w:val="20"/>
        </w:rPr>
      </w:pPr>
      <w:r>
        <w:rPr>
          <w:rFonts w:ascii="Arial" w:hAnsi="Arial" w:cs="Arial"/>
          <w:bCs/>
          <w:sz w:val="20"/>
        </w:rPr>
        <w:t>"</w:t>
      </w:r>
      <w:smartTag w:uri="urn:schemas-microsoft-com:office:smarttags" w:element="address">
        <w:smartTag w:uri="urn:schemas-microsoft-com:office:smarttags" w:element="Street">
          <w:r>
            <w:rPr>
              <w:rFonts w:ascii="Arial" w:hAnsi="Arial" w:cs="Arial"/>
              <w:sz w:val="20"/>
            </w:rPr>
            <w:t>No Court</w:t>
          </w:r>
        </w:smartTag>
      </w:smartTag>
      <w:r>
        <w:rPr>
          <w:rFonts w:ascii="Arial" w:hAnsi="Arial" w:cs="Arial"/>
          <w:sz w:val="20"/>
        </w:rPr>
        <w:t xml:space="preserve"> should act upon mere suspicion, surmise or guesswork in any case.  In a civil case fair inference may justify a finding upon the basis of preponderance of probability.  The standard of proof required by a cautious and responsible tribunal will naturally vary in accordance with the seriousness or importance of the issue.”</w:t>
      </w:r>
    </w:p>
    <w:p w14:paraId="6A1F9516" w14:textId="77777777" w:rsidR="001E38BA" w:rsidRDefault="001E38BA" w:rsidP="001E38BA">
      <w:pPr>
        <w:jc w:val="both"/>
        <w:rPr>
          <w:rFonts w:ascii="Arial" w:hAnsi="Arial" w:cs="Arial"/>
          <w:sz w:val="20"/>
        </w:rPr>
      </w:pPr>
    </w:p>
    <w:p w14:paraId="58A75A16" w14:textId="77777777" w:rsidR="004872EE" w:rsidRDefault="003C09B3">
      <w:pPr>
        <w:jc w:val="both"/>
        <w:rPr>
          <w:rFonts w:ascii="Arial" w:hAnsi="Arial" w:cs="Arial"/>
          <w:sz w:val="20"/>
        </w:rPr>
      </w:pPr>
      <w:r>
        <w:rPr>
          <w:rFonts w:ascii="Arial" w:hAnsi="Arial" w:cs="Arial"/>
          <w:sz w:val="20"/>
        </w:rPr>
        <w:t>But the writer firmly believes that</w:t>
      </w:r>
      <w:r w:rsidR="006421A8">
        <w:rPr>
          <w:rFonts w:ascii="Arial" w:hAnsi="Arial" w:cs="Arial"/>
          <w:sz w:val="20"/>
        </w:rPr>
        <w:t xml:space="preserve"> the</w:t>
      </w:r>
      <w:r>
        <w:rPr>
          <w:rFonts w:ascii="Arial" w:hAnsi="Arial" w:cs="Arial"/>
          <w:sz w:val="20"/>
        </w:rPr>
        <w:t xml:space="preserve"> </w:t>
      </w:r>
      <w:r w:rsidRPr="003C09B3">
        <w:rPr>
          <w:rFonts w:ascii="Arial" w:hAnsi="Arial" w:cs="Arial"/>
          <w:i/>
          <w:sz w:val="20"/>
        </w:rPr>
        <w:t>Briginshaw</w:t>
      </w:r>
      <w:r w:rsidR="006421A8">
        <w:rPr>
          <w:rFonts w:ascii="Arial" w:hAnsi="Arial" w:cs="Arial"/>
          <w:sz w:val="20"/>
        </w:rPr>
        <w:t xml:space="preserve"> dicta </w:t>
      </w:r>
      <w:r>
        <w:rPr>
          <w:rFonts w:ascii="Arial" w:hAnsi="Arial" w:cs="Arial"/>
          <w:sz w:val="20"/>
        </w:rPr>
        <w:t xml:space="preserve">is not and never has been authority for the proposition that there is some intermediate standard of proof between the civil standard of “balance of probabilities” and the criminal standard of “beyond reasonable doubt”.  </w:t>
      </w:r>
      <w:r w:rsidR="006C72B1">
        <w:rPr>
          <w:rFonts w:ascii="Arial" w:hAnsi="Arial" w:cs="Arial"/>
          <w:sz w:val="20"/>
        </w:rPr>
        <w:t xml:space="preserve">A number of superior courts have made it abundantly clear that in civil litigation </w:t>
      </w:r>
      <w:bookmarkStart w:id="1210" w:name="_Ref30606325"/>
      <w:bookmarkStart w:id="1211" w:name="_Toc30607533"/>
      <w:bookmarkStart w:id="1212" w:name="_Toc30607662"/>
      <w:bookmarkStart w:id="1213" w:name="_Toc30607987"/>
      <w:bookmarkStart w:id="1214" w:name="_Toc30608820"/>
      <w:bookmarkStart w:id="1215" w:name="_Toc30610034"/>
      <w:bookmarkStart w:id="1216" w:name="_Toc30610278"/>
      <w:bookmarkStart w:id="1217" w:name="_Toc30638432"/>
      <w:bookmarkStart w:id="1218" w:name="_Toc30644245"/>
      <w:bookmarkStart w:id="1219" w:name="_Toc30644652"/>
      <w:bookmarkStart w:id="1220" w:name="_Toc30645202"/>
      <w:bookmarkStart w:id="1221" w:name="_Toc30646414"/>
      <w:bookmarkStart w:id="1222" w:name="_Toc30646709"/>
      <w:bookmarkStart w:id="1223" w:name="_Toc30646820"/>
      <w:bookmarkStart w:id="1224" w:name="_Toc30648182"/>
      <w:bookmarkStart w:id="1225" w:name="_Toc30649083"/>
      <w:bookmarkStart w:id="1226" w:name="_Toc30649159"/>
      <w:bookmarkStart w:id="1227" w:name="_Toc30649420"/>
      <w:bookmarkStart w:id="1228" w:name="_Toc30649745"/>
      <w:bookmarkStart w:id="1229" w:name="_Toc30651685"/>
      <w:bookmarkStart w:id="1230" w:name="_Toc30652675"/>
      <w:bookmarkStart w:id="1231" w:name="_Toc30652771"/>
      <w:bookmarkStart w:id="1232" w:name="_Toc30654121"/>
      <w:bookmarkStart w:id="1233" w:name="_Toc30654472"/>
      <w:bookmarkStart w:id="1234" w:name="_Toc30655091"/>
      <w:bookmarkStart w:id="1235" w:name="_Toc30655348"/>
      <w:bookmarkStart w:id="1236" w:name="_Toc30657026"/>
      <w:bookmarkStart w:id="1237" w:name="_Toc30661775"/>
      <w:bookmarkStart w:id="1238" w:name="_Toc30666463"/>
      <w:bookmarkStart w:id="1239" w:name="_Toc30666693"/>
      <w:bookmarkStart w:id="1240" w:name="_Toc30667868"/>
      <w:bookmarkStart w:id="1241" w:name="_Toc30669246"/>
      <w:bookmarkStart w:id="1242" w:name="_Toc30671462"/>
      <w:bookmarkStart w:id="1243" w:name="_Toc30673989"/>
      <w:bookmarkStart w:id="1244" w:name="_Toc30691211"/>
      <w:bookmarkStart w:id="1245" w:name="_Toc30691584"/>
      <w:bookmarkStart w:id="1246" w:name="_Toc30691964"/>
      <w:bookmarkStart w:id="1247" w:name="_Toc30692723"/>
      <w:bookmarkStart w:id="1248" w:name="_Toc30693102"/>
      <w:bookmarkStart w:id="1249" w:name="_Toc30693480"/>
      <w:bookmarkStart w:id="1250" w:name="_Toc30693858"/>
      <w:bookmarkStart w:id="1251" w:name="_Toc30694239"/>
      <w:bookmarkStart w:id="1252" w:name="_Toc30698828"/>
      <w:bookmarkStart w:id="1253" w:name="_Toc30699206"/>
      <w:bookmarkStart w:id="1254" w:name="_Toc30699591"/>
      <w:bookmarkStart w:id="1255" w:name="_Toc30700746"/>
      <w:bookmarkStart w:id="1256" w:name="_Toc30701133"/>
      <w:bookmarkStart w:id="1257" w:name="_Toc30743742"/>
      <w:bookmarkStart w:id="1258" w:name="_Toc30754565"/>
      <w:bookmarkStart w:id="1259" w:name="_Toc30757005"/>
      <w:bookmarkStart w:id="1260" w:name="_Toc30757554"/>
      <w:bookmarkStart w:id="1261" w:name="_Toc30757954"/>
      <w:bookmarkStart w:id="1262" w:name="_Toc30762715"/>
      <w:bookmarkStart w:id="1263" w:name="_Toc30767369"/>
      <w:bookmarkStart w:id="1264" w:name="_Toc34823384"/>
      <w:r w:rsidR="004872EE">
        <w:rPr>
          <w:rFonts w:ascii="Arial" w:hAnsi="Arial" w:cs="Arial"/>
          <w:sz w:val="20"/>
        </w:rPr>
        <w:t>the balance of probabilities remains the standard of proof even where serious or criminal allegations are made: see the judgement of the Court of Appeal in</w:t>
      </w:r>
      <w:r w:rsidR="004872EE" w:rsidRPr="004872EE">
        <w:rPr>
          <w:rFonts w:ascii="Arial" w:hAnsi="Arial" w:cs="Arial"/>
          <w:i/>
          <w:sz w:val="20"/>
        </w:rPr>
        <w:t xml:space="preserve"> Dr Selwyn Leeks v XY</w:t>
      </w:r>
      <w:r w:rsidR="004872EE">
        <w:rPr>
          <w:rFonts w:ascii="Arial" w:hAnsi="Arial" w:cs="Arial"/>
          <w:sz w:val="20"/>
        </w:rPr>
        <w:t xml:space="preserve"> [2008] VSCA 21 at [</w:t>
      </w:r>
      <w:r w:rsidR="00D613EE">
        <w:rPr>
          <w:rFonts w:ascii="Arial" w:hAnsi="Arial" w:cs="Arial"/>
          <w:sz w:val="20"/>
        </w:rPr>
        <w:t>9</w:t>
      </w:r>
      <w:r w:rsidR="004872EE">
        <w:rPr>
          <w:rFonts w:ascii="Arial" w:hAnsi="Arial" w:cs="Arial"/>
          <w:sz w:val="20"/>
        </w:rPr>
        <w:t xml:space="preserve">] citing </w:t>
      </w:r>
      <w:r w:rsidR="004872EE" w:rsidRPr="004872EE">
        <w:rPr>
          <w:rFonts w:ascii="Arial" w:hAnsi="Arial" w:cs="Arial"/>
          <w:i/>
          <w:sz w:val="20"/>
        </w:rPr>
        <w:t xml:space="preserve">Jones </w:t>
      </w:r>
      <w:r w:rsidR="004872EE" w:rsidRPr="004872EE">
        <w:rPr>
          <w:rFonts w:ascii="Arial" w:hAnsi="Arial" w:cs="Arial"/>
          <w:i/>
          <w:sz w:val="20"/>
        </w:rPr>
        <w:lastRenderedPageBreak/>
        <w:t xml:space="preserve">v Dunkel </w:t>
      </w:r>
      <w:r w:rsidR="004872EE">
        <w:rPr>
          <w:rFonts w:ascii="Arial" w:hAnsi="Arial" w:cs="Arial"/>
          <w:sz w:val="20"/>
        </w:rPr>
        <w:t xml:space="preserve">(1959) 101 CLR 298, 304-5; </w:t>
      </w:r>
      <w:r w:rsidR="004872EE" w:rsidRPr="004872EE">
        <w:rPr>
          <w:rFonts w:ascii="Arial" w:hAnsi="Arial" w:cs="Arial"/>
          <w:i/>
          <w:sz w:val="20"/>
        </w:rPr>
        <w:t>G v H</w:t>
      </w:r>
      <w:r w:rsidR="004872EE">
        <w:rPr>
          <w:rFonts w:ascii="Arial" w:hAnsi="Arial" w:cs="Arial"/>
          <w:sz w:val="20"/>
        </w:rPr>
        <w:t xml:space="preserve"> (1994) 181 CLR 387 &amp; </w:t>
      </w:r>
      <w:r w:rsidR="004872EE" w:rsidRPr="004872EE">
        <w:rPr>
          <w:rFonts w:ascii="Arial" w:hAnsi="Arial" w:cs="Arial"/>
          <w:i/>
          <w:sz w:val="20"/>
        </w:rPr>
        <w:t>Neat Holdings Pty Ltd v Karajan Holdings Pty Ltd</w:t>
      </w:r>
      <w:r w:rsidR="004872EE">
        <w:rPr>
          <w:rFonts w:ascii="Arial" w:hAnsi="Arial" w:cs="Arial"/>
          <w:sz w:val="20"/>
        </w:rPr>
        <w:t xml:space="preserve"> (1992) 67 ALJR 170.</w:t>
      </w:r>
      <w:r w:rsidR="00D613EE">
        <w:rPr>
          <w:rFonts w:ascii="Arial" w:hAnsi="Arial" w:cs="Arial"/>
          <w:sz w:val="20"/>
        </w:rPr>
        <w:t xml:space="preserve">  In the last mentioned case </w:t>
      </w:r>
      <w:r w:rsidR="004872EE">
        <w:rPr>
          <w:rFonts w:ascii="Arial" w:hAnsi="Arial" w:cs="Arial"/>
          <w:sz w:val="20"/>
        </w:rPr>
        <w:t>Mason CJ, Brennan, Deane &amp; Gaudron JJ said</w:t>
      </w:r>
      <w:r w:rsidR="00221FA6">
        <w:rPr>
          <w:rFonts w:ascii="Arial" w:hAnsi="Arial" w:cs="Arial"/>
          <w:sz w:val="20"/>
        </w:rPr>
        <w:t xml:space="preserve"> at 170-171</w:t>
      </w:r>
      <w:r w:rsidR="004872EE">
        <w:rPr>
          <w:rFonts w:ascii="Arial" w:hAnsi="Arial" w:cs="Arial"/>
          <w:sz w:val="20"/>
        </w:rPr>
        <w:t>:</w:t>
      </w:r>
    </w:p>
    <w:p w14:paraId="2737E9D1" w14:textId="77777777" w:rsidR="004872EE" w:rsidRDefault="004872EE" w:rsidP="00156362">
      <w:pPr>
        <w:spacing w:before="60"/>
        <w:ind w:left="567" w:right="567"/>
        <w:jc w:val="both"/>
        <w:rPr>
          <w:rFonts w:ascii="Arial" w:hAnsi="Arial" w:cs="Arial"/>
          <w:bCs/>
          <w:sz w:val="20"/>
        </w:rPr>
      </w:pPr>
      <w:r>
        <w:rPr>
          <w:rFonts w:ascii="Arial" w:hAnsi="Arial" w:cs="Arial"/>
          <w:bCs/>
          <w:sz w:val="20"/>
        </w:rPr>
        <w:t>“</w:t>
      </w:r>
      <w:r w:rsidRPr="004872EE">
        <w:rPr>
          <w:rFonts w:ascii="Arial" w:hAnsi="Arial" w:cs="Arial"/>
          <w:sz w:val="20"/>
          <w:szCs w:val="20"/>
        </w:rPr>
        <w:t xml:space="preserve">The ordinary standard of proof required of a party who bears the onus in civil litigation in this country is on the balance of probabilities.  That remains so even where the matter to be proved involves criminal conduct or fraud.  The strength of evidence necessary to establish a fact or facts on the balance of probabilities may vary according to the nature of what it is sought to be proved.  Thus authoritative statements have often been made to the effect that </w:t>
      </w:r>
      <w:r w:rsidRPr="004872EE">
        <w:rPr>
          <w:rFonts w:ascii="Arial" w:hAnsi="Arial" w:cs="Arial"/>
          <w:b/>
          <w:sz w:val="20"/>
          <w:szCs w:val="20"/>
          <w:u w:val="single"/>
        </w:rPr>
        <w:t xml:space="preserve">clear </w:t>
      </w:r>
      <w:r w:rsidRPr="004872EE">
        <w:rPr>
          <w:rFonts w:ascii="Arial" w:hAnsi="Arial" w:cs="Arial"/>
          <w:sz w:val="20"/>
          <w:szCs w:val="20"/>
        </w:rPr>
        <w:t>[</w:t>
      </w:r>
      <w:r w:rsidRPr="004872EE">
        <w:rPr>
          <w:rFonts w:ascii="Arial" w:hAnsi="Arial" w:cs="Arial"/>
          <w:i/>
          <w:sz w:val="20"/>
          <w:szCs w:val="20"/>
        </w:rPr>
        <w:t>Briginshaw v Briginshaw</w:t>
      </w:r>
      <w:r w:rsidRPr="004872EE">
        <w:rPr>
          <w:rFonts w:ascii="Arial" w:hAnsi="Arial" w:cs="Arial"/>
          <w:sz w:val="20"/>
          <w:szCs w:val="20"/>
        </w:rPr>
        <w:t xml:space="preserve"> (1938) 60 CLR 336, 362; </w:t>
      </w:r>
      <w:r w:rsidRPr="004872EE">
        <w:rPr>
          <w:rFonts w:ascii="Arial" w:hAnsi="Arial" w:cs="Arial"/>
          <w:i/>
          <w:sz w:val="20"/>
          <w:szCs w:val="20"/>
        </w:rPr>
        <w:t>Helton v Allen</w:t>
      </w:r>
      <w:r w:rsidRPr="004872EE">
        <w:rPr>
          <w:rFonts w:ascii="Arial" w:hAnsi="Arial" w:cs="Arial"/>
          <w:sz w:val="20"/>
          <w:szCs w:val="20"/>
        </w:rPr>
        <w:t xml:space="preserve"> (1940) 63 CLR 691, 701; </w:t>
      </w:r>
      <w:r w:rsidRPr="004872EE">
        <w:rPr>
          <w:rFonts w:ascii="Arial" w:hAnsi="Arial" w:cs="Arial"/>
          <w:i/>
          <w:sz w:val="20"/>
          <w:szCs w:val="20"/>
        </w:rPr>
        <w:t>Hocking v Bell</w:t>
      </w:r>
      <w:r w:rsidRPr="004872EE">
        <w:rPr>
          <w:rFonts w:ascii="Arial" w:hAnsi="Arial" w:cs="Arial"/>
          <w:sz w:val="20"/>
          <w:szCs w:val="20"/>
        </w:rPr>
        <w:t xml:space="preserve"> (1944) 44 SR (NSW) 468, 477 </w:t>
      </w:r>
      <w:r>
        <w:rPr>
          <w:rFonts w:ascii="Arial" w:hAnsi="Arial" w:cs="Arial"/>
          <w:sz w:val="20"/>
          <w:szCs w:val="20"/>
        </w:rPr>
        <w:t>{</w:t>
      </w:r>
      <w:r w:rsidRPr="004872EE">
        <w:rPr>
          <w:rFonts w:ascii="Arial" w:hAnsi="Arial" w:cs="Arial"/>
          <w:sz w:val="20"/>
          <w:szCs w:val="20"/>
        </w:rPr>
        <w:t>affirmed in (1945) 71 CLR 430, 464, 500</w:t>
      </w:r>
      <w:r>
        <w:rPr>
          <w:rFonts w:ascii="Arial" w:hAnsi="Arial" w:cs="Arial"/>
          <w:sz w:val="20"/>
          <w:szCs w:val="20"/>
        </w:rPr>
        <w:t>}</w:t>
      </w:r>
      <w:r w:rsidRPr="004872EE">
        <w:rPr>
          <w:rFonts w:ascii="Arial" w:hAnsi="Arial" w:cs="Arial"/>
          <w:sz w:val="20"/>
          <w:szCs w:val="20"/>
        </w:rPr>
        <w:t xml:space="preserve">; </w:t>
      </w:r>
      <w:r w:rsidRPr="004872EE">
        <w:rPr>
          <w:rFonts w:ascii="Arial" w:hAnsi="Arial" w:cs="Arial"/>
          <w:i/>
          <w:sz w:val="20"/>
          <w:szCs w:val="20"/>
        </w:rPr>
        <w:t xml:space="preserve"> Rejfek v McElroy</w:t>
      </w:r>
      <w:r w:rsidRPr="004872EE">
        <w:rPr>
          <w:rFonts w:ascii="Arial" w:hAnsi="Arial" w:cs="Arial"/>
          <w:sz w:val="20"/>
          <w:szCs w:val="20"/>
        </w:rPr>
        <w:t xml:space="preserve"> (1965) 112 CLR 517, 521; </w:t>
      </w:r>
      <w:r w:rsidRPr="004872EE">
        <w:rPr>
          <w:rFonts w:ascii="Arial" w:hAnsi="Arial" w:cs="Arial"/>
          <w:i/>
          <w:sz w:val="20"/>
          <w:szCs w:val="20"/>
        </w:rPr>
        <w:t>Wentworth v Rogers (No.5)</w:t>
      </w:r>
      <w:r>
        <w:rPr>
          <w:rFonts w:ascii="Arial" w:hAnsi="Arial" w:cs="Arial"/>
          <w:sz w:val="20"/>
          <w:szCs w:val="20"/>
        </w:rPr>
        <w:t xml:space="preserve"> (1986) 6 NSWLR 534, 539] </w:t>
      </w:r>
      <w:r w:rsidRPr="004872EE">
        <w:rPr>
          <w:rFonts w:ascii="Arial" w:hAnsi="Arial" w:cs="Arial"/>
          <w:b/>
          <w:sz w:val="20"/>
          <w:szCs w:val="20"/>
          <w:u w:val="single"/>
        </w:rPr>
        <w:t>or cogent</w:t>
      </w:r>
      <w:r>
        <w:rPr>
          <w:rFonts w:ascii="Arial" w:hAnsi="Arial" w:cs="Arial"/>
          <w:sz w:val="20"/>
          <w:szCs w:val="20"/>
        </w:rPr>
        <w:t xml:space="preserve">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 xml:space="preserve">] </w:t>
      </w:r>
      <w:r w:rsidRPr="004872EE">
        <w:rPr>
          <w:rFonts w:ascii="Arial" w:hAnsi="Arial" w:cs="Arial"/>
          <w:b/>
          <w:sz w:val="20"/>
          <w:u w:val="single"/>
        </w:rPr>
        <w:t>or strict</w:t>
      </w:r>
      <w:r>
        <w:rPr>
          <w:rFonts w:ascii="Arial" w:hAnsi="Arial" w:cs="Arial"/>
          <w:sz w:val="20"/>
        </w:rPr>
        <w:t xml:space="preserve"> [</w:t>
      </w:r>
      <w:r w:rsidRPr="004872EE">
        <w:rPr>
          <w:rFonts w:ascii="Arial" w:hAnsi="Arial" w:cs="Arial"/>
          <w:i/>
          <w:sz w:val="20"/>
        </w:rPr>
        <w:t>Jonesco v Beard</w:t>
      </w:r>
      <w:r w:rsidRPr="004872EE">
        <w:rPr>
          <w:rFonts w:ascii="Arial" w:hAnsi="Arial" w:cs="Arial"/>
          <w:sz w:val="20"/>
        </w:rPr>
        <w:t xml:space="preserve"> (1930) AC 298, 300; </w:t>
      </w:r>
      <w:r w:rsidRPr="004872EE">
        <w:rPr>
          <w:rFonts w:ascii="Arial" w:hAnsi="Arial" w:cs="Arial"/>
          <w:i/>
          <w:sz w:val="20"/>
        </w:rPr>
        <w:t>Briginshaw v Briginshaw</w:t>
      </w:r>
      <w:r w:rsidRPr="004872EE">
        <w:rPr>
          <w:rFonts w:ascii="Arial" w:hAnsi="Arial" w:cs="Arial"/>
          <w:sz w:val="20"/>
        </w:rPr>
        <w:t xml:space="preserve"> (1938) 60 CLR 336, 362; </w:t>
      </w:r>
      <w:r w:rsidRPr="004872EE">
        <w:rPr>
          <w:rFonts w:ascii="Arial" w:hAnsi="Arial" w:cs="Arial"/>
          <w:i/>
          <w:sz w:val="20"/>
        </w:rPr>
        <w:t>Helton v Allen</w:t>
      </w:r>
      <w:r w:rsidRPr="004872EE">
        <w:rPr>
          <w:rFonts w:ascii="Arial" w:hAnsi="Arial" w:cs="Arial"/>
          <w:sz w:val="20"/>
        </w:rPr>
        <w:t xml:space="preserve"> (1940) 63 CLR 691, 711;  </w:t>
      </w:r>
      <w:r w:rsidRPr="004872EE">
        <w:rPr>
          <w:rFonts w:ascii="Arial" w:hAnsi="Arial" w:cs="Arial"/>
          <w:i/>
          <w:sz w:val="20"/>
        </w:rPr>
        <w:t>Hocking v Bell</w:t>
      </w:r>
      <w:r w:rsidRPr="004872EE">
        <w:rPr>
          <w:rFonts w:ascii="Arial" w:hAnsi="Arial" w:cs="Arial"/>
          <w:sz w:val="20"/>
        </w:rPr>
        <w:t xml:space="preserve"> (1944) 44 SR (NSW) 468, 478 </w:t>
      </w:r>
      <w:r>
        <w:rPr>
          <w:rFonts w:ascii="Arial" w:hAnsi="Arial" w:cs="Arial"/>
          <w:sz w:val="20"/>
        </w:rPr>
        <w:t>{</w:t>
      </w:r>
      <w:r w:rsidRPr="004872EE">
        <w:rPr>
          <w:rFonts w:ascii="Arial" w:hAnsi="Arial" w:cs="Arial"/>
          <w:sz w:val="20"/>
        </w:rPr>
        <w:t>affirmed in (1945) 71 CLR 430, 464, 500</w:t>
      </w:r>
      <w:r>
        <w:rPr>
          <w:rFonts w:ascii="Arial" w:hAnsi="Arial" w:cs="Arial"/>
          <w:sz w:val="20"/>
        </w:rPr>
        <w:t>}</w:t>
      </w:r>
      <w:r w:rsidRPr="004872EE">
        <w:rPr>
          <w:rFonts w:ascii="Arial" w:hAnsi="Arial" w:cs="Arial"/>
          <w:sz w:val="20"/>
        </w:rPr>
        <w:t xml:space="preserve">; </w:t>
      </w:r>
      <w:r w:rsidRPr="004872EE">
        <w:rPr>
          <w:rFonts w:ascii="Arial" w:hAnsi="Arial" w:cs="Arial"/>
          <w:i/>
          <w:sz w:val="20"/>
        </w:rPr>
        <w:t>Wentworth v Rogers</w:t>
      </w:r>
      <w:r w:rsidRPr="004872EE">
        <w:rPr>
          <w:rFonts w:ascii="Arial" w:hAnsi="Arial" w:cs="Arial"/>
          <w:sz w:val="20"/>
        </w:rPr>
        <w:t xml:space="preserve"> </w:t>
      </w:r>
      <w:r w:rsidRPr="004872EE">
        <w:rPr>
          <w:rFonts w:ascii="Arial" w:hAnsi="Arial" w:cs="Arial"/>
          <w:i/>
          <w:sz w:val="20"/>
        </w:rPr>
        <w:t>(No.5)</w:t>
      </w:r>
      <w:r w:rsidRPr="004872EE">
        <w:rPr>
          <w:rFonts w:ascii="Arial" w:hAnsi="Arial" w:cs="Arial"/>
          <w:sz w:val="20"/>
        </w:rPr>
        <w:t xml:space="preserve"> (1986) 6 NSWLR 534, 538</w:t>
      </w:r>
      <w:r>
        <w:rPr>
          <w:rFonts w:ascii="Arial" w:hAnsi="Arial" w:cs="Arial"/>
          <w:sz w:val="20"/>
        </w:rPr>
        <w:t xml:space="preserve">] proof is necessary </w:t>
      </w:r>
      <w:r>
        <w:rPr>
          <w:rFonts w:ascii="Arial" w:hAnsi="Arial" w:cs="Arial"/>
          <w:sz w:val="20"/>
          <w:szCs w:val="20"/>
        </w:rPr>
        <w:t>‘</w:t>
      </w:r>
      <w:r w:rsidRPr="004872EE">
        <w:rPr>
          <w:rFonts w:ascii="Arial" w:hAnsi="Arial" w:cs="Arial"/>
          <w:sz w:val="20"/>
          <w:szCs w:val="20"/>
        </w:rPr>
        <w:t>where so serious a</w:t>
      </w:r>
      <w:r>
        <w:rPr>
          <w:rFonts w:ascii="Arial" w:hAnsi="Arial" w:cs="Arial"/>
          <w:sz w:val="20"/>
          <w:szCs w:val="20"/>
        </w:rPr>
        <w:t xml:space="preserve"> matter as fraud is to be found’ [</w:t>
      </w:r>
      <w:r w:rsidRPr="004872EE">
        <w:rPr>
          <w:rFonts w:ascii="Arial" w:hAnsi="Arial" w:cs="Arial"/>
          <w:i/>
          <w:sz w:val="20"/>
        </w:rPr>
        <w:t>Rejfek v McElroy</w:t>
      </w:r>
      <w:r w:rsidRPr="004872EE">
        <w:rPr>
          <w:rFonts w:ascii="Arial" w:hAnsi="Arial" w:cs="Arial"/>
          <w:sz w:val="20"/>
        </w:rPr>
        <w:t xml:space="preserve"> (1965) 112 CLR 517, 521</w:t>
      </w:r>
      <w:r>
        <w:rPr>
          <w:rFonts w:ascii="Arial" w:hAnsi="Arial" w:cs="Arial"/>
          <w:sz w:val="20"/>
        </w:rPr>
        <w:t>]</w:t>
      </w:r>
      <w:r w:rsidRPr="004872EE">
        <w:rPr>
          <w:rFonts w:ascii="Arial" w:hAnsi="Arial" w:cs="Arial"/>
          <w:sz w:val="20"/>
          <w:szCs w:val="20"/>
        </w:rPr>
        <w:t>.</w:t>
      </w:r>
      <w:r>
        <w:rPr>
          <w:rFonts w:ascii="Arial" w:hAnsi="Arial" w:cs="Arial"/>
          <w:sz w:val="20"/>
          <w:szCs w:val="20"/>
        </w:rPr>
        <w:t xml:space="preserve">  </w:t>
      </w:r>
      <w:r w:rsidRPr="004872EE">
        <w:rPr>
          <w:rFonts w:ascii="Arial" w:hAnsi="Arial" w:cs="Arial"/>
          <w:sz w:val="20"/>
          <w:szCs w:val="20"/>
        </w:rPr>
        <w:t>Statements to that effect should not, however, be understood as directed to the standard of proof.  Rather, they should be understood as merely reflecting a conventional perception that members of our society do not ordinarily engage in fraudulent or criminal conduct</w:t>
      </w:r>
      <w:r w:rsidR="00D613EE">
        <w:rPr>
          <w:rFonts w:ascii="Arial" w:hAnsi="Arial" w:cs="Arial"/>
          <w:sz w:val="20"/>
          <w:szCs w:val="20"/>
        </w:rPr>
        <w:t xml:space="preserve"> [see e.g. </w:t>
      </w:r>
      <w:r w:rsidR="00D613EE" w:rsidRPr="005A494E">
        <w:rPr>
          <w:rFonts w:ascii="Arial" w:hAnsi="Arial" w:cs="Arial"/>
          <w:i/>
          <w:sz w:val="20"/>
          <w:szCs w:val="20"/>
        </w:rPr>
        <w:t>Motchall v Massoud</w:t>
      </w:r>
      <w:r w:rsidR="00D613EE">
        <w:rPr>
          <w:rFonts w:ascii="Arial" w:hAnsi="Arial" w:cs="Arial"/>
          <w:sz w:val="20"/>
          <w:szCs w:val="20"/>
        </w:rPr>
        <w:t xml:space="preserve"> (1926) VLR 273, 276]</w:t>
      </w:r>
      <w:r w:rsidRPr="004872EE">
        <w:rPr>
          <w:rFonts w:ascii="Arial" w:hAnsi="Arial" w:cs="Arial"/>
          <w:sz w:val="20"/>
          <w:szCs w:val="20"/>
        </w:rPr>
        <w:t xml:space="preserve"> and a judicial approach that a court should not lightly make a finding that, on the balance of probabilities, a party to civil litigation has been guilty of such conduct.</w:t>
      </w:r>
      <w:r>
        <w:rPr>
          <w:rFonts w:ascii="Arial" w:hAnsi="Arial" w:cs="Arial"/>
          <w:sz w:val="20"/>
          <w:szCs w:val="20"/>
        </w:rPr>
        <w:t>”</w:t>
      </w:r>
    </w:p>
    <w:p w14:paraId="2711B904" w14:textId="77777777" w:rsidR="004872EE" w:rsidRDefault="004872EE">
      <w:pPr>
        <w:jc w:val="both"/>
        <w:rPr>
          <w:rFonts w:ascii="Arial" w:hAnsi="Arial" w:cs="Arial"/>
          <w:sz w:val="20"/>
        </w:rPr>
      </w:pPr>
    </w:p>
    <w:p w14:paraId="6DF389DE" w14:textId="77777777" w:rsidR="00221FA6" w:rsidRDefault="008B696F">
      <w:pPr>
        <w:jc w:val="both"/>
        <w:rPr>
          <w:rFonts w:ascii="Arial" w:hAnsi="Arial" w:cs="Arial"/>
          <w:sz w:val="20"/>
        </w:rPr>
      </w:pPr>
      <w:r>
        <w:rPr>
          <w:rFonts w:ascii="Arial" w:hAnsi="Arial" w:cs="Arial"/>
          <w:sz w:val="20"/>
        </w:rPr>
        <w:t xml:space="preserve">There is nothing in </w:t>
      </w:r>
      <w:r w:rsidR="003D6315">
        <w:rPr>
          <w:rFonts w:ascii="Arial" w:hAnsi="Arial" w:cs="Arial"/>
          <w:sz w:val="20"/>
        </w:rPr>
        <w:t>Part 4.1</w:t>
      </w:r>
      <w:r>
        <w:rPr>
          <w:rFonts w:ascii="Arial" w:hAnsi="Arial" w:cs="Arial"/>
          <w:sz w:val="20"/>
        </w:rPr>
        <w:t xml:space="preserve"> of the </w:t>
      </w:r>
      <w:r w:rsidRPr="006421A8">
        <w:rPr>
          <w:rFonts w:ascii="Arial" w:hAnsi="Arial" w:cs="Arial"/>
          <w:sz w:val="20"/>
          <w:u w:val="single"/>
        </w:rPr>
        <w:t>Evidence Act 2008 (Vic)</w:t>
      </w:r>
      <w:r>
        <w:rPr>
          <w:rFonts w:ascii="Arial" w:hAnsi="Arial" w:cs="Arial"/>
          <w:sz w:val="20"/>
        </w:rPr>
        <w:t xml:space="preserve"> which leads to a different view.  Section 140(1) </w:t>
      </w:r>
      <w:r w:rsidR="00FD6029">
        <w:rPr>
          <w:rFonts w:ascii="Arial" w:hAnsi="Arial" w:cs="Arial"/>
          <w:sz w:val="20"/>
        </w:rPr>
        <w:t xml:space="preserve">unambiguously </w:t>
      </w:r>
      <w:r>
        <w:rPr>
          <w:rFonts w:ascii="Arial" w:hAnsi="Arial" w:cs="Arial"/>
          <w:sz w:val="20"/>
        </w:rPr>
        <w:t xml:space="preserve">defines the standard of proof in civil proceedings as “the balance of probabilities”.  Section 140(2) might be seen as reflecting the </w:t>
      </w:r>
      <w:r w:rsidRPr="008B696F">
        <w:rPr>
          <w:rFonts w:ascii="Arial" w:hAnsi="Arial" w:cs="Arial"/>
          <w:i/>
          <w:sz w:val="20"/>
        </w:rPr>
        <w:t>Briginshaw</w:t>
      </w:r>
      <w:r>
        <w:rPr>
          <w:rFonts w:ascii="Arial" w:hAnsi="Arial" w:cs="Arial"/>
          <w:sz w:val="20"/>
        </w:rPr>
        <w:t xml:space="preserve"> dicta but it does not alter the standard defined in s.140(1).  </w:t>
      </w:r>
      <w:r w:rsidR="00221FA6">
        <w:rPr>
          <w:rFonts w:ascii="Arial" w:hAnsi="Arial" w:cs="Arial"/>
          <w:sz w:val="20"/>
        </w:rPr>
        <w:t xml:space="preserve">It follows that the </w:t>
      </w:r>
      <w:r w:rsidR="00221FA6" w:rsidRPr="00221FA6">
        <w:rPr>
          <w:rFonts w:ascii="Arial" w:hAnsi="Arial" w:cs="Arial"/>
          <w:i/>
          <w:sz w:val="20"/>
        </w:rPr>
        <w:t>Briginshaw</w:t>
      </w:r>
      <w:r w:rsidR="00221FA6">
        <w:rPr>
          <w:rFonts w:ascii="Arial" w:hAnsi="Arial" w:cs="Arial"/>
          <w:sz w:val="20"/>
        </w:rPr>
        <w:t xml:space="preserve"> </w:t>
      </w:r>
      <w:r>
        <w:rPr>
          <w:rFonts w:ascii="Arial" w:hAnsi="Arial" w:cs="Arial"/>
          <w:sz w:val="20"/>
        </w:rPr>
        <w:t>dicta</w:t>
      </w:r>
      <w:r w:rsidR="00221FA6">
        <w:rPr>
          <w:rFonts w:ascii="Arial" w:hAnsi="Arial" w:cs="Arial"/>
          <w:sz w:val="20"/>
        </w:rPr>
        <w:t xml:space="preserve"> </w:t>
      </w:r>
      <w:r w:rsidR="001604BA">
        <w:rPr>
          <w:rFonts w:ascii="Arial" w:hAnsi="Arial" w:cs="Arial"/>
          <w:sz w:val="20"/>
        </w:rPr>
        <w:t>does not give rise to a third standard of proof.  It</w:t>
      </w:r>
      <w:r w:rsidR="0067232D">
        <w:rPr>
          <w:rFonts w:ascii="Arial" w:hAnsi="Arial" w:cs="Arial"/>
          <w:sz w:val="20"/>
        </w:rPr>
        <w:t> </w:t>
      </w:r>
      <w:r w:rsidR="001604BA">
        <w:rPr>
          <w:rFonts w:ascii="Arial" w:hAnsi="Arial" w:cs="Arial"/>
          <w:sz w:val="20"/>
        </w:rPr>
        <w:t xml:space="preserve">simply stands for the proposition that where a civil case involves allegations of criminal conduct, fraud or moral wrongdoing which may lead to grave consequences for the impugned party, the judicial approach should be a closer scrutiny of the evidence.  McHugh J put it pithily in an exchange with the NSW Solicitor-General during argument in </w:t>
      </w:r>
      <w:r w:rsidR="001604BA" w:rsidRPr="001604BA">
        <w:rPr>
          <w:rFonts w:ascii="Arial" w:hAnsi="Arial" w:cs="Arial"/>
          <w:i/>
          <w:sz w:val="20"/>
        </w:rPr>
        <w:t>Witham v Holloway</w:t>
      </w:r>
      <w:r w:rsidR="001604BA">
        <w:rPr>
          <w:rFonts w:ascii="Arial" w:hAnsi="Arial" w:cs="Arial"/>
          <w:sz w:val="20"/>
        </w:rPr>
        <w:t xml:space="preserve"> (1995) 183 CLR </w:t>
      </w:r>
      <w:r w:rsidR="00C32207">
        <w:rPr>
          <w:rFonts w:ascii="Arial" w:hAnsi="Arial" w:cs="Arial"/>
          <w:sz w:val="20"/>
        </w:rPr>
        <w:t xml:space="preserve">525 [Transcript of proceedings </w:t>
      </w:r>
      <w:smartTag w:uri="urn:schemas-microsoft-com:office:smarttags" w:element="date">
        <w:smartTagPr>
          <w:attr w:name="Year" w:val="1995"/>
          <w:attr w:name="Day" w:val="10"/>
          <w:attr w:name="Month" w:val="2"/>
        </w:smartTagPr>
        <w:r w:rsidR="00C32207">
          <w:rPr>
            <w:rFonts w:ascii="Arial" w:hAnsi="Arial" w:cs="Arial"/>
            <w:sz w:val="20"/>
          </w:rPr>
          <w:t>10/02/1995</w:t>
        </w:r>
      </w:smartTag>
      <w:r w:rsidR="00C32207">
        <w:rPr>
          <w:rFonts w:ascii="Arial" w:hAnsi="Arial" w:cs="Arial"/>
          <w:sz w:val="20"/>
        </w:rPr>
        <w:t>]:</w:t>
      </w:r>
    </w:p>
    <w:p w14:paraId="32FD0B6D" w14:textId="77777777" w:rsidR="001604BA" w:rsidRDefault="001604BA" w:rsidP="008A1184">
      <w:pPr>
        <w:spacing w:before="60"/>
        <w:ind w:left="567" w:right="567"/>
        <w:jc w:val="both"/>
        <w:rPr>
          <w:rFonts w:ascii="Arial" w:hAnsi="Arial" w:cs="Arial"/>
          <w:bCs/>
          <w:sz w:val="20"/>
        </w:rPr>
      </w:pPr>
      <w:r>
        <w:rPr>
          <w:rFonts w:ascii="Arial" w:hAnsi="Arial" w:cs="Arial"/>
          <w:bCs/>
          <w:sz w:val="20"/>
        </w:rPr>
        <w:t xml:space="preserve">“There are only two standards of proof: balance of probabilities and proof beyond reasonable doubt.  I know </w:t>
      </w:r>
      <w:r w:rsidRPr="001604BA">
        <w:rPr>
          <w:rFonts w:ascii="Arial" w:hAnsi="Arial" w:cs="Arial"/>
          <w:bCs/>
          <w:i/>
          <w:sz w:val="20"/>
        </w:rPr>
        <w:t>Briginshaw</w:t>
      </w:r>
      <w:r>
        <w:rPr>
          <w:rFonts w:ascii="Arial" w:hAnsi="Arial" w:cs="Arial"/>
          <w:bCs/>
          <w:sz w:val="20"/>
        </w:rPr>
        <w:t xml:space="preserve"> is cited like it was some sort of ritual incantation</w:t>
      </w:r>
      <w:r w:rsidR="00C32207">
        <w:rPr>
          <w:rFonts w:ascii="Arial" w:hAnsi="Arial" w:cs="Arial"/>
          <w:bCs/>
          <w:sz w:val="20"/>
        </w:rPr>
        <w:t xml:space="preserve">.  It has never impressed me too much.  I mean, </w:t>
      </w:r>
      <w:r>
        <w:rPr>
          <w:rFonts w:ascii="Arial" w:hAnsi="Arial" w:cs="Arial"/>
          <w:bCs/>
          <w:sz w:val="20"/>
        </w:rPr>
        <w:t>it really means no more than ‘Oh, we had better look at this a bit more closely than we might otherwise’, but it is still a balance of probabilities in the end.”</w:t>
      </w:r>
    </w:p>
    <w:p w14:paraId="30AC1F27" w14:textId="77777777" w:rsidR="006421A8" w:rsidRPr="00BE78BC" w:rsidRDefault="006421A8" w:rsidP="00BE78BC">
      <w:pPr>
        <w:jc w:val="both"/>
        <w:rPr>
          <w:rFonts w:ascii="Arial" w:hAnsi="Arial" w:cs="Arial"/>
          <w:sz w:val="20"/>
        </w:rPr>
      </w:pPr>
    </w:p>
    <w:p w14:paraId="5633EABE" w14:textId="77777777" w:rsidR="00BE78BC" w:rsidRPr="001C5268" w:rsidRDefault="00BE78BC" w:rsidP="00BE78BC">
      <w:pPr>
        <w:jc w:val="both"/>
        <w:rPr>
          <w:rFonts w:ascii="Arial" w:hAnsi="Arial" w:cs="Arial"/>
          <w:color w:val="000000"/>
          <w:sz w:val="20"/>
        </w:rPr>
      </w:pPr>
      <w:r>
        <w:rPr>
          <w:rFonts w:ascii="Arial" w:hAnsi="Arial" w:cs="Arial"/>
          <w:color w:val="000000"/>
          <w:sz w:val="20"/>
        </w:rPr>
        <w:t>I</w:t>
      </w:r>
      <w:r w:rsidRPr="001C5268">
        <w:rPr>
          <w:rFonts w:ascii="Arial" w:hAnsi="Arial" w:cs="Arial"/>
          <w:color w:val="000000"/>
          <w:sz w:val="20"/>
        </w:rPr>
        <w:t xml:space="preserve">n </w:t>
      </w:r>
      <w:r w:rsidRPr="00BE78BC">
        <w:rPr>
          <w:rFonts w:ascii="Arial" w:hAnsi="Arial" w:cs="Arial"/>
          <w:i/>
          <w:color w:val="000000"/>
          <w:sz w:val="20"/>
        </w:rPr>
        <w:t>Douglass v The Queen</w:t>
      </w:r>
      <w:r w:rsidRPr="001C5268">
        <w:rPr>
          <w:rFonts w:ascii="Arial" w:hAnsi="Arial" w:cs="Arial"/>
          <w:color w:val="000000"/>
          <w:sz w:val="20"/>
        </w:rPr>
        <w:t xml:space="preserve"> [2012] HCA 34 </w:t>
      </w:r>
      <w:r>
        <w:rPr>
          <w:rFonts w:ascii="Arial" w:hAnsi="Arial" w:cs="Arial"/>
          <w:color w:val="000000"/>
          <w:sz w:val="20"/>
        </w:rPr>
        <w:t>t</w:t>
      </w:r>
      <w:r w:rsidRPr="001C5268">
        <w:rPr>
          <w:rFonts w:ascii="Arial" w:hAnsi="Arial" w:cs="Arial"/>
          <w:color w:val="000000"/>
          <w:sz w:val="20"/>
        </w:rPr>
        <w:t>he High Court of Australia highlighted the great difference between making a finding on the balance of probabilities and making a finding beyond reasonable doubt.  In that case</w:t>
      </w:r>
      <w:r>
        <w:rPr>
          <w:rFonts w:ascii="Arial" w:hAnsi="Arial" w:cs="Arial"/>
          <w:color w:val="000000"/>
          <w:sz w:val="20"/>
        </w:rPr>
        <w:t>,</w:t>
      </w:r>
      <w:r w:rsidRPr="001C5268">
        <w:rPr>
          <w:rFonts w:ascii="Arial" w:hAnsi="Arial" w:cs="Arial"/>
          <w:color w:val="000000"/>
          <w:sz w:val="20"/>
        </w:rPr>
        <w:t xml:space="preserve"> the accused was convicted of the aggravated indecent assault of his 3 year old granddaughter CD.  The only evidence of the offence came from CD and was to the effect that her grandfather had persuaded her to hold his penis while he was urinating on an occasion when the two were alone in a shed.  She had given inconsistent accounts as to the shed in which she said the offence occurred.  The accused gave evidence of his contact with CD on the day of the alleged offence.  He denied that they had been inside a shed or that she had touched his penis.  The trial was before a judge alone.  He found the offence proved and sentenced the accused to 3 years’ imprisonment with a non-parole period of 18 months.  The Court of Criminal Appeal of South Australia dismissed the accused’s appeal against his conviction.  The High Court allowed the appeal, quashed the conviction and sentence and ordered a verdict of acquittal.  At [48] of their joint judgment French CJ, Hayne, Crennan, Kiefel &amp; Bell JJ said:</w:t>
      </w:r>
    </w:p>
    <w:p w14:paraId="20C1511E" w14:textId="77777777" w:rsidR="00BE78BC" w:rsidRPr="001C5268" w:rsidRDefault="00BE78BC" w:rsidP="00D75C1B">
      <w:pPr>
        <w:spacing w:before="60"/>
        <w:ind w:left="567" w:right="567"/>
        <w:jc w:val="both"/>
        <w:rPr>
          <w:rFonts w:ascii="Arial" w:hAnsi="Arial" w:cs="Arial"/>
          <w:color w:val="000000"/>
          <w:sz w:val="20"/>
        </w:rPr>
      </w:pPr>
      <w:r w:rsidRPr="001C5268">
        <w:rPr>
          <w:rFonts w:ascii="Arial" w:hAnsi="Arial" w:cs="Arial"/>
          <w:color w:val="000000"/>
          <w:sz w:val="20"/>
        </w:rPr>
        <w:t>“</w:t>
      </w:r>
      <w:r w:rsidRPr="001C5268">
        <w:rPr>
          <w:rFonts w:ascii="Arial" w:hAnsi="Arial" w:cs="Arial"/>
          <w:color w:val="000000"/>
          <w:sz w:val="20"/>
          <w:szCs w:val="20"/>
        </w:rPr>
        <w:t xml:space="preserve">The criminal standard of proof is a designedly exacting standard.  A different, lesser, standard is applied by courts dealing with contested issues involving the care and protection of children.  The civil standard of proof on the balance of probabilities applies to proceedings under Pt VII Div 13A of the </w:t>
      </w:r>
      <w:r w:rsidRPr="001C5268">
        <w:rPr>
          <w:rFonts w:ascii="Arial" w:hAnsi="Arial" w:cs="Arial"/>
          <w:i/>
          <w:color w:val="000000"/>
          <w:sz w:val="20"/>
          <w:szCs w:val="20"/>
        </w:rPr>
        <w:t xml:space="preserve">Family Law Act </w:t>
      </w:r>
      <w:r w:rsidRPr="001C5268">
        <w:rPr>
          <w:rFonts w:ascii="Arial" w:hAnsi="Arial" w:cs="Arial"/>
          <w:color w:val="000000"/>
          <w:sz w:val="20"/>
          <w:szCs w:val="20"/>
        </w:rPr>
        <w:t xml:space="preserve">1975 (Cth) [and the] </w:t>
      </w:r>
      <w:r w:rsidRPr="001C5268">
        <w:rPr>
          <w:rFonts w:ascii="Arial" w:hAnsi="Arial" w:cs="Arial"/>
          <w:i/>
          <w:iCs/>
          <w:color w:val="000000"/>
          <w:sz w:val="20"/>
          <w:szCs w:val="20"/>
        </w:rPr>
        <w:t xml:space="preserve">Children, Youth and Families Act </w:t>
      </w:r>
      <w:r>
        <w:rPr>
          <w:rFonts w:ascii="Arial" w:hAnsi="Arial" w:cs="Arial"/>
          <w:color w:val="000000"/>
          <w:sz w:val="20"/>
          <w:szCs w:val="20"/>
        </w:rPr>
        <w:t>2005 (Vic), ss.</w:t>
      </w:r>
      <w:r w:rsidRPr="001C5268">
        <w:rPr>
          <w:rFonts w:ascii="Arial" w:hAnsi="Arial" w:cs="Arial"/>
          <w:color w:val="000000"/>
          <w:sz w:val="20"/>
          <w:szCs w:val="20"/>
        </w:rPr>
        <w:t xml:space="preserve">215, 551….  And see discussion in </w:t>
      </w:r>
      <w:r w:rsidRPr="001C5268">
        <w:rPr>
          <w:rFonts w:ascii="Arial" w:hAnsi="Arial" w:cs="Arial"/>
          <w:i/>
          <w:color w:val="000000"/>
          <w:sz w:val="20"/>
          <w:szCs w:val="20"/>
        </w:rPr>
        <w:t xml:space="preserve">M v M </w:t>
      </w:r>
      <w:r w:rsidRPr="001C5268">
        <w:rPr>
          <w:rFonts w:ascii="Arial" w:hAnsi="Arial" w:cs="Arial"/>
          <w:color w:val="000000"/>
          <w:sz w:val="20"/>
          <w:szCs w:val="20"/>
        </w:rPr>
        <w:t xml:space="preserve">(1988) 166 CLR 69 at 77; [1988] HCA 68; </w:t>
      </w:r>
      <w:r w:rsidRPr="001C5268">
        <w:rPr>
          <w:rFonts w:ascii="Arial" w:hAnsi="Arial" w:cs="Arial"/>
          <w:i/>
          <w:color w:val="000000"/>
          <w:sz w:val="20"/>
          <w:szCs w:val="20"/>
        </w:rPr>
        <w:t>Re W (Sex Abuse: Standard of Proof)</w:t>
      </w:r>
      <w:r w:rsidRPr="001C5268">
        <w:rPr>
          <w:rFonts w:ascii="Arial" w:hAnsi="Arial" w:cs="Arial"/>
          <w:color w:val="000000"/>
          <w:sz w:val="20"/>
          <w:szCs w:val="20"/>
        </w:rPr>
        <w:t xml:space="preserve"> (2004) FLC ¶93-192.  This was not such a proceeding.  </w:t>
      </w:r>
      <w:r w:rsidRPr="001C5268">
        <w:rPr>
          <w:rFonts w:ascii="Arial" w:hAnsi="Arial" w:cs="Arial"/>
          <w:color w:val="000000"/>
          <w:sz w:val="20"/>
          <w:szCs w:val="20"/>
        </w:rPr>
        <w:lastRenderedPageBreak/>
        <w:t xml:space="preserve">In the circumstances of this trial, it was an error for the Court of Criminal Appeal to hold that it had been open to the trial judge to be satisfied of the </w:t>
      </w:r>
      <w:r w:rsidRPr="001C5268">
        <w:rPr>
          <w:rFonts w:ascii="Arial" w:hAnsi="Arial" w:cs="Arial"/>
          <w:i/>
          <w:color w:val="000000"/>
          <w:sz w:val="20"/>
          <w:szCs w:val="20"/>
        </w:rPr>
        <w:t>reliability</w:t>
      </w:r>
      <w:r w:rsidRPr="001C5268">
        <w:rPr>
          <w:rFonts w:ascii="Arial" w:hAnsi="Arial" w:cs="Arial"/>
          <w:color w:val="000000"/>
          <w:sz w:val="20"/>
          <w:szCs w:val="20"/>
        </w:rPr>
        <w:t xml:space="preserve"> of CD's statements in the interview and to reason from that, despite the appellant's denials, to a conclusion that his guilt had been proved beyond reasonable doubt.</w:t>
      </w:r>
      <w:r w:rsidRPr="001C5268">
        <w:rPr>
          <w:rFonts w:ascii="Arial" w:hAnsi="Arial" w:cs="Arial"/>
          <w:color w:val="000000"/>
          <w:sz w:val="20"/>
        </w:rPr>
        <w:t>”</w:t>
      </w:r>
    </w:p>
    <w:p w14:paraId="3351BA6D" w14:textId="77777777" w:rsidR="00BE78BC" w:rsidRDefault="00BE78BC">
      <w:pPr>
        <w:jc w:val="both"/>
        <w:rPr>
          <w:rFonts w:ascii="Arial" w:hAnsi="Arial" w:cs="Arial"/>
          <w:sz w:val="20"/>
        </w:rPr>
      </w:pPr>
    </w:p>
    <w:p w14:paraId="6169A8DC"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Re W (Sex Abuse: Standard of Proof)</w:t>
      </w:r>
      <w:r>
        <w:rPr>
          <w:rFonts w:ascii="Arial" w:hAnsi="Arial" w:cs="Arial"/>
          <w:sz w:val="20"/>
        </w:rPr>
        <w:t xml:space="preserve"> [2004] FamCA 768 a Full Court of the Family Court of Australia, comprising Kay, Holden &amp; O'Ryan JJ, set out in detail some principles applicable to sex</w:t>
      </w:r>
      <w:r w:rsidR="005A494E">
        <w:rPr>
          <w:rFonts w:ascii="Arial" w:hAnsi="Arial" w:cs="Arial"/>
          <w:sz w:val="20"/>
        </w:rPr>
        <w:t>ual</w:t>
      </w:r>
      <w:r>
        <w:rPr>
          <w:rFonts w:ascii="Arial" w:hAnsi="Arial" w:cs="Arial"/>
          <w:sz w:val="20"/>
        </w:rPr>
        <w:t xml:space="preserve"> abuse allegations</w:t>
      </w:r>
      <w:r w:rsidR="00BE78BC">
        <w:rPr>
          <w:rFonts w:ascii="Arial" w:hAnsi="Arial" w:cs="Arial"/>
          <w:sz w:val="20"/>
        </w:rPr>
        <w:t xml:space="preserve"> in civil proceedings</w:t>
      </w:r>
      <w:r w:rsidR="004952D3">
        <w:rPr>
          <w:rFonts w:ascii="Arial" w:hAnsi="Arial" w:cs="Arial"/>
          <w:sz w:val="20"/>
        </w:rPr>
        <w:t xml:space="preserve">.  </w:t>
      </w:r>
      <w:r>
        <w:rPr>
          <w:rFonts w:ascii="Arial" w:hAnsi="Arial" w:cs="Arial"/>
          <w:sz w:val="20"/>
        </w:rPr>
        <w:t xml:space="preserve">At [13]-[16] the </w:t>
      </w:r>
      <w:smartTag w:uri="urn:schemas-microsoft-com:office:smarttags" w:element="address">
        <w:smartTag w:uri="urn:schemas-microsoft-com:office:smarttags" w:element="Street">
          <w:r>
            <w:rPr>
              <w:rFonts w:ascii="Arial" w:hAnsi="Arial" w:cs="Arial"/>
              <w:sz w:val="20"/>
            </w:rPr>
            <w:t>Full Court</w:t>
          </w:r>
        </w:smartTag>
      </w:smartTag>
      <w:r>
        <w:rPr>
          <w:rFonts w:ascii="Arial" w:hAnsi="Arial" w:cs="Arial"/>
          <w:sz w:val="20"/>
        </w:rPr>
        <w:t xml:space="preserve"> said:</w:t>
      </w:r>
    </w:p>
    <w:p w14:paraId="2D7FE1C8" w14:textId="77777777" w:rsidR="00693223" w:rsidRDefault="00693223" w:rsidP="008A1184">
      <w:pPr>
        <w:spacing w:before="60"/>
        <w:ind w:left="567" w:right="567"/>
        <w:jc w:val="both"/>
        <w:rPr>
          <w:rFonts w:ascii="Arial" w:hAnsi="Arial" w:cs="Arial"/>
          <w:bCs/>
          <w:sz w:val="20"/>
        </w:rPr>
      </w:pPr>
      <w:r>
        <w:rPr>
          <w:rFonts w:ascii="Arial" w:hAnsi="Arial" w:cs="Arial"/>
          <w:bCs/>
          <w:sz w:val="20"/>
        </w:rPr>
        <w:t>"[13]  [W]e believe it helpful to now briefly examine the principles applicable in cases involving difficult questions of sexual abuse where the only witnesses to the alleged abuse are the alleged perpetrator and the alleged victim.  This is particularly difficult where the victim is of tender years and does not give any direct testimony that can be the subject of forensic testing.</w:t>
      </w:r>
    </w:p>
    <w:p w14:paraId="1E0571AD" w14:textId="77777777" w:rsidR="00693223" w:rsidRDefault="00693223" w:rsidP="008A1184">
      <w:pPr>
        <w:spacing w:before="120"/>
        <w:ind w:left="567" w:right="567"/>
        <w:jc w:val="both"/>
        <w:rPr>
          <w:rFonts w:ascii="Arial" w:hAnsi="Arial" w:cs="Arial"/>
          <w:bCs/>
          <w:sz w:val="20"/>
        </w:rPr>
      </w:pPr>
      <w:r>
        <w:rPr>
          <w:rFonts w:ascii="Arial" w:hAnsi="Arial" w:cs="Arial"/>
          <w:bCs/>
          <w:sz w:val="20"/>
        </w:rPr>
        <w:t xml:space="preserve">[14]  In </w:t>
      </w:r>
      <w:r>
        <w:rPr>
          <w:rFonts w:ascii="Arial" w:hAnsi="Arial" w:cs="Arial"/>
          <w:bCs/>
          <w:i/>
          <w:iCs/>
          <w:sz w:val="20"/>
        </w:rPr>
        <w:t>M and M</w:t>
      </w:r>
      <w:r>
        <w:rPr>
          <w:rFonts w:ascii="Arial" w:hAnsi="Arial" w:cs="Arial"/>
          <w:bCs/>
          <w:sz w:val="20"/>
        </w:rPr>
        <w:t xml:space="preserve"> (1988) FLC 91-979; (1988) 12 Fam LR 606; </w:t>
      </w:r>
      <w:r>
        <w:rPr>
          <w:rFonts w:ascii="Arial" w:hAnsi="Arial" w:cs="Arial"/>
          <w:sz w:val="20"/>
        </w:rPr>
        <w:t xml:space="preserve">(1988) 166 CLR 69 </w:t>
      </w:r>
      <w:r>
        <w:rPr>
          <w:rFonts w:ascii="Arial" w:hAnsi="Arial" w:cs="Arial"/>
          <w:bCs/>
          <w:sz w:val="20"/>
        </w:rPr>
        <w:t xml:space="preserve">and </w:t>
      </w:r>
      <w:r>
        <w:rPr>
          <w:rFonts w:ascii="Arial" w:hAnsi="Arial" w:cs="Arial"/>
          <w:bCs/>
          <w:i/>
          <w:iCs/>
          <w:sz w:val="20"/>
        </w:rPr>
        <w:t>B and B</w:t>
      </w:r>
      <w:r>
        <w:rPr>
          <w:rFonts w:ascii="Arial" w:hAnsi="Arial" w:cs="Arial"/>
          <w:bCs/>
          <w:sz w:val="20"/>
        </w:rPr>
        <w:t xml:space="preserve"> (1988) </w:t>
      </w:r>
      <w:r w:rsidR="009E68B6">
        <w:rPr>
          <w:rFonts w:ascii="Arial" w:hAnsi="Arial" w:cs="Arial"/>
          <w:bCs/>
          <w:sz w:val="20"/>
        </w:rPr>
        <w:t>FLC 91-978; (1988) 12 Fam LR 61</w:t>
      </w:r>
      <w:r>
        <w:rPr>
          <w:rFonts w:ascii="Arial" w:hAnsi="Arial" w:cs="Arial"/>
          <w:sz w:val="20"/>
        </w:rPr>
        <w:t xml:space="preserve"> </w:t>
      </w:r>
      <w:r>
        <w:rPr>
          <w:rFonts w:ascii="Arial" w:hAnsi="Arial" w:cs="Arial"/>
          <w:bCs/>
          <w:sz w:val="20"/>
        </w:rPr>
        <w:t>the High Court considered the circumstances in which a trial judge should make a finding of sexual abuse when considering children's issues under Part VII of the Family Law Act.  The Court at FLC p.77,080-1, Fam LR p.610-1 said (citations omitted):</w:t>
      </w:r>
    </w:p>
    <w:p w14:paraId="51E6C048"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'But it is a mistake to think that the Family Court is under the same duty to resolve in a definitive way the disputed allegation of sexual abuse as a court exercising criminal jurisdiction would be if it were trying the party for the criminal offence.   Proceedings for custody or </w:t>
      </w:r>
      <w:r w:rsidR="007C5527" w:rsidRPr="007C5527">
        <w:rPr>
          <w:rFonts w:ascii="Arial" w:hAnsi="Arial" w:cs="Arial"/>
          <w:bCs/>
          <w:color w:val="000000"/>
          <w:sz w:val="20"/>
        </w:rPr>
        <w:t>access</w:t>
      </w:r>
      <w:r>
        <w:rPr>
          <w:rFonts w:ascii="Arial" w:hAnsi="Arial" w:cs="Arial"/>
          <w:bCs/>
          <w:sz w:val="20"/>
        </w:rPr>
        <w:t xml:space="preserve"> are not disputes </w:t>
      </w:r>
      <w:r>
        <w:rPr>
          <w:rFonts w:ascii="Arial" w:hAnsi="Arial" w:cs="Arial"/>
          <w:bCs/>
          <w:i/>
          <w:iCs/>
          <w:sz w:val="20"/>
        </w:rPr>
        <w:t>inter partes</w:t>
      </w:r>
      <w:r>
        <w:rPr>
          <w:rFonts w:ascii="Arial" w:hAnsi="Arial" w:cs="Arial"/>
          <w:bCs/>
          <w:sz w:val="20"/>
        </w:rPr>
        <w:t xml:space="preserve"> in the ordinary sense of that expression: </w:t>
      </w:r>
      <w:r>
        <w:rPr>
          <w:rFonts w:ascii="Arial" w:hAnsi="Arial" w:cs="Arial"/>
          <w:bCs/>
          <w:i/>
          <w:iCs/>
          <w:sz w:val="20"/>
        </w:rPr>
        <w:t>Reynolds v Reynolds</w:t>
      </w:r>
      <w:r>
        <w:rPr>
          <w:rFonts w:ascii="Arial" w:hAnsi="Arial" w:cs="Arial"/>
          <w:bCs/>
          <w:sz w:val="20"/>
        </w:rPr>
        <w:t xml:space="preserve">; </w:t>
      </w:r>
      <w:r>
        <w:rPr>
          <w:rFonts w:ascii="Arial" w:hAnsi="Arial" w:cs="Arial"/>
          <w:bCs/>
          <w:i/>
          <w:iCs/>
          <w:sz w:val="20"/>
        </w:rPr>
        <w:t>Mc Kee v McKee</w:t>
      </w:r>
      <w:r>
        <w:rPr>
          <w:rFonts w:ascii="Arial" w:hAnsi="Arial" w:cs="Arial"/>
          <w:bCs/>
          <w:sz w:val="20"/>
        </w:rPr>
        <w:t xml:space="preserve">.  In proceedings of that kind the court is not enforcing a parental right of custody or right to </w:t>
      </w:r>
      <w:r w:rsidR="007C5527" w:rsidRPr="007C5527">
        <w:rPr>
          <w:rFonts w:ascii="Arial" w:hAnsi="Arial" w:cs="Arial"/>
          <w:bCs/>
          <w:color w:val="000000"/>
          <w:sz w:val="20"/>
        </w:rPr>
        <w:t>access</w:t>
      </w:r>
      <w:r>
        <w:rPr>
          <w:rFonts w:ascii="Arial" w:hAnsi="Arial" w:cs="Arial"/>
          <w:bCs/>
          <w:sz w:val="20"/>
        </w:rPr>
        <w:t xml:space="preserve">.  The court is concerned to make such an order for custody or </w:t>
      </w:r>
      <w:r w:rsidR="007C5527" w:rsidRPr="007C5527">
        <w:rPr>
          <w:rFonts w:ascii="Arial" w:hAnsi="Arial" w:cs="Arial"/>
          <w:bCs/>
          <w:color w:val="000000"/>
          <w:sz w:val="20"/>
        </w:rPr>
        <w:t>access</w:t>
      </w:r>
      <w:r>
        <w:rPr>
          <w:rFonts w:ascii="Arial" w:hAnsi="Arial" w:cs="Arial"/>
          <w:bCs/>
          <w:sz w:val="20"/>
        </w:rPr>
        <w:t xml:space="preserve"> which will in the opinion of the court best promote and protect the best interests of the child.  In deciding what order it should make the court will give very great weight to the importance of maintaining parental ties, not so much because parents have a right to custody or </w:t>
      </w:r>
      <w:r w:rsidR="007C5527" w:rsidRPr="007C5527">
        <w:rPr>
          <w:rFonts w:ascii="Arial" w:hAnsi="Arial" w:cs="Arial"/>
          <w:bCs/>
          <w:color w:val="000000"/>
          <w:sz w:val="20"/>
        </w:rPr>
        <w:t>access</w:t>
      </w:r>
      <w:r>
        <w:rPr>
          <w:rFonts w:ascii="Arial" w:hAnsi="Arial" w:cs="Arial"/>
          <w:bCs/>
          <w:sz w:val="20"/>
        </w:rPr>
        <w:t xml:space="preserve">, but because it is </w:t>
      </w:r>
      <w:r>
        <w:rPr>
          <w:rFonts w:ascii="Arial" w:hAnsi="Arial" w:cs="Arial"/>
          <w:bCs/>
          <w:i/>
          <w:iCs/>
          <w:sz w:val="20"/>
        </w:rPr>
        <w:t>prima facie</w:t>
      </w:r>
      <w:r>
        <w:rPr>
          <w:rFonts w:ascii="Arial" w:hAnsi="Arial" w:cs="Arial"/>
          <w:bCs/>
          <w:sz w:val="20"/>
        </w:rPr>
        <w:t xml:space="preserve"> in a child's interests to maintain the filial relationship with both parents: cf. </w:t>
      </w:r>
      <w:r>
        <w:rPr>
          <w:rFonts w:ascii="Arial" w:hAnsi="Arial" w:cs="Arial"/>
          <w:bCs/>
          <w:i/>
          <w:iCs/>
          <w:sz w:val="20"/>
        </w:rPr>
        <w:t>J v Lieschke</w:t>
      </w:r>
      <w:r>
        <w:rPr>
          <w:rFonts w:ascii="Arial" w:hAnsi="Arial" w:cs="Arial"/>
          <w:bCs/>
          <w:sz w:val="20"/>
        </w:rPr>
        <w:t>.</w:t>
      </w:r>
    </w:p>
    <w:p w14:paraId="1C6B5A1B"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Viewed in this setting, the resolution of an allegation of sexual abuse against a parent is subservient and ancillary to the court's determination of what is in the best interests of the child.  The Family Court's consideration of the paramount issue which it is enjoined to decide cannot be diverted by the supposed need to arrive at a definitive conclusion on the allegation of sexual abuse.  The Family Court's wide ranging-discretion to decide what is in the child's best interests cannot be qualified by requiring the court to try the case as if it were no more than a contest between the parents to be decided solely by reference to the acceptance or rejection of the allegation of sexual abuse on the balance of probabilities. </w:t>
      </w:r>
    </w:p>
    <w:p w14:paraId="5D6C9061"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In considering an allegation of sexual abuse, the court should not make a positive finding that the allegation is true unless the court is so satisfied according to the civil standard of proof, with due regard to the factors mentioned in </w:t>
      </w:r>
      <w:r>
        <w:rPr>
          <w:rFonts w:ascii="Arial" w:hAnsi="Arial" w:cs="Arial"/>
          <w:bCs/>
          <w:i/>
          <w:iCs/>
          <w:sz w:val="20"/>
        </w:rPr>
        <w:t>Briginshaw v Briginshaw.</w:t>
      </w:r>
      <w:r>
        <w:rPr>
          <w:rFonts w:ascii="Arial" w:hAnsi="Arial" w:cs="Arial"/>
          <w:bCs/>
          <w:sz w:val="20"/>
        </w:rPr>
        <w:t xml:space="preserve">  There Dixon J said: </w:t>
      </w:r>
    </w:p>
    <w:p w14:paraId="28EBB986" w14:textId="77777777" w:rsidR="00693223" w:rsidRPr="00D75C1B" w:rsidRDefault="00693223" w:rsidP="003A279C">
      <w:pPr>
        <w:spacing w:before="60"/>
        <w:ind w:left="1474" w:right="1474"/>
        <w:jc w:val="both"/>
        <w:rPr>
          <w:rFonts w:ascii="Arial" w:hAnsi="Arial" w:cs="Arial"/>
          <w:bCs/>
          <w:sz w:val="18"/>
          <w:szCs w:val="22"/>
        </w:rPr>
      </w:pPr>
      <w:r w:rsidRPr="00D75C1B">
        <w:rPr>
          <w:rFonts w:ascii="Arial" w:hAnsi="Arial" w:cs="Arial"/>
          <w:iCs/>
          <w:sz w:val="18"/>
          <w:szCs w:val="22"/>
        </w:rPr>
        <w:t>'The seriousness of an allegation made, the inherent unlikeliness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references.'</w:t>
      </w:r>
    </w:p>
    <w:p w14:paraId="76390CD0" w14:textId="77777777" w:rsidR="00693223" w:rsidRDefault="00693223" w:rsidP="003A279C">
      <w:pPr>
        <w:spacing w:before="60"/>
        <w:ind w:left="907" w:right="907"/>
        <w:jc w:val="both"/>
        <w:rPr>
          <w:rFonts w:ascii="Arial" w:hAnsi="Arial" w:cs="Arial"/>
          <w:bCs/>
          <w:sz w:val="20"/>
        </w:rPr>
      </w:pPr>
      <w:r>
        <w:rPr>
          <w:rFonts w:ascii="Arial" w:hAnsi="Arial" w:cs="Arial"/>
          <w:bCs/>
          <w:sz w:val="20"/>
        </w:rPr>
        <w:t xml:space="preserve">His Honour's comments have a direct application to an allegation that a parent has sexually abused a child, an allegation which is often easy to make, but difficult to refute.  It does not follow that if an allegation of sexual abuse has not been made out, according to the civil onus as stated in </w:t>
      </w:r>
      <w:r>
        <w:rPr>
          <w:rFonts w:ascii="Arial" w:hAnsi="Arial" w:cs="Arial"/>
          <w:bCs/>
          <w:i/>
          <w:iCs/>
          <w:sz w:val="20"/>
        </w:rPr>
        <w:t>Briginshaw</w:t>
      </w:r>
      <w:r>
        <w:rPr>
          <w:rFonts w:ascii="Arial" w:hAnsi="Arial" w:cs="Arial"/>
          <w:bCs/>
          <w:sz w:val="20"/>
        </w:rPr>
        <w:t xml:space="preserve">, that conclusion determines the wider issue which confronts the court when it is called upon to decide what is in the best interests of the child. </w:t>
      </w:r>
    </w:p>
    <w:p w14:paraId="05AD7E2E" w14:textId="77777777" w:rsidR="00693223" w:rsidRDefault="00693223" w:rsidP="003A279C">
      <w:pPr>
        <w:spacing w:before="60"/>
        <w:ind w:left="907" w:right="907"/>
        <w:jc w:val="both"/>
        <w:rPr>
          <w:rFonts w:ascii="Arial" w:hAnsi="Arial" w:cs="Arial"/>
          <w:bCs/>
          <w:sz w:val="20"/>
        </w:rPr>
      </w:pPr>
      <w:r>
        <w:rPr>
          <w:rFonts w:ascii="Arial" w:hAnsi="Arial" w:cs="Arial"/>
          <w:bCs/>
          <w:sz w:val="20"/>
        </w:rPr>
        <w:lastRenderedPageBreak/>
        <w:t xml:space="preserve">No doubt there will be some cases in which the Court is able to come to a positive finding that the allegation is well-founded.  In all but the most extraordinary cases, that finding will have a decisive impact on the order to be made respecting custody and </w:t>
      </w:r>
      <w:r w:rsidR="007C5527" w:rsidRPr="007C5527">
        <w:rPr>
          <w:rFonts w:ascii="Arial" w:hAnsi="Arial" w:cs="Arial"/>
          <w:bCs/>
          <w:color w:val="000000"/>
          <w:sz w:val="20"/>
        </w:rPr>
        <w:t>access</w:t>
      </w:r>
      <w:r>
        <w:rPr>
          <w:rFonts w:ascii="Arial" w:hAnsi="Arial" w:cs="Arial"/>
          <w:bCs/>
          <w:sz w:val="20"/>
        </w:rPr>
        <w:t>.  There will be cases also in which the Court has no hesitation in rejecting the allegation as groundless.  Again, in the nature of things there will be very many cases, such as the present case, in which the Court cannot confidently make a finding that sexual abuse has taken place.  And there are strong practical family reasons why the Court should refrain from making a positive finding that sexual abuse has actually taken place unless it is impelled by the particular circumstances of the case to do so.'</w:t>
      </w:r>
    </w:p>
    <w:p w14:paraId="6BCE4C80" w14:textId="77777777" w:rsidR="003A279C" w:rsidRDefault="00693223" w:rsidP="003A279C">
      <w:pPr>
        <w:spacing w:before="120"/>
        <w:ind w:left="567" w:right="567"/>
        <w:jc w:val="both"/>
        <w:rPr>
          <w:rFonts w:ascii="Arial" w:hAnsi="Arial" w:cs="Arial"/>
          <w:bCs/>
          <w:sz w:val="20"/>
        </w:rPr>
      </w:pPr>
      <w:r>
        <w:rPr>
          <w:rFonts w:ascii="Arial" w:hAnsi="Arial" w:cs="Arial"/>
          <w:bCs/>
          <w:sz w:val="20"/>
        </w:rPr>
        <w:t xml:space="preserve">[15]  In </w:t>
      </w:r>
      <w:r>
        <w:rPr>
          <w:rFonts w:ascii="Arial" w:hAnsi="Arial" w:cs="Arial"/>
          <w:bCs/>
          <w:i/>
          <w:iCs/>
          <w:sz w:val="20"/>
        </w:rPr>
        <w:t>WK v SR</w:t>
      </w:r>
      <w:r>
        <w:rPr>
          <w:rFonts w:ascii="Arial" w:hAnsi="Arial" w:cs="Arial"/>
          <w:bCs/>
          <w:sz w:val="20"/>
        </w:rPr>
        <w:t xml:space="preserve"> (1997) FLC 92-787; 22 Fam LR 592 the Full Court (Baker, Kay and Morgan JJ) examined the application of the principles set out in </w:t>
      </w:r>
      <w:r>
        <w:rPr>
          <w:rFonts w:ascii="Arial" w:hAnsi="Arial" w:cs="Arial"/>
          <w:bCs/>
          <w:i/>
          <w:iCs/>
          <w:sz w:val="20"/>
        </w:rPr>
        <w:t>M and M</w:t>
      </w:r>
      <w:r>
        <w:rPr>
          <w:rFonts w:ascii="Arial" w:hAnsi="Arial" w:cs="Arial"/>
          <w:bCs/>
          <w:sz w:val="20"/>
        </w:rPr>
        <w:t xml:space="preserve"> to a situation where the trial judge had found that the father had sexually molested both his step-daughter and his own daughter</w:t>
      </w:r>
      <w:r w:rsidR="003A279C">
        <w:rPr>
          <w:rFonts w:ascii="Arial" w:hAnsi="Arial" w:cs="Arial"/>
          <w:bCs/>
          <w:sz w:val="20"/>
        </w:rPr>
        <w:t>…</w:t>
      </w:r>
    </w:p>
    <w:p w14:paraId="6459C7A1" w14:textId="77777777" w:rsidR="00693223" w:rsidRDefault="00693223" w:rsidP="008A1184">
      <w:pPr>
        <w:spacing w:before="120"/>
        <w:ind w:left="567" w:right="567"/>
        <w:jc w:val="both"/>
        <w:rPr>
          <w:rFonts w:ascii="Arial" w:hAnsi="Arial" w:cs="Arial"/>
          <w:bCs/>
          <w:sz w:val="20"/>
        </w:rPr>
      </w:pPr>
      <w:r>
        <w:rPr>
          <w:rFonts w:ascii="Arial" w:hAnsi="Arial" w:cs="Arial"/>
          <w:bCs/>
          <w:sz w:val="20"/>
        </w:rPr>
        <w:t>[16]  Although this case was argued that irrespective of the finding of sexual abuse there should have been supervised contact, given his Honour's refusal to allow any supervised contact was clearly dependent upon his positive finding of sexual abuse, if that finding is unsafe then in our view we have no other option but to remit the question of supervised contact back to a Judge at first instance."</w:t>
      </w:r>
    </w:p>
    <w:p w14:paraId="634C5283" w14:textId="77777777" w:rsidR="00693223" w:rsidRDefault="00693223">
      <w:pPr>
        <w:jc w:val="both"/>
        <w:rPr>
          <w:rFonts w:ascii="Arial" w:hAnsi="Arial" w:cs="Arial"/>
          <w:sz w:val="20"/>
        </w:rPr>
      </w:pPr>
    </w:p>
    <w:p w14:paraId="0206626E" w14:textId="52AA0425" w:rsidR="004C65F0" w:rsidRDefault="003A279C" w:rsidP="00882C6A">
      <w:pPr>
        <w:jc w:val="both"/>
        <w:rPr>
          <w:rFonts w:ascii="Arial" w:hAnsi="Arial" w:cs="Arial"/>
          <w:sz w:val="20"/>
        </w:rPr>
      </w:pPr>
      <w:r>
        <w:rPr>
          <w:rFonts w:ascii="Arial" w:hAnsi="Arial" w:cs="Arial"/>
          <w:sz w:val="20"/>
        </w:rPr>
        <w:t xml:space="preserve">Section 215A </w:t>
      </w:r>
      <w:r w:rsidR="00882C6A">
        <w:rPr>
          <w:rFonts w:ascii="Arial" w:hAnsi="Arial" w:cs="Arial"/>
          <w:sz w:val="20"/>
        </w:rPr>
        <w:t xml:space="preserve">of the CYFA provides that the standard of proof </w:t>
      </w:r>
      <w:r w:rsidR="00882C6A" w:rsidRPr="00882C6A">
        <w:rPr>
          <w:rFonts w:ascii="Arial" w:hAnsi="Arial" w:cs="Arial"/>
          <w:b/>
          <w:sz w:val="20"/>
        </w:rPr>
        <w:t>“</w:t>
      </w:r>
      <w:r w:rsidR="00882C6A" w:rsidRPr="00882C6A">
        <w:rPr>
          <w:rFonts w:ascii="Arial" w:hAnsi="Arial" w:cs="Arial"/>
          <w:b/>
          <w:sz w:val="20"/>
          <w:u w:val="single"/>
        </w:rPr>
        <w:t>of any fact</w:t>
      </w:r>
      <w:r w:rsidR="00882C6A" w:rsidRPr="00882C6A">
        <w:rPr>
          <w:rFonts w:ascii="Arial" w:hAnsi="Arial" w:cs="Arial"/>
          <w:b/>
          <w:sz w:val="20"/>
        </w:rPr>
        <w:t>”</w:t>
      </w:r>
      <w:r w:rsidR="00882C6A">
        <w:rPr>
          <w:rFonts w:ascii="Arial" w:hAnsi="Arial" w:cs="Arial"/>
          <w:sz w:val="20"/>
        </w:rPr>
        <w:t xml:space="preserve"> in an application under the CYFA in the Family Division is the balance of probabilities.  By this is meant any </w:t>
      </w:r>
      <w:r w:rsidR="00882C6A" w:rsidRPr="00882C6A">
        <w:rPr>
          <w:rFonts w:ascii="Arial" w:hAnsi="Arial" w:cs="Arial"/>
          <w:b/>
          <w:sz w:val="20"/>
          <w:u w:val="single"/>
        </w:rPr>
        <w:t>past</w:t>
      </w:r>
      <w:r w:rsidR="00882C6A">
        <w:rPr>
          <w:rFonts w:ascii="Arial" w:hAnsi="Arial" w:cs="Arial"/>
          <w:sz w:val="20"/>
        </w:rPr>
        <w:t xml:space="preserve"> fact.  It is clear from the above extract from </w:t>
      </w:r>
      <w:r w:rsidR="00882C6A">
        <w:rPr>
          <w:rFonts w:ascii="Arial" w:hAnsi="Arial" w:cs="Arial"/>
          <w:i/>
          <w:iCs/>
          <w:sz w:val="20"/>
        </w:rPr>
        <w:t>Re W (Sex Abuse: Standard of Proof)</w:t>
      </w:r>
      <w:r w:rsidR="003D6315">
        <w:rPr>
          <w:rFonts w:ascii="Arial" w:hAnsi="Arial" w:cs="Arial"/>
          <w:sz w:val="20"/>
        </w:rPr>
        <w:t xml:space="preserve"> </w:t>
      </w:r>
      <w:r w:rsidR="001533B1">
        <w:rPr>
          <w:rFonts w:ascii="Arial" w:hAnsi="Arial" w:cs="Arial"/>
          <w:sz w:val="20"/>
        </w:rPr>
        <w:t xml:space="preserve">and from the cases discussed in </w:t>
      </w:r>
      <w:r w:rsidR="001533B1" w:rsidRPr="00A40A28">
        <w:rPr>
          <w:rFonts w:ascii="Arial" w:hAnsi="Arial" w:cs="Arial"/>
          <w:b/>
          <w:bCs/>
          <w:sz w:val="20"/>
          <w:shd w:val="clear" w:color="auto" w:fill="C5E0B3"/>
        </w:rPr>
        <w:t>section 5.10.4</w:t>
      </w:r>
      <w:r w:rsidR="001533B1">
        <w:rPr>
          <w:rFonts w:ascii="Arial" w:hAnsi="Arial" w:cs="Arial"/>
          <w:sz w:val="20"/>
        </w:rPr>
        <w:t xml:space="preserve"> </w:t>
      </w:r>
      <w:r w:rsidR="003D6315">
        <w:rPr>
          <w:rFonts w:ascii="Arial" w:hAnsi="Arial" w:cs="Arial"/>
          <w:sz w:val="20"/>
        </w:rPr>
        <w:t xml:space="preserve">that there is a strong </w:t>
      </w:r>
      <w:r w:rsidR="00882C6A">
        <w:rPr>
          <w:rFonts w:ascii="Arial" w:hAnsi="Arial" w:cs="Arial"/>
          <w:sz w:val="20"/>
        </w:rPr>
        <w:t xml:space="preserve">distinction to be drawn between a finding that abuse has occurred in the </w:t>
      </w:r>
      <w:r w:rsidR="00882C6A" w:rsidRPr="004C65F0">
        <w:rPr>
          <w:rFonts w:ascii="Arial" w:hAnsi="Arial" w:cs="Arial"/>
          <w:b/>
          <w:sz w:val="20"/>
          <w:u w:val="single"/>
        </w:rPr>
        <w:t>past</w:t>
      </w:r>
      <w:r w:rsidR="00882C6A">
        <w:rPr>
          <w:rFonts w:ascii="Arial" w:hAnsi="Arial" w:cs="Arial"/>
          <w:sz w:val="20"/>
        </w:rPr>
        <w:t xml:space="preserve"> and a finding that there is an unacceptable risk of it occurring in the </w:t>
      </w:r>
      <w:r w:rsidR="00882C6A" w:rsidRPr="004C65F0">
        <w:rPr>
          <w:rFonts w:ascii="Arial" w:hAnsi="Arial" w:cs="Arial"/>
          <w:b/>
          <w:sz w:val="20"/>
          <w:u w:val="single"/>
        </w:rPr>
        <w:t>future</w:t>
      </w:r>
      <w:r w:rsidR="00882C6A">
        <w:rPr>
          <w:rFonts w:ascii="Arial" w:hAnsi="Arial" w:cs="Arial"/>
          <w:sz w:val="20"/>
        </w:rPr>
        <w:t xml:space="preserve">.  That is </w:t>
      </w:r>
      <w:r w:rsidR="004C65F0">
        <w:rPr>
          <w:rFonts w:ascii="Arial" w:hAnsi="Arial" w:cs="Arial"/>
          <w:sz w:val="20"/>
        </w:rPr>
        <w:t xml:space="preserve">also </w:t>
      </w:r>
      <w:r w:rsidR="00882C6A">
        <w:rPr>
          <w:rFonts w:ascii="Arial" w:hAnsi="Arial" w:cs="Arial"/>
          <w:sz w:val="20"/>
        </w:rPr>
        <w:t xml:space="preserve">clear from s.162(3) of the CYFA which </w:t>
      </w:r>
      <w:r w:rsidR="004C65F0">
        <w:rPr>
          <w:rFonts w:ascii="Arial" w:hAnsi="Arial" w:cs="Arial"/>
          <w:sz w:val="20"/>
        </w:rPr>
        <w:t>provides:</w:t>
      </w:r>
    </w:p>
    <w:p w14:paraId="49FACC95" w14:textId="77777777" w:rsidR="004C65F0" w:rsidRPr="006C72B1" w:rsidRDefault="004C65F0" w:rsidP="004C65F0">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358759EE"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2491DC39" w14:textId="77777777" w:rsidR="004C65F0" w:rsidRPr="006C72B1" w:rsidRDefault="004C65F0">
      <w:pPr>
        <w:numPr>
          <w:ilvl w:val="0"/>
          <w:numId w:val="31"/>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0ABA4B9B" w14:textId="77777777" w:rsidR="004C65F0" w:rsidRDefault="004C65F0" w:rsidP="00882C6A">
      <w:pPr>
        <w:jc w:val="both"/>
        <w:rPr>
          <w:rFonts w:ascii="Arial" w:hAnsi="Arial" w:cs="Arial"/>
          <w:sz w:val="20"/>
        </w:rPr>
      </w:pPr>
    </w:p>
    <w:p w14:paraId="27F32512" w14:textId="77777777" w:rsidR="00882C6A" w:rsidRDefault="004C65F0" w:rsidP="00882C6A">
      <w:pPr>
        <w:jc w:val="both"/>
        <w:rPr>
          <w:rFonts w:ascii="Arial" w:hAnsi="Arial" w:cs="Arial"/>
          <w:sz w:val="20"/>
        </w:rPr>
      </w:pPr>
      <w:r>
        <w:rPr>
          <w:rFonts w:ascii="Arial" w:hAnsi="Arial" w:cs="Arial"/>
          <w:sz w:val="20"/>
        </w:rPr>
        <w:t xml:space="preserve">So the balance of probabilities test in s.215A does </w:t>
      </w:r>
      <w:r w:rsidRPr="00AB2E0B">
        <w:rPr>
          <w:rFonts w:ascii="Arial" w:hAnsi="Arial" w:cs="Arial"/>
          <w:b/>
          <w:sz w:val="20"/>
          <w:u w:val="single"/>
        </w:rPr>
        <w:t>not</w:t>
      </w:r>
      <w:r>
        <w:rPr>
          <w:rFonts w:ascii="Arial" w:hAnsi="Arial" w:cs="Arial"/>
          <w:sz w:val="20"/>
        </w:rPr>
        <w:t xml:space="preserve"> apply to the </w:t>
      </w:r>
      <w:r w:rsidRPr="006C72B1">
        <w:rPr>
          <w:rFonts w:ascii="Arial" w:hAnsi="Arial" w:cs="Arial"/>
          <w:color w:val="000000"/>
          <w:sz w:val="20"/>
        </w:rPr>
        <w:t xml:space="preserve">determination of the likelihood or unlikelihood of the occurrence of a </w:t>
      </w:r>
      <w:r w:rsidRPr="00AB2E0B">
        <w:rPr>
          <w:rFonts w:ascii="Arial" w:hAnsi="Arial" w:cs="Arial"/>
          <w:b/>
          <w:color w:val="000000"/>
          <w:sz w:val="20"/>
          <w:u w:val="single"/>
        </w:rPr>
        <w:t>future</w:t>
      </w:r>
      <w:r w:rsidRPr="006C72B1">
        <w:rPr>
          <w:rFonts w:ascii="Arial" w:hAnsi="Arial" w:cs="Arial"/>
          <w:color w:val="000000"/>
          <w:sz w:val="20"/>
        </w:rPr>
        <w:t xml:space="preserve"> event for the purposes of proof of a protection application.</w:t>
      </w:r>
      <w:r>
        <w:rPr>
          <w:rFonts w:ascii="Arial" w:hAnsi="Arial" w:cs="Arial"/>
          <w:sz w:val="20"/>
        </w:rPr>
        <w:t xml:space="preserve">  For its part, s.162(3) leaves alive the less stringent </w:t>
      </w:r>
      <w:r w:rsidR="00882C6A" w:rsidRPr="006C72B1">
        <w:rPr>
          <w:rFonts w:ascii="Arial" w:hAnsi="Arial" w:cs="Arial"/>
          <w:color w:val="000000"/>
          <w:sz w:val="20"/>
        </w:rPr>
        <w:t xml:space="preserve">common law test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future, a test </w:t>
      </w:r>
      <w:r w:rsidR="00882C6A" w:rsidRPr="006C72B1">
        <w:rPr>
          <w:rFonts w:ascii="Arial" w:hAnsi="Arial" w:cs="Arial"/>
          <w:color w:val="000000"/>
          <w:sz w:val="20"/>
        </w:rPr>
        <w:t xml:space="preserve">enunciated by Lord Nicholls of Birkenhead </w:t>
      </w:r>
      <w:r>
        <w:rPr>
          <w:rFonts w:ascii="Arial" w:hAnsi="Arial" w:cs="Arial"/>
          <w:sz w:val="20"/>
        </w:rPr>
        <w:t xml:space="preserve">(with whom Lord Goff of Chiefly &amp; Lord Mustill agreed) </w:t>
      </w:r>
      <w:r w:rsidR="00882C6A" w:rsidRPr="006C72B1">
        <w:rPr>
          <w:rFonts w:ascii="Arial" w:hAnsi="Arial" w:cs="Arial"/>
          <w:color w:val="000000"/>
          <w:sz w:val="20"/>
        </w:rPr>
        <w:t xml:space="preserve">in </w:t>
      </w:r>
      <w:r w:rsidR="00882C6A" w:rsidRPr="006C72B1">
        <w:rPr>
          <w:rFonts w:ascii="Arial" w:hAnsi="Arial" w:cs="Arial"/>
          <w:i/>
          <w:iCs/>
          <w:sz w:val="20"/>
        </w:rPr>
        <w:t>In re H. &amp; Others (Minors)(Sexual Abuse: Standard of Proof)</w:t>
      </w:r>
      <w:r w:rsidR="00882C6A" w:rsidRPr="006C72B1">
        <w:rPr>
          <w:rFonts w:ascii="Arial" w:hAnsi="Arial" w:cs="Arial"/>
          <w:sz w:val="20"/>
        </w:rPr>
        <w:t xml:space="preserve"> [1996] AC 563 at 585</w:t>
      </w:r>
      <w:r>
        <w:rPr>
          <w:rFonts w:ascii="Arial" w:hAnsi="Arial" w:cs="Arial"/>
          <w:sz w:val="20"/>
        </w:rPr>
        <w:t xml:space="preserve"> in relation to English legislation </w:t>
      </w:r>
      <w:r w:rsidR="00AB2E0B">
        <w:rPr>
          <w:rFonts w:ascii="Arial" w:hAnsi="Arial" w:cs="Arial"/>
          <w:sz w:val="20"/>
        </w:rPr>
        <w:t>in</w:t>
      </w:r>
      <w:r>
        <w:rPr>
          <w:rFonts w:ascii="Arial" w:hAnsi="Arial" w:cs="Arial"/>
          <w:sz w:val="20"/>
        </w:rPr>
        <w:t xml:space="preserve"> similar </w:t>
      </w:r>
      <w:r w:rsidR="00AB2E0B">
        <w:rPr>
          <w:rFonts w:ascii="Arial" w:hAnsi="Arial" w:cs="Arial"/>
          <w:sz w:val="20"/>
        </w:rPr>
        <w:t xml:space="preserve">terms </w:t>
      </w:r>
      <w:r>
        <w:rPr>
          <w:rFonts w:ascii="Arial" w:hAnsi="Arial" w:cs="Arial"/>
          <w:sz w:val="20"/>
        </w:rPr>
        <w:t>to s.162</w:t>
      </w:r>
      <w:r w:rsidR="006421A8">
        <w:rPr>
          <w:rFonts w:ascii="Arial" w:hAnsi="Arial" w:cs="Arial"/>
          <w:sz w:val="20"/>
        </w:rPr>
        <w:t>(1)</w:t>
      </w:r>
      <w:r>
        <w:rPr>
          <w:rFonts w:ascii="Arial" w:hAnsi="Arial" w:cs="Arial"/>
          <w:sz w:val="20"/>
        </w:rPr>
        <w:t xml:space="preserve"> of the CYFA:</w:t>
      </w:r>
    </w:p>
    <w:p w14:paraId="35E1DA03" w14:textId="77777777" w:rsidR="00882C6A" w:rsidRDefault="00882C6A" w:rsidP="001F6EA3">
      <w:pPr>
        <w:spacing w:before="60"/>
        <w:ind w:left="567" w:right="567"/>
        <w:jc w:val="both"/>
        <w:rPr>
          <w:rFonts w:ascii="Arial" w:hAnsi="Arial" w:cs="Arial"/>
          <w:bCs/>
          <w:sz w:val="16"/>
        </w:rPr>
      </w:pPr>
      <w:bookmarkStart w:id="1265" w:name="_Toc34823415"/>
      <w:bookmarkStart w:id="1266" w:name="_Toc73499132"/>
      <w:r>
        <w:rPr>
          <w:rFonts w:ascii="Arial" w:hAnsi="Arial" w:cs="Arial"/>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not…[L]ikely is being used in the sense of a real possibility, a possibility that cannot sensibly be ignored having regard to the nature and gravity of the feared harm in the particular case."</w:t>
      </w:r>
    </w:p>
    <w:bookmarkEnd w:id="1265"/>
    <w:bookmarkEnd w:id="1266"/>
    <w:p w14:paraId="347580F4" w14:textId="77777777" w:rsidR="00882C6A" w:rsidRDefault="00882C6A" w:rsidP="00882C6A">
      <w:pPr>
        <w:jc w:val="both"/>
        <w:rPr>
          <w:rFonts w:ascii="Arial" w:hAnsi="Arial" w:cs="Arial"/>
          <w:sz w:val="20"/>
        </w:rPr>
      </w:pPr>
    </w:p>
    <w:p w14:paraId="1AE0DEA5" w14:textId="77777777" w:rsidR="00AB2E0B" w:rsidRDefault="00AB2E0B" w:rsidP="00882C6A">
      <w:pPr>
        <w:jc w:val="both"/>
        <w:rPr>
          <w:rFonts w:ascii="Arial" w:hAnsi="Arial" w:cs="Arial"/>
          <w:sz w:val="20"/>
        </w:rPr>
      </w:pPr>
      <w:r>
        <w:rPr>
          <w:rFonts w:ascii="Arial" w:hAnsi="Arial" w:cs="Arial"/>
          <w:sz w:val="20"/>
        </w:rPr>
        <w:t>However, it is also important to note that Lord Nicholls stressed at p.590:</w:t>
      </w:r>
    </w:p>
    <w:p w14:paraId="3FCA16CA" w14:textId="77777777" w:rsidR="00AB2E0B" w:rsidRDefault="00AB2E0B" w:rsidP="00033D59">
      <w:pPr>
        <w:spacing w:before="60"/>
        <w:ind w:left="567" w:right="567"/>
        <w:jc w:val="both"/>
        <w:rPr>
          <w:rFonts w:ascii="Arial" w:hAnsi="Arial" w:cs="Arial"/>
          <w:bCs/>
          <w:sz w:val="16"/>
        </w:rPr>
      </w:pPr>
      <w:r>
        <w:rPr>
          <w:rFonts w:ascii="Arial" w:hAnsi="Arial" w:cs="Arial"/>
          <w:bCs/>
          <w:sz w:val="16"/>
        </w:rPr>
        <w:t>“</w:t>
      </w:r>
      <w:r>
        <w:rPr>
          <w:rFonts w:ascii="Arial" w:hAnsi="Arial" w:cs="Arial"/>
          <w:sz w:val="20"/>
        </w:rPr>
        <w:t>A decision by the Court on the likelihood of a future happening must be founded on a basis of present facts and the inferences fairly to be drawn therefrom….[A]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p>
    <w:p w14:paraId="46D91BB9" w14:textId="77777777" w:rsidR="00BE78BC" w:rsidRPr="00BE78BC" w:rsidRDefault="00BE78BC">
      <w:pPr>
        <w:jc w:val="both"/>
        <w:rPr>
          <w:rFonts w:ascii="Arial" w:hAnsi="Arial" w:cs="Arial"/>
          <w:color w:val="000000"/>
          <w:sz w:val="20"/>
        </w:rPr>
      </w:pPr>
    </w:p>
    <w:p w14:paraId="120967F8" w14:textId="77777777" w:rsidR="00A40D16" w:rsidRPr="00BE78BC" w:rsidRDefault="00BE78BC" w:rsidP="00D75C1B">
      <w:pPr>
        <w:keepNext/>
        <w:keepLines/>
        <w:jc w:val="both"/>
        <w:rPr>
          <w:rFonts w:ascii="Arial" w:hAnsi="Arial" w:cs="Arial"/>
          <w:color w:val="000000"/>
          <w:sz w:val="20"/>
        </w:rPr>
      </w:pPr>
      <w:r>
        <w:rPr>
          <w:rFonts w:ascii="Arial" w:hAnsi="Arial" w:cs="Arial"/>
          <w:color w:val="000000"/>
          <w:sz w:val="20"/>
        </w:rPr>
        <w:lastRenderedPageBreak/>
        <w:t>It is also important to note that</w:t>
      </w:r>
      <w:r w:rsidRPr="00BE78BC">
        <w:rPr>
          <w:rFonts w:ascii="Arial" w:hAnsi="Arial" w:cs="Arial"/>
          <w:color w:val="000000"/>
          <w:sz w:val="20"/>
        </w:rPr>
        <w:t xml:space="preserve"> i</w:t>
      </w:r>
      <w:r w:rsidR="00A40D16" w:rsidRPr="00BE78BC">
        <w:rPr>
          <w:rFonts w:ascii="Arial" w:hAnsi="Arial" w:cs="Arial"/>
          <w:color w:val="000000"/>
          <w:sz w:val="20"/>
        </w:rPr>
        <w:t xml:space="preserve">n weighing the evidence of witnesses, a judicial officer is not required to accept a witness’ evidence </w:t>
      </w:r>
      <w:r w:rsidR="00A40D16" w:rsidRPr="00BE78BC">
        <w:rPr>
          <w:rFonts w:ascii="Arial" w:hAnsi="Arial" w:cs="Arial"/>
          <w:i/>
          <w:color w:val="000000"/>
          <w:sz w:val="20"/>
        </w:rPr>
        <w:t>in toto</w:t>
      </w:r>
      <w:r w:rsidR="00A40D16" w:rsidRPr="00BE78BC">
        <w:rPr>
          <w:rFonts w:ascii="Arial" w:hAnsi="Arial" w:cs="Arial"/>
          <w:color w:val="000000"/>
          <w:sz w:val="20"/>
        </w:rPr>
        <w:t xml:space="preserve"> or reject it </w:t>
      </w:r>
      <w:r w:rsidR="00A40D16" w:rsidRPr="00BE78BC">
        <w:rPr>
          <w:rFonts w:ascii="Arial" w:hAnsi="Arial" w:cs="Arial"/>
          <w:i/>
          <w:color w:val="000000"/>
          <w:sz w:val="20"/>
        </w:rPr>
        <w:t>in toto</w:t>
      </w:r>
      <w:r w:rsidR="00A40D16" w:rsidRPr="00BE78BC">
        <w:rPr>
          <w:rFonts w:ascii="Arial" w:hAnsi="Arial" w:cs="Arial"/>
          <w:color w:val="000000"/>
          <w:sz w:val="20"/>
        </w:rPr>
        <w:t xml:space="preserve">.  It is open to a judicial officer in an appropriate case to accept part of a witness’ evidence and reject another part as Beach J noted in </w:t>
      </w:r>
      <w:r w:rsidR="00A40D16" w:rsidRPr="00BE78BC">
        <w:rPr>
          <w:rFonts w:ascii="Arial" w:hAnsi="Arial" w:cs="Arial"/>
          <w:i/>
          <w:color w:val="000000"/>
          <w:sz w:val="20"/>
        </w:rPr>
        <w:t>Helou v Shaya</w:t>
      </w:r>
      <w:r w:rsidR="00A40D16" w:rsidRPr="00BE78BC">
        <w:rPr>
          <w:rFonts w:ascii="Arial" w:hAnsi="Arial" w:cs="Arial"/>
          <w:color w:val="000000"/>
          <w:sz w:val="20"/>
        </w:rPr>
        <w:t xml:space="preserve"> [2013] VSC 297 at [22]:</w:t>
      </w:r>
    </w:p>
    <w:p w14:paraId="0DE64DD1" w14:textId="77777777" w:rsidR="00A40D16" w:rsidRPr="00BE78BC" w:rsidRDefault="00A40D16" w:rsidP="00A40D16">
      <w:pPr>
        <w:spacing w:before="60"/>
        <w:ind w:left="567" w:right="567"/>
        <w:jc w:val="both"/>
        <w:rPr>
          <w:rFonts w:ascii="Arial" w:hAnsi="Arial" w:cs="Arial"/>
          <w:color w:val="000000"/>
          <w:sz w:val="20"/>
          <w:szCs w:val="20"/>
        </w:rPr>
      </w:pPr>
      <w:r w:rsidRPr="00BE78BC">
        <w:rPr>
          <w:rFonts w:ascii="Arial" w:hAnsi="Arial" w:cs="Arial"/>
          <w:color w:val="000000"/>
          <w:sz w:val="20"/>
        </w:rPr>
        <w:t xml:space="preserve">“A magistrate (like any other trier of fact) is entitled to accept the evidence of a witness on one point and not accept the evidence of the same witness on another point.  Further, to the extent that the appellant’s arguments in this appeal was premised on the proposition that the non-acceptance of the respondent’s evidence on a particular topic, or actual evidence given by the respondent inconsistent with the Court’s findings, mandated as a matter of law, a conclusion </w:t>
      </w:r>
      <w:r w:rsidRPr="00BE78BC">
        <w:rPr>
          <w:rFonts w:ascii="Arial" w:hAnsi="Arial" w:cs="Arial"/>
          <w:color w:val="000000"/>
          <w:sz w:val="20"/>
          <w:szCs w:val="20"/>
        </w:rPr>
        <w:t xml:space="preserve">in favour of the defendant, those arguments must be rejected: See generally, </w:t>
      </w:r>
      <w:r w:rsidRPr="00BE78BC">
        <w:rPr>
          <w:rFonts w:ascii="Arial" w:hAnsi="Arial" w:cs="Arial"/>
          <w:i/>
          <w:color w:val="000000"/>
          <w:sz w:val="20"/>
          <w:szCs w:val="20"/>
        </w:rPr>
        <w:t xml:space="preserve">Krum v Malaysian Airline Systems Berhad </w:t>
      </w:r>
      <w:r w:rsidRPr="00BE78BC">
        <w:rPr>
          <w:rFonts w:ascii="Arial" w:hAnsi="Arial" w:cs="Arial"/>
          <w:color w:val="000000"/>
          <w:sz w:val="20"/>
          <w:szCs w:val="20"/>
        </w:rPr>
        <w:t xml:space="preserve">[2004] VSC 185; </w:t>
      </w:r>
      <w:r w:rsidRPr="00BE78BC">
        <w:rPr>
          <w:rFonts w:ascii="Arial" w:hAnsi="Arial" w:cs="Arial"/>
          <w:i/>
          <w:color w:val="000000"/>
          <w:sz w:val="20"/>
          <w:szCs w:val="20"/>
        </w:rPr>
        <w:t>Malaysian Airline Systems Berhad v Krum</w:t>
      </w:r>
      <w:r w:rsidRPr="00BE78BC">
        <w:rPr>
          <w:rFonts w:ascii="Arial" w:hAnsi="Arial" w:cs="Arial"/>
          <w:color w:val="000000"/>
          <w:sz w:val="20"/>
          <w:szCs w:val="20"/>
        </w:rPr>
        <w:t xml:space="preserve"> [2005] VSCA 232; </w:t>
      </w:r>
      <w:r w:rsidRPr="00BE78BC">
        <w:rPr>
          <w:rFonts w:ascii="Arial" w:hAnsi="Arial" w:cs="Arial"/>
          <w:i/>
          <w:color w:val="000000"/>
          <w:sz w:val="20"/>
          <w:szCs w:val="20"/>
        </w:rPr>
        <w:t>Husson v Keppel Prince Engineering Pty Ltd</w:t>
      </w:r>
      <w:r w:rsidRPr="00BE78BC">
        <w:rPr>
          <w:rFonts w:ascii="Arial" w:hAnsi="Arial" w:cs="Arial"/>
          <w:color w:val="000000"/>
          <w:sz w:val="20"/>
          <w:szCs w:val="20"/>
        </w:rPr>
        <w:t xml:space="preserve"> [2006] VSC 412;  </w:t>
      </w:r>
      <w:r w:rsidRPr="00BE78BC">
        <w:rPr>
          <w:rFonts w:ascii="Arial" w:hAnsi="Arial" w:cs="Arial"/>
          <w:i/>
          <w:color w:val="000000"/>
          <w:sz w:val="20"/>
          <w:szCs w:val="20"/>
        </w:rPr>
        <w:t>Alcoa Portland Aluminium Pty Ltd v Husson &amp; Anor</w:t>
      </w:r>
      <w:r w:rsidRPr="00BE78BC">
        <w:rPr>
          <w:rFonts w:ascii="Arial" w:hAnsi="Arial" w:cs="Arial"/>
          <w:color w:val="000000"/>
          <w:sz w:val="20"/>
          <w:szCs w:val="20"/>
        </w:rPr>
        <w:t xml:space="preserve"> (2007) 18 VR 112.  See further, </w:t>
      </w:r>
      <w:r w:rsidRPr="00BE78BC">
        <w:rPr>
          <w:rFonts w:ascii="Arial" w:hAnsi="Arial" w:cs="Arial"/>
          <w:i/>
          <w:color w:val="000000"/>
          <w:sz w:val="20"/>
          <w:szCs w:val="20"/>
        </w:rPr>
        <w:t xml:space="preserve">Transport Accident Commission v O’Reilly </w:t>
      </w:r>
      <w:r w:rsidRPr="00BE78BC">
        <w:rPr>
          <w:rFonts w:ascii="Arial" w:hAnsi="Arial" w:cs="Arial"/>
          <w:color w:val="000000"/>
          <w:sz w:val="20"/>
          <w:szCs w:val="20"/>
        </w:rPr>
        <w:t xml:space="preserve">[1999] 2 VR 436, 460 [58] (Callaway JA); </w:t>
      </w:r>
      <w:r w:rsidRPr="00BE78BC">
        <w:rPr>
          <w:rFonts w:ascii="Arial" w:hAnsi="Arial" w:cs="Arial"/>
          <w:i/>
          <w:color w:val="000000"/>
          <w:sz w:val="20"/>
          <w:szCs w:val="20"/>
        </w:rPr>
        <w:t xml:space="preserve">Thales Australia Ltd v The Coroners Court &amp; </w:t>
      </w:r>
      <w:r w:rsidR="0000786E" w:rsidRPr="00BE78BC">
        <w:rPr>
          <w:rFonts w:ascii="Arial" w:hAnsi="Arial" w:cs="Arial"/>
          <w:i/>
          <w:color w:val="000000"/>
          <w:sz w:val="20"/>
          <w:szCs w:val="20"/>
        </w:rPr>
        <w:t>O</w:t>
      </w:r>
      <w:r w:rsidRPr="00BE78BC">
        <w:rPr>
          <w:rFonts w:ascii="Arial" w:hAnsi="Arial" w:cs="Arial"/>
          <w:i/>
          <w:color w:val="000000"/>
          <w:sz w:val="20"/>
          <w:szCs w:val="20"/>
        </w:rPr>
        <w:t xml:space="preserve">rs </w:t>
      </w:r>
      <w:r w:rsidRPr="00BE78BC">
        <w:rPr>
          <w:rFonts w:ascii="Arial" w:hAnsi="Arial" w:cs="Arial"/>
          <w:color w:val="000000"/>
          <w:sz w:val="20"/>
          <w:szCs w:val="20"/>
        </w:rPr>
        <w:t>[2011] VSC 133 [60].”</w:t>
      </w:r>
    </w:p>
    <w:p w14:paraId="574411A8" w14:textId="77777777" w:rsidR="00A40D16" w:rsidRPr="00A40D16" w:rsidRDefault="00A40D16">
      <w:pPr>
        <w:jc w:val="both"/>
        <w:rPr>
          <w:rFonts w:ascii="Arial" w:hAnsi="Arial" w:cs="Arial"/>
          <w:color w:val="000000"/>
          <w:sz w:val="20"/>
          <w:szCs w:val="20"/>
        </w:rPr>
      </w:pPr>
    </w:p>
    <w:p w14:paraId="4B3B9AB9" w14:textId="5A7815FB" w:rsidR="007D7E39" w:rsidRPr="00785E1A" w:rsidRDefault="00775DC6" w:rsidP="007D7E39">
      <w:pPr>
        <w:pStyle w:val="Heading3"/>
        <w:keepNext/>
        <w:keepLines/>
        <w:spacing w:after="120" w:line="240" w:lineRule="auto"/>
        <w:rPr>
          <w:rFonts w:ascii="Arial" w:hAnsi="Arial" w:cs="Arial"/>
          <w:color w:val="000000"/>
          <w:sz w:val="20"/>
        </w:rPr>
      </w:pPr>
      <w:bookmarkStart w:id="1267" w:name="_4.8.5_Expert_evidence"/>
      <w:bookmarkStart w:id="1268" w:name="B485"/>
      <w:bookmarkEnd w:id="1267"/>
      <w:bookmarkEnd w:id="1268"/>
      <w:r w:rsidRPr="00801CD5">
        <w:rPr>
          <w:rFonts w:ascii="Arial" w:hAnsi="Arial" w:cs="Arial"/>
          <w:b/>
          <w:bCs/>
          <w:color w:val="000000"/>
          <w:sz w:val="20"/>
        </w:rPr>
        <w:t>4.8.</w:t>
      </w:r>
      <w:r w:rsidR="00030EFF">
        <w:rPr>
          <w:rFonts w:ascii="Arial" w:hAnsi="Arial" w:cs="Arial"/>
          <w:b/>
          <w:bCs/>
          <w:color w:val="000000"/>
          <w:sz w:val="20"/>
        </w:rPr>
        <w:t>6</w:t>
      </w:r>
      <w:r w:rsidRPr="00801CD5">
        <w:rPr>
          <w:rFonts w:ascii="Arial" w:hAnsi="Arial" w:cs="Arial"/>
          <w:b/>
          <w:bCs/>
          <w:color w:val="000000"/>
          <w:sz w:val="20"/>
        </w:rPr>
        <w:tab/>
        <w:t>Attendance of child at Court</w:t>
      </w:r>
    </w:p>
    <w:p w14:paraId="48AB7862" w14:textId="77777777" w:rsidR="00775DC6" w:rsidRDefault="00775DC6" w:rsidP="00775DC6">
      <w:pPr>
        <w:jc w:val="both"/>
        <w:rPr>
          <w:rFonts w:ascii="Arial" w:hAnsi="Arial" w:cs="Arial"/>
          <w:sz w:val="20"/>
        </w:rPr>
      </w:pPr>
      <w:r>
        <w:rPr>
          <w:rFonts w:ascii="Arial" w:hAnsi="Arial" w:cs="Arial"/>
          <w:color w:val="000000"/>
          <w:sz w:val="20"/>
        </w:rPr>
        <w:t>Prior to 01/12/2013 t</w:t>
      </w:r>
      <w:r w:rsidRPr="00BF4C4A">
        <w:rPr>
          <w:rFonts w:ascii="Arial" w:hAnsi="Arial" w:cs="Arial"/>
          <w:color w:val="000000"/>
          <w:sz w:val="20"/>
        </w:rPr>
        <w:t>he CYFA had required children to attend or be brought to Court for the majority of child protection proceedings, although they were rarely actually present in the courtroom.  The attendance of children at Court was commented on adversely in the Cummins report.  New</w:t>
      </w:r>
      <w:r>
        <w:rPr>
          <w:rFonts w:ascii="Arial" w:hAnsi="Arial" w:cs="Arial"/>
          <w:color w:val="000000"/>
          <w:sz w:val="20"/>
        </w:rPr>
        <w:t xml:space="preserve"> s.216A of the CYFA provides that </w:t>
      </w:r>
      <w:r w:rsidRPr="00BF4C4A">
        <w:rPr>
          <w:rFonts w:ascii="Arial" w:hAnsi="Arial" w:cs="Arial"/>
          <w:color w:val="000000"/>
          <w:sz w:val="20"/>
        </w:rPr>
        <w:t>in any proceeding before the Family Division under the</w:t>
      </w:r>
      <w:r w:rsidR="00D5405F">
        <w:rPr>
          <w:rFonts w:ascii="Arial" w:hAnsi="Arial" w:cs="Arial"/>
          <w:color w:val="000000"/>
          <w:sz w:val="20"/>
        </w:rPr>
        <w:t xml:space="preserve"> CYFA </w:t>
      </w:r>
      <w:r w:rsidRPr="00BF4C4A">
        <w:rPr>
          <w:rFonts w:ascii="Arial" w:hAnsi="Arial" w:cs="Arial"/>
          <w:color w:val="000000"/>
          <w:sz w:val="20"/>
        </w:rPr>
        <w:t>a</w:t>
      </w:r>
      <w:r w:rsidR="00D5405F">
        <w:rPr>
          <w:rFonts w:ascii="Arial" w:hAnsi="Arial" w:cs="Arial"/>
          <w:color w:val="000000"/>
          <w:sz w:val="20"/>
        </w:rPr>
        <w:t> </w:t>
      </w:r>
      <w:r w:rsidRPr="00BF4C4A">
        <w:rPr>
          <w:rFonts w:ascii="Arial" w:hAnsi="Arial" w:cs="Arial"/>
          <w:color w:val="000000"/>
          <w:sz w:val="20"/>
        </w:rPr>
        <w:t xml:space="preserve">child is not required to attend </w:t>
      </w:r>
      <w:r>
        <w:rPr>
          <w:rFonts w:ascii="Arial" w:hAnsi="Arial" w:cs="Arial"/>
          <w:color w:val="000000"/>
          <w:sz w:val="20"/>
        </w:rPr>
        <w:t xml:space="preserve">or be brought </w:t>
      </w:r>
      <w:r w:rsidR="00D5405F">
        <w:rPr>
          <w:rFonts w:ascii="Arial" w:hAnsi="Arial" w:cs="Arial"/>
          <w:color w:val="000000"/>
          <w:sz w:val="20"/>
        </w:rPr>
        <w:t>to</w:t>
      </w:r>
      <w:r w:rsidRPr="00BF4C4A">
        <w:rPr>
          <w:rFonts w:ascii="Arial" w:hAnsi="Arial" w:cs="Arial"/>
          <w:color w:val="000000"/>
          <w:sz w:val="20"/>
        </w:rPr>
        <w:t xml:space="preserve"> Court unless-</w:t>
      </w:r>
    </w:p>
    <w:p w14:paraId="753624E2"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child expresses a wish to attend; or</w:t>
      </w:r>
    </w:p>
    <w:p w14:paraId="3931F7C6" w14:textId="77777777" w:rsidR="00775DC6"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the Court orders that the child attend; or</w:t>
      </w:r>
    </w:p>
    <w:p w14:paraId="4CFB4291" w14:textId="77777777" w:rsidR="00775DC6" w:rsidRPr="00BF4C4A" w:rsidRDefault="00775DC6">
      <w:pPr>
        <w:numPr>
          <w:ilvl w:val="0"/>
          <w:numId w:val="32"/>
        </w:numPr>
        <w:tabs>
          <w:tab w:val="left" w:pos="454"/>
        </w:tabs>
        <w:spacing w:line="240" w:lineRule="exact"/>
        <w:ind w:left="357" w:hanging="357"/>
        <w:jc w:val="both"/>
        <w:rPr>
          <w:rFonts w:ascii="Arial" w:hAnsi="Arial" w:cs="Arial"/>
          <w:color w:val="000000"/>
          <w:sz w:val="20"/>
        </w:rPr>
      </w:pPr>
      <w:r w:rsidRPr="00BF4C4A">
        <w:rPr>
          <w:rFonts w:ascii="Arial" w:hAnsi="Arial" w:cs="Arial"/>
          <w:color w:val="000000"/>
          <w:sz w:val="20"/>
        </w:rPr>
        <w:t xml:space="preserve">the </w:t>
      </w:r>
      <w:r>
        <w:rPr>
          <w:rFonts w:ascii="Arial" w:hAnsi="Arial" w:cs="Arial"/>
          <w:color w:val="000000"/>
          <w:sz w:val="20"/>
        </w:rPr>
        <w:t xml:space="preserve">CYFA </w:t>
      </w:r>
      <w:r w:rsidRPr="00BF4C4A">
        <w:rPr>
          <w:rFonts w:ascii="Arial" w:hAnsi="Arial" w:cs="Arial"/>
          <w:color w:val="000000"/>
          <w:sz w:val="20"/>
        </w:rPr>
        <w:t>requires that the child attend.</w:t>
      </w:r>
    </w:p>
    <w:p w14:paraId="5E359422" w14:textId="77777777" w:rsidR="00775DC6" w:rsidRDefault="00D5405F" w:rsidP="003F74A9">
      <w:pPr>
        <w:jc w:val="both"/>
        <w:rPr>
          <w:rFonts w:ascii="Arial" w:hAnsi="Arial" w:cs="Arial"/>
          <w:sz w:val="20"/>
        </w:rPr>
      </w:pPr>
      <w:r>
        <w:rPr>
          <w:rFonts w:ascii="Arial" w:hAnsi="Arial" w:cs="Arial"/>
          <w:sz w:val="20"/>
        </w:rPr>
        <w:t xml:space="preserve">Section 216A is broad enough to include intervention order proceedings.  This new section and the large number of </w:t>
      </w:r>
      <w:r w:rsidR="00775DC6">
        <w:rPr>
          <w:rFonts w:ascii="Arial" w:hAnsi="Arial" w:cs="Arial"/>
          <w:sz w:val="20"/>
        </w:rPr>
        <w:t xml:space="preserve">associated amendments </w:t>
      </w:r>
      <w:r w:rsidR="00775DC6" w:rsidRPr="00BF4C4A">
        <w:rPr>
          <w:rFonts w:ascii="Arial" w:hAnsi="Arial" w:cs="Arial"/>
          <w:color w:val="000000"/>
          <w:sz w:val="20"/>
        </w:rPr>
        <w:t xml:space="preserve">have resulted in changes to many prescribed forms: see </w:t>
      </w:r>
      <w:r w:rsidR="00775DC6" w:rsidRPr="00BF4C4A">
        <w:rPr>
          <w:rFonts w:ascii="Arial" w:hAnsi="Arial" w:cs="Arial"/>
          <w:b/>
          <w:i/>
          <w:color w:val="000000"/>
          <w:sz w:val="20"/>
        </w:rPr>
        <w:t>Children, Youth and Families (Children’s Court Family Division) Rules 201</w:t>
      </w:r>
      <w:r w:rsidR="004C770E">
        <w:rPr>
          <w:rFonts w:ascii="Arial" w:hAnsi="Arial" w:cs="Arial"/>
          <w:b/>
          <w:i/>
          <w:color w:val="000000"/>
          <w:sz w:val="20"/>
        </w:rPr>
        <w:t>7</w:t>
      </w:r>
      <w:r w:rsidR="004C770E" w:rsidRPr="004C770E">
        <w:rPr>
          <w:rFonts w:ascii="Arial" w:hAnsi="Arial" w:cs="Arial"/>
          <w:color w:val="000000"/>
          <w:sz w:val="20"/>
        </w:rPr>
        <w:t xml:space="preserve"> [S.R. No.20/2017]</w:t>
      </w:r>
      <w:r w:rsidR="00775DC6" w:rsidRPr="00BF4C4A">
        <w:rPr>
          <w:rFonts w:ascii="Arial" w:hAnsi="Arial" w:cs="Arial"/>
          <w:color w:val="000000"/>
          <w:sz w:val="20"/>
        </w:rPr>
        <w:t>.</w:t>
      </w:r>
    </w:p>
    <w:p w14:paraId="4880C5ED" w14:textId="77777777" w:rsidR="00775DC6" w:rsidRDefault="00775DC6" w:rsidP="00775DC6">
      <w:pPr>
        <w:jc w:val="both"/>
        <w:rPr>
          <w:rFonts w:ascii="Arial" w:hAnsi="Arial" w:cs="Arial"/>
          <w:sz w:val="20"/>
        </w:rPr>
      </w:pPr>
    </w:p>
    <w:p w14:paraId="0F35EC51" w14:textId="77777777" w:rsidR="00775DC6" w:rsidRDefault="00775DC6" w:rsidP="00775DC6">
      <w:pPr>
        <w:jc w:val="both"/>
        <w:rPr>
          <w:rFonts w:ascii="Arial" w:hAnsi="Arial" w:cs="Arial"/>
          <w:sz w:val="20"/>
        </w:rPr>
      </w:pPr>
      <w:r w:rsidRPr="00BF4C4A">
        <w:rPr>
          <w:rFonts w:ascii="Arial" w:hAnsi="Arial" w:cs="Arial"/>
          <w:color w:val="000000"/>
          <w:sz w:val="20"/>
        </w:rPr>
        <w:t xml:space="preserve">The only applications for which the amended </w:t>
      </w:r>
      <w:r w:rsidR="00D5405F" w:rsidRPr="00D5405F">
        <w:rPr>
          <w:rFonts w:ascii="Arial" w:hAnsi="Arial" w:cs="Arial"/>
          <w:color w:val="000000"/>
          <w:sz w:val="20"/>
        </w:rPr>
        <w:t>CYFA</w:t>
      </w:r>
      <w:r w:rsidRPr="00BF4C4A">
        <w:rPr>
          <w:rFonts w:ascii="Arial" w:hAnsi="Arial" w:cs="Arial"/>
          <w:color w:val="000000"/>
          <w:sz w:val="20"/>
        </w:rPr>
        <w:t xml:space="preserve"> requires that the child attend Court are-</w:t>
      </w:r>
    </w:p>
    <w:p w14:paraId="22B7A36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-s.228</w:t>
      </w:r>
      <w:r w:rsidRPr="00BF4C4A">
        <w:rPr>
          <w:rFonts w:ascii="Arial" w:hAnsi="Arial" w:cs="Arial"/>
          <w:color w:val="000000"/>
          <w:sz w:val="20"/>
        </w:rPr>
        <w:t>: Application for Temporary Assessment Order by notice;</w:t>
      </w:r>
    </w:p>
    <w:p w14:paraId="7A03DD23" w14:textId="77777777" w:rsidR="00775DC6" w:rsidRPr="00BF4C4A" w:rsidRDefault="00775DC6">
      <w:pPr>
        <w:numPr>
          <w:ilvl w:val="0"/>
          <w:numId w:val="33"/>
        </w:numPr>
        <w:tabs>
          <w:tab w:val="left" w:pos="363"/>
        </w:tabs>
        <w:spacing w:line="240" w:lineRule="exact"/>
        <w:ind w:left="284" w:hanging="284"/>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-s.246</w:t>
      </w:r>
      <w:r w:rsidRPr="00BF4C4A">
        <w:rPr>
          <w:rFonts w:ascii="Arial" w:hAnsi="Arial" w:cs="Arial"/>
          <w:color w:val="000000"/>
          <w:sz w:val="20"/>
        </w:rPr>
        <w:t>: Application for Therapeutic Treatment Order;</w:t>
      </w:r>
    </w:p>
    <w:p w14:paraId="01476F32"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2C817ECC"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EEA2356" w14:textId="77777777" w:rsidR="00775DC6" w:rsidRDefault="00775DC6" w:rsidP="00775DC6">
      <w:pPr>
        <w:jc w:val="both"/>
        <w:rPr>
          <w:rFonts w:ascii="Arial" w:hAnsi="Arial" w:cs="Arial"/>
          <w:sz w:val="20"/>
        </w:rPr>
      </w:pPr>
    </w:p>
    <w:p w14:paraId="775A8DAB" w14:textId="77777777" w:rsidR="00775DC6" w:rsidRPr="00BF4C4A" w:rsidRDefault="00775DC6" w:rsidP="00775DC6">
      <w:pPr>
        <w:tabs>
          <w:tab w:val="left" w:pos="363"/>
        </w:tabs>
        <w:spacing w:line="240" w:lineRule="exact"/>
        <w:jc w:val="both"/>
        <w:rPr>
          <w:rFonts w:ascii="Arial" w:hAnsi="Arial" w:cs="Arial"/>
          <w:color w:val="000000"/>
          <w:sz w:val="20"/>
        </w:rPr>
      </w:pPr>
      <w:r w:rsidRPr="00BF4C4A">
        <w:rPr>
          <w:rFonts w:ascii="Arial" w:hAnsi="Arial" w:cs="Arial"/>
          <w:color w:val="000000"/>
          <w:sz w:val="20"/>
        </w:rPr>
        <w:t>Unless a child wishes to attend or the Court orders that a child attend Court, the child is no longer required to attend or be brought before the Court for the hearing of any other child protection applications.  These include-</w:t>
      </w:r>
    </w:p>
    <w:p w14:paraId="67F9BF3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-s.235</w:t>
      </w:r>
      <w:r w:rsidRPr="00BF4C4A">
        <w:rPr>
          <w:rFonts w:ascii="Arial" w:hAnsi="Arial" w:cs="Arial"/>
          <w:color w:val="000000"/>
          <w:sz w:val="20"/>
        </w:rPr>
        <w:t>: Application to Vary or Revoke a Temporary Assessment Order;</w:t>
      </w:r>
    </w:p>
    <w:p w14:paraId="732AC3E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-ss.240(1), 240(3), 243</w:t>
      </w:r>
      <w:r w:rsidRPr="00BF4C4A">
        <w:rPr>
          <w:rFonts w:ascii="Arial" w:hAnsi="Arial" w:cs="Arial"/>
          <w:color w:val="000000"/>
          <w:sz w:val="20"/>
        </w:rPr>
        <w:t>: Protection Application;</w:t>
      </w:r>
    </w:p>
    <w:p w14:paraId="4AAA63F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-s.252</w:t>
      </w:r>
      <w:r w:rsidRPr="00BF4C4A">
        <w:rPr>
          <w:rFonts w:ascii="Arial" w:hAnsi="Arial" w:cs="Arial"/>
          <w:color w:val="000000"/>
          <w:sz w:val="20"/>
        </w:rPr>
        <w:t>: Application for a Therapeutic Treatment (Placement) Order;</w:t>
      </w:r>
    </w:p>
    <w:p w14:paraId="05C9B5B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-s.255</w:t>
      </w:r>
      <w:r w:rsidRPr="00BF4C4A">
        <w:rPr>
          <w:rFonts w:ascii="Arial" w:hAnsi="Arial" w:cs="Arial"/>
          <w:color w:val="000000"/>
          <w:sz w:val="20"/>
        </w:rPr>
        <w:t>: Application for Extension of Therapeutic Treatment Order or Therapeutic Treatment (Placement) Order;</w:t>
      </w:r>
    </w:p>
    <w:p w14:paraId="264C6BFF"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-ss.257-258</w:t>
      </w:r>
      <w:r w:rsidRPr="00BF4C4A">
        <w:rPr>
          <w:rFonts w:ascii="Arial" w:hAnsi="Arial" w:cs="Arial"/>
          <w:color w:val="000000"/>
          <w:sz w:val="20"/>
        </w:rPr>
        <w:t>: Application to Vary or Revoke a Therapeutic Treatment Order or Therapeutic Treatment (Placement) Order;</w:t>
      </w:r>
    </w:p>
    <w:p w14:paraId="5CD7D28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-ss.259-260</w:t>
      </w:r>
      <w:r w:rsidRPr="00BF4C4A">
        <w:rPr>
          <w:rFonts w:ascii="Arial" w:hAnsi="Arial" w:cs="Arial"/>
          <w:color w:val="000000"/>
          <w:sz w:val="20"/>
        </w:rPr>
        <w:t>: Irreconcilable Differences Application;</w:t>
      </w:r>
    </w:p>
    <w:p w14:paraId="5EB55EE9"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-ss.268, 270</w:t>
      </w:r>
      <w:r w:rsidRPr="00BF4C4A">
        <w:rPr>
          <w:rFonts w:ascii="Arial" w:hAnsi="Arial" w:cs="Arial"/>
          <w:color w:val="000000"/>
          <w:sz w:val="20"/>
        </w:rPr>
        <w:t xml:space="preserve">: Application to Vary an Interim Accommodation Order or for a New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6F06FBDD"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-s.269</w:t>
      </w:r>
      <w:r w:rsidRPr="00BF4C4A">
        <w:rPr>
          <w:rFonts w:ascii="Arial" w:hAnsi="Arial" w:cs="Arial"/>
          <w:color w:val="000000"/>
          <w:sz w:val="20"/>
        </w:rPr>
        <w:t xml:space="preserve">: Application for Breach of an Interim Accommodation Order [except where the IAO was made under </w:t>
      </w:r>
      <w:r w:rsidRPr="00BF4C4A">
        <w:rPr>
          <w:rFonts w:ascii="Arial" w:hAnsi="Arial" w:cs="Arial"/>
          <w:b/>
          <w:i/>
          <w:color w:val="000000"/>
          <w:sz w:val="20"/>
        </w:rPr>
        <w:t>CYFA</w:t>
      </w:r>
      <w:r w:rsidRPr="00BF4C4A">
        <w:rPr>
          <w:rFonts w:ascii="Arial" w:hAnsi="Arial" w:cs="Arial"/>
          <w:b/>
          <w:color w:val="000000"/>
          <w:sz w:val="20"/>
        </w:rPr>
        <w:t>-s.262(1)(c)</w:t>
      </w:r>
      <w:r w:rsidRPr="00BF4C4A">
        <w:rPr>
          <w:rFonts w:ascii="Arial" w:hAnsi="Arial" w:cs="Arial"/>
          <w:color w:val="000000"/>
          <w:sz w:val="20"/>
        </w:rPr>
        <w:t xml:space="preserve"> on a Therapeutic Treatment Order application].</w:t>
      </w:r>
    </w:p>
    <w:p w14:paraId="79F94AB6"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-ss.273, 279</w:t>
      </w:r>
      <w:r w:rsidRPr="00BF4C4A">
        <w:rPr>
          <w:rFonts w:ascii="Arial" w:hAnsi="Arial" w:cs="Arial"/>
          <w:color w:val="000000"/>
          <w:sz w:val="20"/>
        </w:rPr>
        <w:t>: Application to Vary or Revoke an Undertaking;</w:t>
      </w:r>
    </w:p>
    <w:p w14:paraId="6BB42B04" w14:textId="77777777" w:rsidR="004C770E" w:rsidRPr="004C770E" w:rsidRDefault="004C770E">
      <w:pPr>
        <w:numPr>
          <w:ilvl w:val="0"/>
          <w:numId w:val="33"/>
        </w:numPr>
        <w:tabs>
          <w:tab w:val="left" w:pos="363"/>
        </w:tabs>
        <w:spacing w:line="240" w:lineRule="exact"/>
        <w:ind w:left="357" w:hanging="357"/>
        <w:jc w:val="both"/>
        <w:rPr>
          <w:rFonts w:ascii="Arial" w:hAnsi="Arial" w:cs="Arial"/>
          <w:color w:val="000000"/>
          <w:sz w:val="20"/>
        </w:rPr>
      </w:pPr>
      <w:r w:rsidRPr="004C770E">
        <w:rPr>
          <w:rFonts w:ascii="Arial" w:hAnsi="Arial" w:cs="Arial"/>
          <w:b/>
          <w:color w:val="000000"/>
          <w:sz w:val="20"/>
          <w:u w:val="single"/>
        </w:rPr>
        <w:t>CYFA-ss.289(1A), 290(1A)</w:t>
      </w:r>
      <w:r>
        <w:rPr>
          <w:rFonts w:ascii="Arial" w:hAnsi="Arial" w:cs="Arial"/>
          <w:color w:val="000000"/>
          <w:sz w:val="20"/>
        </w:rPr>
        <w:t>: Applications for care by Sec Order/Long-term care Order</w:t>
      </w:r>
    </w:p>
    <w:p w14:paraId="79E31EE0"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lastRenderedPageBreak/>
        <w:t>CYFA</w:t>
      </w:r>
      <w:r w:rsidRPr="00BF4C4A">
        <w:rPr>
          <w:rFonts w:ascii="Arial" w:hAnsi="Arial" w:cs="Arial"/>
          <w:b/>
          <w:color w:val="000000"/>
          <w:sz w:val="20"/>
          <w:u w:val="single"/>
        </w:rPr>
        <w:t>-ss.293, 294</w:t>
      </w:r>
      <w:r w:rsidRPr="00BF4C4A">
        <w:rPr>
          <w:rFonts w:ascii="Arial" w:hAnsi="Arial" w:cs="Arial"/>
          <w:color w:val="000000"/>
          <w:sz w:val="20"/>
        </w:rPr>
        <w:t>: Application for Extension of a Protection Order;</w:t>
      </w:r>
    </w:p>
    <w:p w14:paraId="19248345"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-ss.300, 304</w:t>
      </w:r>
      <w:r w:rsidRPr="00BF4C4A">
        <w:rPr>
          <w:rFonts w:ascii="Arial" w:hAnsi="Arial" w:cs="Arial"/>
          <w:color w:val="000000"/>
          <w:sz w:val="20"/>
        </w:rPr>
        <w:t>: Application to Vary or Revoke a Protection Order;</w:t>
      </w:r>
    </w:p>
    <w:p w14:paraId="28CCA657"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-s.305</w:t>
      </w:r>
      <w:r w:rsidRPr="00BF4C4A">
        <w:rPr>
          <w:rFonts w:ascii="Arial" w:hAnsi="Arial" w:cs="Arial"/>
          <w:color w:val="000000"/>
          <w:sz w:val="20"/>
        </w:rPr>
        <w:t xml:space="preserve">: Application to Revoke a </w:t>
      </w:r>
      <w:r w:rsidR="004C770E">
        <w:rPr>
          <w:rFonts w:ascii="Arial" w:hAnsi="Arial" w:cs="Arial"/>
          <w:color w:val="000000"/>
          <w:sz w:val="20"/>
        </w:rPr>
        <w:t>c</w:t>
      </w:r>
      <w:r w:rsidR="004E1436">
        <w:rPr>
          <w:rFonts w:ascii="Arial" w:hAnsi="Arial" w:cs="Arial"/>
          <w:color w:val="000000"/>
          <w:sz w:val="20"/>
        </w:rPr>
        <w:t>are by</w:t>
      </w:r>
      <w:r w:rsidRPr="00BF4C4A">
        <w:rPr>
          <w:rFonts w:ascii="Arial" w:hAnsi="Arial" w:cs="Arial"/>
          <w:color w:val="000000"/>
          <w:sz w:val="20"/>
        </w:rPr>
        <w:t xml:space="preserve"> Secretary Order;</w:t>
      </w:r>
    </w:p>
    <w:p w14:paraId="4E161AE4"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-s.306</w:t>
      </w:r>
      <w:r w:rsidRPr="00BF4C4A">
        <w:rPr>
          <w:rFonts w:ascii="Arial" w:hAnsi="Arial" w:cs="Arial"/>
          <w:color w:val="000000"/>
          <w:sz w:val="20"/>
        </w:rPr>
        <w:t>: Application to Revoke a</w:t>
      </w:r>
      <w:r w:rsidR="004C770E">
        <w:rPr>
          <w:rFonts w:ascii="Arial" w:hAnsi="Arial" w:cs="Arial"/>
          <w:color w:val="000000"/>
          <w:sz w:val="20"/>
        </w:rPr>
        <w:t xml:space="preserve"> l</w:t>
      </w:r>
      <w:r w:rsidRPr="00BF4C4A">
        <w:rPr>
          <w:rFonts w:ascii="Arial" w:hAnsi="Arial" w:cs="Arial"/>
          <w:color w:val="000000"/>
          <w:sz w:val="20"/>
        </w:rPr>
        <w:t>ong-</w:t>
      </w:r>
      <w:r w:rsidR="004E1436">
        <w:rPr>
          <w:rFonts w:ascii="Arial" w:hAnsi="Arial" w:cs="Arial"/>
          <w:color w:val="000000"/>
          <w:sz w:val="20"/>
        </w:rPr>
        <w:t>t</w:t>
      </w:r>
      <w:r w:rsidRPr="00BF4C4A">
        <w:rPr>
          <w:rFonts w:ascii="Arial" w:hAnsi="Arial" w:cs="Arial"/>
          <w:color w:val="000000"/>
          <w:sz w:val="20"/>
        </w:rPr>
        <w:t xml:space="preserve">erm </w:t>
      </w:r>
      <w:r w:rsidR="004E1436">
        <w:rPr>
          <w:rFonts w:ascii="Arial" w:hAnsi="Arial" w:cs="Arial"/>
          <w:color w:val="000000"/>
          <w:sz w:val="20"/>
        </w:rPr>
        <w:t>Care</w:t>
      </w:r>
      <w:r w:rsidRPr="00BF4C4A">
        <w:rPr>
          <w:rFonts w:ascii="Arial" w:hAnsi="Arial" w:cs="Arial"/>
          <w:color w:val="000000"/>
          <w:sz w:val="20"/>
        </w:rPr>
        <w:t xml:space="preserve"> Order;</w:t>
      </w:r>
    </w:p>
    <w:p w14:paraId="41127B03"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-s.312</w:t>
      </w:r>
      <w:r w:rsidRPr="00BF4C4A">
        <w:rPr>
          <w:rFonts w:ascii="Arial" w:hAnsi="Arial" w:cs="Arial"/>
          <w:color w:val="000000"/>
          <w:sz w:val="20"/>
        </w:rPr>
        <w:t>: Application for Breach of Protection Order;</w:t>
      </w:r>
    </w:p>
    <w:p w14:paraId="7D06084A"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-s.320</w:t>
      </w:r>
      <w:r w:rsidRPr="00BF4C4A">
        <w:rPr>
          <w:rFonts w:ascii="Arial" w:hAnsi="Arial" w:cs="Arial"/>
          <w:color w:val="000000"/>
          <w:sz w:val="20"/>
        </w:rPr>
        <w:t>: Application for a Permanent Care Order;</w:t>
      </w:r>
    </w:p>
    <w:p w14:paraId="6B78F5CB" w14:textId="77777777" w:rsidR="00775DC6" w:rsidRPr="00BF4C4A" w:rsidRDefault="00775DC6">
      <w:pPr>
        <w:numPr>
          <w:ilvl w:val="0"/>
          <w:numId w:val="33"/>
        </w:numPr>
        <w:tabs>
          <w:tab w:val="left" w:pos="363"/>
        </w:tabs>
        <w:spacing w:line="240" w:lineRule="exact"/>
        <w:ind w:left="357" w:hanging="357"/>
        <w:jc w:val="both"/>
        <w:rPr>
          <w:rFonts w:ascii="Arial" w:hAnsi="Arial" w:cs="Arial"/>
          <w:color w:val="000000"/>
          <w:sz w:val="20"/>
        </w:rPr>
      </w:pPr>
      <w:r w:rsidRPr="00BF4C4A">
        <w:rPr>
          <w:rFonts w:ascii="Arial" w:hAnsi="Arial" w:cs="Arial"/>
          <w:b/>
          <w:i/>
          <w:color w:val="000000"/>
          <w:sz w:val="20"/>
          <w:u w:val="single"/>
        </w:rPr>
        <w:t>CYFA</w:t>
      </w:r>
      <w:r w:rsidRPr="00BF4C4A">
        <w:rPr>
          <w:rFonts w:ascii="Arial" w:hAnsi="Arial" w:cs="Arial"/>
          <w:b/>
          <w:color w:val="000000"/>
          <w:sz w:val="20"/>
          <w:u w:val="single"/>
        </w:rPr>
        <w:t>-s.326</w:t>
      </w:r>
      <w:r w:rsidRPr="00BF4C4A">
        <w:rPr>
          <w:rFonts w:ascii="Arial" w:hAnsi="Arial" w:cs="Arial"/>
          <w:color w:val="000000"/>
          <w:sz w:val="20"/>
        </w:rPr>
        <w:t>: Application to Vary or Revoke a Permanent Care Order;</w:t>
      </w:r>
    </w:p>
    <w:p w14:paraId="1A7A50C7" w14:textId="77777777" w:rsidR="00775DC6" w:rsidRDefault="00775DC6">
      <w:pPr>
        <w:jc w:val="both"/>
        <w:rPr>
          <w:rFonts w:ascii="Arial" w:hAnsi="Arial" w:cs="Arial"/>
          <w:sz w:val="20"/>
        </w:rPr>
      </w:pPr>
    </w:p>
    <w:p w14:paraId="6179A8A6" w14:textId="77777777" w:rsidR="003D6315" w:rsidRDefault="003D6315">
      <w:pPr>
        <w:jc w:val="both"/>
        <w:rPr>
          <w:rFonts w:ascii="Arial" w:hAnsi="Arial" w:cs="Arial"/>
          <w:sz w:val="20"/>
        </w:rPr>
      </w:pPr>
      <w:r>
        <w:rPr>
          <w:rFonts w:ascii="Arial" w:hAnsi="Arial" w:cs="Arial"/>
          <w:sz w:val="20"/>
        </w:rPr>
        <w:t>However, ss.243(3)</w:t>
      </w:r>
      <w:r w:rsidR="00A662CF">
        <w:rPr>
          <w:rFonts w:ascii="Arial" w:hAnsi="Arial" w:cs="Arial"/>
          <w:sz w:val="20"/>
        </w:rPr>
        <w:t>, 261(1),</w:t>
      </w:r>
      <w:r>
        <w:rPr>
          <w:rFonts w:ascii="Arial" w:hAnsi="Arial" w:cs="Arial"/>
          <w:sz w:val="20"/>
        </w:rPr>
        <w:t xml:space="preserve"> </w:t>
      </w:r>
      <w:r w:rsidR="00A662CF">
        <w:rPr>
          <w:rFonts w:ascii="Arial" w:hAnsi="Arial" w:cs="Arial"/>
          <w:sz w:val="20"/>
        </w:rPr>
        <w:t xml:space="preserve">268(5), 269(3), 270(5), </w:t>
      </w:r>
      <w:r w:rsidR="00DA02C6">
        <w:rPr>
          <w:rFonts w:ascii="Arial" w:hAnsi="Arial" w:cs="Arial"/>
          <w:sz w:val="20"/>
        </w:rPr>
        <w:t xml:space="preserve">291(4) &amp; 313 </w:t>
      </w:r>
      <w:r>
        <w:rPr>
          <w:rFonts w:ascii="Arial" w:hAnsi="Arial" w:cs="Arial"/>
          <w:sz w:val="20"/>
        </w:rPr>
        <w:t xml:space="preserve">empower the Court to issue a search warrant for the purpose of having a child </w:t>
      </w:r>
      <w:r w:rsidR="00A662CF">
        <w:rPr>
          <w:rFonts w:ascii="Arial" w:hAnsi="Arial" w:cs="Arial"/>
          <w:sz w:val="20"/>
        </w:rPr>
        <w:t xml:space="preserve">apprehended and </w:t>
      </w:r>
      <w:r>
        <w:rPr>
          <w:rFonts w:ascii="Arial" w:hAnsi="Arial" w:cs="Arial"/>
          <w:sz w:val="20"/>
        </w:rPr>
        <w:t xml:space="preserve">placed in emergency care </w:t>
      </w:r>
      <w:r w:rsidR="00A662CF">
        <w:rPr>
          <w:rFonts w:ascii="Arial" w:hAnsi="Arial" w:cs="Arial"/>
          <w:sz w:val="20"/>
        </w:rPr>
        <w:t xml:space="preserve">in certain circumstances </w:t>
      </w:r>
      <w:r>
        <w:rPr>
          <w:rFonts w:ascii="Arial" w:hAnsi="Arial" w:cs="Arial"/>
          <w:sz w:val="20"/>
        </w:rPr>
        <w:t xml:space="preserve">if the Court </w:t>
      </w:r>
      <w:r w:rsidR="00A662CF">
        <w:rPr>
          <w:rFonts w:ascii="Arial" w:hAnsi="Arial" w:cs="Arial"/>
          <w:sz w:val="20"/>
        </w:rPr>
        <w:t xml:space="preserve">has </w:t>
      </w:r>
      <w:r>
        <w:rPr>
          <w:rFonts w:ascii="Arial" w:hAnsi="Arial" w:cs="Arial"/>
          <w:sz w:val="20"/>
        </w:rPr>
        <w:t>order</w:t>
      </w:r>
      <w:r w:rsidR="00A662CF">
        <w:rPr>
          <w:rFonts w:ascii="Arial" w:hAnsi="Arial" w:cs="Arial"/>
          <w:sz w:val="20"/>
        </w:rPr>
        <w:t>ed</w:t>
      </w:r>
      <w:r>
        <w:rPr>
          <w:rFonts w:ascii="Arial" w:hAnsi="Arial" w:cs="Arial"/>
          <w:sz w:val="20"/>
        </w:rPr>
        <w:t xml:space="preserve"> that the child appear before the Court </w:t>
      </w:r>
      <w:r w:rsidR="00A662CF">
        <w:rPr>
          <w:rFonts w:ascii="Arial" w:hAnsi="Arial" w:cs="Arial"/>
          <w:sz w:val="20"/>
        </w:rPr>
        <w:t xml:space="preserve">for the hearing of the relevant </w:t>
      </w:r>
      <w:r>
        <w:rPr>
          <w:rFonts w:ascii="Arial" w:hAnsi="Arial" w:cs="Arial"/>
          <w:sz w:val="20"/>
        </w:rPr>
        <w:t>application and the child does not appear.</w:t>
      </w:r>
    </w:p>
    <w:p w14:paraId="1347D7A7" w14:textId="77777777" w:rsidR="003D6315" w:rsidRDefault="003D6315">
      <w:pPr>
        <w:jc w:val="both"/>
        <w:rPr>
          <w:rFonts w:ascii="Arial" w:hAnsi="Arial" w:cs="Arial"/>
          <w:sz w:val="20"/>
        </w:rPr>
      </w:pPr>
    </w:p>
    <w:p w14:paraId="4628D1FF" w14:textId="77777777" w:rsidR="00693223" w:rsidRDefault="00693223" w:rsidP="00CB1877">
      <w:pPr>
        <w:pStyle w:val="Heading2"/>
        <w:keepNext/>
        <w:keepLines/>
        <w:tabs>
          <w:tab w:val="left" w:pos="567"/>
        </w:tabs>
        <w:spacing w:line="240" w:lineRule="auto"/>
        <w:rPr>
          <w:rFonts w:ascii="Arial" w:hAnsi="Arial" w:cs="Arial"/>
          <w:b/>
          <w:bCs/>
        </w:rPr>
      </w:pPr>
      <w:bookmarkStart w:id="1269" w:name="_4.9_Family_Division"/>
      <w:bookmarkEnd w:id="1269"/>
      <w:r>
        <w:rPr>
          <w:rFonts w:ascii="Arial" w:hAnsi="Arial" w:cs="Arial"/>
          <w:b/>
          <w:bCs/>
        </w:rPr>
        <w:t>4.9</w:t>
      </w:r>
      <w:r>
        <w:rPr>
          <w:rFonts w:ascii="Arial" w:hAnsi="Arial" w:cs="Arial"/>
          <w:b/>
          <w:bCs/>
        </w:rPr>
        <w:tab/>
        <w:t>Family Division Court hearings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270D038C" w14:textId="77777777" w:rsidR="00693223" w:rsidRDefault="00693223" w:rsidP="00CB1877">
      <w:pPr>
        <w:keepNext/>
        <w:keepLines/>
        <w:jc w:val="both"/>
        <w:rPr>
          <w:rFonts w:ascii="Arial" w:hAnsi="Arial" w:cs="Arial"/>
          <w:sz w:val="20"/>
        </w:rPr>
      </w:pPr>
    </w:p>
    <w:p w14:paraId="394DD884" w14:textId="636FCCE3" w:rsidR="00693223" w:rsidRDefault="00693223">
      <w:pPr>
        <w:jc w:val="both"/>
        <w:rPr>
          <w:rFonts w:ascii="Arial" w:hAnsi="Arial" w:cs="Arial"/>
          <w:sz w:val="20"/>
        </w:rPr>
      </w:pPr>
      <w:r>
        <w:rPr>
          <w:rFonts w:ascii="Arial" w:hAnsi="Arial" w:cs="Arial"/>
          <w:sz w:val="20"/>
        </w:rPr>
        <w:t>The pr</w:t>
      </w:r>
      <w:r w:rsidR="00C32207">
        <w:rPr>
          <w:rFonts w:ascii="Arial" w:hAnsi="Arial" w:cs="Arial"/>
          <w:sz w:val="20"/>
        </w:rPr>
        <w:t xml:space="preserve">ocessing of each of the </w:t>
      </w:r>
      <w:r>
        <w:rPr>
          <w:rFonts w:ascii="Arial" w:hAnsi="Arial" w:cs="Arial"/>
          <w:sz w:val="20"/>
        </w:rPr>
        <w:t xml:space="preserve">Family Division applications </w:t>
      </w:r>
      <w:r w:rsidR="00C652C6">
        <w:rPr>
          <w:rFonts w:ascii="Arial" w:hAnsi="Arial" w:cs="Arial"/>
          <w:sz w:val="20"/>
        </w:rPr>
        <w:t>{</w:t>
      </w:r>
      <w:r>
        <w:rPr>
          <w:rFonts w:ascii="Arial" w:hAnsi="Arial" w:cs="Arial"/>
          <w:sz w:val="20"/>
        </w:rPr>
        <w:t>other than applications for intervention orders</w:t>
      </w:r>
      <w:r w:rsidR="002F113C">
        <w:rPr>
          <w:rFonts w:ascii="Arial" w:hAnsi="Arial" w:cs="Arial"/>
          <w:sz w:val="20"/>
        </w:rPr>
        <w:t xml:space="preserve">, </w:t>
      </w:r>
      <w:r w:rsidR="00C652C6">
        <w:rPr>
          <w:rFonts w:ascii="Arial" w:hAnsi="Arial" w:cs="Arial"/>
          <w:sz w:val="20"/>
        </w:rPr>
        <w:t>temporary assessment orders</w:t>
      </w:r>
      <w:r w:rsidR="002F113C">
        <w:rPr>
          <w:rFonts w:ascii="Arial" w:hAnsi="Arial" w:cs="Arial"/>
          <w:sz w:val="20"/>
        </w:rPr>
        <w:t>, therapeutic treatment orders &amp; therapeutic treatment (placement) orders</w:t>
      </w:r>
      <w:r w:rsidR="00C652C6">
        <w:rPr>
          <w:rFonts w:ascii="Arial" w:hAnsi="Arial" w:cs="Arial"/>
          <w:sz w:val="20"/>
        </w:rPr>
        <w:t>}</w:t>
      </w:r>
      <w:r>
        <w:rPr>
          <w:rFonts w:ascii="Arial" w:hAnsi="Arial" w:cs="Arial"/>
          <w:sz w:val="20"/>
        </w:rPr>
        <w:t xml:space="preserve"> involves one or more court hearings as this chart </w:t>
      </w:r>
      <w:r w:rsidR="00C32207">
        <w:rPr>
          <w:rFonts w:ascii="Arial" w:hAnsi="Arial" w:cs="Arial"/>
          <w:sz w:val="20"/>
        </w:rPr>
        <w:t>shows</w:t>
      </w:r>
      <w:r w:rsidR="00061DAE">
        <w:rPr>
          <w:rFonts w:ascii="Arial" w:hAnsi="Arial" w:cs="Arial"/>
          <w:sz w:val="20"/>
        </w:rPr>
        <w:t>.</w:t>
      </w:r>
      <w:r w:rsidR="009C7A05">
        <w:rPr>
          <w:rFonts w:ascii="Arial" w:hAnsi="Arial" w:cs="Arial"/>
          <w:sz w:val="20"/>
        </w:rPr>
        <w:t xml:space="preserve"> The</w:t>
      </w:r>
      <w:r w:rsidR="00C16588">
        <w:rPr>
          <w:rFonts w:ascii="Arial" w:hAnsi="Arial" w:cs="Arial"/>
          <w:sz w:val="20"/>
        </w:rPr>
        <w:t> </w:t>
      </w:r>
      <w:r w:rsidR="009C7A05">
        <w:rPr>
          <w:rFonts w:ascii="Arial" w:hAnsi="Arial" w:cs="Arial"/>
          <w:sz w:val="20"/>
        </w:rPr>
        <w:t xml:space="preserve">Management of Child Protection proceedings is governed by Practice Direction </w:t>
      </w:r>
      <w:r w:rsidR="00D15D17">
        <w:rPr>
          <w:rFonts w:ascii="Arial" w:hAnsi="Arial" w:cs="Arial"/>
          <w:sz w:val="20"/>
        </w:rPr>
        <w:t>1 of 202</w:t>
      </w:r>
      <w:r w:rsidR="00522630">
        <w:rPr>
          <w:rFonts w:ascii="Arial" w:hAnsi="Arial" w:cs="Arial"/>
          <w:sz w:val="20"/>
        </w:rPr>
        <w:t>5</w:t>
      </w:r>
      <w:r w:rsidR="00D15D17">
        <w:rPr>
          <w:rFonts w:ascii="Arial" w:hAnsi="Arial" w:cs="Arial"/>
          <w:sz w:val="20"/>
        </w:rPr>
        <w:t>.</w:t>
      </w:r>
    </w:p>
    <w:p w14:paraId="3AE56DF3" w14:textId="77777777" w:rsidR="00C2321A" w:rsidRDefault="00C2321A" w:rsidP="00C2321A">
      <w:pPr>
        <w:jc w:val="both"/>
        <w:rPr>
          <w:rFonts w:ascii="Arial" w:hAnsi="Arial" w:cs="Arial"/>
          <w:sz w:val="20"/>
        </w:rPr>
      </w:pPr>
    </w:p>
    <w:p w14:paraId="6E28DF68" w14:textId="52053698" w:rsidR="00BB5CD0" w:rsidRDefault="003178FE">
      <w:pPr>
        <w:jc w:val="both"/>
        <w:rPr>
          <w:rFonts w:ascii="Arial" w:hAnsi="Arial" w:cs="Arial"/>
          <w:lang w:val="en-US"/>
        </w:rPr>
      </w:pPr>
      <w:r>
        <w:rPr>
          <w:noProof/>
        </w:rPr>
        <mc:AlternateContent>
          <mc:Choice Requires="wps">
            <w:drawing>
              <wp:anchor distT="0" distB="0" distL="114300" distR="114300" simplePos="0" relativeHeight="251656704" behindDoc="0" locked="0" layoutInCell="1" allowOverlap="1" wp14:anchorId="7294F666" wp14:editId="439F5178">
                <wp:simplePos x="0" y="0"/>
                <wp:positionH relativeFrom="column">
                  <wp:posOffset>2341245</wp:posOffset>
                </wp:positionH>
                <wp:positionV relativeFrom="paragraph">
                  <wp:posOffset>4180840</wp:posOffset>
                </wp:positionV>
                <wp:extent cx="635" cy="158750"/>
                <wp:effectExtent l="76200" t="0" r="56515" b="31750"/>
                <wp:wrapNone/>
                <wp:docPr id="808046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19050">
                          <a:solidFill>
                            <a:srgbClr val="00808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861032"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5pt,329.2pt" to="184.4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" strokecolor="teal" strokeweight="1.5pt">
                <v:stroke endarrow="block"/>
              </v:line>
            </w:pict>
          </mc:Fallback>
        </mc:AlternateContent>
      </w:r>
      <w:r>
        <w:rPr>
          <w:noProof/>
        </w:rPr>
        <mc:AlternateContent>
          <mc:Choice Requires="wpc">
            <w:drawing>
              <wp:inline distT="0" distB="0" distL="0" distR="0" wp14:anchorId="44C95EF8" wp14:editId="53D4BF1F">
                <wp:extent cx="5278120" cy="4777105"/>
                <wp:effectExtent l="17145" t="27940" r="29210" b="0"/>
                <wp:docPr id="2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71918153" name="Line 74"/>
                        <wps:cNvCnPr>
                          <a:cxnSpLocks noChangeShapeType="1"/>
                        </wps:cNvCnPr>
                        <wps:spPr bwMode="auto">
                          <a:xfrm flipH="1">
                            <a:off x="3168650" y="4030980"/>
                            <a:ext cx="757555" cy="460375"/>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719689430" name="Line 75"/>
                        <wps:cNvCnPr>
                          <a:cxnSpLocks noChangeShapeType="1"/>
                        </wps:cNvCnPr>
                        <wps:spPr bwMode="auto">
                          <a:xfrm>
                            <a:off x="2321560" y="3420110"/>
                            <a:ext cx="0" cy="745490"/>
                          </a:xfrm>
                          <a:prstGeom prst="line">
                            <a:avLst/>
                          </a:prstGeom>
                          <a:noFill/>
                          <a:ln w="19050">
                            <a:solidFill>
                              <a:srgbClr val="008080"/>
                            </a:solidFill>
                            <a:round/>
                            <a:headEnd/>
                            <a:tailEnd/>
                          </a:ln>
                          <a:extLst>
                            <a:ext uri="{909E8E84-426E-40DD-AFC4-6F175D3DCCD1}">
                              <a14:hiddenFill xmlns:a14="http://schemas.microsoft.com/office/drawing/2010/main">
                                <a:noFill/>
                              </a14:hiddenFill>
                            </a:ext>
                          </a:extLst>
                        </wps:spPr>
                        <wps:bodyPr/>
                      </wps:wsp>
                      <wps:wsp>
                        <wps:cNvPr id="1742330188" name="Line 76"/>
                        <wps:cNvCnPr>
                          <a:cxnSpLocks noChangeShapeType="1"/>
                        </wps:cNvCnPr>
                        <wps:spPr bwMode="auto">
                          <a:xfrm>
                            <a:off x="2066290" y="1019175"/>
                            <a:ext cx="0" cy="866775"/>
                          </a:xfrm>
                          <a:prstGeom prst="line">
                            <a:avLst/>
                          </a:prstGeom>
                          <a:noFill/>
                          <a:ln w="190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s:wsp>
                        <wps:cNvPr id="1773221052" name="Line 90"/>
                        <wps:cNvCnPr>
                          <a:cxnSpLocks noChangeShapeType="1"/>
                        </wps:cNvCnPr>
                        <wps:spPr bwMode="auto">
                          <a:xfrm>
                            <a:off x="4709795" y="1209040"/>
                            <a:ext cx="0" cy="18986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g:cNvPr id="2046095768" name="Group 92"/>
                        <wpg:cNvGrpSpPr>
                          <a:grpSpLocks/>
                        </wpg:cNvGrpSpPr>
                        <wpg:grpSpPr bwMode="auto">
                          <a:xfrm>
                            <a:off x="1659890" y="560705"/>
                            <a:ext cx="3049905" cy="701040"/>
                            <a:chOff x="2064" y="527"/>
                            <a:chExt cx="2714" cy="624"/>
                          </a:xfrm>
                        </wpg:grpSpPr>
                        <wps:wsp>
                          <wps:cNvPr id="2138296694" name="Line 93"/>
                          <wps:cNvCnPr>
                            <a:cxnSpLocks noChangeShapeType="1"/>
                          </wps:cNvCnPr>
                          <wps:spPr bwMode="auto">
                            <a:xfrm>
                              <a:off x="4778" y="674"/>
                              <a:ext cx="0" cy="226"/>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1771796591" name="Line 94"/>
                          <wps:cNvCnPr>
                            <a:cxnSpLocks noChangeShapeType="1"/>
                          </wps:cNvCnPr>
                          <wps:spPr bwMode="auto">
                            <a:xfrm>
                              <a:off x="2594" y="925"/>
                              <a:ext cx="0" cy="22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3740238" name="Line 95"/>
                          <wps:cNvCnPr>
                            <a:cxnSpLocks noChangeShapeType="1"/>
                          </wps:cNvCnPr>
                          <wps:spPr bwMode="auto">
                            <a:xfrm>
                              <a:off x="3393" y="899"/>
                              <a:ext cx="943" cy="0"/>
                            </a:xfrm>
                            <a:prstGeom prst="line">
                              <a:avLst/>
                            </a:prstGeom>
                            <a:noFill/>
                            <a:ln w="19050">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86345415" name="Line 96"/>
                          <wps:cNvCnPr>
                            <a:cxnSpLocks noChangeShapeType="1"/>
                          </wps:cNvCnPr>
                          <wps:spPr bwMode="auto">
                            <a:xfrm>
                              <a:off x="3405" y="646"/>
                              <a:ext cx="325" cy="0"/>
                            </a:xfrm>
                            <a:prstGeom prst="line">
                              <a:avLst/>
                            </a:prstGeom>
                            <a:noFill/>
                            <a:ln w="19050">
                              <a:solidFill>
                                <a:srgbClr val="00FF00"/>
                              </a:solidFill>
                              <a:round/>
                              <a:headEnd type="triangle" w="med" len="med"/>
                              <a:tailEnd/>
                            </a:ln>
                            <a:extLst>
                              <a:ext uri="{909E8E84-426E-40DD-AFC4-6F175D3DCCD1}">
                                <a14:hiddenFill xmlns:a14="http://schemas.microsoft.com/office/drawing/2010/main">
                                  <a:noFill/>
                                </a14:hiddenFill>
                              </a:ext>
                            </a:extLst>
                          </wps:spPr>
                          <wps:bodyPr/>
                        </wps:wsp>
                        <wps:wsp>
                          <wps:cNvPr id="424392850" name="Line 97"/>
                          <wps:cNvCnPr>
                            <a:cxnSpLocks noChangeShapeType="1"/>
                          </wps:cNvCnPr>
                          <wps:spPr bwMode="auto">
                            <a:xfrm>
                              <a:off x="2064" y="527"/>
                              <a:ext cx="0" cy="91"/>
                            </a:xfrm>
                            <a:prstGeom prst="line">
                              <a:avLst/>
                            </a:prstGeom>
                            <a:noFill/>
                            <a:ln w="19050">
                              <a:solidFill>
                                <a:srgbClr val="000066"/>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0A0A0"/>
                                    </a:outerShdw>
                                  </a:effectLst>
                                </a14:hiddenEffects>
                              </a:ext>
                            </a:extLst>
                          </wps:spPr>
                          <wps:bodyPr/>
                        </wps:wsp>
                      </wpg:wgp>
                      <wps:wsp>
                        <wps:cNvPr id="1753374725" name="Line 99"/>
                        <wps:cNvCnPr>
                          <a:cxnSpLocks noChangeShapeType="1"/>
                        </wps:cNvCnPr>
                        <wps:spPr bwMode="auto">
                          <a:xfrm>
                            <a:off x="2626360" y="1631315"/>
                            <a:ext cx="635" cy="26727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543636322" name="Line 100"/>
                        <wps:cNvCnPr>
                          <a:cxnSpLocks noChangeShapeType="1"/>
                        </wps:cNvCnPr>
                        <wps:spPr bwMode="auto">
                          <a:xfrm>
                            <a:off x="3166745" y="1612265"/>
                            <a:ext cx="1059815" cy="0"/>
                          </a:xfrm>
                          <a:prstGeom prst="line">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664596033" name="Line 101"/>
                        <wps:cNvCnPr>
                          <a:cxnSpLocks noChangeShapeType="1"/>
                        </wps:cNvCnPr>
                        <wps:spPr bwMode="auto">
                          <a:xfrm>
                            <a:off x="3168015" y="268668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88050147" name="Line 102"/>
                        <wps:cNvCnPr>
                          <a:cxnSpLocks noChangeShapeType="1"/>
                        </wps:cNvCnPr>
                        <wps:spPr bwMode="auto">
                          <a:xfrm>
                            <a:off x="3166745" y="2082165"/>
                            <a:ext cx="14249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1033964978" name="Line 103"/>
                        <wps:cNvCnPr>
                          <a:cxnSpLocks noChangeShapeType="1"/>
                        </wps:cNvCnPr>
                        <wps:spPr bwMode="auto">
                          <a:xfrm>
                            <a:off x="4587875" y="1880870"/>
                            <a:ext cx="0" cy="1618615"/>
                          </a:xfrm>
                          <a:prstGeom prst="line">
                            <a:avLst/>
                          </a:prstGeom>
                          <a:noFill/>
                          <a:ln w="19050">
                            <a:solidFill>
                              <a:srgbClr val="FF00FF"/>
                            </a:solidFill>
                            <a:round/>
                            <a:headEnd type="triangle" w="med" len="med"/>
                            <a:tailEnd/>
                          </a:ln>
                          <a:extLst>
                            <a:ext uri="{909E8E84-426E-40DD-AFC4-6F175D3DCCD1}">
                              <a14:hiddenFill xmlns:a14="http://schemas.microsoft.com/office/drawing/2010/main">
                                <a:noFill/>
                              </a14:hiddenFill>
                            </a:ext>
                          </a:extLst>
                        </wps:spPr>
                        <wps:bodyPr/>
                      </wps:wsp>
                      <wps:wsp>
                        <wps:cNvPr id="957344680" name="Line 104"/>
                        <wps:cNvCnPr>
                          <a:cxnSpLocks noChangeShapeType="1"/>
                        </wps:cNvCnPr>
                        <wps:spPr bwMode="auto">
                          <a:xfrm>
                            <a:off x="3168015" y="3225165"/>
                            <a:ext cx="142367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24966437" name="Line 105"/>
                        <wps:cNvCnPr>
                          <a:cxnSpLocks noChangeShapeType="1"/>
                        </wps:cNvCnPr>
                        <wps:spPr bwMode="auto">
                          <a:xfrm>
                            <a:off x="2526030" y="2217420"/>
                            <a:ext cx="635" cy="2088515"/>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1983884931" name="Line 106"/>
                        <wps:cNvCnPr>
                          <a:cxnSpLocks noChangeShapeType="1"/>
                        </wps:cNvCnPr>
                        <wps:spPr bwMode="auto">
                          <a:xfrm>
                            <a:off x="2423160" y="2849880"/>
                            <a:ext cx="635" cy="146812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g:wgp>
                        <wpg:cNvPr id="925253487" name="Group 150"/>
                        <wpg:cNvGrpSpPr>
                          <a:grpSpLocks/>
                        </wpg:cNvGrpSpPr>
                        <wpg:grpSpPr bwMode="auto">
                          <a:xfrm>
                            <a:off x="0" y="0"/>
                            <a:ext cx="5278120" cy="4648835"/>
                            <a:chOff x="1827" y="7928"/>
                            <a:chExt cx="8312" cy="7321"/>
                          </a:xfrm>
                        </wpg:grpSpPr>
                        <wps:wsp>
                          <wps:cNvPr id="763933227" name="Rectangle 108"/>
                          <wps:cNvSpPr>
                            <a:spLocks noChangeArrowheads="1"/>
                          </wps:cNvSpPr>
                          <wps:spPr bwMode="auto">
                            <a:xfrm>
                              <a:off x="2772" y="10429"/>
                              <a:ext cx="883" cy="573"/>
                            </a:xfrm>
                            <a:prstGeom prst="rect">
                              <a:avLst/>
                            </a:prstGeom>
                            <a:solidFill>
                              <a:srgbClr val="FF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wps:txbx>
                          <wps:bodyPr rot="0" vert="horz" wrap="square" lIns="33814" tIns="18034" rIns="33814" bIns="18034" anchor="t" anchorCtr="0" upright="1">
                            <a:noAutofit/>
                          </wps:bodyPr>
                        </wps:wsp>
                        <wps:wsp>
                          <wps:cNvPr id="670974263" name="Line 109"/>
                          <wps:cNvCnPr>
                            <a:cxnSpLocks noChangeShapeType="1"/>
                          </wps:cNvCnPr>
                          <wps:spPr bwMode="auto">
                            <a:xfrm>
                              <a:off x="2662" y="9701"/>
                              <a:ext cx="1" cy="436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3467287" name="Line 110"/>
                          <wps:cNvCnPr>
                            <a:cxnSpLocks noChangeShapeType="1"/>
                          </wps:cNvCnPr>
                          <wps:spPr bwMode="auto">
                            <a:xfrm>
                              <a:off x="7971" y="9832"/>
                              <a:ext cx="0" cy="363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55611411" name="Text Box 111"/>
                          <wps:cNvSpPr txBox="1">
                            <a:spLocks noChangeArrowheads="1"/>
                          </wps:cNvSpPr>
                          <wps:spPr bwMode="auto">
                            <a:xfrm>
                              <a:off x="3699" y="14698"/>
                              <a:ext cx="3115" cy="551"/>
                            </a:xfrm>
                            <a:prstGeom prst="rect">
                              <a:avLst/>
                            </a:prstGeom>
                            <a:solidFill>
                              <a:srgbClr val="C0C0C0">
                                <a:alpha val="50195"/>
                              </a:srgbClr>
                            </a:solidFill>
                            <a:ln w="9525">
                              <a:solidFill>
                                <a:srgbClr val="000000"/>
                              </a:solidFill>
                              <a:miter lim="800000"/>
                              <a:headEnd/>
                              <a:tailEnd/>
                            </a:ln>
                          </wps:spPr>
                          <wps:txbx>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wps:txbx>
                          <wps:bodyPr rot="0" vert="horz" wrap="square" lIns="64922" tIns="12780" rIns="64922" bIns="25560" anchor="t" anchorCtr="0" upright="1">
                            <a:noAutofit/>
                          </wps:bodyPr>
                        </wps:wsp>
                        <wps:wsp>
                          <wps:cNvPr id="466344619" name="Line 112"/>
                          <wps:cNvCnPr>
                            <a:cxnSpLocks noChangeShapeType="1"/>
                          </wps:cNvCnPr>
                          <wps:spPr bwMode="auto">
                            <a:xfrm>
                              <a:off x="2641" y="10255"/>
                              <a:ext cx="10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8992858" name="Rectangle 113"/>
                          <wps:cNvSpPr>
                            <a:spLocks noChangeArrowheads="1"/>
                          </wps:cNvSpPr>
                          <wps:spPr bwMode="auto">
                            <a:xfrm>
                              <a:off x="1846" y="7928"/>
                              <a:ext cx="8293" cy="501"/>
                            </a:xfrm>
                            <a:prstGeom prst="rect">
                              <a:avLst/>
                            </a:prstGeom>
                            <a:solidFill>
                              <a:srgbClr val="000000"/>
                            </a:solidFill>
                            <a:ln w="508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wps:txbx>
                          <wps:bodyPr rot="0" vert="horz" wrap="square" lIns="65373" tIns="32687" rIns="65373" bIns="32687" anchor="ctr" anchorCtr="0" upright="1">
                            <a:noAutofit/>
                          </wps:bodyPr>
                        </wps:wsp>
                        <wps:wsp>
                          <wps:cNvPr id="1311788659" name="Text Box 114"/>
                          <wps:cNvSpPr txBox="1">
                            <a:spLocks noChangeArrowheads="1"/>
                          </wps:cNvSpPr>
                          <wps:spPr bwMode="auto">
                            <a:xfrm>
                              <a:off x="7345" y="8563"/>
                              <a:ext cx="2782" cy="508"/>
                            </a:xfrm>
                            <a:prstGeom prst="rect">
                              <a:avLst/>
                            </a:prstGeom>
                            <a:solidFill>
                              <a:srgbClr val="00FF00"/>
                            </a:solidFill>
                            <a:ln w="9525">
                              <a:solidFill>
                                <a:srgbClr val="000000"/>
                              </a:solidFill>
                              <a:miter lim="800000"/>
                              <a:headEnd/>
                              <a:tailEnd/>
                            </a:ln>
                          </wps:spPr>
                          <wps:txbx>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wps:txbx>
                          <wps:bodyPr rot="0" vert="horz" wrap="square" lIns="64922" tIns="12780" rIns="64922" bIns="25560" anchor="t" anchorCtr="0" upright="1">
                            <a:noAutofit/>
                          </wps:bodyPr>
                        </wps:wsp>
                        <wps:wsp>
                          <wps:cNvPr id="2892567" name="Text Box 115"/>
                          <wps:cNvSpPr txBox="1">
                            <a:spLocks noChangeArrowheads="1"/>
                          </wps:cNvSpPr>
                          <wps:spPr bwMode="auto">
                            <a:xfrm>
                              <a:off x="7568" y="9430"/>
                              <a:ext cx="2472" cy="402"/>
                            </a:xfrm>
                            <a:prstGeom prst="rect">
                              <a:avLst/>
                            </a:prstGeom>
                            <a:solidFill>
                              <a:srgbClr val="FF0000"/>
                            </a:solidFill>
                            <a:ln w="9525">
                              <a:solidFill>
                                <a:srgbClr val="000000"/>
                              </a:solidFill>
                              <a:miter lim="800000"/>
                              <a:headEnd/>
                              <a:tailEnd/>
                            </a:ln>
                          </wps:spPr>
                          <wps:txbx>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wps:txbx>
                          <wps:bodyPr rot="0" vert="horz" wrap="square" lIns="64922" tIns="12780" rIns="64922" bIns="25560" anchor="t" anchorCtr="0" upright="1">
                            <a:noAutofit/>
                          </wps:bodyPr>
                        </wps:wsp>
                        <wps:wsp>
                          <wps:cNvPr id="174909980" name="Text Box 116"/>
                          <wps:cNvSpPr txBox="1">
                            <a:spLocks noChangeArrowheads="1"/>
                          </wps:cNvSpPr>
                          <wps:spPr bwMode="auto">
                            <a:xfrm>
                              <a:off x="1846" y="8986"/>
                              <a:ext cx="1545" cy="740"/>
                            </a:xfrm>
                            <a:prstGeom prst="rect">
                              <a:avLst/>
                            </a:prstGeom>
                            <a:solidFill>
                              <a:srgbClr val="C0C0C0">
                                <a:alpha val="50195"/>
                              </a:srgbClr>
                            </a:solidFill>
                            <a:ln w="9525">
                              <a:solidFill>
                                <a:srgbClr val="000000"/>
                              </a:solidFill>
                              <a:miter lim="800000"/>
                              <a:headEnd/>
                              <a:tailEnd/>
                            </a:ln>
                          </wps:spPr>
                          <wps:txbx>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wps:txbx>
                          <wps:bodyPr rot="0" vert="horz" wrap="square" lIns="64922" tIns="12780" rIns="64922" bIns="25560" anchor="t" anchorCtr="0" upright="1">
                            <a:noAutofit/>
                          </wps:bodyPr>
                        </wps:wsp>
                        <wps:wsp>
                          <wps:cNvPr id="1551819533" name="Text Box 117"/>
                          <wps:cNvSpPr txBox="1">
                            <a:spLocks noChangeArrowheads="1"/>
                          </wps:cNvSpPr>
                          <wps:spPr bwMode="auto">
                            <a:xfrm>
                              <a:off x="8470" y="10105"/>
                              <a:ext cx="1568" cy="785"/>
                            </a:xfrm>
                            <a:prstGeom prst="rect">
                              <a:avLst/>
                            </a:prstGeom>
                            <a:solidFill>
                              <a:srgbClr val="FF00FF"/>
                            </a:solidFill>
                            <a:ln w="9525">
                              <a:solidFill>
                                <a:srgbClr val="000000"/>
                              </a:solidFill>
                              <a:miter lim="800000"/>
                              <a:headEnd/>
                              <a:tailEnd/>
                            </a:ln>
                          </wps:spPr>
                          <wps:txbx>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wps:txbx>
                          <wps:bodyPr rot="0" vert="horz" wrap="square" lIns="64922" tIns="12780" rIns="64922" bIns="25560" anchor="t" anchorCtr="0" upright="1">
                            <a:noAutofit/>
                          </wps:bodyPr>
                        </wps:wsp>
                        <wps:wsp>
                          <wps:cNvPr id="737707437" name="Line 118"/>
                          <wps:cNvCnPr>
                            <a:cxnSpLocks noChangeShapeType="1"/>
                          </wps:cNvCnPr>
                          <wps:spPr bwMode="auto">
                            <a:xfrm>
                              <a:off x="2641" y="12159"/>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27887408" name="Line 119"/>
                          <wps:cNvCnPr>
                            <a:cxnSpLocks noChangeShapeType="1"/>
                          </wps:cNvCnPr>
                          <wps:spPr bwMode="auto">
                            <a:xfrm>
                              <a:off x="2641" y="11207"/>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644208" name="Text Box 120"/>
                          <wps:cNvSpPr txBox="1">
                            <a:spLocks noChangeArrowheads="1"/>
                          </wps:cNvSpPr>
                          <wps:spPr bwMode="auto">
                            <a:xfrm>
                              <a:off x="7237" y="13430"/>
                              <a:ext cx="2780" cy="867"/>
                            </a:xfrm>
                            <a:prstGeom prst="rect">
                              <a:avLst/>
                            </a:prstGeom>
                            <a:solidFill>
                              <a:srgbClr val="000080"/>
                            </a:solidFill>
                            <a:ln w="9525">
                              <a:solidFill>
                                <a:srgbClr val="000000"/>
                              </a:solidFill>
                              <a:miter lim="800000"/>
                              <a:headEnd/>
                              <a:tailEnd/>
                            </a:ln>
                          </wps:spPr>
                          <wps:txbx>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wps:txbx>
                          <wps:bodyPr rot="0" vert="horz" wrap="square" lIns="64922" tIns="12780" rIns="64922" bIns="25560" anchor="t" anchorCtr="0" upright="1">
                            <a:noAutofit/>
                          </wps:bodyPr>
                        </wps:wsp>
                        <wps:wsp>
                          <wps:cNvPr id="1289871182" name="Line 121"/>
                          <wps:cNvCnPr>
                            <a:cxnSpLocks noChangeShapeType="1"/>
                          </wps:cNvCnPr>
                          <wps:spPr bwMode="auto">
                            <a:xfrm>
                              <a:off x="9574" y="10844"/>
                              <a:ext cx="0" cy="2599"/>
                            </a:xfrm>
                            <a:prstGeom prst="line">
                              <a:avLst/>
                            </a:prstGeom>
                            <a:noFill/>
                            <a:ln w="19050">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1249379524" name="Text Box 122"/>
                          <wps:cNvSpPr txBox="1">
                            <a:spLocks noChangeArrowheads="1"/>
                          </wps:cNvSpPr>
                          <wps:spPr bwMode="auto">
                            <a:xfrm>
                              <a:off x="1827" y="8367"/>
                              <a:ext cx="3863" cy="317"/>
                            </a:xfrm>
                            <a:prstGeom prst="rect">
                              <a:avLst/>
                            </a:prstGeom>
                            <a:solidFill>
                              <a:srgbClr val="000000"/>
                            </a:solidFill>
                            <a:ln w="9525">
                              <a:solidFill>
                                <a:srgbClr val="000000"/>
                              </a:solidFill>
                              <a:miter lim="800000"/>
                              <a:headEnd/>
                              <a:tailEnd/>
                            </a:ln>
                          </wps:spPr>
                          <wps:txbx>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wps:txbx>
                          <wps:bodyPr rot="0" vert="horz" wrap="square" lIns="64922" tIns="32461" rIns="64922" bIns="32461" anchor="t" anchorCtr="0" upright="1">
                            <a:noAutofit/>
                          </wps:bodyPr>
                        </wps:wsp>
                        <wps:wsp>
                          <wps:cNvPr id="1208818513" name="Line 125"/>
                          <wps:cNvCnPr>
                            <a:cxnSpLocks noChangeShapeType="1"/>
                          </wps:cNvCnPr>
                          <wps:spPr bwMode="auto">
                            <a:xfrm>
                              <a:off x="5484" y="14467"/>
                              <a:ext cx="1" cy="250"/>
                            </a:xfrm>
                            <a:prstGeom prst="line">
                              <a:avLst/>
                            </a:prstGeom>
                            <a:noFill/>
                            <a:ln w="19050">
                              <a:solidFill>
                                <a:srgbClr val="008080"/>
                              </a:solidFill>
                              <a:round/>
                              <a:headEnd/>
                              <a:tailEnd type="triangle" w="med" len="med"/>
                            </a:ln>
                            <a:extLst>
                              <a:ext uri="{909E8E84-426E-40DD-AFC4-6F175D3DCCD1}">
                                <a14:hiddenFill xmlns:a14="http://schemas.microsoft.com/office/drawing/2010/main">
                                  <a:noFill/>
                                </a14:hiddenFill>
                              </a:ext>
                            </a:extLst>
                          </wps:spPr>
                          <wps:bodyPr/>
                        </wps:wsp>
                        <wps:wsp>
                          <wps:cNvPr id="731553109" name="Line 126"/>
                          <wps:cNvCnPr>
                            <a:cxnSpLocks noChangeShapeType="1"/>
                          </wps:cNvCnPr>
                          <wps:spPr bwMode="auto">
                            <a:xfrm>
                              <a:off x="2643" y="13111"/>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7479201" name="Line 127"/>
                          <wps:cNvCnPr>
                            <a:cxnSpLocks noChangeShapeType="1"/>
                          </wps:cNvCnPr>
                          <wps:spPr bwMode="auto">
                            <a:xfrm>
                              <a:off x="2643" y="14063"/>
                              <a:ext cx="1081"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539162" name="Line 128"/>
                          <wps:cNvCnPr>
                            <a:cxnSpLocks noChangeShapeType="1"/>
                          </wps:cNvCnPr>
                          <wps:spPr bwMode="auto">
                            <a:xfrm>
                              <a:off x="3262" y="10255"/>
                              <a:ext cx="0" cy="1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727540" name="Line 129"/>
                          <wps:cNvCnPr>
                            <a:cxnSpLocks noChangeShapeType="1"/>
                          </wps:cNvCnPr>
                          <wps:spPr bwMode="auto">
                            <a:xfrm>
                              <a:off x="3262" y="11051"/>
                              <a:ext cx="0" cy="1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647837" name="Text Box 131"/>
                          <wps:cNvSpPr txBox="1">
                            <a:spLocks noChangeArrowheads="1"/>
                          </wps:cNvSpPr>
                          <wps:spPr bwMode="auto">
                            <a:xfrm>
                              <a:off x="3699" y="11842"/>
                              <a:ext cx="3115" cy="551"/>
                            </a:xfrm>
                            <a:prstGeom prst="rect">
                              <a:avLst/>
                            </a:prstGeom>
                            <a:solidFill>
                              <a:srgbClr val="339966"/>
                            </a:solidFill>
                            <a:ln w="9525">
                              <a:solidFill>
                                <a:srgbClr val="000000"/>
                              </a:solidFill>
                              <a:miter lim="800000"/>
                              <a:headEnd/>
                              <a:tailEnd/>
                            </a:ln>
                          </wps:spPr>
                          <wps:txbx>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wps:txbx>
                          <wps:bodyPr rot="0" vert="horz" wrap="square" lIns="64922" tIns="12780" rIns="64922" bIns="25560" anchor="t" anchorCtr="0" upright="1">
                            <a:noAutofit/>
                          </wps:bodyPr>
                        </wps:wsp>
                        <wps:wsp>
                          <wps:cNvPr id="1987665959" name="Text Box 132"/>
                          <wps:cNvSpPr txBox="1">
                            <a:spLocks noChangeArrowheads="1"/>
                          </wps:cNvSpPr>
                          <wps:spPr bwMode="auto">
                            <a:xfrm>
                              <a:off x="3699" y="10890"/>
                              <a:ext cx="3115" cy="551"/>
                            </a:xfrm>
                            <a:prstGeom prst="rect">
                              <a:avLst/>
                            </a:prstGeom>
                            <a:solidFill>
                              <a:srgbClr val="339966"/>
                            </a:solidFill>
                            <a:ln w="9525">
                              <a:solidFill>
                                <a:srgbClr val="000000"/>
                              </a:solidFill>
                              <a:miter lim="800000"/>
                              <a:headEnd/>
                              <a:tailEnd/>
                            </a:ln>
                          </wps:spPr>
                          <wps:txbx>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wps:txbx>
                          <wps:bodyPr rot="0" vert="horz" wrap="square" lIns="64922" tIns="12780" rIns="64922" bIns="25560" anchor="t" anchorCtr="0" upright="1">
                            <a:noAutofit/>
                          </wps:bodyPr>
                        </wps:wsp>
                        <wps:wsp>
                          <wps:cNvPr id="2034316694" name="Text Box 133"/>
                          <wps:cNvSpPr txBox="1">
                            <a:spLocks noChangeArrowheads="1"/>
                          </wps:cNvSpPr>
                          <wps:spPr bwMode="auto">
                            <a:xfrm>
                              <a:off x="3705" y="12795"/>
                              <a:ext cx="3112" cy="550"/>
                            </a:xfrm>
                            <a:prstGeom prst="rect">
                              <a:avLst/>
                            </a:prstGeom>
                            <a:solidFill>
                              <a:srgbClr val="339966"/>
                            </a:solidFill>
                            <a:ln w="9525">
                              <a:solidFill>
                                <a:srgbClr val="000000"/>
                              </a:solidFill>
                              <a:miter lim="800000"/>
                              <a:headEnd/>
                              <a:tailEnd/>
                            </a:ln>
                          </wps:spPr>
                          <wps:txbx>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wps:txbx>
                          <wps:bodyPr rot="0" vert="horz" wrap="square" lIns="64922" tIns="12780" rIns="64922" bIns="25560" anchor="t" anchorCtr="0" upright="1">
                            <a:noAutofit/>
                          </wps:bodyPr>
                        </wps:wsp>
                        <wps:wsp>
                          <wps:cNvPr id="254353773" name="Text Box 134"/>
                          <wps:cNvSpPr txBox="1">
                            <a:spLocks noChangeArrowheads="1"/>
                          </wps:cNvSpPr>
                          <wps:spPr bwMode="auto">
                            <a:xfrm>
                              <a:off x="3705" y="13747"/>
                              <a:ext cx="3112" cy="550"/>
                            </a:xfrm>
                            <a:prstGeom prst="rect">
                              <a:avLst/>
                            </a:prstGeom>
                            <a:solidFill>
                              <a:srgbClr val="339966"/>
                            </a:solidFill>
                            <a:ln w="9525">
                              <a:solidFill>
                                <a:srgbClr val="000000"/>
                              </a:solidFill>
                              <a:miter lim="800000"/>
                              <a:headEnd/>
                              <a:tailEnd/>
                            </a:ln>
                          </wps:spPr>
                          <wps:txbx>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wps:txbx>
                          <wps:bodyPr rot="0" vert="horz" wrap="square" lIns="64922" tIns="12780" rIns="64922" bIns="25560" anchor="t" anchorCtr="0" upright="1">
                            <a:noAutofit/>
                          </wps:bodyPr>
                        </wps:wsp>
                        <wps:wsp>
                          <wps:cNvPr id="1695574080" name="Text Box 135"/>
                          <wps:cNvSpPr txBox="1">
                            <a:spLocks noChangeArrowheads="1"/>
                          </wps:cNvSpPr>
                          <wps:spPr bwMode="auto">
                            <a:xfrm>
                              <a:off x="3696" y="8961"/>
                              <a:ext cx="1467" cy="538"/>
                            </a:xfrm>
                            <a:prstGeom prst="rect">
                              <a:avLst/>
                            </a:prstGeom>
                            <a:solidFill>
                              <a:srgbClr val="00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wps:txbx>
                          <wps:bodyPr rot="0" vert="horz" wrap="square" lIns="64922" tIns="32461" rIns="64922" bIns="32461" anchor="t" anchorCtr="0" upright="1">
                            <a:noAutofit/>
                          </wps:bodyPr>
                        </wps:wsp>
                        <wps:wsp>
                          <wps:cNvPr id="1450638190" name="Text Box 136"/>
                          <wps:cNvSpPr txBox="1">
                            <a:spLocks noChangeArrowheads="1"/>
                          </wps:cNvSpPr>
                          <wps:spPr bwMode="auto">
                            <a:xfrm>
                              <a:off x="5260" y="8961"/>
                              <a:ext cx="1549" cy="538"/>
                            </a:xfrm>
                            <a:prstGeom prst="rect">
                              <a:avLst/>
                            </a:prstGeom>
                            <a:solidFill>
                              <a:srgbClr val="FF0000"/>
                            </a:solidFill>
                            <a:ln w="19050">
                              <a:solidFill>
                                <a:srgbClr val="FFFFFF"/>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A0A0A0"/>
                                    </a:outerShdw>
                                  </a:effectLst>
                                </a14:hiddenEffects>
                              </a:ext>
                            </a:extLst>
                          </wps:spPr>
                          <wps:txbx>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wps:txbx>
                          <wps:bodyPr rot="0" vert="horz" wrap="square" lIns="64922" tIns="32461" rIns="64922" bIns="32461" anchor="t" anchorCtr="0" upright="1">
                            <a:noAutofit/>
                          </wps:bodyPr>
                        </wps:wsp>
                        <wps:wsp>
                          <wps:cNvPr id="231778857" name="Text Box 137"/>
                          <wps:cNvSpPr txBox="1">
                            <a:spLocks noChangeArrowheads="1"/>
                          </wps:cNvSpPr>
                          <wps:spPr bwMode="auto">
                            <a:xfrm>
                              <a:off x="3699" y="9938"/>
                              <a:ext cx="3115" cy="551"/>
                            </a:xfrm>
                            <a:prstGeom prst="rect">
                              <a:avLst/>
                            </a:prstGeom>
                            <a:solidFill>
                              <a:srgbClr val="339966"/>
                            </a:solidFill>
                            <a:ln w="9525">
                              <a:solidFill>
                                <a:srgbClr val="000000"/>
                              </a:solidFill>
                              <a:miter lim="800000"/>
                              <a:headEnd/>
                              <a:tailEnd/>
                            </a:ln>
                          </wps:spPr>
                          <wps:txbx>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wps:txbx>
                          <wps:bodyPr rot="0" vert="horz" wrap="square" lIns="64922" tIns="12780" rIns="64922" bIns="25560" anchor="t" anchorCtr="0" upright="1">
                            <a:noAutofit/>
                          </wps:bodyPr>
                        </wps:wsp>
                      </wpg:wgp>
                      <wps:wsp>
                        <wps:cNvPr id="1474545851" name="TextBox 4"/>
                        <wps:cNvSpPr txBox="1">
                          <a:spLocks noChangeArrowheads="1"/>
                        </wps:cNvSpPr>
                        <wps:spPr bwMode="auto">
                          <a:xfrm>
                            <a:off x="2959100" y="3689985"/>
                            <a:ext cx="467995" cy="349250"/>
                          </a:xfrm>
                          <a:prstGeom prst="rect">
                            <a:avLst/>
                          </a:prstGeom>
                          <a:solidFill>
                            <a:schemeClr val="tx1">
                              <a:lumMod val="100000"/>
                              <a:lumOff val="0"/>
                            </a:schemeClr>
                          </a:solidFill>
                          <a:ln w="19050">
                            <a:pattFill prst="pct5">
                              <a:fgClr>
                                <a:srgbClr val="000000"/>
                              </a:fgClr>
                              <a:bgClr>
                                <a:schemeClr val="tx1">
                                  <a:lumMod val="100000"/>
                                  <a:lumOff val="0"/>
                                </a:schemeClr>
                              </a:bgClr>
                            </a:pattFill>
                            <a:miter lim="800000"/>
                            <a:headEnd/>
                            <a:tailEnd/>
                          </a:ln>
                          <a:effectLst>
                            <a:outerShdw dist="28398" dir="3806097" algn="ctr" rotWithShape="0">
                              <a:schemeClr val="lt1">
                                <a:lumMod val="50000"/>
                                <a:lumOff val="0"/>
                                <a:alpha val="50000"/>
                              </a:schemeClr>
                            </a:outerShdw>
                          </a:effectLst>
                        </wps:spPr>
                        <wps:txb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wps:txbx>
                        <wps:bodyPr rot="0" vert="horz" wrap="square" lIns="91440" tIns="45720" rIns="91440" bIns="45720" anchor="t" anchorCtr="0" upright="1">
                          <a:noAutofit/>
                        </wps:bodyPr>
                      </wps:wsp>
                    </wpc:wpc>
                  </a:graphicData>
                </a:graphic>
              </wp:inline>
            </w:drawing>
          </mc:Choice>
          <mc:Fallback>
            <w:pict>
              <v:group w14:anchorId="44C95EF8" id="Canvas 139" o:spid="_x0000_s1038" editas="canvas" style="width:415.6pt;height:376.15pt;mso-position-horizontal-relative:char;mso-position-vertical-relative:line" coordsize="52781,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">
                <v:shape id="_x0000_s1039" type="#_x0000_t75" style="position:absolute;width:52781;height:47771;visibility:visible;mso-wrap-style:square">
                  <v:fill o:detectmouseclick="t"/>
                  <v:path o:connecttype="none"/>
                </v:shape>
                <v:line id="Line 74" o:spid="_x0000_s1040" style="position:absolute;flip:x;visibility:visible;mso-wrap-style:square" from="31686,40309" to="39262,4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" strokecolor="navy" strokeweight="1.5pt">
                  <v:stroke startarrow="block"/>
                </v:line>
                <v:line id="Line 75" o:spid="_x0000_s1041" style="position:absolute;visibility:visible;mso-wrap-style:square" from="23215,34201" to="2321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" strokecolor="teal" strokeweight="1.5pt"/>
                <v:line id="Line 76" o:spid="_x0000_s1042" style="position:absolute;visibility:visible;mso-wrap-style:square" from="20662,10191" to="20662,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" strokeweight="1.5pt">
                  <v:stroke startarrowwidth="narrow" startarrowlength="short" endarrow="block" endarrowwidth="narrow" endarrowlength="short"/>
                  <v:shadow color="#a0a0a0"/>
                </v:line>
                <v:line id="Line 90" o:spid="_x0000_s1043" style="position:absolute;visibility:visible;mso-wrap-style:square" from="47097,12090" to="47097,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" strokeweight="1.5pt">
                  <v:stroke startarrow="block"/>
                </v:line>
                <v:group id="Group 92" o:spid="_x0000_s1044" style="position:absolute;left:16598;top:5607;width:30499;height:7010" coordorigin="2064,527" coordsize="271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">
                  <v:line id="Line 93" o:spid="_x0000_s1045" style="position:absolute;visibility:visible;mso-wrap-style:square" from="4778,674" to="477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" strokecolor="lime" strokeweight="1.5pt">
                    <v:stroke startarrow="block"/>
                  </v:line>
                  <v:line id="Line 94" o:spid="_x0000_s1046" style="position:absolute;visibility:visible;mso-wrap-style:square" from="2594,925" to="2594,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" strokecolor="red" strokeweight="1.5pt">
                    <v:stroke endarrow="block"/>
                  </v:line>
                  <v:line id="Line 95" o:spid="_x0000_s1047" style="position:absolute;visibility:visible;mso-wrap-style:square" from="3393,899" to="4336,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" strokecolor="red" strokeweight="1.5pt">
                    <v:stroke startarrow="block"/>
                  </v:line>
                  <v:line id="Line 96" o:spid="_x0000_s1048" style="position:absolute;visibility:visible;mso-wrap-style:square" from="3405,646" to="373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" strokecolor="lime" strokeweight="1.5pt">
                    <v:stroke startarrow="block"/>
                  </v:line>
                  <v:line id="Line 97" o:spid="_x0000_s1049" style="position:absolute;visibility:visible;mso-wrap-style:square" from="2064,527" to="206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" strokecolor="#006" strokeweight="1.5pt">
                    <v:stroke startarrowwidth="narrow" startarrowlength="short" endarrow="block" endarrowwidth="narrow" endarrowlength="short"/>
                    <v:shadow color="#a0a0a0"/>
                  </v:line>
                </v:group>
                <v:line id="Line 99" o:spid="_x0000_s1050" style="position:absolute;visibility:visible;mso-wrap-style:square" from="26263,16313" to="26269,4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" strokecolor="teal" strokeweight="1.5pt">
                  <v:stroke endarrow="block"/>
                </v:line>
                <v:line id="Line 100" o:spid="_x0000_s1051" style="position:absolute;visibility:visible;mso-wrap-style:square" from="31667,16122" to="42265,1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" strokecolor="fuchsia" strokeweight="1.5pt">
                  <v:stroke endarrow="block"/>
                </v:line>
                <v:line id="Line 101" o:spid="_x0000_s1052" style="position:absolute;visibility:visible;mso-wrap-style:square" from="31680,26866" to="45916,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" strokecolor="fuchsia" strokeweight="1.5pt"/>
                <v:line id="Line 102" o:spid="_x0000_s1053" style="position:absolute;visibility:visible;mso-wrap-style:square" from="31667,20821" to="45916,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" strokecolor="fuchsia" strokeweight="1.5pt"/>
                <v:line id="Line 103" o:spid="_x0000_s1054" style="position:absolute;visibility:visible;mso-wrap-style:square" from="45878,18808" to="45878,3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" strokecolor="fuchsia" strokeweight="1.5pt">
                  <v:stroke startarrow="block"/>
                </v:line>
                <v:line id="Line 104" o:spid="_x0000_s1055" style="position:absolute;visibility:visible;mso-wrap-style:square" from="31680,32251" to="45916,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" strokecolor="fuchsia" strokeweight="1.5pt"/>
                <v:line id="Line 105" o:spid="_x0000_s1056" style="position:absolute;visibility:visible;mso-wrap-style:square" from="25260,22174" to="2526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" strokecolor="teal" strokeweight="1.5pt">
                  <v:stroke endarrow="block"/>
                </v:line>
                <v:line id="Line 106" o:spid="_x0000_s1057" style="position:absolute;visibility:visible;mso-wrap-style:square" from="24231,28498" to="24237,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" strokecolor="teal" strokeweight="1.5pt">
                  <v:stroke endarrow="block"/>
                </v:line>
                <v:group id="Group 150" o:spid="_x0000_s1058" style="position:absolute;width:52781;height:46488" coordorigin="1827,7928" coordsize="8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">
                  <v:rect id="Rectangle 108" o:spid="_x0000_s1059" style="position:absolute;left:2772;top:10429;width:883;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" fillcolor="red" strokeweight=".5pt">
                    <v:shadow color="#a0a0a0"/>
                    <v:textbox inset=".93928mm,1.42pt,.93928mm,1.42pt">
                      <w:txbxContent>
                        <w:p w14:paraId="038A052F"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IAO</w:t>
                          </w:r>
                        </w:p>
                        <w:p w14:paraId="60F581B0" w14:textId="77777777" w:rsidR="00BB5CD0" w:rsidRPr="00E55AB0" w:rsidRDefault="00BB5CD0" w:rsidP="00BB5CD0">
                          <w:pPr>
                            <w:autoSpaceDE w:val="0"/>
                            <w:autoSpaceDN w:val="0"/>
                            <w:adjustRightInd w:val="0"/>
                            <w:jc w:val="center"/>
                            <w:rPr>
                              <w:rFonts w:ascii="Arial Rounded MT Bold" w:hAnsi="Arial Rounded MT Bold" w:cs="Arial Rounded MT Bold"/>
                              <w:b/>
                              <w:bCs/>
                              <w:color w:val="FFFFFF"/>
                              <w:sz w:val="14"/>
                            </w:rPr>
                          </w:pPr>
                          <w:r w:rsidRPr="00E55AB0">
                            <w:rPr>
                              <w:rFonts w:ascii="Arial Rounded MT Bold" w:hAnsi="Arial Rounded MT Bold" w:cs="Arial Rounded MT Bold"/>
                              <w:b/>
                              <w:bCs/>
                              <w:color w:val="FFFFFF"/>
                              <w:sz w:val="14"/>
                            </w:rPr>
                            <w:t>CONTEST</w:t>
                          </w:r>
                        </w:p>
                        <w:p w14:paraId="457D1DD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17"/>
                              <w:u w:val="single"/>
                            </w:rPr>
                          </w:pPr>
                          <w:r w:rsidRPr="00E55AB0">
                            <w:rPr>
                              <w:rFonts w:ascii="Arial Rounded MT Bold" w:hAnsi="Arial Rounded MT Bold" w:cs="Arial Rounded MT Bold"/>
                              <w:b/>
                              <w:bCs/>
                              <w:color w:val="FFFFFF"/>
                              <w:sz w:val="14"/>
                            </w:rPr>
                            <w:t>EVIDENCE</w:t>
                          </w:r>
                        </w:p>
                      </w:txbxContent>
                    </v:textbox>
                  </v:rect>
                  <v:line id="Line 109" o:spid="_x0000_s1060" style="position:absolute;visibility:visible;mso-wrap-style:square" from="2662,9701" to="2663,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" strokeweight="1.5pt">
                    <v:stroke startarrow="block"/>
                  </v:line>
                  <v:line id="Line 110" o:spid="_x0000_s1061" style="position:absolute;visibility:visible;mso-wrap-style:square" from="7971,9832" to="7971,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" strokecolor="navy" strokeweight="1.5pt">
                    <v:stroke startarrow="block"/>
                  </v:line>
                  <v:shape id="Text Box 111" o:spid="_x0000_s1062" type="#_x0000_t202" style="position:absolute;left:3699;top:1469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" fillcolor="silver">
                    <v:fill opacity="32896f"/>
                    <v:textbox inset="1.80339mm,.355mm,1.80339mm,.71mm">
                      <w:txbxContent>
                        <w:p w14:paraId="1E303BD8" w14:textId="431BE6EA" w:rsidR="00BB5CD0" w:rsidRPr="00BB5CD0" w:rsidRDefault="00BB5CD0" w:rsidP="00B647F6">
                          <w:pPr>
                            <w:autoSpaceDE w:val="0"/>
                            <w:autoSpaceDN w:val="0"/>
                            <w:adjustRightInd w:val="0"/>
                            <w:spacing w:before="40"/>
                            <w:jc w:val="center"/>
                            <w:rPr>
                              <w:b/>
                              <w:bCs/>
                              <w:color w:val="000000"/>
                              <w:sz w:val="18"/>
                              <w:szCs w:val="22"/>
                            </w:rPr>
                          </w:pPr>
                          <w:r w:rsidRPr="00BB5CD0">
                            <w:rPr>
                              <w:b/>
                              <w:bCs/>
                              <w:color w:val="000000"/>
                              <w:sz w:val="18"/>
                              <w:szCs w:val="22"/>
                            </w:rPr>
                            <w:t xml:space="preserve">APPLICATION PROVED </w:t>
                          </w:r>
                          <w:r w:rsidR="00527793">
                            <w:rPr>
                              <w:b/>
                              <w:bCs/>
                              <w:color w:val="000000"/>
                              <w:sz w:val="18"/>
                              <w:szCs w:val="22"/>
                            </w:rPr>
                            <w:t>–</w:t>
                          </w:r>
                          <w:r w:rsidRPr="00BB5CD0">
                            <w:rPr>
                              <w:b/>
                              <w:bCs/>
                              <w:color w:val="000000"/>
                              <w:sz w:val="18"/>
                              <w:szCs w:val="22"/>
                            </w:rPr>
                            <w:t xml:space="preserve"> </w:t>
                          </w:r>
                        </w:p>
                        <w:p w14:paraId="3B74989F" w14:textId="77777777" w:rsidR="00BB5CD0" w:rsidRPr="00BB5CD0" w:rsidRDefault="00BB5CD0" w:rsidP="00BB5CD0">
                          <w:pPr>
                            <w:autoSpaceDE w:val="0"/>
                            <w:autoSpaceDN w:val="0"/>
                            <w:adjustRightInd w:val="0"/>
                            <w:jc w:val="center"/>
                            <w:rPr>
                              <w:rFonts w:ascii="Arial Rounded MT Bold" w:hAnsi="Arial Rounded MT Bold" w:cs="Arial Rounded MT Bold"/>
                              <w:color w:val="000000"/>
                              <w:sz w:val="32"/>
                              <w:szCs w:val="44"/>
                              <w:u w:val="single"/>
                            </w:rPr>
                          </w:pPr>
                          <w:r w:rsidRPr="00BB5CD0">
                            <w:rPr>
                              <w:b/>
                              <w:bCs/>
                              <w:color w:val="000000"/>
                              <w:sz w:val="18"/>
                              <w:szCs w:val="22"/>
                            </w:rPr>
                            <w:t>PROTECTION ORDER</w:t>
                          </w:r>
                        </w:p>
                      </w:txbxContent>
                    </v:textbox>
                  </v:shape>
                  <v:line id="Line 112" o:spid="_x0000_s1063" style="position:absolute;visibility:visible;mso-wrap-style:square" from="2641,10255" to="3722,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" strokeweight="1.5pt"/>
                  <v:rect id="Rectangle 113" o:spid="_x0000_s1064" style="position:absolute;left:1846;top:7928;width:8293;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" fillcolor="black" strokeweight="4pt">
                    <v:shadow color="#a0a0a0"/>
                    <v:textbox inset="1.81592mm,.90797mm,1.81592mm,.90797mm">
                      <w:txbxContent>
                        <w:p w14:paraId="14F92A56"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43"/>
                              <w:szCs w:val="60"/>
                              <w:u w:val="single"/>
                            </w:rPr>
                          </w:pPr>
                          <w:r w:rsidRPr="00153EF7">
                            <w:rPr>
                              <w:rFonts w:ascii="Arial Rounded MT Bold" w:hAnsi="Arial Rounded MT Bold" w:cs="Arial Rounded MT Bold"/>
                              <w:color w:val="FFFFFF"/>
                              <w:sz w:val="27"/>
                              <w:szCs w:val="38"/>
                            </w:rPr>
                            <w:t>THE FAMILY DIVISION - PROTECTION &amp; IRD HEARINGS</w:t>
                          </w:r>
                        </w:p>
                      </w:txbxContent>
                    </v:textbox>
                  </v:rect>
                  <v:shape id="Text Box 114" o:spid="_x0000_s1065" type="#_x0000_t202" style="position:absolute;left:7345;top:8563;width:278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" fillcolor="lime">
                    <v:textbox inset="1.80339mm,.355mm,1.80339mm,.71mm">
                      <w:txbxContent>
                        <w:p w14:paraId="001CE1E1"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rFonts w:ascii="Arial Narrow" w:hAnsi="Arial Narrow" w:cs="Arial Narrow"/>
                              <w:b/>
                              <w:bCs/>
                              <w:color w:val="000000"/>
                              <w:szCs w:val="34"/>
                            </w:rPr>
                            <w:t>BAIL JUSTICE</w:t>
                          </w:r>
                        </w:p>
                      </w:txbxContent>
                    </v:textbox>
                  </v:shape>
                  <v:shape id="Text Box 115" o:spid="_x0000_s1066" type="#_x0000_t202" style="position:absolute;left:7568;top:9430;width:247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" fillcolor="red">
                    <v:textbox inset="1.80339mm,.355mm,1.80339mm,.71mm">
                      <w:txbxContent>
                        <w:p w14:paraId="24C06D20"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31"/>
                              <w:szCs w:val="44"/>
                              <w:u w:val="single"/>
                            </w:rPr>
                          </w:pPr>
                          <w:r w:rsidRPr="00153EF7">
                            <w:rPr>
                              <w:b/>
                              <w:bCs/>
                              <w:color w:val="FFFFFF"/>
                              <w:sz w:val="23"/>
                              <w:szCs w:val="32"/>
                            </w:rPr>
                            <w:sym w:font="Wingdings" w:char="F04C"/>
                          </w:r>
                          <w:r w:rsidRPr="00153EF7">
                            <w:rPr>
                              <w:b/>
                              <w:bCs/>
                              <w:color w:val="FFFFFF"/>
                              <w:sz w:val="17"/>
                            </w:rPr>
                            <w:t xml:space="preserve">  </w:t>
                          </w:r>
                          <w:r w:rsidR="002229EE">
                            <w:rPr>
                              <w:rFonts w:ascii="Arial Narrow" w:hAnsi="Arial Narrow" w:cs="Arial Narrow"/>
                              <w:b/>
                              <w:bCs/>
                              <w:color w:val="FFFFFF"/>
                              <w:sz w:val="21"/>
                              <w:szCs w:val="30"/>
                            </w:rPr>
                            <w:t>EMERGENCY CARE</w:t>
                          </w:r>
                        </w:p>
                      </w:txbxContent>
                    </v:textbox>
                  </v:shape>
                  <v:shape id="Text Box 116" o:spid="_x0000_s1067" type="#_x0000_t202" style="position:absolute;left:1846;top:8986;width:154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" fillcolor="silver">
                    <v:fill opacity="32896f"/>
                    <v:textbox inset="1.80339mm,.355mm,1.80339mm,.71mm">
                      <w:txbxContent>
                        <w:p w14:paraId="48F3E22F" w14:textId="77777777" w:rsidR="00BB5CD0" w:rsidRPr="00153EF7" w:rsidRDefault="00BB5CD0" w:rsidP="00527793">
                          <w:pPr>
                            <w:autoSpaceDE w:val="0"/>
                            <w:autoSpaceDN w:val="0"/>
                            <w:adjustRightInd w:val="0"/>
                            <w:spacing w:before="40"/>
                            <w:jc w:val="center"/>
                            <w:rPr>
                              <w:b/>
                              <w:bCs/>
                              <w:color w:val="000000"/>
                              <w:sz w:val="17"/>
                            </w:rPr>
                          </w:pPr>
                          <w:r w:rsidRPr="00153EF7">
                            <w:rPr>
                              <w:b/>
                              <w:bCs/>
                              <w:color w:val="000000"/>
                              <w:sz w:val="17"/>
                            </w:rPr>
                            <w:t>STRUCK OUT</w:t>
                          </w:r>
                        </w:p>
                        <w:p w14:paraId="4F39085B" w14:textId="77777777" w:rsidR="00BB5CD0" w:rsidRPr="00153EF7" w:rsidRDefault="00BB5CD0" w:rsidP="00BB5CD0">
                          <w:pPr>
                            <w:autoSpaceDE w:val="0"/>
                            <w:autoSpaceDN w:val="0"/>
                            <w:adjustRightInd w:val="0"/>
                            <w:jc w:val="center"/>
                            <w:rPr>
                              <w:b/>
                              <w:bCs/>
                              <w:color w:val="000000"/>
                              <w:sz w:val="16"/>
                              <w:szCs w:val="22"/>
                            </w:rPr>
                          </w:pPr>
                          <w:r w:rsidRPr="00153EF7">
                            <w:rPr>
                              <w:b/>
                              <w:bCs/>
                              <w:color w:val="000000"/>
                              <w:sz w:val="17"/>
                            </w:rPr>
                            <w:t>or DISMISSED</w:t>
                          </w:r>
                        </w:p>
                        <w:p w14:paraId="5A025862" w14:textId="77777777" w:rsidR="00BB5CD0" w:rsidRPr="00153EF7" w:rsidRDefault="00BB5CD0" w:rsidP="00BB5CD0">
                          <w:pPr>
                            <w:autoSpaceDE w:val="0"/>
                            <w:autoSpaceDN w:val="0"/>
                            <w:adjustRightInd w:val="0"/>
                            <w:jc w:val="center"/>
                            <w:rPr>
                              <w:rFonts w:ascii="Arial Rounded MT Bold" w:hAnsi="Arial Rounded MT Bold" w:cs="Arial Rounded MT Bold"/>
                              <w:color w:val="000000"/>
                              <w:sz w:val="31"/>
                              <w:szCs w:val="44"/>
                              <w:u w:val="single"/>
                            </w:rPr>
                          </w:pPr>
                          <w:r w:rsidRPr="00153EF7">
                            <w:rPr>
                              <w:b/>
                              <w:bCs/>
                              <w:color w:val="000000"/>
                              <w:sz w:val="17"/>
                            </w:rPr>
                            <w:t>or NO ORDER</w:t>
                          </w:r>
                        </w:p>
                      </w:txbxContent>
                    </v:textbox>
                  </v:shape>
                  <v:shape id="Text Box 117" o:spid="_x0000_s1068" type="#_x0000_t202" style="position:absolute;left:8470;top:10105;width:1568;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" fillcolor="fuchsia">
                    <v:textbox inset="1.80339mm,.355mm,1.80339mm,.71mm">
                      <w:txbxContent>
                        <w:p w14:paraId="1BDE7FB9" w14:textId="77777777" w:rsidR="00BB5CD0" w:rsidRPr="00153EF7" w:rsidRDefault="002229EE" w:rsidP="00BB5CD0">
                          <w:pPr>
                            <w:autoSpaceDE w:val="0"/>
                            <w:autoSpaceDN w:val="0"/>
                            <w:adjustRightInd w:val="0"/>
                            <w:spacing w:before="120"/>
                            <w:jc w:val="center"/>
                            <w:rPr>
                              <w:rFonts w:ascii="Arial Narrow" w:hAnsi="Arial Narrow" w:cs="Arial Narrow"/>
                              <w:b/>
                              <w:bCs/>
                              <w:color w:val="FFFFFF"/>
                              <w:sz w:val="20"/>
                              <w:szCs w:val="28"/>
                            </w:rPr>
                          </w:pPr>
                          <w:r>
                            <w:rPr>
                              <w:rFonts w:ascii="Arial Narrow" w:hAnsi="Arial Narrow" w:cs="Arial Narrow"/>
                              <w:b/>
                              <w:bCs/>
                              <w:color w:val="FFFFFF"/>
                              <w:sz w:val="20"/>
                              <w:szCs w:val="28"/>
                            </w:rPr>
                            <w:t>EMERG. CARE</w:t>
                          </w:r>
                        </w:p>
                        <w:p w14:paraId="41D6923B" w14:textId="77777777" w:rsidR="00BB5CD0" w:rsidRPr="00153EF7" w:rsidRDefault="00BB5CD0" w:rsidP="00BB5CD0">
                          <w:pPr>
                            <w:autoSpaceDE w:val="0"/>
                            <w:autoSpaceDN w:val="0"/>
                            <w:adjustRightInd w:val="0"/>
                            <w:spacing w:before="40"/>
                            <w:jc w:val="center"/>
                            <w:rPr>
                              <w:rFonts w:ascii="Arial Rounded MT Bold" w:hAnsi="Arial Rounded MT Bold" w:cs="Arial Rounded MT Bold"/>
                              <w:color w:val="000000"/>
                              <w:sz w:val="20"/>
                              <w:szCs w:val="28"/>
                              <w:u w:val="single"/>
                            </w:rPr>
                          </w:pPr>
                          <w:r w:rsidRPr="00153EF7">
                            <w:rPr>
                              <w:rFonts w:ascii="Arial Narrow" w:hAnsi="Arial Narrow" w:cs="Arial Narrow"/>
                              <w:b/>
                              <w:bCs/>
                              <w:color w:val="FFFFFF"/>
                              <w:sz w:val="20"/>
                              <w:szCs w:val="28"/>
                            </w:rPr>
                            <w:t>WARRANT</w:t>
                          </w:r>
                        </w:p>
                      </w:txbxContent>
                    </v:textbox>
                  </v:shape>
                  <v:line id="Line 118" o:spid="_x0000_s1069" style="position:absolute;visibility:visible;mso-wrap-style:square" from="2641,12159" to="3722,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" strokeweight="1.5pt">
                    <v:stroke startarrow="block" endarrow="block"/>
                  </v:line>
                  <v:line id="Line 119" o:spid="_x0000_s1070" style="position:absolute;visibility:visible;mso-wrap-style:square" from="2641,11207" to="372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" strokeweight="1.5pt">
                    <v:stroke startarrow="block" endarrow="block"/>
                  </v:line>
                  <v:shape id="Text Box 120" o:spid="_x0000_s1071" type="#_x0000_t202" style="position:absolute;left:7237;top:13430;width:278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" fillcolor="navy">
                    <v:textbox inset="1.80339mm,.355mm,1.80339mm,.71mm">
                      <w:txbxContent>
                        <w:p w14:paraId="334AA08F" w14:textId="77777777" w:rsidR="00BB5CD0" w:rsidRPr="00BB5CD0" w:rsidRDefault="00BB5CD0" w:rsidP="0027441A">
                          <w:pPr>
                            <w:autoSpaceDE w:val="0"/>
                            <w:autoSpaceDN w:val="0"/>
                            <w:adjustRightInd w:val="0"/>
                            <w:spacing w:before="40"/>
                            <w:jc w:val="center"/>
                            <w:rPr>
                              <w:rFonts w:ascii="Arial Rounded MT Bold" w:hAnsi="Arial Rounded MT Bold" w:cs="Arial Rounded MT Bold"/>
                              <w:color w:val="000000"/>
                              <w:sz w:val="40"/>
                              <w:szCs w:val="44"/>
                              <w:u w:val="single"/>
                            </w:rPr>
                          </w:pPr>
                          <w:r w:rsidRPr="00BB5CD0">
                            <w:rPr>
                              <w:rFonts w:ascii="Arial Narrow" w:hAnsi="Arial Narrow" w:cs="Arial Narrow"/>
                              <w:b/>
                              <w:bCs/>
                              <w:color w:val="FFFFFF"/>
                              <w:sz w:val="22"/>
                            </w:rPr>
                            <w:t>BREACH, VARIATION, REVOCATION, EXTENSION OF ORDER</w:t>
                          </w:r>
                        </w:p>
                      </w:txbxContent>
                    </v:textbox>
                  </v:shape>
                  <v:line id="Line 121" o:spid="_x0000_s1072" style="position:absolute;visibility:visible;mso-wrap-style:square" from="9574,10844" to="9574,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" strokecolor="navy" strokeweight="1.5pt">
                    <v:stroke startarrow="block"/>
                  </v:line>
                  <v:shape id="Text Box 122" o:spid="_x0000_s1073" type="#_x0000_t202" style="position:absolute;left:1827;top:8367;width:386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" fillcolor="black">
                    <v:textbox inset="1.80339mm,.90169mm,1.80339mm,.90169mm">
                      <w:txbxContent>
                        <w:p w14:paraId="4B0BA01D" w14:textId="77777777" w:rsidR="00BB5CD0" w:rsidRPr="00153EF7" w:rsidRDefault="00BB5CD0" w:rsidP="00BB5CD0">
                          <w:pPr>
                            <w:autoSpaceDE w:val="0"/>
                            <w:autoSpaceDN w:val="0"/>
                            <w:adjustRightInd w:val="0"/>
                            <w:rPr>
                              <w:rFonts w:ascii="Arial Rounded MT Bold" w:hAnsi="Arial Rounded MT Bold" w:cs="Arial Rounded MT Bold"/>
                              <w:color w:val="000000"/>
                              <w:sz w:val="31"/>
                              <w:szCs w:val="44"/>
                              <w:u w:val="single"/>
                            </w:rPr>
                          </w:pPr>
                          <w:r w:rsidRPr="00153EF7">
                            <w:rPr>
                              <w:rFonts w:ascii="Arial" w:hAnsi="Arial" w:cs="Arial"/>
                              <w:b/>
                              <w:bCs/>
                              <w:color w:val="FFFFFF"/>
                              <w:sz w:val="17"/>
                            </w:rPr>
                            <w:t xml:space="preserve">STARTS AT EITHER POINT MARKED </w:t>
                          </w:r>
                          <w:r w:rsidRPr="00153EF7">
                            <w:rPr>
                              <w:rFonts w:ascii="Arial" w:hAnsi="Arial"/>
                              <w:b/>
                              <w:bCs/>
                              <w:color w:val="FFFFFF"/>
                              <w:sz w:val="17"/>
                            </w:rPr>
                            <w:sym w:font="Wingdings" w:char="F04C"/>
                          </w:r>
                        </w:p>
                      </w:txbxContent>
                    </v:textbox>
                  </v:shape>
                  <v:line id="Line 125" o:spid="_x0000_s1074" style="position:absolute;visibility:visible;mso-wrap-style:square" from="5484,14467" to="5485,1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" strokecolor="teal" strokeweight="1.5pt">
                    <v:stroke endarrow="block"/>
                  </v:line>
                  <v:line id="Line 126" o:spid="_x0000_s1075" style="position:absolute;visibility:visible;mso-wrap-style:square" from="2643,13111" to="3724,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" strokeweight="1.5pt">
                    <v:stroke startarrow="block" endarrow="block"/>
                  </v:line>
                  <v:line id="Line 127" o:spid="_x0000_s1076" style="position:absolute;visibility:visible;mso-wrap-style:square" from="2643,14063" to="3724,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" strokeweight="1.5pt">
                    <v:stroke startarrow="block" endarrow="block"/>
                  </v:line>
                  <v:line id="Line 128" o:spid="_x0000_s1077" style="position:absolute;visibility:visible;mso-wrap-style:square" from="3262,10255" to="326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" strokeweight="1.5pt"/>
                  <v:line id="Line 129" o:spid="_x0000_s1078" style="position:absolute;visibility:visible;mso-wrap-style:square" from="3262,11051" to="3262,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" strokeweight="1.5pt"/>
                  <v:shape id="Text Box 131" o:spid="_x0000_s1079" type="#_x0000_t202" style="position:absolute;left:3699;top:11842;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" fillcolor="#396">
                    <v:textbox inset="1.80339mm,.355mm,1.80339mm,.71mm">
                      <w:txbxContent>
                        <w:p w14:paraId="6131C596" w14:textId="550993D0" w:rsidR="00BB5CD0" w:rsidRDefault="00BB5CD0" w:rsidP="00BB5CD0">
                          <w:pPr>
                            <w:autoSpaceDE w:val="0"/>
                            <w:autoSpaceDN w:val="0"/>
                            <w:adjustRightInd w:val="0"/>
                            <w:spacing w:before="60"/>
                            <w:jc w:val="center"/>
                            <w:rPr>
                              <w:rFonts w:ascii="Arial Narrow" w:hAnsi="Arial Narrow" w:cs="Arial Narrow"/>
                              <w:b/>
                              <w:bCs/>
                              <w:color w:val="FFFFFF"/>
                              <w:sz w:val="16"/>
                              <w:szCs w:val="10"/>
                            </w:rPr>
                          </w:pPr>
                          <w:r w:rsidRPr="00522630">
                            <w:rPr>
                              <w:rFonts w:ascii="Arial Narrow" w:hAnsi="Arial Narrow"/>
                              <w:color w:val="FFFFFF"/>
                              <w:sz w:val="16"/>
                              <w:szCs w:val="16"/>
                            </w:rPr>
                            <w:sym w:font="Wingdings" w:char="F08E"/>
                          </w:r>
                          <w:r w:rsidR="00522630" w:rsidRPr="00522630">
                            <w:rPr>
                              <w:rFonts w:ascii="Arial Narrow" w:hAnsi="Arial Narrow" w:cs="Arial Narrow"/>
                              <w:b/>
                              <w:bCs/>
                              <w:color w:val="FFFFFF"/>
                              <w:sz w:val="16"/>
                              <w:szCs w:val="10"/>
                            </w:rPr>
                            <w:t>JUDICIAL RESOLUTION CONFERENCE</w:t>
                          </w:r>
                        </w:p>
                        <w:p w14:paraId="3D14D7FF" w14:textId="02E17EC9" w:rsidR="00522630" w:rsidRPr="00522630" w:rsidRDefault="00522630" w:rsidP="00522630">
                          <w:pPr>
                            <w:autoSpaceDE w:val="0"/>
                            <w:autoSpaceDN w:val="0"/>
                            <w:adjustRightInd w:val="0"/>
                            <w:jc w:val="center"/>
                            <w:rPr>
                              <w:rFonts w:ascii="Arial Narrow" w:hAnsi="Arial Narrow" w:cs="Arial Narrow"/>
                              <w:b/>
                              <w:bCs/>
                              <w:color w:val="FFFFFF"/>
                              <w:sz w:val="16"/>
                              <w:szCs w:val="14"/>
                            </w:rPr>
                          </w:pPr>
                          <w:r>
                            <w:rPr>
                              <w:rFonts w:ascii="Arial Narrow" w:hAnsi="Arial Narrow" w:cs="Arial Narrow"/>
                              <w:b/>
                              <w:bCs/>
                              <w:color w:val="FFFFFF"/>
                              <w:sz w:val="16"/>
                              <w:szCs w:val="10"/>
                            </w:rPr>
                            <w:t>[if appropriate]</w:t>
                          </w:r>
                        </w:p>
                      </w:txbxContent>
                    </v:textbox>
                  </v:shape>
                  <v:shape id="Text Box 132" o:spid="_x0000_s1080" type="#_x0000_t202" style="position:absolute;left:3699;top:10890;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" fillcolor="#396">
                    <v:textbox inset="1.80339mm,.355mm,1.80339mm,.71mm">
                      <w:txbxContent>
                        <w:p w14:paraId="40644E9C" w14:textId="77777777" w:rsidR="00BB5CD0" w:rsidRPr="00BB5CD0" w:rsidRDefault="00BB5CD0" w:rsidP="00BB5CD0">
                          <w:pPr>
                            <w:autoSpaceDE w:val="0"/>
                            <w:autoSpaceDN w:val="0"/>
                            <w:adjustRightInd w:val="0"/>
                            <w:spacing w:before="60"/>
                            <w:jc w:val="center"/>
                            <w:rPr>
                              <w:rFonts w:ascii="Arial Rounded MT Bold" w:hAnsi="Arial Rounded MT Bold" w:cs="Arial Rounded MT Bold"/>
                              <w:color w:val="000000"/>
                              <w:sz w:val="36"/>
                              <w:szCs w:val="44"/>
                              <w:u w:val="single"/>
                            </w:rPr>
                          </w:pPr>
                          <w:r w:rsidRPr="00BB5CD0">
                            <w:rPr>
                              <w:rFonts w:ascii="Arial Narrow" w:hAnsi="Arial Narrow"/>
                              <w:color w:val="FFFFFF"/>
                              <w:sz w:val="28"/>
                              <w:szCs w:val="28"/>
                            </w:rPr>
                            <w:sym w:font="Wingdings" w:char="F08D"/>
                          </w:r>
                          <w:r w:rsidRPr="00BB5CD0">
                            <w:rPr>
                              <w:rFonts w:ascii="Arial Narrow" w:hAnsi="Arial Narrow" w:cs="Arial Narrow"/>
                              <w:b/>
                              <w:bCs/>
                              <w:color w:val="FFFFFF"/>
                              <w:sz w:val="28"/>
                              <w:szCs w:val="32"/>
                            </w:rPr>
                            <w:t xml:space="preserve"> MENTION HEARING</w:t>
                          </w:r>
                        </w:p>
                      </w:txbxContent>
                    </v:textbox>
                  </v:shape>
                  <v:shape id="Text Box 133" o:spid="_x0000_s1081" type="#_x0000_t202" style="position:absolute;left:3705;top:12795;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" fillcolor="#396">
                    <v:textbox inset="1.80339mm,.355mm,1.80339mm,.71mm">
                      <w:txbxContent>
                        <w:p w14:paraId="25C128D3" w14:textId="34111608" w:rsidR="00BB5CD0" w:rsidRPr="000C49FD" w:rsidRDefault="00BB5CD0" w:rsidP="00BB5CD0">
                          <w:pPr>
                            <w:autoSpaceDE w:val="0"/>
                            <w:autoSpaceDN w:val="0"/>
                            <w:adjustRightInd w:val="0"/>
                            <w:spacing w:before="60"/>
                            <w:ind w:left="720" w:hanging="720"/>
                            <w:jc w:val="center"/>
                            <w:rPr>
                              <w:rFonts w:ascii="Arial Narrow" w:hAnsi="Arial Narrow" w:cs="Arial Narrow"/>
                              <w:b/>
                              <w:bCs/>
                              <w:color w:val="FFFFFF"/>
                              <w:szCs w:val="28"/>
                            </w:rPr>
                          </w:pPr>
                          <w:r w:rsidRPr="00CB70D3">
                            <w:rPr>
                              <w:rFonts w:ascii="Arial Rounded MT Bold" w:hAnsi="Arial Rounded MT Bold" w:cs="Arial Rounded MT Bold"/>
                              <w:color w:val="FFFFFF"/>
                              <w:sz w:val="28"/>
                              <w:szCs w:val="28"/>
                            </w:rPr>
                            <w:sym w:font="Wingdings" w:char="F08F"/>
                          </w:r>
                          <w:r w:rsidRPr="00CB70D3">
                            <w:rPr>
                              <w:rFonts w:ascii="Arial Rounded MT Bold" w:hAnsi="Arial Rounded MT Bold" w:cs="Arial Rounded MT Bold"/>
                              <w:color w:val="FFFFFF"/>
                              <w:sz w:val="28"/>
                              <w:szCs w:val="28"/>
                            </w:rPr>
                            <w:t xml:space="preserve"> </w:t>
                          </w:r>
                          <w:r w:rsidR="00527793">
                            <w:rPr>
                              <w:rFonts w:ascii="Arial Narrow" w:hAnsi="Arial Narrow" w:cs="Arial Narrow"/>
                              <w:b/>
                              <w:bCs/>
                              <w:color w:val="FFFFFF"/>
                              <w:szCs w:val="28"/>
                            </w:rPr>
                            <w:t>READINESS</w:t>
                          </w:r>
                          <w:r w:rsidRPr="000C49FD">
                            <w:rPr>
                              <w:rFonts w:ascii="Arial Narrow" w:hAnsi="Arial Narrow" w:cs="Arial Narrow"/>
                              <w:b/>
                              <w:bCs/>
                              <w:color w:val="FFFFFF"/>
                              <w:szCs w:val="28"/>
                            </w:rPr>
                            <w:t xml:space="preserve"> HEARING</w:t>
                          </w:r>
                        </w:p>
                      </w:txbxContent>
                    </v:textbox>
                  </v:shape>
                  <v:shape id="Text Box 134" o:spid="_x0000_s1082" type="#_x0000_t202" style="position:absolute;left:3705;top:13747;width:311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" fillcolor="#396">
                    <v:textbox inset="1.80339mm,.355mm,1.80339mm,.71mm">
                      <w:txbxContent>
                        <w:p w14:paraId="2905ED71" w14:textId="77777777" w:rsidR="00BB5CD0" w:rsidRPr="00153EF7" w:rsidRDefault="00BB5CD0" w:rsidP="00E31A12">
                          <w:pPr>
                            <w:autoSpaceDE w:val="0"/>
                            <w:autoSpaceDN w:val="0"/>
                            <w:adjustRightInd w:val="0"/>
                            <w:spacing w:before="20"/>
                            <w:ind w:left="720" w:hanging="720"/>
                            <w:jc w:val="center"/>
                            <w:rPr>
                              <w:rFonts w:ascii="Arial Narrow" w:hAnsi="Arial Narrow" w:cs="Arial Narrow"/>
                              <w:b/>
                              <w:bCs/>
                              <w:color w:val="FFFFFF"/>
                              <w:sz w:val="20"/>
                              <w:szCs w:val="28"/>
                            </w:rPr>
                          </w:pPr>
                          <w:r w:rsidRPr="00E55AB0">
                            <w:rPr>
                              <w:rFonts w:ascii="Arial Rounded MT Bold" w:hAnsi="Arial Rounded MT Bold" w:cs="Arial Rounded MT Bold"/>
                              <w:color w:val="FFFFFF"/>
                              <w:sz w:val="22"/>
                              <w:szCs w:val="28"/>
                            </w:rPr>
                            <w:sym w:font="Wingdings" w:char="F090"/>
                          </w:r>
                          <w:r w:rsidRPr="00153EF7">
                            <w:rPr>
                              <w:rFonts w:ascii="Arial Rounded MT Bold" w:hAnsi="Arial Rounded MT Bold" w:cs="Arial Rounded MT Bold"/>
                              <w:color w:val="FFFFFF"/>
                              <w:sz w:val="20"/>
                              <w:szCs w:val="28"/>
                            </w:rPr>
                            <w:t xml:space="preserve"> </w:t>
                          </w:r>
                          <w:r w:rsidRPr="00153EF7">
                            <w:rPr>
                              <w:rFonts w:ascii="Arial Narrow" w:hAnsi="Arial Narrow" w:cs="Arial Narrow"/>
                              <w:b/>
                              <w:bCs/>
                              <w:color w:val="FFFFFF"/>
                              <w:sz w:val="20"/>
                              <w:szCs w:val="28"/>
                            </w:rPr>
                            <w:t>CONTESTED HEARING</w:t>
                          </w:r>
                        </w:p>
                        <w:p w14:paraId="6372D1DA" w14:textId="77777777" w:rsidR="00BB5CD0" w:rsidRPr="00B647F6" w:rsidRDefault="000C49FD" w:rsidP="00E55AB0">
                          <w:pPr>
                            <w:autoSpaceDE w:val="0"/>
                            <w:autoSpaceDN w:val="0"/>
                            <w:adjustRightInd w:val="0"/>
                            <w:ind w:left="720" w:hanging="720"/>
                            <w:jc w:val="center"/>
                            <w:rPr>
                              <w:rFonts w:ascii="Arial Narrow" w:hAnsi="Arial Narrow" w:cs="Arial Narrow"/>
                              <w:b/>
                              <w:bCs/>
                              <w:color w:val="FFFFFF"/>
                              <w:sz w:val="17"/>
                            </w:rPr>
                          </w:pPr>
                          <w:r>
                            <w:rPr>
                              <w:rFonts w:ascii="Arial Narrow" w:hAnsi="Arial Narrow" w:cs="Arial Narrow"/>
                              <w:b/>
                              <w:bCs/>
                              <w:color w:val="FFFFFF"/>
                              <w:sz w:val="17"/>
                            </w:rPr>
                            <w:t>Preceded by DIRECTIONS HEARING</w:t>
                          </w:r>
                        </w:p>
                      </w:txbxContent>
                    </v:textbox>
                  </v:shape>
                  <v:shape id="Text Box 135" o:spid="_x0000_s1083" type="#_x0000_t202" style="position:absolute;left:3696;top:8961;width:146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" fillcolor="black" strokecolor="white" strokeweight="1.5pt">
                    <v:stroke startarrowwidth="narrow" startarrowlength="short" endarrowwidth="narrow" endarrowlength="short"/>
                    <v:shadow color="#a0a0a0"/>
                    <v:textbox inset="1.80339mm,.90169mm,1.80339mm,.90169mm">
                      <w:txbxContent>
                        <w:p w14:paraId="0A0CB84B" w14:textId="77777777" w:rsidR="00BB5CD0" w:rsidRPr="00153EF7" w:rsidRDefault="00BB5CD0" w:rsidP="00BB5CD0">
                          <w:pPr>
                            <w:autoSpaceDE w:val="0"/>
                            <w:autoSpaceDN w:val="0"/>
                            <w:adjustRightInd w:val="0"/>
                            <w:jc w:val="center"/>
                            <w:rPr>
                              <w:rFonts w:ascii="Arial Narrow" w:hAnsi="Arial Narrow" w:cs="Arial Narrow"/>
                              <w:b/>
                              <w:bCs/>
                              <w:color w:val="FFFFFF"/>
                              <w:sz w:val="17"/>
                            </w:rPr>
                          </w:pPr>
                          <w:r w:rsidRPr="00153EF7">
                            <w:rPr>
                              <w:rFonts w:ascii="Arial Rounded MT Bold" w:hAnsi="Arial Rounded MT Bold" w:cs="Arial Rounded MT Bold"/>
                              <w:b/>
                              <w:bCs/>
                              <w:color w:val="FFFFFF"/>
                              <w:sz w:val="17"/>
                            </w:rPr>
                            <w:sym w:font="Wingdings" w:char="F04C"/>
                          </w:r>
                          <w:r w:rsidRPr="00153EF7">
                            <w:rPr>
                              <w:rFonts w:ascii="Arial Rounded MT Bold" w:hAnsi="Arial Rounded MT Bold" w:cs="Arial Rounded MT Bold"/>
                              <w:b/>
                              <w:bCs/>
                              <w:color w:val="FFFFFF"/>
                              <w:sz w:val="17"/>
                            </w:rPr>
                            <w:t xml:space="preserve"> </w:t>
                          </w:r>
                          <w:r w:rsidRPr="00153EF7">
                            <w:rPr>
                              <w:rFonts w:ascii="Arial Narrow" w:hAnsi="Arial Narrow" w:cs="Arial Narrow"/>
                              <w:b/>
                              <w:bCs/>
                              <w:color w:val="FFFFFF"/>
                              <w:sz w:val="17"/>
                            </w:rPr>
                            <w:t>APPLICATION BY NOTICE</w:t>
                          </w:r>
                        </w:p>
                      </w:txbxContent>
                    </v:textbox>
                  </v:shape>
                  <v:shape id="Text Box 136" o:spid="_x0000_s1084" type="#_x0000_t202" style="position:absolute;left:5260;top:8961;width:154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" fillcolor="red" strokecolor="white" strokeweight="1.5pt">
                    <v:stroke startarrowwidth="narrow" startarrowlength="short" endarrowwidth="narrow" endarrowlength="short"/>
                    <v:shadow color="#a0a0a0"/>
                    <v:textbox inset="1.80339mm,.90169mm,1.80339mm,.90169mm">
                      <w:txbxContent>
                        <w:p w14:paraId="0E0D6CE0" w14:textId="77777777" w:rsidR="00BB5CD0" w:rsidRPr="00153EF7" w:rsidRDefault="00BB5CD0" w:rsidP="00BB5CD0">
                          <w:pPr>
                            <w:autoSpaceDE w:val="0"/>
                            <w:autoSpaceDN w:val="0"/>
                            <w:adjustRightInd w:val="0"/>
                            <w:jc w:val="center"/>
                            <w:rPr>
                              <w:rFonts w:ascii="Arial Narrow" w:hAnsi="Arial Narrow" w:cs="Arial Narrow"/>
                              <w:b/>
                              <w:bCs/>
                              <w:color w:val="FFFFFF"/>
                              <w:sz w:val="16"/>
                              <w:szCs w:val="22"/>
                            </w:rPr>
                          </w:pPr>
                          <w:r w:rsidRPr="00153EF7">
                            <w:rPr>
                              <w:rFonts w:ascii="Arial Narrow" w:hAnsi="Arial Narrow" w:cs="Arial Narrow"/>
                              <w:b/>
                              <w:bCs/>
                              <w:color w:val="FFFFFF"/>
                              <w:sz w:val="16"/>
                              <w:szCs w:val="22"/>
                            </w:rPr>
                            <w:t xml:space="preserve">APPLICATION BY </w:t>
                          </w:r>
                          <w:r w:rsidR="00005E9C">
                            <w:rPr>
                              <w:rFonts w:ascii="Arial Narrow" w:hAnsi="Arial Narrow" w:cs="Arial Narrow"/>
                              <w:b/>
                              <w:bCs/>
                              <w:color w:val="FFFFFF"/>
                              <w:sz w:val="16"/>
                              <w:szCs w:val="22"/>
                            </w:rPr>
                            <w:t>EMERGENCY CARE</w:t>
                          </w:r>
                        </w:p>
                      </w:txbxContent>
                    </v:textbox>
                  </v:shape>
                  <v:shape id="Text Box 137" o:spid="_x0000_s1085" type="#_x0000_t202" style="position:absolute;left:3699;top:9938;width:311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" fillcolor="#396">
                    <v:textbox inset="1.80339mm,.355mm,1.80339mm,.71mm">
                      <w:txbxContent>
                        <w:p w14:paraId="61AFB675" w14:textId="77777777" w:rsidR="00BB5CD0" w:rsidRPr="00153EF7" w:rsidRDefault="00BB5CD0" w:rsidP="00BB5CD0">
                          <w:pPr>
                            <w:autoSpaceDE w:val="0"/>
                            <w:autoSpaceDN w:val="0"/>
                            <w:adjustRightInd w:val="0"/>
                            <w:spacing w:before="60"/>
                            <w:jc w:val="center"/>
                            <w:rPr>
                              <w:rFonts w:ascii="Arial Narrow" w:hAnsi="Arial Narrow" w:cs="Arial Narrow"/>
                              <w:b/>
                              <w:bCs/>
                              <w:color w:val="FFFFFF"/>
                              <w:sz w:val="18"/>
                              <w:szCs w:val="26"/>
                            </w:rPr>
                          </w:pPr>
                          <w:r w:rsidRPr="00BB5CD0">
                            <w:rPr>
                              <w:rFonts w:ascii="Arial Narrow" w:hAnsi="Arial Narrow"/>
                              <w:color w:val="FFFFFF"/>
                              <w:sz w:val="20"/>
                              <w:szCs w:val="28"/>
                            </w:rPr>
                            <w:sym w:font="Wingdings" w:char="F08C"/>
                          </w:r>
                          <w:r w:rsidRPr="00153EF7">
                            <w:rPr>
                              <w:rFonts w:ascii="Arial Narrow" w:hAnsi="Arial Narrow" w:cs="Arial Narrow"/>
                              <w:b/>
                              <w:bCs/>
                              <w:color w:val="FFFFFF"/>
                              <w:sz w:val="17"/>
                            </w:rPr>
                            <w:t xml:space="preserve"> </w:t>
                          </w:r>
                          <w:r w:rsidRPr="00BB5CD0">
                            <w:rPr>
                              <w:rFonts w:ascii="Arial Narrow" w:hAnsi="Arial Narrow" w:cs="Arial Narrow"/>
                              <w:b/>
                              <w:bCs/>
                              <w:color w:val="FFFFFF"/>
                              <w:sz w:val="20"/>
                              <w:szCs w:val="26"/>
                            </w:rPr>
                            <w:t>HEARING</w:t>
                          </w:r>
                          <w:r w:rsidR="00E31A12">
                            <w:rPr>
                              <w:rFonts w:ascii="Arial Narrow" w:hAnsi="Arial Narrow" w:cs="Arial Narrow"/>
                              <w:b/>
                              <w:bCs/>
                              <w:color w:val="FFFFFF"/>
                              <w:sz w:val="20"/>
                              <w:szCs w:val="26"/>
                            </w:rPr>
                            <w:t xml:space="preserve"> AFTER EMERG. CARE</w:t>
                          </w:r>
                        </w:p>
                        <w:p w14:paraId="2CF78391" w14:textId="77777777" w:rsidR="00BB5CD0" w:rsidRPr="00B647F6" w:rsidRDefault="00BB5CD0" w:rsidP="00BB5CD0">
                          <w:pPr>
                            <w:autoSpaceDE w:val="0"/>
                            <w:autoSpaceDN w:val="0"/>
                            <w:adjustRightInd w:val="0"/>
                            <w:jc w:val="center"/>
                            <w:rPr>
                              <w:rFonts w:ascii="Arial Narrow" w:hAnsi="Arial Narrow" w:cs="Arial Narrow"/>
                              <w:b/>
                              <w:bCs/>
                              <w:color w:val="FFFFFF"/>
                              <w:sz w:val="17"/>
                            </w:rPr>
                          </w:pPr>
                          <w:r w:rsidRPr="00B647F6">
                            <w:rPr>
                              <w:rFonts w:ascii="Arial Narrow" w:hAnsi="Arial Narrow" w:cs="Arial Narrow"/>
                              <w:b/>
                              <w:bCs/>
                              <w:color w:val="FFFFFF"/>
                              <w:sz w:val="17"/>
                            </w:rPr>
                            <w:t>[By submissions if applicable]</w:t>
                          </w:r>
                        </w:p>
                      </w:txbxContent>
                    </v:textbox>
                  </v:shape>
                </v:group>
                <v:shape id="TextBox 4" o:spid="_x0000_s1086" type="#_x0000_t202" style="position:absolute;left:29591;top:36899;width:467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" fillcolor="black [3213]" strokeweight="1.5pt">
                  <v:stroke r:id="rId33" o:title="" color2="black [3213]" filltype="pattern"/>
                  <v:shadow on="t" color="#7f7f7f [1601]" opacity=".5" offset="1pt"/>
                  <v:textbox>
                    <w:txbxContent>
                      <w:p w14:paraId="5FA97205" w14:textId="40CDE6F4" w:rsidR="00422B51" w:rsidRPr="00422B51" w:rsidRDefault="00422B51" w:rsidP="00422B51">
                        <w:pPr>
                          <w:kinsoku w:val="0"/>
                          <w:overflowPunct w:val="0"/>
                          <w:textAlignment w:val="baseline"/>
                          <w:rPr>
                            <w:rFonts w:ascii="Arial Rounded MT Bold" w:hAnsi="Arial Rounded MT Bold" w:cstheme="minorBidi"/>
                            <w:color w:val="FF0000"/>
                            <w:kern w:val="24"/>
                            <w:sz w:val="28"/>
                            <w:szCs w:val="28"/>
                          </w:rPr>
                        </w:pPr>
                        <w:r w:rsidRPr="00422B51">
                          <w:rPr>
                            <w:rFonts w:ascii="Arial Rounded MT Bold" w:hAnsi="Arial Rounded MT Bold" w:cstheme="minorBidi"/>
                            <w:color w:val="FF0000"/>
                            <w:kern w:val="24"/>
                            <w:sz w:val="28"/>
                            <w:szCs w:val="28"/>
                          </w:rPr>
                          <w:t>2</w:t>
                        </w:r>
                        <w:r w:rsidRPr="00422B51">
                          <w:rPr>
                            <w:rFonts w:ascii="Arial Rounded MT Bold" w:hAnsi="Arial Rounded MT Bold" w:cstheme="minorBidi"/>
                            <w:color w:val="FF0000"/>
                            <w:kern w:val="24"/>
                            <w:sz w:val="28"/>
                            <w:szCs w:val="28"/>
                            <w:u w:val="single"/>
                          </w:rPr>
                          <w:t>%</w:t>
                        </w:r>
                      </w:p>
                    </w:txbxContent>
                  </v:textbox>
                </v:shape>
                <w10:anchorlock/>
              </v:group>
            </w:pict>
          </mc:Fallback>
        </mc:AlternateContent>
      </w:r>
    </w:p>
    <w:p w14:paraId="310F7A44" w14:textId="31087DD3" w:rsidR="00693223" w:rsidRPr="00061DAE" w:rsidRDefault="00693223">
      <w:pPr>
        <w:jc w:val="both"/>
        <w:rPr>
          <w:rFonts w:ascii="Arial" w:hAnsi="Arial" w:cs="Arial"/>
          <w:sz w:val="20"/>
          <w:szCs w:val="20"/>
        </w:rPr>
      </w:pPr>
    </w:p>
    <w:p w14:paraId="39D24251" w14:textId="77777777" w:rsidR="007867B3" w:rsidRDefault="007867B3" w:rsidP="00061DAE">
      <w:pPr>
        <w:keepNext/>
        <w:jc w:val="both"/>
        <w:rPr>
          <w:rFonts w:ascii="Arial" w:hAnsi="Arial" w:cs="Arial"/>
          <w:sz w:val="20"/>
        </w:rPr>
      </w:pPr>
      <w:bookmarkStart w:id="1270" w:name="_Toc30649421"/>
      <w:bookmarkStart w:id="1271" w:name="_Toc30649746"/>
      <w:bookmarkStart w:id="1272" w:name="_Toc30651686"/>
      <w:bookmarkStart w:id="1273" w:name="_Toc30652676"/>
      <w:bookmarkStart w:id="1274" w:name="_Toc30652772"/>
      <w:bookmarkStart w:id="1275" w:name="_Toc30654122"/>
      <w:bookmarkStart w:id="1276" w:name="_Toc30654473"/>
      <w:bookmarkStart w:id="1277" w:name="_Toc30655092"/>
      <w:bookmarkStart w:id="1278" w:name="_Toc30655349"/>
      <w:bookmarkStart w:id="1279" w:name="_Toc30657027"/>
      <w:bookmarkStart w:id="1280" w:name="_Toc30661776"/>
      <w:bookmarkStart w:id="1281" w:name="_Toc30666464"/>
      <w:bookmarkStart w:id="1282" w:name="_Toc30666694"/>
      <w:bookmarkStart w:id="1283" w:name="_Toc30667869"/>
      <w:bookmarkStart w:id="1284" w:name="_Toc30669247"/>
      <w:bookmarkStart w:id="1285" w:name="_Toc30671463"/>
      <w:bookmarkStart w:id="1286" w:name="_Toc30673990"/>
      <w:bookmarkStart w:id="1287" w:name="_Toc30691212"/>
      <w:bookmarkStart w:id="1288" w:name="_Toc30691585"/>
      <w:bookmarkStart w:id="1289" w:name="_Toc30691965"/>
      <w:bookmarkStart w:id="1290" w:name="_Toc30692724"/>
      <w:bookmarkStart w:id="1291" w:name="_Toc30693103"/>
      <w:bookmarkStart w:id="1292" w:name="_Toc30693481"/>
      <w:bookmarkStart w:id="1293" w:name="_Toc30693859"/>
      <w:bookmarkStart w:id="1294" w:name="_Toc30694240"/>
      <w:bookmarkStart w:id="1295" w:name="_Toc30698829"/>
      <w:bookmarkStart w:id="1296" w:name="_Toc30699207"/>
      <w:bookmarkStart w:id="1297" w:name="_Toc30699592"/>
      <w:bookmarkStart w:id="1298" w:name="_Toc30700747"/>
      <w:bookmarkStart w:id="1299" w:name="_Toc30701134"/>
      <w:bookmarkStart w:id="1300" w:name="_Toc30743743"/>
      <w:bookmarkStart w:id="1301" w:name="_Toc30754566"/>
      <w:bookmarkStart w:id="1302" w:name="_Toc30757006"/>
      <w:bookmarkStart w:id="1303" w:name="_Toc30757555"/>
      <w:bookmarkStart w:id="1304" w:name="_Toc30757955"/>
      <w:bookmarkStart w:id="1305" w:name="_Toc30762716"/>
      <w:bookmarkStart w:id="1306" w:name="_Toc30767370"/>
      <w:bookmarkStart w:id="1307" w:name="_Toc34823385"/>
      <w:r>
        <w:rPr>
          <w:rFonts w:ascii="Arial" w:hAnsi="Arial" w:cs="Arial"/>
          <w:sz w:val="20"/>
        </w:rPr>
        <w:t>The Secretary or his or her delegate, in the capacity of being a party to any proceeding in the Family Division, whether as a protective intervener or otherwise, may appear-</w:t>
      </w:r>
    </w:p>
    <w:p w14:paraId="5246FF6E" w14:textId="77777777" w:rsidR="007867B3" w:rsidRDefault="007867B3" w:rsidP="00033D59">
      <w:pPr>
        <w:jc w:val="both"/>
        <w:rPr>
          <w:rFonts w:ascii="Arial" w:hAnsi="Arial" w:cs="Arial"/>
          <w:sz w:val="20"/>
        </w:rPr>
      </w:pPr>
      <w:r>
        <w:rPr>
          <w:rFonts w:ascii="Arial" w:hAnsi="Arial" w:cs="Arial"/>
          <w:sz w:val="20"/>
        </w:rPr>
        <w:t>(a)</w:t>
      </w:r>
      <w:r>
        <w:rPr>
          <w:rFonts w:ascii="Arial" w:hAnsi="Arial" w:cs="Arial"/>
          <w:sz w:val="20"/>
        </w:rPr>
        <w:tab/>
        <w:t>personally; or</w:t>
      </w:r>
    </w:p>
    <w:p w14:paraId="08C20F48" w14:textId="77777777" w:rsidR="007867B3" w:rsidRDefault="007867B3" w:rsidP="007867B3">
      <w:pPr>
        <w:jc w:val="both"/>
        <w:rPr>
          <w:rFonts w:ascii="Arial" w:hAnsi="Arial" w:cs="Arial"/>
          <w:sz w:val="20"/>
        </w:rPr>
      </w:pPr>
      <w:r>
        <w:rPr>
          <w:rFonts w:ascii="Arial" w:hAnsi="Arial" w:cs="Arial"/>
          <w:sz w:val="20"/>
        </w:rPr>
        <w:t>(b)</w:t>
      </w:r>
      <w:r>
        <w:rPr>
          <w:rFonts w:ascii="Arial" w:hAnsi="Arial" w:cs="Arial"/>
          <w:sz w:val="20"/>
        </w:rPr>
        <w:tab/>
        <w:t>by a legal practitioner; or</w:t>
      </w:r>
    </w:p>
    <w:p w14:paraId="17D0FB59" w14:textId="77777777" w:rsidR="007867B3" w:rsidRDefault="007867B3" w:rsidP="007867B3">
      <w:pPr>
        <w:jc w:val="both"/>
        <w:rPr>
          <w:rFonts w:ascii="Arial" w:hAnsi="Arial" w:cs="Arial"/>
          <w:sz w:val="20"/>
        </w:rPr>
      </w:pPr>
      <w:r>
        <w:rPr>
          <w:rFonts w:ascii="Arial" w:hAnsi="Arial" w:cs="Arial"/>
          <w:sz w:val="20"/>
        </w:rPr>
        <w:t>(c)</w:t>
      </w:r>
      <w:r>
        <w:rPr>
          <w:rFonts w:ascii="Arial" w:hAnsi="Arial" w:cs="Arial"/>
          <w:sz w:val="20"/>
        </w:rPr>
        <w:tab/>
        <w:t>by an authorized employee (whether or not a legal practitioner).</w:t>
      </w:r>
    </w:p>
    <w:p w14:paraId="47475608" w14:textId="77777777" w:rsidR="007867B3" w:rsidRDefault="007867B3" w:rsidP="007867B3">
      <w:pPr>
        <w:jc w:val="both"/>
        <w:rPr>
          <w:rFonts w:ascii="Arial" w:hAnsi="Arial" w:cs="Arial"/>
          <w:sz w:val="20"/>
        </w:rPr>
      </w:pPr>
      <w:r>
        <w:rPr>
          <w:rFonts w:ascii="Arial" w:hAnsi="Arial" w:cs="Arial"/>
          <w:sz w:val="20"/>
        </w:rPr>
        <w:t xml:space="preserve">See ss.215(3)-(6) of the CYFA.  The Department of </w:t>
      </w:r>
      <w:r w:rsidR="002E0E92">
        <w:rPr>
          <w:rFonts w:ascii="Arial" w:hAnsi="Arial" w:cs="Arial"/>
          <w:sz w:val="20"/>
          <w:szCs w:val="20"/>
        </w:rPr>
        <w:t>Families, Fairness and Housing</w:t>
      </w:r>
      <w:r>
        <w:rPr>
          <w:rFonts w:ascii="Arial" w:hAnsi="Arial" w:cs="Arial"/>
          <w:sz w:val="20"/>
        </w:rPr>
        <w:t xml:space="preserve"> has set up a </w:t>
      </w:r>
      <w:r w:rsidR="000E0F91">
        <w:rPr>
          <w:rFonts w:ascii="Arial" w:hAnsi="Arial" w:cs="Arial"/>
          <w:sz w:val="20"/>
        </w:rPr>
        <w:t>“Child Protection Litigation Office”</w:t>
      </w:r>
      <w:r>
        <w:rPr>
          <w:rFonts w:ascii="Arial" w:hAnsi="Arial" w:cs="Arial"/>
          <w:sz w:val="20"/>
        </w:rPr>
        <w:t xml:space="preserve">, comprised of legal practitioners and authorized </w:t>
      </w:r>
      <w:r>
        <w:rPr>
          <w:rFonts w:ascii="Arial" w:hAnsi="Arial" w:cs="Arial"/>
          <w:sz w:val="20"/>
        </w:rPr>
        <w:lastRenderedPageBreak/>
        <w:t>employees, to represent and to co-ordinate the representation of the Secretary and his or her delegates in proceedings in the Family Division of</w:t>
      </w:r>
      <w:r w:rsidR="000E0F91">
        <w:rPr>
          <w:rFonts w:ascii="Arial" w:hAnsi="Arial" w:cs="Arial"/>
          <w:sz w:val="20"/>
        </w:rPr>
        <w:t xml:space="preserve"> the Melbourne</w:t>
      </w:r>
      <w:r w:rsidR="004E1436">
        <w:rPr>
          <w:rFonts w:ascii="Arial" w:hAnsi="Arial" w:cs="Arial"/>
          <w:sz w:val="20"/>
        </w:rPr>
        <w:t>, Broadmeadows</w:t>
      </w:r>
      <w:r w:rsidR="000E0F91">
        <w:rPr>
          <w:rFonts w:ascii="Arial" w:hAnsi="Arial" w:cs="Arial"/>
          <w:sz w:val="20"/>
        </w:rPr>
        <w:t xml:space="preserve"> and Moorabbin Children's Courts.</w:t>
      </w:r>
    </w:p>
    <w:p w14:paraId="16BC3C70" w14:textId="77777777" w:rsidR="007867B3" w:rsidRPr="00801CD5" w:rsidRDefault="007867B3" w:rsidP="00033D59">
      <w:pPr>
        <w:pStyle w:val="Heading3"/>
        <w:spacing w:after="60" w:line="240" w:lineRule="auto"/>
        <w:rPr>
          <w:rFonts w:ascii="Arial" w:hAnsi="Arial" w:cs="Arial"/>
          <w:b/>
          <w:bCs/>
          <w:color w:val="000000"/>
          <w:sz w:val="20"/>
        </w:rPr>
      </w:pPr>
    </w:p>
    <w:p w14:paraId="4E674BC2" w14:textId="77777777" w:rsidR="00693223" w:rsidRPr="00801CD5" w:rsidRDefault="00693223" w:rsidP="00287157">
      <w:pPr>
        <w:pStyle w:val="Heading3"/>
        <w:keepNext/>
        <w:keepLines/>
        <w:spacing w:after="60" w:line="240" w:lineRule="auto"/>
        <w:rPr>
          <w:rFonts w:ascii="Arial" w:hAnsi="Arial" w:cs="Arial"/>
          <w:b/>
          <w:bCs/>
          <w:color w:val="000000"/>
          <w:sz w:val="20"/>
          <w:lang w:val="en-AU"/>
        </w:rPr>
      </w:pPr>
      <w:bookmarkStart w:id="1308" w:name="_4.9.1_Apprehension_–"/>
      <w:bookmarkStart w:id="1309" w:name="B491"/>
      <w:bookmarkEnd w:id="1308"/>
      <w:bookmarkEnd w:id="1309"/>
      <w:r w:rsidRPr="00801CD5">
        <w:rPr>
          <w:rFonts w:ascii="Arial" w:hAnsi="Arial" w:cs="Arial"/>
          <w:b/>
          <w:bCs/>
          <w:color w:val="000000"/>
          <w:sz w:val="20"/>
        </w:rPr>
        <w:t>4.9.</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775DC6" w:rsidRPr="00801CD5">
        <w:rPr>
          <w:rFonts w:ascii="Arial" w:hAnsi="Arial" w:cs="Arial"/>
          <w:b/>
          <w:bCs/>
          <w:color w:val="000000"/>
          <w:sz w:val="20"/>
        </w:rPr>
        <w:t>1</w:t>
      </w:r>
      <w:r w:rsidR="003325AD" w:rsidRPr="00801CD5">
        <w:rPr>
          <w:rFonts w:ascii="Arial" w:hAnsi="Arial" w:cs="Arial"/>
          <w:b/>
          <w:bCs/>
          <w:color w:val="000000"/>
          <w:sz w:val="20"/>
        </w:rPr>
        <w:tab/>
        <w:t xml:space="preserve">Apprehension </w:t>
      </w:r>
      <w:r w:rsidR="006A28AD">
        <w:rPr>
          <w:rFonts w:ascii="Arial" w:hAnsi="Arial" w:cs="Arial"/>
          <w:b/>
          <w:bCs/>
          <w:color w:val="000000"/>
          <w:sz w:val="20"/>
        </w:rPr>
        <w:t>–</w:t>
      </w:r>
      <w:r w:rsidR="003325AD" w:rsidRPr="00801CD5">
        <w:rPr>
          <w:rFonts w:ascii="Arial" w:hAnsi="Arial" w:cs="Arial"/>
          <w:b/>
          <w:bCs/>
          <w:color w:val="000000"/>
          <w:sz w:val="20"/>
        </w:rPr>
        <w:t xml:space="preserve"> H</w:t>
      </w:r>
      <w:r w:rsidR="00E31A12" w:rsidRPr="00801CD5">
        <w:rPr>
          <w:rFonts w:ascii="Arial" w:hAnsi="Arial" w:cs="Arial"/>
          <w:b/>
          <w:bCs/>
          <w:color w:val="000000"/>
          <w:sz w:val="20"/>
        </w:rPr>
        <w:t>earing</w:t>
      </w:r>
      <w:r w:rsidR="006A28AD">
        <w:rPr>
          <w:rFonts w:ascii="Arial" w:hAnsi="Arial" w:cs="Arial"/>
          <w:b/>
          <w:bCs/>
          <w:color w:val="000000"/>
          <w:sz w:val="20"/>
        </w:rPr>
        <w:t xml:space="preserve"> </w:t>
      </w:r>
      <w:r w:rsidR="00E31A12" w:rsidRPr="00801CD5">
        <w:rPr>
          <w:rFonts w:ascii="Arial" w:hAnsi="Arial" w:cs="Arial"/>
          <w:b/>
          <w:bCs/>
          <w:color w:val="000000"/>
          <w:sz w:val="20"/>
        </w:rPr>
        <w:t xml:space="preserve">after child placed </w:t>
      </w:r>
      <w:r w:rsidR="00502296" w:rsidRPr="00801CD5">
        <w:rPr>
          <w:rFonts w:ascii="Arial" w:hAnsi="Arial" w:cs="Arial"/>
          <w:b/>
          <w:bCs/>
          <w:color w:val="000000"/>
          <w:sz w:val="20"/>
        </w:rPr>
        <w:t>in emergency care</w:t>
      </w:r>
    </w:p>
    <w:p w14:paraId="6BD23EB8" w14:textId="77777777" w:rsidR="005B49DC" w:rsidRDefault="005B49DC" w:rsidP="00FC40FC">
      <w:pPr>
        <w:jc w:val="both"/>
        <w:rPr>
          <w:rFonts w:ascii="Arial" w:hAnsi="Arial" w:cs="Arial"/>
          <w:sz w:val="20"/>
        </w:rPr>
      </w:pPr>
      <w:r w:rsidRPr="00801CD5">
        <w:rPr>
          <w:rFonts w:ascii="Arial" w:hAnsi="Arial" w:cs="Arial"/>
          <w:color w:val="000000"/>
          <w:sz w:val="20"/>
        </w:rPr>
        <w:t>If a proceeding in the Family Division is commenced by the apprehension of the child</w:t>
      </w:r>
      <w:r w:rsidR="00A743CB" w:rsidRPr="00801CD5">
        <w:rPr>
          <w:rFonts w:ascii="Arial" w:hAnsi="Arial" w:cs="Arial"/>
          <w:color w:val="000000"/>
          <w:sz w:val="20"/>
        </w:rPr>
        <w:t xml:space="preserve"> with or with</w:t>
      </w:r>
      <w:r w:rsidR="00A743CB">
        <w:rPr>
          <w:rFonts w:ascii="Arial" w:hAnsi="Arial" w:cs="Arial"/>
          <w:sz w:val="20"/>
        </w:rPr>
        <w:t xml:space="preserve">out a warrant, </w:t>
      </w:r>
      <w:r>
        <w:rPr>
          <w:rFonts w:ascii="Arial" w:hAnsi="Arial" w:cs="Arial"/>
          <w:sz w:val="20"/>
        </w:rPr>
        <w:t xml:space="preserve">he or she must be placed in emergency care </w:t>
      </w:r>
      <w:r w:rsidR="00A743CB">
        <w:rPr>
          <w:rFonts w:ascii="Arial" w:hAnsi="Arial" w:cs="Arial"/>
          <w:sz w:val="20"/>
        </w:rPr>
        <w:t xml:space="preserve">until the Court or a bail justice hears an application for an interim accommodation order: ss.241-242 </w:t>
      </w:r>
      <w:r w:rsidR="003D6315">
        <w:rPr>
          <w:rFonts w:ascii="Arial" w:hAnsi="Arial" w:cs="Arial"/>
          <w:sz w:val="20"/>
        </w:rPr>
        <w:t xml:space="preserve">&amp; 247A </w:t>
      </w:r>
      <w:r w:rsidR="00A743CB">
        <w:rPr>
          <w:rFonts w:ascii="Arial" w:hAnsi="Arial" w:cs="Arial"/>
          <w:sz w:val="20"/>
        </w:rPr>
        <w:t>of the CYFA.</w:t>
      </w:r>
    </w:p>
    <w:p w14:paraId="7BBD1299" w14:textId="77777777" w:rsidR="005B49DC" w:rsidRDefault="005B49DC" w:rsidP="00FC40FC">
      <w:pPr>
        <w:jc w:val="both"/>
        <w:rPr>
          <w:rFonts w:ascii="Arial" w:hAnsi="Arial" w:cs="Arial"/>
          <w:sz w:val="20"/>
        </w:rPr>
      </w:pPr>
    </w:p>
    <w:p w14:paraId="1F7F7E3B" w14:textId="77777777" w:rsidR="00D84018" w:rsidRDefault="00D84018" w:rsidP="00FC40FC">
      <w:pPr>
        <w:jc w:val="both"/>
        <w:rPr>
          <w:rFonts w:ascii="Arial" w:hAnsi="Arial" w:cs="Arial"/>
          <w:sz w:val="20"/>
        </w:rPr>
      </w:pPr>
      <w:r>
        <w:rPr>
          <w:rFonts w:ascii="Arial" w:hAnsi="Arial" w:cs="Arial"/>
          <w:sz w:val="20"/>
        </w:rPr>
        <w:t>“Emergency care” means placement of a child in accordance with s.242(5) or s.247A(4) of the CYFA, namely-</w:t>
      </w:r>
    </w:p>
    <w:p w14:paraId="791A60A4" w14:textId="77777777" w:rsidR="00D84018" w:rsidRDefault="00D84018" w:rsidP="00FC40FC">
      <w:pPr>
        <w:jc w:val="both"/>
        <w:rPr>
          <w:rFonts w:ascii="Arial" w:hAnsi="Arial" w:cs="Arial"/>
          <w:sz w:val="20"/>
        </w:rPr>
      </w:pPr>
      <w:r>
        <w:rPr>
          <w:rFonts w:ascii="Arial" w:hAnsi="Arial" w:cs="Arial"/>
          <w:sz w:val="20"/>
        </w:rPr>
        <w:t>(a)</w:t>
      </w:r>
      <w:r>
        <w:rPr>
          <w:rFonts w:ascii="Arial" w:hAnsi="Arial" w:cs="Arial"/>
          <w:sz w:val="20"/>
        </w:rPr>
        <w:tab/>
        <w:t>in an out of home care service;</w:t>
      </w:r>
    </w:p>
    <w:p w14:paraId="03FA7129" w14:textId="77777777" w:rsidR="00D84018" w:rsidRDefault="00D84018" w:rsidP="005B49DC">
      <w:pPr>
        <w:ind w:left="357" w:hanging="357"/>
        <w:jc w:val="both"/>
        <w:rPr>
          <w:rFonts w:ascii="Arial" w:hAnsi="Arial" w:cs="Arial"/>
          <w:sz w:val="20"/>
        </w:rPr>
      </w:pPr>
      <w:r>
        <w:rPr>
          <w:rFonts w:ascii="Arial" w:hAnsi="Arial" w:cs="Arial"/>
          <w:sz w:val="20"/>
        </w:rPr>
        <w:t>(b)</w:t>
      </w:r>
      <w:r>
        <w:rPr>
          <w:rFonts w:ascii="Arial" w:hAnsi="Arial" w:cs="Arial"/>
          <w:sz w:val="20"/>
        </w:rPr>
        <w:tab/>
        <w:t>if there is a substantial and immediate risk of harm to the child, in a secure welfare service; or</w:t>
      </w:r>
    </w:p>
    <w:p w14:paraId="39D3F5DB" w14:textId="77777777" w:rsidR="005B49DC" w:rsidRDefault="005B49DC" w:rsidP="005B49DC">
      <w:pPr>
        <w:ind w:left="357" w:hanging="357"/>
        <w:jc w:val="both"/>
        <w:rPr>
          <w:rFonts w:ascii="Arial" w:hAnsi="Arial" w:cs="Arial"/>
          <w:sz w:val="20"/>
        </w:rPr>
      </w:pPr>
      <w:r>
        <w:rPr>
          <w:rFonts w:ascii="Arial" w:hAnsi="Arial" w:cs="Arial"/>
          <w:sz w:val="20"/>
        </w:rPr>
        <w:t>(c)</w:t>
      </w:r>
      <w:r>
        <w:rPr>
          <w:rFonts w:ascii="Arial" w:hAnsi="Arial" w:cs="Arial"/>
          <w:sz w:val="20"/>
        </w:rPr>
        <w:tab/>
        <w:t>in other accommodation approved by the Secretary in accordance with t</w:t>
      </w:r>
      <w:r w:rsidR="004E1436">
        <w:rPr>
          <w:rFonts w:ascii="Arial" w:hAnsi="Arial" w:cs="Arial"/>
          <w:sz w:val="20"/>
        </w:rPr>
        <w:t>he prescribed criteria (if any); this could include leaving the child in parental care.</w:t>
      </w:r>
    </w:p>
    <w:p w14:paraId="138BA2BC" w14:textId="77777777" w:rsidR="00D84018" w:rsidRDefault="00D84018" w:rsidP="00FC40FC">
      <w:pPr>
        <w:jc w:val="both"/>
        <w:rPr>
          <w:rFonts w:ascii="Arial" w:hAnsi="Arial" w:cs="Arial"/>
          <w:sz w:val="20"/>
        </w:rPr>
      </w:pPr>
    </w:p>
    <w:p w14:paraId="6EEEC768" w14:textId="77777777" w:rsidR="005B49DC" w:rsidRDefault="00A743CB" w:rsidP="00FC40FC">
      <w:pPr>
        <w:jc w:val="both"/>
        <w:rPr>
          <w:rFonts w:ascii="Arial" w:hAnsi="Arial" w:cs="Arial"/>
          <w:sz w:val="20"/>
        </w:rPr>
      </w:pPr>
      <w:r>
        <w:rPr>
          <w:rFonts w:ascii="Arial" w:hAnsi="Arial" w:cs="Arial"/>
          <w:sz w:val="20"/>
        </w:rPr>
        <w:t>Section 242(2) provides that if a child has been placed in emergency care under s.241, the Court must hear an application for an interim accommodation order in respect of the child as soon as practicable and in any event within one working day after the child was placed in emergency care.  Section 242(3) provides that unless the Court hears an application for an interim accommodation order within 24 hours after the child was placed in emergency care, a bail justice must hear an application for an interim accommodation order in respect of the child as soon as possible within that period of 24 hours.</w:t>
      </w:r>
    </w:p>
    <w:p w14:paraId="5964DB10" w14:textId="77777777" w:rsidR="00E3559F" w:rsidRDefault="00E3559F" w:rsidP="00FC40FC">
      <w:pPr>
        <w:jc w:val="both"/>
        <w:rPr>
          <w:rFonts w:ascii="Arial" w:hAnsi="Arial" w:cs="Arial"/>
          <w:sz w:val="20"/>
        </w:rPr>
      </w:pPr>
    </w:p>
    <w:p w14:paraId="0D34DF70" w14:textId="4B9957EC" w:rsidR="00693223" w:rsidRDefault="00693223" w:rsidP="00FC40FC">
      <w:pPr>
        <w:jc w:val="both"/>
        <w:rPr>
          <w:rFonts w:ascii="Arial" w:hAnsi="Arial" w:cs="Arial"/>
          <w:sz w:val="20"/>
        </w:rPr>
      </w:pPr>
      <w:r>
        <w:rPr>
          <w:rFonts w:ascii="Arial" w:hAnsi="Arial" w:cs="Arial"/>
          <w:sz w:val="20"/>
        </w:rPr>
        <w:t xml:space="preserve">If there is any dispute </w:t>
      </w:r>
      <w:r w:rsidR="00063C71">
        <w:rPr>
          <w:rFonts w:ascii="Arial" w:hAnsi="Arial" w:cs="Arial"/>
          <w:sz w:val="20"/>
        </w:rPr>
        <w:t xml:space="preserve">at Court </w:t>
      </w:r>
      <w:r>
        <w:rPr>
          <w:rFonts w:ascii="Arial" w:hAnsi="Arial" w:cs="Arial"/>
          <w:sz w:val="20"/>
        </w:rPr>
        <w:t xml:space="preserve">between the parties as to </w:t>
      </w:r>
      <w:r w:rsidR="00EC5F0C">
        <w:rPr>
          <w:rFonts w:ascii="Arial" w:hAnsi="Arial" w:cs="Arial"/>
          <w:sz w:val="20"/>
        </w:rPr>
        <w:t xml:space="preserve">the placement of a child on </w:t>
      </w:r>
      <w:r>
        <w:rPr>
          <w:rFonts w:ascii="Arial" w:hAnsi="Arial" w:cs="Arial"/>
          <w:sz w:val="20"/>
        </w:rPr>
        <w:t>an appropriate interim order</w:t>
      </w:r>
      <w:r w:rsidR="00AB51D4">
        <w:rPr>
          <w:rFonts w:ascii="Arial" w:hAnsi="Arial" w:cs="Arial"/>
          <w:sz w:val="20"/>
        </w:rPr>
        <w:t xml:space="preserve"> or as to a condition </w:t>
      </w:r>
      <w:r w:rsidR="00063C71">
        <w:rPr>
          <w:rFonts w:ascii="Arial" w:hAnsi="Arial" w:cs="Arial"/>
          <w:sz w:val="20"/>
        </w:rPr>
        <w:t xml:space="preserve">which is centrally </w:t>
      </w:r>
      <w:r w:rsidR="00AB51D4">
        <w:rPr>
          <w:rFonts w:ascii="Arial" w:hAnsi="Arial" w:cs="Arial"/>
          <w:sz w:val="20"/>
        </w:rPr>
        <w:t>relevant to placement</w:t>
      </w:r>
      <w:r>
        <w:rPr>
          <w:rFonts w:ascii="Arial" w:hAnsi="Arial" w:cs="Arial"/>
          <w:sz w:val="20"/>
        </w:rPr>
        <w:t xml:space="preserve">, a contest by submissions will be held </w:t>
      </w:r>
      <w:r w:rsidR="00E568FC">
        <w:rPr>
          <w:rFonts w:ascii="Arial" w:hAnsi="Arial" w:cs="Arial"/>
          <w:sz w:val="20"/>
        </w:rPr>
        <w:t>forthwith</w:t>
      </w:r>
      <w:r w:rsidR="00063C71">
        <w:rPr>
          <w:rFonts w:ascii="Arial" w:hAnsi="Arial" w:cs="Arial"/>
          <w:sz w:val="20"/>
        </w:rPr>
        <w:t xml:space="preserve"> </w:t>
      </w:r>
      <w:r w:rsidR="00E568FC">
        <w:rPr>
          <w:rFonts w:ascii="Arial" w:hAnsi="Arial" w:cs="Arial"/>
          <w:sz w:val="20"/>
        </w:rPr>
        <w:t xml:space="preserve">(or at least as soon </w:t>
      </w:r>
      <w:r w:rsidR="00063C71">
        <w:rPr>
          <w:rFonts w:ascii="Arial" w:hAnsi="Arial" w:cs="Arial"/>
          <w:sz w:val="20"/>
        </w:rPr>
        <w:t>as possible</w:t>
      </w:r>
      <w:r w:rsidR="00E568FC">
        <w:rPr>
          <w:rFonts w:ascii="Arial" w:hAnsi="Arial" w:cs="Arial"/>
          <w:sz w:val="20"/>
        </w:rPr>
        <w:t>)</w:t>
      </w:r>
      <w:r>
        <w:rPr>
          <w:rFonts w:ascii="Arial" w:hAnsi="Arial" w:cs="Arial"/>
          <w:sz w:val="20"/>
        </w:rPr>
        <w:t xml:space="preserve">, this being authorised by </w:t>
      </w:r>
      <w:r w:rsidR="00080B97">
        <w:rPr>
          <w:rFonts w:ascii="Arial" w:hAnsi="Arial" w:cs="Arial"/>
          <w:sz w:val="20"/>
        </w:rPr>
        <w:t>a number of Supreme Court</w:t>
      </w:r>
      <w:r>
        <w:rPr>
          <w:rFonts w:ascii="Arial" w:hAnsi="Arial" w:cs="Arial"/>
          <w:sz w:val="20"/>
        </w:rPr>
        <w:t xml:space="preserve"> judgments</w:t>
      </w:r>
      <w:r w:rsidR="00080B97">
        <w:rPr>
          <w:rFonts w:ascii="Arial" w:hAnsi="Arial" w:cs="Arial"/>
          <w:sz w:val="20"/>
        </w:rPr>
        <w:t>, including those</w:t>
      </w:r>
      <w:r>
        <w:rPr>
          <w:rFonts w:ascii="Arial" w:hAnsi="Arial" w:cs="Arial"/>
          <w:sz w:val="20"/>
        </w:rPr>
        <w:t xml:space="preserve"> of Beach J in </w:t>
      </w:r>
      <w:r>
        <w:rPr>
          <w:rFonts w:ascii="Arial" w:hAnsi="Arial" w:cs="Arial"/>
          <w:i/>
          <w:iCs/>
          <w:sz w:val="20"/>
        </w:rPr>
        <w:t>G</w:t>
      </w:r>
      <w:r w:rsidR="00D66A56">
        <w:rPr>
          <w:rFonts w:ascii="Arial" w:hAnsi="Arial" w:cs="Arial"/>
          <w:i/>
          <w:iCs/>
          <w:sz w:val="20"/>
        </w:rPr>
        <w:t> </w:t>
      </w:r>
      <w:r>
        <w:rPr>
          <w:rFonts w:ascii="Arial" w:hAnsi="Arial" w:cs="Arial"/>
          <w:i/>
          <w:iCs/>
          <w:sz w:val="20"/>
        </w:rPr>
        <w:t>v H [No 2]</w:t>
      </w:r>
      <w:r>
        <w:rPr>
          <w:rFonts w:ascii="Arial" w:hAnsi="Arial" w:cs="Arial"/>
          <w:sz w:val="20"/>
        </w:rPr>
        <w:t xml:space="preserve"> [Supreme Court of Victoria, unreported, 10/08/1994],</w:t>
      </w:r>
      <w:r w:rsidR="00A87AA3" w:rsidRPr="00D15CFB">
        <w:rPr>
          <w:rFonts w:ascii="Arial" w:hAnsi="Arial" w:cs="Arial"/>
          <w:color w:val="000000"/>
          <w:sz w:val="20"/>
        </w:rPr>
        <w:t xml:space="preserve"> </w:t>
      </w:r>
      <w:r w:rsidR="00A87AA3">
        <w:rPr>
          <w:rFonts w:ascii="Arial" w:hAnsi="Arial" w:cs="Arial"/>
          <w:color w:val="000000"/>
          <w:sz w:val="20"/>
        </w:rPr>
        <w:t>Elliott J in</w:t>
      </w:r>
      <w:r w:rsidR="00A87AA3" w:rsidRPr="00785E1A">
        <w:rPr>
          <w:rFonts w:ascii="Arial" w:hAnsi="Arial" w:cs="Arial"/>
          <w:color w:val="000000"/>
          <w:sz w:val="20"/>
        </w:rPr>
        <w:t xml:space="preserve"> </w:t>
      </w:r>
      <w:r w:rsidR="00A87AA3" w:rsidRPr="00D15CFB">
        <w:rPr>
          <w:rFonts w:ascii="Arial" w:hAnsi="Arial" w:cs="Arial"/>
          <w:i/>
          <w:color w:val="000000"/>
          <w:sz w:val="20"/>
        </w:rPr>
        <w:t>DOHS v DR</w:t>
      </w:r>
      <w:r w:rsidR="00A87AA3">
        <w:rPr>
          <w:rFonts w:ascii="Arial" w:hAnsi="Arial" w:cs="Arial"/>
          <w:color w:val="000000"/>
          <w:sz w:val="20"/>
        </w:rPr>
        <w:t xml:space="preserve"> [2013] VSC 579 at [57]-[58], </w:t>
      </w:r>
      <w:r>
        <w:rPr>
          <w:rFonts w:ascii="Arial" w:hAnsi="Arial" w:cs="Arial"/>
          <w:sz w:val="20"/>
        </w:rPr>
        <w:t xml:space="preserve">Ashley J in </w:t>
      </w:r>
      <w:r>
        <w:rPr>
          <w:rFonts w:ascii="Arial" w:hAnsi="Arial" w:cs="Arial"/>
          <w:i/>
          <w:iCs/>
          <w:sz w:val="20"/>
        </w:rPr>
        <w:t>The Secretary DOHS v R &amp; Anor</w:t>
      </w:r>
      <w:r>
        <w:rPr>
          <w:rFonts w:ascii="Arial" w:hAnsi="Arial" w:cs="Arial"/>
          <w:sz w:val="20"/>
        </w:rPr>
        <w:t xml:space="preserve"> [2003] VSC 172 at [11] and Gillard J in </w:t>
      </w:r>
      <w:r>
        <w:rPr>
          <w:rFonts w:ascii="Arial" w:hAnsi="Arial" w:cs="Arial"/>
          <w:i/>
          <w:iCs/>
          <w:sz w:val="20"/>
        </w:rPr>
        <w:t>P v RM &amp; Ors</w:t>
      </w:r>
      <w:r>
        <w:rPr>
          <w:rFonts w:ascii="Arial" w:hAnsi="Arial" w:cs="Arial"/>
          <w:sz w:val="20"/>
        </w:rPr>
        <w:t xml:space="preserve"> [2004] VSC 14.  In the latter case Gillard J, while agreeing with Ashley J that the procedure was "unusual", said at [19]: "I do not for one minute criticize it as being an inappropriate procedure."  At [33] His Honour elaborated:</w:t>
      </w:r>
    </w:p>
    <w:p w14:paraId="406C915F" w14:textId="77777777" w:rsidR="00693223" w:rsidRDefault="00693223">
      <w:pPr>
        <w:spacing w:line="240" w:lineRule="exact"/>
        <w:ind w:left="567" w:right="567"/>
        <w:jc w:val="both"/>
        <w:rPr>
          <w:rFonts w:ascii="Arial" w:hAnsi="Arial" w:cs="Arial"/>
          <w:bCs/>
          <w:sz w:val="20"/>
        </w:rPr>
      </w:pPr>
      <w:r>
        <w:rPr>
          <w:rFonts w:ascii="Arial" w:hAnsi="Arial" w:cs="Arial"/>
          <w:sz w:val="20"/>
        </w:rPr>
        <w:t>"The procedure that is adopted in the Children's Court is for evidence to be adduced by assertions from counsel for the parties and the parties themselves, and the same procedure appears to be followed in this Court.  That procedure has been followed for many years and although it is unusual it is no doubt a procedure adopted because of the urgency of an application and the interests of a child who may be subjected to some form of harmful conduct.  Accordingly, I will consider the affidavit of the appellant and the various exhibits which contain a lot of material which is hearsay, untested and also contested, the assertions made by counsel and also in this case the assertions made by the father."</w:t>
      </w:r>
    </w:p>
    <w:p w14:paraId="2011C081" w14:textId="77777777" w:rsidR="00693223" w:rsidRDefault="00693223">
      <w:pPr>
        <w:spacing w:before="120"/>
        <w:jc w:val="both"/>
        <w:rPr>
          <w:rFonts w:ascii="Arial" w:hAnsi="Arial" w:cs="Arial"/>
          <w:sz w:val="20"/>
        </w:rPr>
      </w:pPr>
      <w:r>
        <w:rPr>
          <w:rFonts w:ascii="Arial" w:hAnsi="Arial" w:cs="Arial"/>
          <w:sz w:val="20"/>
        </w:rPr>
        <w:t>If any party is aggrieved by the outcome of a contest by submissions, the case is adjourned for an IAO contest by evidence on a convenient date if the aggrieved party so wishes.  Otherwise the case will usually be adjourned to a date about 3 weeks hence for "mention".</w:t>
      </w:r>
    </w:p>
    <w:p w14:paraId="6412EA48" w14:textId="77777777" w:rsidR="00693223" w:rsidRDefault="00693223">
      <w:pPr>
        <w:ind w:left="363" w:hanging="363"/>
        <w:jc w:val="both"/>
        <w:rPr>
          <w:rFonts w:ascii="Arial" w:hAnsi="Arial" w:cs="Arial"/>
          <w:b/>
          <w:bCs/>
          <w:sz w:val="20"/>
        </w:rPr>
      </w:pPr>
      <w:bookmarkStart w:id="1310" w:name="_Toc30649422"/>
      <w:bookmarkStart w:id="1311" w:name="_Toc30649747"/>
      <w:bookmarkStart w:id="1312" w:name="_Toc30651687"/>
      <w:bookmarkStart w:id="1313" w:name="_Toc30652677"/>
      <w:bookmarkStart w:id="1314" w:name="_Toc30652773"/>
      <w:bookmarkStart w:id="1315" w:name="_Toc30654123"/>
      <w:bookmarkStart w:id="1316" w:name="_Toc30654474"/>
      <w:bookmarkStart w:id="1317" w:name="_Toc30655093"/>
      <w:bookmarkStart w:id="1318" w:name="_Toc30655350"/>
      <w:bookmarkStart w:id="1319" w:name="_Toc30657028"/>
      <w:bookmarkStart w:id="1320" w:name="_Toc30661777"/>
      <w:bookmarkStart w:id="1321" w:name="_Toc30666465"/>
      <w:bookmarkStart w:id="1322" w:name="_Toc30666695"/>
      <w:bookmarkStart w:id="1323" w:name="_Toc30667870"/>
      <w:bookmarkStart w:id="1324" w:name="_Toc30669248"/>
      <w:bookmarkStart w:id="1325" w:name="_Toc30671464"/>
      <w:bookmarkStart w:id="1326" w:name="_Toc30673991"/>
      <w:bookmarkStart w:id="1327" w:name="_Toc30691213"/>
      <w:bookmarkStart w:id="1328" w:name="_Toc30691586"/>
      <w:bookmarkStart w:id="1329" w:name="_Toc30691966"/>
      <w:bookmarkStart w:id="1330" w:name="_Toc30692725"/>
      <w:bookmarkStart w:id="1331" w:name="_Toc30693104"/>
      <w:bookmarkStart w:id="1332" w:name="_Toc30693482"/>
      <w:bookmarkStart w:id="1333" w:name="_Toc30693860"/>
      <w:bookmarkStart w:id="1334" w:name="_Toc30694241"/>
      <w:bookmarkStart w:id="1335" w:name="_Toc30698830"/>
      <w:bookmarkStart w:id="1336" w:name="_Toc30699208"/>
      <w:bookmarkStart w:id="1337" w:name="_Toc30699593"/>
      <w:bookmarkStart w:id="1338" w:name="_Toc30700748"/>
      <w:bookmarkStart w:id="1339" w:name="_Toc30701135"/>
      <w:bookmarkStart w:id="1340" w:name="_Toc30743744"/>
      <w:bookmarkStart w:id="1341" w:name="_Toc30754567"/>
      <w:bookmarkStart w:id="1342" w:name="_Toc30757007"/>
      <w:bookmarkStart w:id="1343" w:name="_Toc30757556"/>
      <w:bookmarkStart w:id="1344" w:name="_Toc30757956"/>
      <w:bookmarkStart w:id="1345" w:name="_Toc30762717"/>
      <w:bookmarkStart w:id="1346" w:name="_Toc30767371"/>
      <w:bookmarkStart w:id="1347" w:name="_Toc34823386"/>
    </w:p>
    <w:p w14:paraId="44B2A8B1" w14:textId="77777777" w:rsidR="00693223" w:rsidRDefault="00693223">
      <w:pPr>
        <w:pStyle w:val="Heading3"/>
        <w:spacing w:after="60" w:line="240" w:lineRule="auto"/>
        <w:rPr>
          <w:rFonts w:ascii="Arial" w:hAnsi="Arial" w:cs="Arial"/>
          <w:b/>
          <w:bCs/>
          <w:sz w:val="16"/>
        </w:rPr>
      </w:pPr>
      <w:bookmarkStart w:id="1348" w:name="_4.9.2_Mention"/>
      <w:bookmarkStart w:id="1349" w:name="B492"/>
      <w:bookmarkEnd w:id="1348"/>
      <w:bookmarkEnd w:id="1349"/>
      <w:r>
        <w:rPr>
          <w:rFonts w:ascii="Arial" w:hAnsi="Arial" w:cs="Arial"/>
          <w:b/>
          <w:bCs/>
          <w:sz w:val="20"/>
        </w:rPr>
        <w:t>4.9.2</w:t>
      </w:r>
      <w:r>
        <w:rPr>
          <w:rFonts w:ascii="Arial" w:hAnsi="Arial" w:cs="Arial"/>
          <w:b/>
          <w:bCs/>
          <w:sz w:val="20"/>
        </w:rPr>
        <w:tab/>
        <w:t>Mention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20BFDA" w14:textId="649FCCDA" w:rsidR="00CB653F" w:rsidRDefault="00693223">
      <w:pPr>
        <w:jc w:val="both"/>
        <w:rPr>
          <w:rFonts w:ascii="Arial" w:hAnsi="Arial" w:cs="Arial"/>
          <w:sz w:val="20"/>
        </w:rPr>
      </w:pPr>
      <w:r>
        <w:rPr>
          <w:rFonts w:ascii="Arial" w:hAnsi="Arial" w:cs="Arial"/>
          <w:sz w:val="20"/>
        </w:rPr>
        <w:t xml:space="preserve">If a proceeding in the Family Division is commenced by notice, it will usually be listed for "mention" on a date about 3 weeks after the date of filing.  Witnesses are not called at a mention.  </w:t>
      </w:r>
      <w:r w:rsidR="00CB653F">
        <w:rPr>
          <w:rFonts w:ascii="Arial" w:hAnsi="Arial" w:cs="Arial"/>
          <w:sz w:val="20"/>
        </w:rPr>
        <w:t>A</w:t>
      </w:r>
      <w:r>
        <w:rPr>
          <w:rFonts w:ascii="Arial" w:hAnsi="Arial" w:cs="Arial"/>
          <w:sz w:val="20"/>
        </w:rPr>
        <w:t xml:space="preserve"> </w:t>
      </w:r>
      <w:r w:rsidR="00CB653F">
        <w:rPr>
          <w:rFonts w:ascii="Arial" w:hAnsi="Arial" w:cs="Arial"/>
          <w:sz w:val="20"/>
        </w:rPr>
        <w:t xml:space="preserve">significant </w:t>
      </w:r>
      <w:r>
        <w:rPr>
          <w:rFonts w:ascii="Arial" w:hAnsi="Arial" w:cs="Arial"/>
          <w:sz w:val="20"/>
        </w:rPr>
        <w:t xml:space="preserve">proportion of cases are completed at </w:t>
      </w:r>
      <w:r w:rsidR="00CB653F">
        <w:rPr>
          <w:rFonts w:ascii="Arial" w:hAnsi="Arial" w:cs="Arial"/>
          <w:sz w:val="20"/>
        </w:rPr>
        <w:t>the first or a further</w:t>
      </w:r>
      <w:r>
        <w:rPr>
          <w:rFonts w:ascii="Arial" w:hAnsi="Arial" w:cs="Arial"/>
          <w:sz w:val="20"/>
        </w:rPr>
        <w:t xml:space="preserve"> mention hearing by the parties consenting to or not opposing Court orders</w:t>
      </w:r>
      <w:r w:rsidR="00CB653F">
        <w:rPr>
          <w:rFonts w:ascii="Arial" w:hAnsi="Arial" w:cs="Arial"/>
          <w:sz w:val="20"/>
        </w:rPr>
        <w:t>.</w:t>
      </w:r>
    </w:p>
    <w:p w14:paraId="00CE0928" w14:textId="77777777" w:rsidR="00693223" w:rsidRDefault="00693223">
      <w:pPr>
        <w:ind w:left="363" w:hanging="363"/>
        <w:jc w:val="both"/>
        <w:rPr>
          <w:rFonts w:ascii="Arial" w:hAnsi="Arial" w:cs="Arial"/>
          <w:b/>
          <w:bCs/>
          <w:sz w:val="20"/>
        </w:rPr>
      </w:pPr>
      <w:bookmarkStart w:id="1350" w:name="_Toc30651688"/>
      <w:bookmarkStart w:id="1351" w:name="_Toc30652678"/>
      <w:bookmarkStart w:id="1352" w:name="_Toc30652774"/>
      <w:bookmarkStart w:id="1353" w:name="_Toc30654124"/>
      <w:bookmarkStart w:id="1354" w:name="_Toc30654475"/>
      <w:bookmarkStart w:id="1355" w:name="_Toc30655094"/>
      <w:bookmarkStart w:id="1356" w:name="_Toc30655351"/>
      <w:bookmarkStart w:id="1357" w:name="_Toc30657029"/>
      <w:bookmarkStart w:id="1358" w:name="_Toc30661778"/>
      <w:bookmarkStart w:id="1359" w:name="_Toc30666466"/>
      <w:bookmarkStart w:id="1360" w:name="_Toc30666696"/>
      <w:bookmarkStart w:id="1361" w:name="_Toc30667871"/>
      <w:bookmarkStart w:id="1362" w:name="_Toc30669249"/>
      <w:bookmarkStart w:id="1363" w:name="_Toc30671465"/>
      <w:bookmarkStart w:id="1364" w:name="_Toc30673992"/>
      <w:bookmarkStart w:id="1365" w:name="_Toc30691214"/>
      <w:bookmarkStart w:id="1366" w:name="_Toc30691587"/>
      <w:bookmarkStart w:id="1367" w:name="_Toc30691967"/>
      <w:bookmarkStart w:id="1368" w:name="_Toc30692726"/>
      <w:bookmarkStart w:id="1369" w:name="_Toc30693105"/>
      <w:bookmarkStart w:id="1370" w:name="_Toc30693483"/>
      <w:bookmarkStart w:id="1371" w:name="_Toc30693861"/>
      <w:bookmarkStart w:id="1372" w:name="_Toc30694242"/>
      <w:bookmarkStart w:id="1373" w:name="_Toc30698831"/>
      <w:bookmarkStart w:id="1374" w:name="_Toc30699209"/>
      <w:bookmarkStart w:id="1375" w:name="_Toc30699594"/>
      <w:bookmarkStart w:id="1376" w:name="_Toc30700749"/>
      <w:bookmarkStart w:id="1377" w:name="_Toc30701136"/>
      <w:bookmarkStart w:id="1378" w:name="_Toc30743745"/>
      <w:bookmarkStart w:id="1379" w:name="_Toc30754568"/>
      <w:bookmarkStart w:id="1380" w:name="_Toc30757008"/>
      <w:bookmarkStart w:id="1381" w:name="_Toc30757557"/>
      <w:bookmarkStart w:id="1382" w:name="_Toc30757957"/>
      <w:bookmarkStart w:id="1383" w:name="_Toc30762718"/>
      <w:bookmarkStart w:id="1384" w:name="_Toc30767372"/>
      <w:bookmarkStart w:id="1385" w:name="_Toc34823387"/>
    </w:p>
    <w:p w14:paraId="7B41F8E0" w14:textId="77777777" w:rsidR="00693223" w:rsidRPr="00801CD5" w:rsidRDefault="00693223" w:rsidP="007867B3">
      <w:pPr>
        <w:pStyle w:val="Heading3"/>
        <w:keepNext/>
        <w:spacing w:line="240" w:lineRule="auto"/>
        <w:rPr>
          <w:rFonts w:ascii="Arial" w:hAnsi="Arial" w:cs="Arial"/>
          <w:b/>
          <w:bCs/>
          <w:color w:val="000000"/>
          <w:sz w:val="20"/>
        </w:rPr>
      </w:pPr>
      <w:bookmarkStart w:id="1386" w:name="_4.9.3_Conciliation"/>
      <w:bookmarkStart w:id="1387" w:name="B493"/>
      <w:bookmarkEnd w:id="1386"/>
      <w:bookmarkEnd w:id="1387"/>
      <w:r w:rsidRPr="00785E1A">
        <w:rPr>
          <w:rFonts w:ascii="Arial" w:hAnsi="Arial" w:cs="Arial"/>
          <w:b/>
          <w:bCs/>
          <w:color w:val="000000"/>
          <w:sz w:val="20"/>
        </w:rPr>
        <w:t>4.9.3</w:t>
      </w:r>
      <w:r w:rsidRPr="00801CD5">
        <w:rPr>
          <w:rFonts w:ascii="Arial" w:hAnsi="Arial" w:cs="Arial"/>
          <w:b/>
          <w:bCs/>
          <w:color w:val="000000"/>
          <w:sz w:val="20"/>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484481" w:rsidRPr="00801CD5">
        <w:rPr>
          <w:rFonts w:ascii="Arial" w:hAnsi="Arial" w:cs="Arial"/>
          <w:b/>
          <w:bCs/>
          <w:color w:val="000000"/>
          <w:sz w:val="20"/>
        </w:rPr>
        <w:t>Conciliation</w:t>
      </w:r>
    </w:p>
    <w:p w14:paraId="1C658CD7" w14:textId="6307034A" w:rsidR="001C67E6" w:rsidRDefault="00111111">
      <w:pPr>
        <w:spacing w:before="120"/>
        <w:jc w:val="both"/>
        <w:rPr>
          <w:rFonts w:ascii="Arial" w:hAnsi="Arial" w:cs="Arial"/>
          <w:color w:val="000000"/>
          <w:sz w:val="20"/>
        </w:rPr>
      </w:pPr>
      <w:r>
        <w:rPr>
          <w:rFonts w:ascii="Arial" w:hAnsi="Arial" w:cs="Arial"/>
          <w:color w:val="000000"/>
          <w:sz w:val="20"/>
        </w:rPr>
        <w:t xml:space="preserve">Prior to </w:t>
      </w:r>
      <w:r w:rsidR="001149D7">
        <w:rPr>
          <w:rFonts w:ascii="Arial" w:hAnsi="Arial" w:cs="Arial"/>
          <w:color w:val="000000"/>
          <w:sz w:val="20"/>
        </w:rPr>
        <w:t>20</w:t>
      </w:r>
      <w:r>
        <w:rPr>
          <w:rFonts w:ascii="Arial" w:hAnsi="Arial" w:cs="Arial"/>
          <w:color w:val="000000"/>
          <w:sz w:val="20"/>
        </w:rPr>
        <w:t>/</w:t>
      </w:r>
      <w:r w:rsidR="001149D7">
        <w:rPr>
          <w:rFonts w:ascii="Arial" w:hAnsi="Arial" w:cs="Arial"/>
          <w:color w:val="000000"/>
          <w:sz w:val="20"/>
        </w:rPr>
        <w:t>12</w:t>
      </w:r>
      <w:r>
        <w:rPr>
          <w:rFonts w:ascii="Arial" w:hAnsi="Arial" w:cs="Arial"/>
          <w:color w:val="000000"/>
          <w:sz w:val="20"/>
        </w:rPr>
        <w:t>/202</w:t>
      </w:r>
      <w:r w:rsidR="001149D7">
        <w:rPr>
          <w:rFonts w:ascii="Arial" w:hAnsi="Arial" w:cs="Arial"/>
          <w:color w:val="000000"/>
          <w:sz w:val="20"/>
        </w:rPr>
        <w:t>4</w:t>
      </w:r>
      <w:r>
        <w:rPr>
          <w:rFonts w:ascii="Arial" w:hAnsi="Arial" w:cs="Arial"/>
          <w:color w:val="000000"/>
          <w:sz w:val="20"/>
        </w:rPr>
        <w:t xml:space="preserve"> i</w:t>
      </w:r>
      <w:r w:rsidR="00693223" w:rsidRPr="00785E1A">
        <w:rPr>
          <w:rFonts w:ascii="Arial" w:hAnsi="Arial" w:cs="Arial"/>
          <w:color w:val="000000"/>
          <w:sz w:val="20"/>
        </w:rPr>
        <w:t xml:space="preserve">f a </w:t>
      </w:r>
      <w:r w:rsidR="007C7752" w:rsidRPr="00785E1A">
        <w:rPr>
          <w:rFonts w:ascii="Arial" w:hAnsi="Arial" w:cs="Arial"/>
          <w:color w:val="000000"/>
          <w:sz w:val="20"/>
        </w:rPr>
        <w:t>Family Division</w:t>
      </w:r>
      <w:r w:rsidR="00693223" w:rsidRPr="00785E1A">
        <w:rPr>
          <w:rFonts w:ascii="Arial" w:hAnsi="Arial" w:cs="Arial"/>
          <w:color w:val="000000"/>
          <w:sz w:val="20"/>
        </w:rPr>
        <w:t xml:space="preserve"> application </w:t>
      </w:r>
      <w:r>
        <w:rPr>
          <w:rFonts w:ascii="Arial" w:hAnsi="Arial" w:cs="Arial"/>
          <w:color w:val="000000"/>
          <w:sz w:val="20"/>
        </w:rPr>
        <w:t>wa</w:t>
      </w:r>
      <w:r w:rsidR="00693223" w:rsidRPr="00785E1A">
        <w:rPr>
          <w:rFonts w:ascii="Arial" w:hAnsi="Arial" w:cs="Arial"/>
          <w:color w:val="000000"/>
          <w:sz w:val="20"/>
        </w:rPr>
        <w:t xml:space="preserve">s unable to be resolved at a "mention" hearing, it </w:t>
      </w:r>
      <w:r>
        <w:rPr>
          <w:rFonts w:ascii="Arial" w:hAnsi="Arial" w:cs="Arial"/>
          <w:color w:val="000000"/>
          <w:sz w:val="20"/>
        </w:rPr>
        <w:t>was</w:t>
      </w:r>
      <w:r w:rsidR="00693223" w:rsidRPr="00785E1A">
        <w:rPr>
          <w:rFonts w:ascii="Arial" w:hAnsi="Arial" w:cs="Arial"/>
          <w:color w:val="000000"/>
          <w:sz w:val="20"/>
        </w:rPr>
        <w:t xml:space="preserve"> generally adjourned </w:t>
      </w:r>
      <w:r w:rsidR="00AF5500" w:rsidRPr="00785E1A">
        <w:rPr>
          <w:rFonts w:ascii="Arial" w:hAnsi="Arial" w:cs="Arial"/>
          <w:color w:val="000000"/>
          <w:sz w:val="20"/>
        </w:rPr>
        <w:t>and referred to</w:t>
      </w:r>
      <w:r w:rsidR="00693223" w:rsidRPr="00785E1A">
        <w:rPr>
          <w:rFonts w:ascii="Arial" w:hAnsi="Arial" w:cs="Arial"/>
          <w:color w:val="000000"/>
          <w:sz w:val="20"/>
        </w:rPr>
        <w:t xml:space="preserve"> </w:t>
      </w:r>
      <w:r w:rsidR="009B6762">
        <w:rPr>
          <w:rFonts w:ascii="Arial" w:hAnsi="Arial" w:cs="Arial"/>
          <w:color w:val="000000"/>
          <w:sz w:val="20"/>
        </w:rPr>
        <w:t>Court ordered conciliation</w:t>
      </w:r>
      <w:r w:rsidR="00693223" w:rsidRPr="00785E1A">
        <w:rPr>
          <w:rFonts w:ascii="Arial" w:hAnsi="Arial" w:cs="Arial"/>
          <w:color w:val="000000"/>
          <w:sz w:val="20"/>
        </w:rPr>
        <w:t xml:space="preserve"> under s</w:t>
      </w:r>
      <w:r w:rsidR="00AF5500" w:rsidRPr="00785E1A">
        <w:rPr>
          <w:rFonts w:ascii="Arial" w:hAnsi="Arial" w:cs="Arial"/>
          <w:color w:val="000000"/>
          <w:sz w:val="20"/>
        </w:rPr>
        <w:t>.217</w:t>
      </w:r>
      <w:r w:rsidR="006F0F3D" w:rsidRPr="00785E1A">
        <w:rPr>
          <w:rFonts w:ascii="Arial" w:hAnsi="Arial" w:cs="Arial"/>
          <w:color w:val="000000"/>
          <w:sz w:val="20"/>
        </w:rPr>
        <w:t xml:space="preserve"> of the CY</w:t>
      </w:r>
      <w:r w:rsidR="00AF5500" w:rsidRPr="00785E1A">
        <w:rPr>
          <w:rFonts w:ascii="Arial" w:hAnsi="Arial" w:cs="Arial"/>
          <w:color w:val="000000"/>
          <w:sz w:val="20"/>
        </w:rPr>
        <w:t>F</w:t>
      </w:r>
      <w:r w:rsidR="006F0F3D" w:rsidRPr="00785E1A">
        <w:rPr>
          <w:rFonts w:ascii="Arial" w:hAnsi="Arial" w:cs="Arial"/>
          <w:color w:val="000000"/>
          <w:sz w:val="20"/>
        </w:rPr>
        <w:t>A</w:t>
      </w:r>
      <w:r w:rsidR="00984865">
        <w:rPr>
          <w:rFonts w:ascii="Arial" w:hAnsi="Arial" w:cs="Arial"/>
          <w:color w:val="000000"/>
          <w:sz w:val="20"/>
        </w:rPr>
        <w:t xml:space="preserve"> as described in </w:t>
      </w:r>
      <w:r w:rsidR="00984865" w:rsidRPr="00984865">
        <w:rPr>
          <w:rFonts w:ascii="Arial" w:hAnsi="Arial" w:cs="Arial"/>
          <w:b/>
          <w:bCs/>
          <w:color w:val="000000"/>
          <w:sz w:val="20"/>
          <w:shd w:val="clear" w:color="auto" w:fill="C5E0B3" w:themeFill="accent6" w:themeFillTint="66"/>
        </w:rPr>
        <w:t>sections 4.10.1 to 4.10.9</w:t>
      </w:r>
      <w:r w:rsidR="00984865">
        <w:rPr>
          <w:rFonts w:ascii="Arial" w:hAnsi="Arial" w:cs="Arial"/>
          <w:color w:val="000000"/>
          <w:sz w:val="20"/>
        </w:rPr>
        <w:t>.</w:t>
      </w:r>
    </w:p>
    <w:p w14:paraId="32FFE275" w14:textId="77777777" w:rsidR="001C67E6" w:rsidRDefault="001C67E6" w:rsidP="001C67E6">
      <w:pPr>
        <w:jc w:val="both"/>
        <w:rPr>
          <w:rFonts w:ascii="Arial" w:hAnsi="Arial" w:cs="Arial"/>
          <w:color w:val="000000"/>
          <w:sz w:val="20"/>
        </w:rPr>
      </w:pPr>
    </w:p>
    <w:p w14:paraId="2CF5B62B" w14:textId="08CC1A1E" w:rsidR="00693223" w:rsidRPr="00785E1A" w:rsidRDefault="001149D7" w:rsidP="001C67E6">
      <w:pPr>
        <w:jc w:val="both"/>
        <w:rPr>
          <w:rFonts w:ascii="Arial" w:hAnsi="Arial" w:cs="Arial"/>
          <w:color w:val="000000"/>
          <w:sz w:val="20"/>
        </w:rPr>
      </w:pPr>
      <w:r>
        <w:rPr>
          <w:rFonts w:ascii="Arial" w:hAnsi="Arial" w:cs="Arial"/>
          <w:color w:val="000000"/>
          <w:sz w:val="20"/>
        </w:rPr>
        <w:t>O</w:t>
      </w:r>
      <w:r w:rsidR="006D3360" w:rsidRPr="00785E1A">
        <w:rPr>
          <w:rFonts w:ascii="Arial" w:hAnsi="Arial" w:cs="Arial"/>
          <w:color w:val="000000"/>
          <w:sz w:val="20"/>
        </w:rPr>
        <w:t xml:space="preserve">ccasionally, a case </w:t>
      </w:r>
      <w:r w:rsidR="001C67E6">
        <w:rPr>
          <w:rFonts w:ascii="Arial" w:hAnsi="Arial" w:cs="Arial"/>
          <w:color w:val="000000"/>
          <w:sz w:val="20"/>
        </w:rPr>
        <w:t>i</w:t>
      </w:r>
      <w:r w:rsidR="006D3360" w:rsidRPr="00785E1A">
        <w:rPr>
          <w:rFonts w:ascii="Arial" w:hAnsi="Arial" w:cs="Arial"/>
          <w:color w:val="000000"/>
          <w:sz w:val="20"/>
        </w:rPr>
        <w:t xml:space="preserve">s adjourned for a judicial resolution conference under </w:t>
      </w:r>
      <w:r w:rsidR="00F05A0A">
        <w:rPr>
          <w:rFonts w:ascii="Arial" w:hAnsi="Arial" w:cs="Arial"/>
          <w:color w:val="000000"/>
          <w:sz w:val="20"/>
        </w:rPr>
        <w:t>s.527A CYFA</w:t>
      </w:r>
      <w:r w:rsidR="006D3360" w:rsidRPr="00785E1A">
        <w:rPr>
          <w:rFonts w:ascii="Arial" w:hAnsi="Arial" w:cs="Arial"/>
          <w:color w:val="000000"/>
          <w:sz w:val="20"/>
        </w:rPr>
        <w:t>.</w:t>
      </w:r>
    </w:p>
    <w:p w14:paraId="4727EA9C" w14:textId="77777777" w:rsidR="00DB5203" w:rsidRDefault="00DB5203">
      <w:pPr>
        <w:ind w:left="363" w:hanging="363"/>
        <w:jc w:val="both"/>
        <w:rPr>
          <w:rFonts w:ascii="Arial" w:hAnsi="Arial" w:cs="Arial"/>
          <w:sz w:val="20"/>
        </w:rPr>
      </w:pPr>
    </w:p>
    <w:p w14:paraId="62C02E5A" w14:textId="751389D9" w:rsidR="001149D7" w:rsidRDefault="001149D7" w:rsidP="001149D7">
      <w:pPr>
        <w:jc w:val="both"/>
        <w:rPr>
          <w:rFonts w:ascii="Arial" w:hAnsi="Arial" w:cs="Arial"/>
          <w:sz w:val="20"/>
        </w:rPr>
      </w:pPr>
      <w:r>
        <w:rPr>
          <w:rFonts w:ascii="Arial" w:hAnsi="Arial" w:cs="Arial"/>
          <w:sz w:val="20"/>
        </w:rPr>
        <w:t xml:space="preserve">From 20/12/2024 the Children’s Court </w:t>
      </w:r>
      <w:r w:rsidR="001018E5">
        <w:rPr>
          <w:rFonts w:ascii="Arial" w:hAnsi="Arial" w:cs="Arial"/>
          <w:sz w:val="20"/>
        </w:rPr>
        <w:t>is</w:t>
      </w:r>
      <w:r>
        <w:rPr>
          <w:rFonts w:ascii="Arial" w:hAnsi="Arial" w:cs="Arial"/>
          <w:sz w:val="20"/>
        </w:rPr>
        <w:t xml:space="preserve"> no longer conducting conciliation conferences. All</w:t>
      </w:r>
      <w:r w:rsidR="00EB4219">
        <w:rPr>
          <w:rFonts w:ascii="Arial" w:hAnsi="Arial" w:cs="Arial"/>
          <w:sz w:val="20"/>
        </w:rPr>
        <w:t> </w:t>
      </w:r>
      <w:r>
        <w:rPr>
          <w:rFonts w:ascii="Arial" w:hAnsi="Arial" w:cs="Arial"/>
          <w:sz w:val="20"/>
        </w:rPr>
        <w:t xml:space="preserve">matters already booked for </w:t>
      </w:r>
      <w:r w:rsidR="001018E5">
        <w:rPr>
          <w:rFonts w:ascii="Arial" w:hAnsi="Arial" w:cs="Arial"/>
          <w:sz w:val="20"/>
        </w:rPr>
        <w:t xml:space="preserve">a </w:t>
      </w:r>
      <w:r>
        <w:rPr>
          <w:rFonts w:ascii="Arial" w:hAnsi="Arial" w:cs="Arial"/>
          <w:sz w:val="20"/>
        </w:rPr>
        <w:t>CC are listed for mention on the same day as the CC booking (or the next Children’s Court sitting day in some regional areas) and will be heard as listed before a judicial officer for determination and case management.</w:t>
      </w:r>
    </w:p>
    <w:p w14:paraId="74E5CE7D" w14:textId="77777777" w:rsidR="001149D7" w:rsidRDefault="001149D7" w:rsidP="001149D7">
      <w:pPr>
        <w:jc w:val="both"/>
        <w:rPr>
          <w:rFonts w:ascii="Arial" w:hAnsi="Arial" w:cs="Arial"/>
          <w:sz w:val="20"/>
        </w:rPr>
      </w:pPr>
    </w:p>
    <w:p w14:paraId="4E53ECD2" w14:textId="162EBCDC" w:rsidR="001149D7" w:rsidRDefault="00EB4219" w:rsidP="001149D7">
      <w:pPr>
        <w:jc w:val="both"/>
        <w:rPr>
          <w:rFonts w:ascii="Arial" w:hAnsi="Arial" w:cs="Arial"/>
          <w:sz w:val="20"/>
        </w:rPr>
      </w:pPr>
      <w:r>
        <w:rPr>
          <w:rFonts w:ascii="Arial" w:hAnsi="Arial" w:cs="Arial"/>
          <w:sz w:val="20"/>
        </w:rPr>
        <w:t xml:space="preserve">From 07/01/2025 until June 2025 Readiness Hearings (see </w:t>
      </w:r>
      <w:r w:rsidRPr="00EB4219">
        <w:rPr>
          <w:rFonts w:ascii="Arial" w:hAnsi="Arial" w:cs="Arial"/>
          <w:b/>
          <w:bCs/>
          <w:sz w:val="20"/>
          <w:shd w:val="clear" w:color="auto" w:fill="C5E0B3" w:themeFill="accent6" w:themeFillTint="66"/>
        </w:rPr>
        <w:t>section 4.9.4</w:t>
      </w:r>
      <w:r>
        <w:rPr>
          <w:rFonts w:ascii="Arial" w:hAnsi="Arial" w:cs="Arial"/>
          <w:sz w:val="20"/>
        </w:rPr>
        <w:t xml:space="preserve"> below) will continue to be the preferred method of post-mention judicial resolution with listings available across the state. In 2025 the Court </w:t>
      </w:r>
      <w:r w:rsidRPr="001149D7">
        <w:rPr>
          <w:rFonts w:ascii="Arial" w:hAnsi="Arial" w:cs="Arial"/>
          <w:sz w:val="20"/>
        </w:rPr>
        <w:t>will be consulting with court users in relation to listing structures, case events and Practice Directions for child protection cases including options for judicial resolution and case readiness.</w:t>
      </w:r>
    </w:p>
    <w:p w14:paraId="1053430C" w14:textId="77777777" w:rsidR="00EB4219" w:rsidRDefault="00EB4219" w:rsidP="001149D7">
      <w:pPr>
        <w:ind w:left="363" w:hanging="363"/>
        <w:jc w:val="both"/>
        <w:rPr>
          <w:rFonts w:ascii="Arial" w:hAnsi="Arial" w:cs="Arial"/>
          <w:i/>
          <w:iCs/>
          <w:sz w:val="20"/>
        </w:rPr>
      </w:pPr>
    </w:p>
    <w:p w14:paraId="0726B362" w14:textId="2D9A3796" w:rsidR="001149D7" w:rsidRPr="001149D7" w:rsidRDefault="001149D7" w:rsidP="00EB4219">
      <w:pPr>
        <w:jc w:val="both"/>
        <w:rPr>
          <w:rFonts w:ascii="Arial" w:hAnsi="Arial" w:cs="Arial"/>
          <w:sz w:val="20"/>
        </w:rPr>
      </w:pPr>
      <w:r w:rsidRPr="001149D7">
        <w:rPr>
          <w:rFonts w:ascii="Arial" w:hAnsi="Arial" w:cs="Arial"/>
          <w:sz w:val="20"/>
        </w:rPr>
        <w:t xml:space="preserve">The Court encourages protective intervenors and lawyers to continue to make their best efforts to narrow the issues in dispute prior to each court proceeding and in doing so to actively engage with children and parents. </w:t>
      </w:r>
    </w:p>
    <w:p w14:paraId="7249F7C8" w14:textId="77777777" w:rsidR="001149D7" w:rsidRPr="002F7CE3" w:rsidRDefault="001149D7">
      <w:pPr>
        <w:ind w:left="363" w:hanging="363"/>
        <w:jc w:val="both"/>
        <w:rPr>
          <w:rFonts w:ascii="Arial" w:hAnsi="Arial" w:cs="Arial"/>
          <w:sz w:val="20"/>
        </w:rPr>
      </w:pPr>
    </w:p>
    <w:p w14:paraId="22122F72" w14:textId="16560AC4" w:rsidR="0030237B" w:rsidRDefault="0030237B" w:rsidP="00196254">
      <w:pPr>
        <w:pStyle w:val="Heading3"/>
        <w:keepNext/>
        <w:keepLines/>
        <w:widowControl/>
        <w:spacing w:line="240" w:lineRule="auto"/>
        <w:rPr>
          <w:rFonts w:ascii="Arial" w:hAnsi="Arial" w:cs="Arial"/>
          <w:b/>
          <w:bCs/>
          <w:sz w:val="20"/>
        </w:rPr>
      </w:pPr>
      <w:bookmarkStart w:id="1388" w:name="_4.9.4_First_directions"/>
      <w:bookmarkStart w:id="1389" w:name="B494"/>
      <w:bookmarkStart w:id="1390" w:name="_4.9.4A_Readiness_Hearing"/>
      <w:bookmarkStart w:id="1391" w:name="B494A"/>
      <w:bookmarkStart w:id="1392" w:name="_Hlk196397205"/>
      <w:bookmarkEnd w:id="1388"/>
      <w:bookmarkEnd w:id="1389"/>
      <w:bookmarkEnd w:id="1390"/>
      <w:bookmarkEnd w:id="1391"/>
      <w:r>
        <w:rPr>
          <w:rFonts w:ascii="Arial" w:hAnsi="Arial" w:cs="Arial"/>
          <w:b/>
          <w:bCs/>
          <w:sz w:val="20"/>
        </w:rPr>
        <w:t>4.9.</w:t>
      </w:r>
      <w:r w:rsidR="00196254">
        <w:rPr>
          <w:rFonts w:ascii="Arial" w:hAnsi="Arial" w:cs="Arial"/>
          <w:b/>
          <w:bCs/>
          <w:sz w:val="20"/>
        </w:rPr>
        <w:t>4</w:t>
      </w:r>
      <w:r>
        <w:rPr>
          <w:rFonts w:ascii="Arial" w:hAnsi="Arial" w:cs="Arial"/>
          <w:b/>
          <w:bCs/>
          <w:sz w:val="20"/>
        </w:rPr>
        <w:tab/>
        <w:t xml:space="preserve">Readiness </w:t>
      </w:r>
      <w:r w:rsidR="00906F5E">
        <w:rPr>
          <w:rFonts w:ascii="Arial" w:hAnsi="Arial" w:cs="Arial"/>
          <w:b/>
          <w:bCs/>
          <w:sz w:val="20"/>
        </w:rPr>
        <w:t>H</w:t>
      </w:r>
      <w:r>
        <w:rPr>
          <w:rFonts w:ascii="Arial" w:hAnsi="Arial" w:cs="Arial"/>
          <w:b/>
          <w:bCs/>
          <w:sz w:val="20"/>
        </w:rPr>
        <w:t>earing</w:t>
      </w:r>
    </w:p>
    <w:p w14:paraId="7974F337" w14:textId="30958D00" w:rsidR="004A5A8C" w:rsidRPr="005A3EFE" w:rsidRDefault="004A5A8C" w:rsidP="004A5A8C">
      <w:pPr>
        <w:shd w:val="clear" w:color="auto" w:fill="FFFFFF"/>
        <w:spacing w:before="120"/>
        <w:jc w:val="both"/>
        <w:textAlignment w:val="baseline"/>
        <w:rPr>
          <w:rFonts w:ascii="Arial" w:hAnsi="Arial" w:cs="Arial"/>
          <w:b/>
          <w:color w:val="000000"/>
          <w:sz w:val="20"/>
        </w:rPr>
      </w:pPr>
      <w:r>
        <w:rPr>
          <w:rFonts w:ascii="Arial" w:hAnsi="Arial" w:cs="Arial"/>
          <w:color w:val="353535"/>
          <w:sz w:val="20"/>
          <w:szCs w:val="20"/>
          <w:lang w:eastAsia="en-AU"/>
        </w:rPr>
        <w:t xml:space="preserve">A type of hearing </w:t>
      </w:r>
      <w:r w:rsidRPr="0047445C">
        <w:rPr>
          <w:rFonts w:ascii="Arial" w:hAnsi="Arial" w:cs="Arial"/>
          <w:color w:val="353535"/>
          <w:sz w:val="20"/>
          <w:szCs w:val="20"/>
          <w:lang w:eastAsia="en-AU"/>
        </w:rPr>
        <w:t xml:space="preserve">– known as a </w:t>
      </w:r>
      <w:r w:rsidRPr="00717B0C">
        <w:rPr>
          <w:rFonts w:ascii="Arial" w:hAnsi="Arial" w:cs="Arial"/>
          <w:b/>
          <w:bCs/>
          <w:color w:val="353535"/>
          <w:sz w:val="20"/>
          <w:szCs w:val="20"/>
          <w:lang w:eastAsia="en-AU"/>
        </w:rPr>
        <w:t xml:space="preserve">Readiness </w:t>
      </w:r>
      <w:r w:rsidR="00EB4219">
        <w:rPr>
          <w:rFonts w:ascii="Arial" w:hAnsi="Arial" w:cs="Arial"/>
          <w:b/>
          <w:bCs/>
          <w:color w:val="353535"/>
          <w:sz w:val="20"/>
          <w:szCs w:val="20"/>
          <w:lang w:eastAsia="en-AU"/>
        </w:rPr>
        <w:t>H</w:t>
      </w:r>
      <w:r w:rsidRPr="00717B0C">
        <w:rPr>
          <w:rFonts w:ascii="Arial" w:hAnsi="Arial" w:cs="Arial"/>
          <w:b/>
          <w:bCs/>
          <w:color w:val="353535"/>
          <w:sz w:val="20"/>
          <w:szCs w:val="20"/>
          <w:lang w:eastAsia="en-AU"/>
        </w:rPr>
        <w:t>earing</w:t>
      </w:r>
      <w:r>
        <w:rPr>
          <w:rFonts w:ascii="Arial" w:hAnsi="Arial" w:cs="Arial"/>
          <w:b/>
          <w:bCs/>
          <w:color w:val="353535"/>
          <w:sz w:val="20"/>
          <w:lang w:eastAsia="en-AU"/>
        </w:rPr>
        <w:t xml:space="preserve"> </w:t>
      </w:r>
      <w:r w:rsidRPr="003B555B">
        <w:rPr>
          <w:rFonts w:ascii="Arial" w:hAnsi="Arial" w:cs="Arial"/>
          <w:color w:val="353535"/>
          <w:sz w:val="20"/>
          <w:lang w:eastAsia="en-AU"/>
        </w:rPr>
        <w:t xml:space="preserve">– </w:t>
      </w:r>
      <w:r>
        <w:rPr>
          <w:rFonts w:ascii="Arial" w:hAnsi="Arial" w:cs="Arial"/>
          <w:color w:val="353535"/>
          <w:sz w:val="20"/>
          <w:lang w:eastAsia="en-AU"/>
        </w:rPr>
        <w:t xml:space="preserve">was introduced as and from 16/06/2000 by </w:t>
      </w:r>
      <w:r w:rsidR="003B555B">
        <w:rPr>
          <w:rFonts w:ascii="Arial" w:hAnsi="Arial" w:cs="Arial"/>
          <w:color w:val="353535"/>
          <w:sz w:val="20"/>
          <w:szCs w:val="20"/>
          <w:lang w:eastAsia="en-AU"/>
        </w:rPr>
        <w:t>P</w:t>
      </w:r>
      <w:r w:rsidR="00DD0300">
        <w:rPr>
          <w:rFonts w:ascii="Arial" w:hAnsi="Arial" w:cs="Arial"/>
          <w:color w:val="353535"/>
          <w:sz w:val="20"/>
          <w:lang w:eastAsia="en-AU"/>
        </w:rPr>
        <w:t xml:space="preserve">ractice </w:t>
      </w:r>
      <w:r w:rsidR="003B555B">
        <w:rPr>
          <w:rFonts w:ascii="Arial" w:hAnsi="Arial" w:cs="Arial"/>
          <w:color w:val="353535"/>
          <w:sz w:val="20"/>
          <w:szCs w:val="20"/>
          <w:lang w:eastAsia="en-AU"/>
        </w:rPr>
        <w:t>D</w:t>
      </w:r>
      <w:r w:rsidR="00DD0300">
        <w:rPr>
          <w:rFonts w:ascii="Arial" w:hAnsi="Arial" w:cs="Arial"/>
          <w:color w:val="353535"/>
          <w:sz w:val="20"/>
          <w:lang w:eastAsia="en-AU"/>
        </w:rPr>
        <w:t>irection</w:t>
      </w:r>
      <w:r w:rsidR="003B555B">
        <w:rPr>
          <w:rFonts w:ascii="Arial" w:hAnsi="Arial" w:cs="Arial"/>
          <w:color w:val="353535"/>
          <w:sz w:val="20"/>
          <w:lang w:eastAsia="en-AU"/>
        </w:rPr>
        <w:t xml:space="preserve"> No.6 of 2020</w:t>
      </w:r>
      <w:r>
        <w:rPr>
          <w:rFonts w:ascii="Arial" w:hAnsi="Arial" w:cs="Arial"/>
          <w:color w:val="353535"/>
          <w:sz w:val="20"/>
          <w:lang w:eastAsia="en-AU"/>
        </w:rPr>
        <w:t>. It was originally conc</w:t>
      </w:r>
      <w:r w:rsidR="001B734E">
        <w:rPr>
          <w:rFonts w:ascii="Arial" w:hAnsi="Arial" w:cs="Arial"/>
          <w:color w:val="353535"/>
          <w:sz w:val="20"/>
          <w:lang w:eastAsia="en-AU"/>
        </w:rPr>
        <w:t>ei</w:t>
      </w:r>
      <w:r>
        <w:rPr>
          <w:rFonts w:ascii="Arial" w:hAnsi="Arial" w:cs="Arial"/>
          <w:color w:val="353535"/>
          <w:sz w:val="20"/>
          <w:lang w:eastAsia="en-AU"/>
        </w:rPr>
        <w:t xml:space="preserve">ved </w:t>
      </w:r>
      <w:r w:rsidR="00450669">
        <w:rPr>
          <w:rFonts w:ascii="Arial" w:hAnsi="Arial" w:cs="Arial"/>
          <w:color w:val="353535"/>
          <w:sz w:val="20"/>
          <w:lang w:eastAsia="en-AU"/>
        </w:rPr>
        <w:t xml:space="preserve">as </w:t>
      </w:r>
      <w:r w:rsidR="003B555B" w:rsidRPr="003B555B">
        <w:rPr>
          <w:rFonts w:ascii="Arial" w:hAnsi="Arial" w:cs="Arial"/>
          <w:color w:val="353535"/>
          <w:sz w:val="20"/>
          <w:lang w:eastAsia="en-AU"/>
        </w:rPr>
        <w:t xml:space="preserve">a temporary measure necessitated by the COVID-19 pandemic </w:t>
      </w:r>
      <w:r w:rsidR="003B555B">
        <w:rPr>
          <w:rFonts w:ascii="Arial" w:hAnsi="Arial" w:cs="Arial"/>
          <w:color w:val="353535"/>
          <w:sz w:val="20"/>
          <w:lang w:eastAsia="en-AU"/>
        </w:rPr>
        <w:t xml:space="preserve">for the management of </w:t>
      </w:r>
      <w:r w:rsidR="00450669">
        <w:rPr>
          <w:rFonts w:ascii="Arial" w:hAnsi="Arial" w:cs="Arial"/>
          <w:color w:val="353535"/>
          <w:sz w:val="20"/>
          <w:lang w:eastAsia="en-AU"/>
        </w:rPr>
        <w:t xml:space="preserve">child protection </w:t>
      </w:r>
      <w:r w:rsidR="003B555B">
        <w:rPr>
          <w:rFonts w:ascii="Arial" w:hAnsi="Arial" w:cs="Arial"/>
          <w:color w:val="353535"/>
          <w:sz w:val="20"/>
          <w:lang w:eastAsia="en-AU"/>
        </w:rPr>
        <w:t>proceedings in the Family Division.</w:t>
      </w:r>
    </w:p>
    <w:p w14:paraId="0DD7B7D8" w14:textId="77777777" w:rsidR="007F7F84" w:rsidRPr="002F7CE3" w:rsidRDefault="007F7F84" w:rsidP="00757A94">
      <w:pPr>
        <w:shd w:val="clear" w:color="auto" w:fill="FFFFFF"/>
        <w:jc w:val="both"/>
        <w:textAlignment w:val="baseline"/>
        <w:rPr>
          <w:rFonts w:ascii="Arial" w:hAnsi="Arial" w:cs="Arial"/>
          <w:color w:val="353535"/>
          <w:sz w:val="18"/>
          <w:szCs w:val="22"/>
          <w:lang w:eastAsia="en-AU"/>
        </w:rPr>
      </w:pPr>
    </w:p>
    <w:p w14:paraId="07F1209B" w14:textId="14D83EB7" w:rsidR="007D2F69" w:rsidRDefault="00906F5E" w:rsidP="007D2F69">
      <w:pPr>
        <w:jc w:val="both"/>
        <w:rPr>
          <w:rFonts w:ascii="Arial" w:hAnsi="Arial" w:cs="Arial"/>
          <w:sz w:val="20"/>
        </w:rPr>
      </w:pPr>
      <w:r>
        <w:rPr>
          <w:rFonts w:ascii="Arial" w:hAnsi="Arial" w:cs="Arial"/>
          <w:sz w:val="20"/>
        </w:rPr>
        <w:t xml:space="preserve">A Readiness </w:t>
      </w:r>
      <w:r w:rsidR="00EB4219">
        <w:rPr>
          <w:rFonts w:ascii="Arial" w:hAnsi="Arial" w:cs="Arial"/>
          <w:sz w:val="20"/>
        </w:rPr>
        <w:t>H</w:t>
      </w:r>
      <w:r>
        <w:rPr>
          <w:rFonts w:ascii="Arial" w:hAnsi="Arial" w:cs="Arial"/>
          <w:sz w:val="20"/>
        </w:rPr>
        <w:t xml:space="preserve">earing </w:t>
      </w:r>
      <w:r w:rsidR="003B555B" w:rsidRPr="0047445C">
        <w:rPr>
          <w:rFonts w:ascii="Arial" w:hAnsi="Arial" w:cs="Arial"/>
          <w:color w:val="353535"/>
          <w:sz w:val="20"/>
          <w:lang w:eastAsia="en-AU"/>
        </w:rPr>
        <w:t xml:space="preserve">aims to explore the possible resolution of a matter by incorporating the features of a </w:t>
      </w:r>
      <w:r w:rsidR="00450669" w:rsidRPr="0047445C">
        <w:rPr>
          <w:rFonts w:ascii="Arial" w:hAnsi="Arial" w:cs="Arial"/>
          <w:color w:val="353535"/>
          <w:sz w:val="20"/>
          <w:lang w:eastAsia="en-AU"/>
        </w:rPr>
        <w:t>judicially led dispute resolution process</w:t>
      </w:r>
      <w:r w:rsidR="00450669">
        <w:rPr>
          <w:rFonts w:ascii="Arial" w:hAnsi="Arial" w:cs="Arial"/>
          <w:color w:val="353535"/>
          <w:sz w:val="20"/>
          <w:lang w:eastAsia="en-AU"/>
        </w:rPr>
        <w:t xml:space="preserve"> and </w:t>
      </w:r>
      <w:r w:rsidR="00C039F4">
        <w:rPr>
          <w:rFonts w:ascii="Arial" w:hAnsi="Arial" w:cs="Arial"/>
          <w:color w:val="353535"/>
          <w:sz w:val="20"/>
          <w:lang w:eastAsia="en-AU"/>
        </w:rPr>
        <w:t xml:space="preserve">– in the event the matter remains unresolved – a Directions hearing as well, exploring </w:t>
      </w:r>
      <w:r w:rsidR="003B555B" w:rsidRPr="0047445C">
        <w:rPr>
          <w:rFonts w:ascii="Arial" w:hAnsi="Arial" w:cs="Arial"/>
          <w:sz w:val="20"/>
        </w:rPr>
        <w:t>whether it is feasible to hear a contested IAO or final hearing</w:t>
      </w:r>
      <w:r w:rsidR="0031379F">
        <w:rPr>
          <w:rFonts w:ascii="Arial" w:hAnsi="Arial" w:cs="Arial"/>
          <w:sz w:val="20"/>
        </w:rPr>
        <w:t xml:space="preserve"> (</w:t>
      </w:r>
      <w:r w:rsidR="003B555B" w:rsidRPr="0047445C">
        <w:rPr>
          <w:rFonts w:ascii="Arial" w:hAnsi="Arial" w:cs="Arial"/>
          <w:sz w:val="20"/>
        </w:rPr>
        <w:t>facilitated through audio visual link or otherwise</w:t>
      </w:r>
      <w:r w:rsidR="0031379F">
        <w:rPr>
          <w:rFonts w:ascii="Arial" w:hAnsi="Arial" w:cs="Arial"/>
          <w:sz w:val="20"/>
        </w:rPr>
        <w:t>)</w:t>
      </w:r>
      <w:r w:rsidR="003B555B" w:rsidRPr="0047445C">
        <w:rPr>
          <w:rFonts w:ascii="Arial" w:hAnsi="Arial" w:cs="Arial"/>
          <w:sz w:val="20"/>
        </w:rPr>
        <w:t xml:space="preserve"> in a manner that meets the requirements of fairness and justice and is also consistent with the safety advice of the Chief Health Officer.</w:t>
      </w:r>
    </w:p>
    <w:p w14:paraId="6F8EE6B0" w14:textId="77777777" w:rsidR="003B266F" w:rsidRPr="002F7CE3" w:rsidRDefault="003B266F" w:rsidP="003B266F">
      <w:pPr>
        <w:jc w:val="both"/>
        <w:rPr>
          <w:rFonts w:ascii="Arial" w:hAnsi="Arial" w:cs="Arial"/>
          <w:sz w:val="18"/>
          <w:szCs w:val="22"/>
        </w:rPr>
      </w:pPr>
    </w:p>
    <w:p w14:paraId="5834EB71" w14:textId="6877F4E3" w:rsidR="003B266F" w:rsidRDefault="003B266F" w:rsidP="003B266F">
      <w:pPr>
        <w:jc w:val="both"/>
        <w:rPr>
          <w:rFonts w:ascii="Arial" w:hAnsi="Arial" w:cs="Arial"/>
          <w:sz w:val="20"/>
        </w:rPr>
      </w:pPr>
      <w:r>
        <w:rPr>
          <w:rFonts w:ascii="Arial" w:hAnsi="Arial" w:cs="Arial"/>
          <w:sz w:val="20"/>
        </w:rPr>
        <w:t>The effectiveness of Readiness Hearings is clear from the statistics below.  As a consequence Readiness Hearings are no longer a temporary measure. They have been expanded state</w:t>
      </w:r>
      <w:r>
        <w:rPr>
          <w:rFonts w:ascii="Arial" w:hAnsi="Arial" w:cs="Arial"/>
          <w:sz w:val="20"/>
        </w:rPr>
        <w:noBreakHyphen/>
        <w:t>wide and apply to any Family Division child protection proceeding.</w:t>
      </w:r>
    </w:p>
    <w:p w14:paraId="0139317C" w14:textId="77777777" w:rsidR="003B266F" w:rsidRDefault="003B266F" w:rsidP="003B266F">
      <w:pPr>
        <w:jc w:val="both"/>
        <w:rPr>
          <w:rFonts w:ascii="Arial" w:hAnsi="Arial" w:cs="Arial"/>
          <w:color w:val="000000"/>
          <w:sz w:val="20"/>
        </w:rPr>
      </w:pPr>
    </w:p>
    <w:tbl>
      <w:tblPr>
        <w:tblStyle w:val="TableGrid"/>
        <w:tblW w:w="8305" w:type="dxa"/>
        <w:tblLook w:val="04A0" w:firstRow="1" w:lastRow="0" w:firstColumn="1" w:lastColumn="0" w:noHBand="0" w:noVBand="1"/>
      </w:tblPr>
      <w:tblGrid>
        <w:gridCol w:w="1621"/>
        <w:gridCol w:w="2415"/>
        <w:gridCol w:w="2415"/>
        <w:gridCol w:w="1854"/>
      </w:tblGrid>
      <w:tr w:rsidR="003B266F" w:rsidRPr="00826542" w14:paraId="587924E5" w14:textId="77777777" w:rsidTr="006C7FDA">
        <w:tc>
          <w:tcPr>
            <w:tcW w:w="8302" w:type="dxa"/>
            <w:gridSpan w:val="4"/>
            <w:shd w:val="clear" w:color="auto" w:fill="000000" w:themeFill="text1"/>
          </w:tcPr>
          <w:p w14:paraId="0A2C16F3" w14:textId="77777777" w:rsidR="003B266F" w:rsidRPr="00826542" w:rsidRDefault="003B266F" w:rsidP="006C7FDA">
            <w:pPr>
              <w:jc w:val="center"/>
              <w:rPr>
                <w:rFonts w:ascii="Arial" w:hAnsi="Arial" w:cs="Arial"/>
                <w:b/>
                <w:bCs/>
                <w:color w:val="FFFFFF" w:themeColor="background1"/>
                <w:sz w:val="20"/>
              </w:rPr>
            </w:pPr>
            <w:r w:rsidRPr="00826542">
              <w:rPr>
                <w:rFonts w:ascii="Arial" w:hAnsi="Arial" w:cs="Arial"/>
                <w:b/>
                <w:bCs/>
                <w:color w:val="FFFFFF" w:themeColor="background1"/>
                <w:sz w:val="20"/>
              </w:rPr>
              <w:t xml:space="preserve">STATE-WIDE </w:t>
            </w:r>
            <w:r>
              <w:rPr>
                <w:rFonts w:ascii="Arial" w:hAnsi="Arial" w:cs="Arial"/>
                <w:b/>
                <w:bCs/>
                <w:color w:val="FFFFFF" w:themeColor="background1"/>
                <w:sz w:val="20"/>
              </w:rPr>
              <w:t>READINESS HEARINGS</w:t>
            </w:r>
          </w:p>
        </w:tc>
      </w:tr>
      <w:tr w:rsidR="003B266F" w14:paraId="4C91404E" w14:textId="77777777" w:rsidTr="006C7FDA">
        <w:tc>
          <w:tcPr>
            <w:tcW w:w="1621" w:type="dxa"/>
            <w:shd w:val="clear" w:color="auto" w:fill="DDDDDD"/>
          </w:tcPr>
          <w:p w14:paraId="3A894882" w14:textId="77777777" w:rsidR="003B266F" w:rsidRDefault="003B266F" w:rsidP="006C7FDA">
            <w:pPr>
              <w:jc w:val="center"/>
              <w:rPr>
                <w:rFonts w:ascii="Arial" w:hAnsi="Arial" w:cs="Arial"/>
                <w:color w:val="000000"/>
                <w:sz w:val="20"/>
              </w:rPr>
            </w:pPr>
          </w:p>
        </w:tc>
        <w:tc>
          <w:tcPr>
            <w:tcW w:w="2415" w:type="dxa"/>
            <w:shd w:val="clear" w:color="auto" w:fill="DDDDDD"/>
          </w:tcPr>
          <w:p w14:paraId="3FAF872E" w14:textId="534F143E"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conducted</w:t>
            </w:r>
          </w:p>
        </w:tc>
        <w:tc>
          <w:tcPr>
            <w:tcW w:w="2415" w:type="dxa"/>
            <w:shd w:val="clear" w:color="auto" w:fill="DDDDDD"/>
          </w:tcPr>
          <w:p w14:paraId="4BE1D563" w14:textId="6A99B451" w:rsidR="003B266F" w:rsidRPr="00FC237B" w:rsidRDefault="003B266F" w:rsidP="006C7FDA">
            <w:pPr>
              <w:jc w:val="center"/>
              <w:rPr>
                <w:rFonts w:ascii="Arial" w:hAnsi="Arial" w:cs="Arial"/>
                <w:b/>
                <w:bCs/>
                <w:color w:val="000000"/>
                <w:sz w:val="20"/>
              </w:rPr>
            </w:pPr>
            <w:r>
              <w:rPr>
                <w:rFonts w:ascii="Arial" w:hAnsi="Arial" w:cs="Arial"/>
                <w:b/>
                <w:bCs/>
                <w:color w:val="000000"/>
                <w:sz w:val="20"/>
              </w:rPr>
              <w:t>Re</w:t>
            </w:r>
            <w:r w:rsidR="00A51C44">
              <w:rPr>
                <w:rFonts w:ascii="Arial" w:hAnsi="Arial" w:cs="Arial"/>
                <w:b/>
                <w:bCs/>
                <w:color w:val="000000"/>
                <w:sz w:val="20"/>
              </w:rPr>
              <w:t>adiness</w:t>
            </w:r>
            <w:r>
              <w:rPr>
                <w:rFonts w:ascii="Arial" w:hAnsi="Arial" w:cs="Arial"/>
                <w:b/>
                <w:bCs/>
                <w:color w:val="000000"/>
                <w:sz w:val="20"/>
              </w:rPr>
              <w:t xml:space="preserve"> hearings</w:t>
            </w:r>
            <w:r w:rsidRPr="00FC237B">
              <w:rPr>
                <w:rFonts w:ascii="Arial" w:hAnsi="Arial" w:cs="Arial"/>
                <w:b/>
                <w:bCs/>
                <w:color w:val="000000"/>
                <w:sz w:val="20"/>
              </w:rPr>
              <w:t xml:space="preserve"> achieving full settlement</w:t>
            </w:r>
          </w:p>
        </w:tc>
        <w:tc>
          <w:tcPr>
            <w:tcW w:w="1854" w:type="dxa"/>
            <w:shd w:val="clear" w:color="auto" w:fill="DDDDDD"/>
          </w:tcPr>
          <w:p w14:paraId="31C42376" w14:textId="77777777" w:rsidR="003B266F" w:rsidRPr="00FC237B" w:rsidRDefault="003B266F" w:rsidP="006C7FDA">
            <w:pPr>
              <w:jc w:val="center"/>
              <w:rPr>
                <w:rFonts w:ascii="Arial" w:hAnsi="Arial" w:cs="Arial"/>
                <w:b/>
                <w:bCs/>
                <w:color w:val="000000"/>
                <w:sz w:val="20"/>
              </w:rPr>
            </w:pPr>
            <w:r w:rsidRPr="00FC237B">
              <w:rPr>
                <w:rFonts w:ascii="Arial" w:hAnsi="Arial" w:cs="Arial"/>
                <w:b/>
                <w:bCs/>
                <w:color w:val="000000"/>
                <w:sz w:val="20"/>
              </w:rPr>
              <w:t>Full settlement rate</w:t>
            </w:r>
          </w:p>
        </w:tc>
      </w:tr>
      <w:tr w:rsidR="003B266F" w14:paraId="5E1B5CB6" w14:textId="77777777" w:rsidTr="006C7FDA">
        <w:tc>
          <w:tcPr>
            <w:tcW w:w="1621" w:type="dxa"/>
          </w:tcPr>
          <w:p w14:paraId="7B5CD363" w14:textId="77777777" w:rsidR="003B266F" w:rsidRDefault="003B266F" w:rsidP="006C7FDA">
            <w:pPr>
              <w:jc w:val="both"/>
              <w:rPr>
                <w:rFonts w:ascii="Arial" w:hAnsi="Arial" w:cs="Arial"/>
                <w:color w:val="000000"/>
                <w:sz w:val="20"/>
              </w:rPr>
            </w:pPr>
            <w:r>
              <w:rPr>
                <w:rFonts w:ascii="Arial" w:hAnsi="Arial" w:cs="Arial"/>
                <w:color w:val="000000"/>
                <w:sz w:val="20"/>
              </w:rPr>
              <w:t>2021/2022 FY</w:t>
            </w:r>
          </w:p>
        </w:tc>
        <w:tc>
          <w:tcPr>
            <w:tcW w:w="2415" w:type="dxa"/>
          </w:tcPr>
          <w:p w14:paraId="3326821D" w14:textId="77777777" w:rsidR="003B266F" w:rsidRDefault="003B266F" w:rsidP="006C7FDA">
            <w:pPr>
              <w:jc w:val="center"/>
              <w:rPr>
                <w:rFonts w:ascii="Arial" w:hAnsi="Arial" w:cs="Arial"/>
                <w:color w:val="000000"/>
                <w:sz w:val="20"/>
              </w:rPr>
            </w:pPr>
            <w:r>
              <w:rPr>
                <w:rFonts w:ascii="Arial" w:hAnsi="Arial" w:cs="Arial"/>
                <w:color w:val="000000"/>
                <w:sz w:val="20"/>
              </w:rPr>
              <w:t>1425</w:t>
            </w:r>
          </w:p>
        </w:tc>
        <w:tc>
          <w:tcPr>
            <w:tcW w:w="2415" w:type="dxa"/>
          </w:tcPr>
          <w:p w14:paraId="675A63D5" w14:textId="77777777" w:rsidR="003B266F" w:rsidRDefault="003B266F" w:rsidP="006C7FDA">
            <w:pPr>
              <w:jc w:val="center"/>
              <w:rPr>
                <w:rFonts w:ascii="Arial" w:hAnsi="Arial" w:cs="Arial"/>
                <w:color w:val="000000"/>
                <w:sz w:val="20"/>
              </w:rPr>
            </w:pPr>
            <w:r>
              <w:rPr>
                <w:rFonts w:ascii="Arial" w:hAnsi="Arial" w:cs="Arial"/>
                <w:color w:val="000000"/>
                <w:sz w:val="20"/>
              </w:rPr>
              <w:t>815</w:t>
            </w:r>
          </w:p>
        </w:tc>
        <w:tc>
          <w:tcPr>
            <w:tcW w:w="1854" w:type="dxa"/>
          </w:tcPr>
          <w:p w14:paraId="11B4BF4B" w14:textId="77777777" w:rsidR="003B266F" w:rsidRDefault="003B266F" w:rsidP="006C7FDA">
            <w:pPr>
              <w:jc w:val="center"/>
              <w:rPr>
                <w:rFonts w:ascii="Arial" w:hAnsi="Arial" w:cs="Arial"/>
                <w:color w:val="000000"/>
                <w:sz w:val="20"/>
              </w:rPr>
            </w:pPr>
            <w:r>
              <w:rPr>
                <w:rFonts w:ascii="Arial" w:hAnsi="Arial" w:cs="Arial"/>
                <w:color w:val="000000"/>
                <w:sz w:val="20"/>
              </w:rPr>
              <w:t>57.2%</w:t>
            </w:r>
          </w:p>
        </w:tc>
      </w:tr>
      <w:tr w:rsidR="003B266F" w14:paraId="5ED1B00C" w14:textId="77777777" w:rsidTr="006C7FDA">
        <w:tc>
          <w:tcPr>
            <w:tcW w:w="1621" w:type="dxa"/>
          </w:tcPr>
          <w:p w14:paraId="5AC0A25C" w14:textId="77777777" w:rsidR="003B266F" w:rsidRDefault="003B266F" w:rsidP="006C7FDA">
            <w:pPr>
              <w:jc w:val="both"/>
              <w:rPr>
                <w:rFonts w:ascii="Arial" w:hAnsi="Arial" w:cs="Arial"/>
                <w:color w:val="000000"/>
                <w:sz w:val="20"/>
              </w:rPr>
            </w:pPr>
            <w:r>
              <w:rPr>
                <w:rFonts w:ascii="Arial" w:hAnsi="Arial" w:cs="Arial"/>
                <w:color w:val="000000"/>
                <w:sz w:val="20"/>
              </w:rPr>
              <w:t>2022/2023 FY</w:t>
            </w:r>
          </w:p>
        </w:tc>
        <w:tc>
          <w:tcPr>
            <w:tcW w:w="2415" w:type="dxa"/>
          </w:tcPr>
          <w:p w14:paraId="2B218102" w14:textId="77777777" w:rsidR="003B266F" w:rsidRDefault="003B266F" w:rsidP="006C7FDA">
            <w:pPr>
              <w:jc w:val="center"/>
              <w:rPr>
                <w:rFonts w:ascii="Arial" w:hAnsi="Arial" w:cs="Arial"/>
                <w:color w:val="000000"/>
                <w:sz w:val="20"/>
              </w:rPr>
            </w:pPr>
            <w:r>
              <w:rPr>
                <w:rFonts w:ascii="Arial" w:hAnsi="Arial" w:cs="Arial"/>
                <w:color w:val="000000"/>
                <w:sz w:val="20"/>
              </w:rPr>
              <w:t>1220</w:t>
            </w:r>
          </w:p>
        </w:tc>
        <w:tc>
          <w:tcPr>
            <w:tcW w:w="2415" w:type="dxa"/>
          </w:tcPr>
          <w:p w14:paraId="3F5EFE8C" w14:textId="77777777" w:rsidR="003B266F" w:rsidRDefault="003B266F" w:rsidP="006C7FDA">
            <w:pPr>
              <w:jc w:val="center"/>
              <w:rPr>
                <w:rFonts w:ascii="Arial" w:hAnsi="Arial" w:cs="Arial"/>
                <w:color w:val="000000"/>
                <w:sz w:val="20"/>
              </w:rPr>
            </w:pPr>
            <w:r>
              <w:rPr>
                <w:rFonts w:ascii="Arial" w:hAnsi="Arial" w:cs="Arial"/>
                <w:color w:val="000000"/>
                <w:sz w:val="20"/>
              </w:rPr>
              <w:t>678</w:t>
            </w:r>
          </w:p>
        </w:tc>
        <w:tc>
          <w:tcPr>
            <w:tcW w:w="1854" w:type="dxa"/>
          </w:tcPr>
          <w:p w14:paraId="3A580C03" w14:textId="77777777" w:rsidR="003B266F" w:rsidRDefault="003B266F" w:rsidP="006C7FDA">
            <w:pPr>
              <w:jc w:val="center"/>
              <w:rPr>
                <w:rFonts w:ascii="Arial" w:hAnsi="Arial" w:cs="Arial"/>
                <w:color w:val="000000"/>
                <w:sz w:val="20"/>
              </w:rPr>
            </w:pPr>
            <w:r>
              <w:rPr>
                <w:rFonts w:ascii="Arial" w:hAnsi="Arial" w:cs="Arial"/>
                <w:color w:val="000000"/>
                <w:sz w:val="20"/>
              </w:rPr>
              <w:t>55.6%</w:t>
            </w:r>
          </w:p>
        </w:tc>
      </w:tr>
      <w:tr w:rsidR="003B266F" w14:paraId="3B3AF574" w14:textId="77777777" w:rsidTr="006C7FDA">
        <w:tc>
          <w:tcPr>
            <w:tcW w:w="1621" w:type="dxa"/>
          </w:tcPr>
          <w:p w14:paraId="2D5B97D9" w14:textId="77777777" w:rsidR="003B266F" w:rsidRDefault="003B266F" w:rsidP="006C7FDA">
            <w:pPr>
              <w:jc w:val="both"/>
              <w:rPr>
                <w:rFonts w:ascii="Arial" w:hAnsi="Arial" w:cs="Arial"/>
                <w:color w:val="000000"/>
                <w:sz w:val="20"/>
              </w:rPr>
            </w:pPr>
            <w:r>
              <w:rPr>
                <w:rFonts w:ascii="Arial" w:hAnsi="Arial" w:cs="Arial"/>
                <w:color w:val="000000"/>
                <w:sz w:val="20"/>
              </w:rPr>
              <w:t>1/7-31/12/2023</w:t>
            </w:r>
          </w:p>
        </w:tc>
        <w:tc>
          <w:tcPr>
            <w:tcW w:w="2415" w:type="dxa"/>
          </w:tcPr>
          <w:p w14:paraId="2DDD315B" w14:textId="77777777" w:rsidR="003B266F" w:rsidRDefault="003B266F" w:rsidP="006C7FDA">
            <w:pPr>
              <w:jc w:val="center"/>
              <w:rPr>
                <w:rFonts w:ascii="Arial" w:hAnsi="Arial" w:cs="Arial"/>
                <w:color w:val="000000"/>
                <w:sz w:val="20"/>
              </w:rPr>
            </w:pPr>
            <w:r>
              <w:rPr>
                <w:rFonts w:ascii="Arial" w:hAnsi="Arial" w:cs="Arial"/>
                <w:color w:val="000000"/>
                <w:sz w:val="20"/>
              </w:rPr>
              <w:t>567</w:t>
            </w:r>
          </w:p>
        </w:tc>
        <w:tc>
          <w:tcPr>
            <w:tcW w:w="2415" w:type="dxa"/>
          </w:tcPr>
          <w:p w14:paraId="19BB3B84" w14:textId="77777777" w:rsidR="003B266F" w:rsidRDefault="003B266F" w:rsidP="006C7FDA">
            <w:pPr>
              <w:jc w:val="center"/>
              <w:rPr>
                <w:rFonts w:ascii="Arial" w:hAnsi="Arial" w:cs="Arial"/>
                <w:color w:val="000000"/>
                <w:sz w:val="20"/>
              </w:rPr>
            </w:pPr>
            <w:r>
              <w:rPr>
                <w:rFonts w:ascii="Arial" w:hAnsi="Arial" w:cs="Arial"/>
                <w:color w:val="000000"/>
                <w:sz w:val="20"/>
              </w:rPr>
              <w:t>320</w:t>
            </w:r>
          </w:p>
        </w:tc>
        <w:tc>
          <w:tcPr>
            <w:tcW w:w="1854" w:type="dxa"/>
          </w:tcPr>
          <w:p w14:paraId="3EE6E70F" w14:textId="77777777" w:rsidR="003B266F" w:rsidRDefault="003B266F" w:rsidP="006C7FDA">
            <w:pPr>
              <w:jc w:val="center"/>
              <w:rPr>
                <w:rFonts w:ascii="Arial" w:hAnsi="Arial" w:cs="Arial"/>
                <w:color w:val="000000"/>
                <w:sz w:val="20"/>
              </w:rPr>
            </w:pPr>
            <w:r>
              <w:rPr>
                <w:rFonts w:ascii="Arial" w:hAnsi="Arial" w:cs="Arial"/>
                <w:color w:val="000000"/>
                <w:sz w:val="20"/>
              </w:rPr>
              <w:t>56.4%</w:t>
            </w:r>
          </w:p>
        </w:tc>
      </w:tr>
    </w:tbl>
    <w:p w14:paraId="714432E8" w14:textId="77777777" w:rsidR="003B266F" w:rsidRDefault="003B266F" w:rsidP="007D2F69">
      <w:pPr>
        <w:jc w:val="both"/>
        <w:rPr>
          <w:rFonts w:ascii="Arial" w:hAnsi="Arial" w:cs="Arial"/>
          <w:sz w:val="18"/>
          <w:szCs w:val="22"/>
        </w:rPr>
      </w:pPr>
    </w:p>
    <w:p w14:paraId="558CE634" w14:textId="0C7DBC53" w:rsidR="007F7F84" w:rsidRDefault="007F7F84" w:rsidP="007D2F69">
      <w:pPr>
        <w:jc w:val="both"/>
        <w:rPr>
          <w:rFonts w:ascii="Arial" w:hAnsi="Arial" w:cs="Arial"/>
          <w:sz w:val="20"/>
        </w:rPr>
      </w:pPr>
      <w:r w:rsidRPr="007F7F84">
        <w:rPr>
          <w:rFonts w:ascii="Arial" w:hAnsi="Arial" w:cs="Arial"/>
          <w:sz w:val="20"/>
        </w:rPr>
        <w:t xml:space="preserve">Readiness Hearings are now governed by </w:t>
      </w:r>
      <w:r>
        <w:rPr>
          <w:rFonts w:ascii="Arial" w:hAnsi="Arial" w:cs="Arial"/>
          <w:sz w:val="20"/>
        </w:rPr>
        <w:t>paragraphs 30-37 of Practice direction No.1 of 2025 which provide as follows:</w:t>
      </w:r>
    </w:p>
    <w:p w14:paraId="66B192DA" w14:textId="0F894B62" w:rsidR="007F7F84" w:rsidRDefault="007F7F84" w:rsidP="003B266F">
      <w:pPr>
        <w:spacing w:before="60"/>
        <w:ind w:left="1021" w:right="567" w:hanging="454"/>
        <w:jc w:val="both"/>
        <w:rPr>
          <w:rFonts w:ascii="Arial" w:hAnsi="Arial" w:cs="Arial"/>
          <w:sz w:val="20"/>
        </w:rPr>
      </w:pPr>
      <w:r>
        <w:rPr>
          <w:rFonts w:ascii="Arial" w:hAnsi="Arial" w:cs="Arial"/>
          <w:sz w:val="20"/>
        </w:rPr>
        <w:t>30.</w:t>
      </w:r>
      <w:r>
        <w:rPr>
          <w:rFonts w:ascii="Arial" w:hAnsi="Arial" w:cs="Arial"/>
          <w:sz w:val="20"/>
        </w:rPr>
        <w:tab/>
      </w:r>
      <w:r w:rsidRPr="007F7F84">
        <w:rPr>
          <w:rFonts w:ascii="Arial" w:hAnsi="Arial" w:cs="Arial"/>
          <w:sz w:val="20"/>
        </w:rPr>
        <w:t>Readiness Hearings incorporate features of case management as well as judicially led dispute resolution processes.</w:t>
      </w:r>
    </w:p>
    <w:p w14:paraId="6BEA683E" w14:textId="18522B96" w:rsidR="007F7F84" w:rsidRDefault="007F7F84" w:rsidP="003B266F">
      <w:pPr>
        <w:spacing w:before="60"/>
        <w:ind w:left="1021" w:right="567" w:hanging="454"/>
        <w:jc w:val="both"/>
        <w:rPr>
          <w:rFonts w:ascii="Arial" w:hAnsi="Arial" w:cs="Arial"/>
          <w:sz w:val="20"/>
        </w:rPr>
      </w:pPr>
      <w:r>
        <w:rPr>
          <w:rFonts w:ascii="Arial" w:hAnsi="Arial" w:cs="Arial"/>
          <w:sz w:val="20"/>
        </w:rPr>
        <w:t>31.</w:t>
      </w:r>
      <w:r>
        <w:rPr>
          <w:rFonts w:ascii="Arial" w:hAnsi="Arial" w:cs="Arial"/>
          <w:sz w:val="20"/>
        </w:rPr>
        <w:tab/>
      </w:r>
      <w:r w:rsidRPr="007F7F84">
        <w:rPr>
          <w:rFonts w:ascii="Arial" w:hAnsi="Arial" w:cs="Arial"/>
          <w:sz w:val="20"/>
        </w:rPr>
        <w:t>Unless the Court directs otherwise, no evidence of anything said or done in a Readiness Hearing will be admissible in any subsequent hearing.</w:t>
      </w:r>
    </w:p>
    <w:p w14:paraId="073D7405" w14:textId="0DA9D38F" w:rsidR="007F7F84" w:rsidRDefault="007F7F84" w:rsidP="003B266F">
      <w:pPr>
        <w:spacing w:before="60"/>
        <w:ind w:left="1021" w:right="567" w:hanging="454"/>
        <w:jc w:val="both"/>
        <w:rPr>
          <w:rFonts w:ascii="Arial" w:hAnsi="Arial" w:cs="Arial"/>
          <w:sz w:val="20"/>
        </w:rPr>
      </w:pPr>
      <w:r>
        <w:rPr>
          <w:rFonts w:ascii="Arial" w:hAnsi="Arial" w:cs="Arial"/>
          <w:sz w:val="20"/>
        </w:rPr>
        <w:t>32.</w:t>
      </w:r>
      <w:r>
        <w:rPr>
          <w:rFonts w:ascii="Arial" w:hAnsi="Arial" w:cs="Arial"/>
          <w:sz w:val="20"/>
        </w:rPr>
        <w:tab/>
      </w:r>
      <w:r w:rsidRPr="007F7F84">
        <w:rPr>
          <w:rFonts w:ascii="Arial" w:hAnsi="Arial" w:cs="Arial"/>
          <w:sz w:val="20"/>
        </w:rPr>
        <w:t>At least 7 days prior to the listing of the Readiness Hearing DFFH or the authorised Aboriginal agency must file in the CMS portal and serve on all parties:</w:t>
      </w:r>
    </w:p>
    <w:p w14:paraId="675F7D59" w14:textId="46C1FF20" w:rsidR="007F7F84" w:rsidRDefault="003B266F" w:rsidP="003B266F">
      <w:pPr>
        <w:ind w:left="1021" w:right="567"/>
        <w:jc w:val="both"/>
        <w:rPr>
          <w:rFonts w:ascii="Arial" w:hAnsi="Arial" w:cs="Arial"/>
          <w:sz w:val="20"/>
        </w:rPr>
      </w:pPr>
      <w:r>
        <w:rPr>
          <w:rFonts w:ascii="Arial" w:hAnsi="Arial" w:cs="Arial"/>
          <w:sz w:val="20"/>
        </w:rPr>
        <w:t>a.</w:t>
      </w:r>
      <w:r>
        <w:rPr>
          <w:rFonts w:ascii="Arial" w:hAnsi="Arial" w:cs="Arial"/>
          <w:sz w:val="20"/>
        </w:rPr>
        <w:tab/>
      </w:r>
      <w:r w:rsidRPr="007F7F84">
        <w:rPr>
          <w:rFonts w:ascii="Arial" w:hAnsi="Arial" w:cs="Arial"/>
          <w:sz w:val="20"/>
        </w:rPr>
        <w:t>an updated report which must be in short-form format; and</w:t>
      </w:r>
    </w:p>
    <w:p w14:paraId="169FBA28" w14:textId="5EF7F09D" w:rsidR="003B266F" w:rsidRDefault="003B266F" w:rsidP="003B266F">
      <w:pPr>
        <w:ind w:left="1475" w:right="567" w:hanging="454"/>
        <w:jc w:val="both"/>
        <w:rPr>
          <w:rFonts w:ascii="Arial" w:hAnsi="Arial" w:cs="Arial"/>
          <w:sz w:val="20"/>
        </w:rPr>
      </w:pPr>
      <w:r>
        <w:rPr>
          <w:rFonts w:ascii="Arial" w:hAnsi="Arial" w:cs="Arial"/>
          <w:sz w:val="20"/>
        </w:rPr>
        <w:t>b.</w:t>
      </w:r>
      <w:r>
        <w:rPr>
          <w:rFonts w:ascii="Arial" w:hAnsi="Arial" w:cs="Arial"/>
          <w:sz w:val="20"/>
        </w:rPr>
        <w:tab/>
      </w:r>
      <w:r w:rsidRPr="007F7F84">
        <w:rPr>
          <w:rFonts w:ascii="Arial" w:hAnsi="Arial" w:cs="Arial"/>
          <w:sz w:val="20"/>
        </w:rPr>
        <w:t>any other new report upon which it proposes to rely; and</w:t>
      </w:r>
    </w:p>
    <w:p w14:paraId="0C18E0B0" w14:textId="2510EEC0" w:rsidR="003B266F" w:rsidRPr="007F7F84" w:rsidRDefault="003B266F" w:rsidP="003B266F">
      <w:pPr>
        <w:ind w:left="1475" w:right="567" w:hanging="454"/>
        <w:jc w:val="both"/>
        <w:rPr>
          <w:rFonts w:ascii="Arial" w:hAnsi="Arial" w:cs="Arial"/>
          <w:sz w:val="20"/>
        </w:rPr>
      </w:pPr>
      <w:r>
        <w:rPr>
          <w:rFonts w:ascii="Arial" w:hAnsi="Arial" w:cs="Arial"/>
          <w:sz w:val="20"/>
        </w:rPr>
        <w:t>c.</w:t>
      </w:r>
      <w:r>
        <w:rPr>
          <w:rFonts w:ascii="Arial" w:hAnsi="Arial" w:cs="Arial"/>
          <w:sz w:val="20"/>
        </w:rPr>
        <w:tab/>
      </w:r>
      <w:r w:rsidRPr="007F7F84">
        <w:rPr>
          <w:rFonts w:ascii="Arial" w:hAnsi="Arial" w:cs="Arial"/>
          <w:sz w:val="20"/>
        </w:rPr>
        <w:t>at least 4 days prior to the Readiness Hearing:</w:t>
      </w:r>
      <w:r>
        <w:rPr>
          <w:rFonts w:ascii="Arial" w:hAnsi="Arial" w:cs="Arial"/>
          <w:sz w:val="20"/>
        </w:rPr>
        <w:t xml:space="preserve"> </w:t>
      </w:r>
      <w:r w:rsidRPr="007F7F84">
        <w:rPr>
          <w:rFonts w:ascii="Arial" w:hAnsi="Arial" w:cs="Arial"/>
          <w:sz w:val="20"/>
        </w:rPr>
        <w:t>a completed Readiness Hearing Certificate prepared after consultation with the other parties.</w:t>
      </w:r>
    </w:p>
    <w:p w14:paraId="38881BD0" w14:textId="2373058F" w:rsidR="003B266F" w:rsidRDefault="003B266F" w:rsidP="003B266F">
      <w:pPr>
        <w:spacing w:before="60"/>
        <w:ind w:left="1021" w:right="567" w:hanging="454"/>
        <w:jc w:val="both"/>
        <w:rPr>
          <w:rFonts w:ascii="Arial" w:hAnsi="Arial" w:cs="Arial"/>
          <w:sz w:val="20"/>
        </w:rPr>
      </w:pPr>
      <w:r>
        <w:rPr>
          <w:rFonts w:ascii="Arial" w:hAnsi="Arial" w:cs="Arial"/>
          <w:sz w:val="20"/>
        </w:rPr>
        <w:t>33.</w:t>
      </w:r>
      <w:r>
        <w:rPr>
          <w:rFonts w:ascii="Arial" w:hAnsi="Arial" w:cs="Arial"/>
          <w:sz w:val="20"/>
        </w:rPr>
        <w:tab/>
      </w:r>
      <w:r w:rsidRPr="007F7F84">
        <w:rPr>
          <w:rFonts w:ascii="Arial" w:hAnsi="Arial" w:cs="Arial"/>
          <w:sz w:val="20"/>
        </w:rPr>
        <w:t xml:space="preserve">The legal representative (or, if self-represented, the party) is required to file an appearance form no later than 7 days before the Readiness Hearing which includes the phone number and email address for the party and the legal practitioner (if any). The email address provided is used to send a hearing invitation to join the Readiness Hearing. It is expected that practitioners and </w:t>
      </w:r>
      <w:r w:rsidRPr="007F7F84">
        <w:rPr>
          <w:rFonts w:ascii="Arial" w:hAnsi="Arial" w:cs="Arial"/>
          <w:sz w:val="20"/>
        </w:rPr>
        <w:lastRenderedPageBreak/>
        <w:t>parties will appear by audio visual link and only if parties do not have the necessary technology will they be permitted to appear by audio link only.</w:t>
      </w:r>
    </w:p>
    <w:p w14:paraId="0782168F" w14:textId="3C55E471" w:rsidR="003B266F" w:rsidRDefault="003B266F" w:rsidP="003B266F">
      <w:pPr>
        <w:spacing w:before="60"/>
        <w:ind w:left="1021" w:right="567" w:hanging="454"/>
        <w:jc w:val="both"/>
        <w:rPr>
          <w:rFonts w:ascii="Arial" w:hAnsi="Arial" w:cs="Arial"/>
          <w:sz w:val="20"/>
        </w:rPr>
      </w:pPr>
      <w:r>
        <w:rPr>
          <w:rFonts w:ascii="Arial" w:hAnsi="Arial" w:cs="Arial"/>
          <w:sz w:val="20"/>
        </w:rPr>
        <w:t>34.</w:t>
      </w:r>
      <w:r>
        <w:rPr>
          <w:rFonts w:ascii="Arial" w:hAnsi="Arial" w:cs="Arial"/>
          <w:sz w:val="20"/>
        </w:rPr>
        <w:tab/>
      </w:r>
      <w:r w:rsidRPr="007F7F84">
        <w:rPr>
          <w:rFonts w:ascii="Arial" w:hAnsi="Arial" w:cs="Arial"/>
          <w:sz w:val="20"/>
        </w:rPr>
        <w:t>If the matter resolves prior to the listed Readiness Hearing the parties are required to immediately advise the relevant registry. When the matter has been abridged, draft orders must be filed in the CMS portal.</w:t>
      </w:r>
    </w:p>
    <w:p w14:paraId="444F75B1" w14:textId="5C679C67" w:rsidR="003B266F" w:rsidRDefault="003B266F" w:rsidP="003B266F">
      <w:pPr>
        <w:spacing w:before="60"/>
        <w:ind w:left="1021" w:right="567" w:hanging="454"/>
        <w:jc w:val="both"/>
        <w:rPr>
          <w:rFonts w:ascii="Arial" w:hAnsi="Arial" w:cs="Arial"/>
          <w:sz w:val="20"/>
        </w:rPr>
      </w:pPr>
      <w:r>
        <w:rPr>
          <w:rFonts w:ascii="Arial" w:hAnsi="Arial" w:cs="Arial"/>
          <w:sz w:val="20"/>
        </w:rPr>
        <w:t>35.</w:t>
      </w:r>
      <w:r>
        <w:rPr>
          <w:rFonts w:ascii="Arial" w:hAnsi="Arial" w:cs="Arial"/>
          <w:sz w:val="20"/>
        </w:rPr>
        <w:tab/>
      </w:r>
      <w:r w:rsidRPr="007F7F84">
        <w:rPr>
          <w:rFonts w:ascii="Arial" w:hAnsi="Arial" w:cs="Arial"/>
          <w:sz w:val="20"/>
        </w:rPr>
        <w:t>The legal practitioners for the parties (including Counsel or Solicitor for DFFH or an authorised Aboriginal agency) are required to have obtained their client’s updated instructions prior to the Readiness Hearing. All parties, including those parties appearing on their own behalf, are expected to have conferred prior to the Readiness Hearing and are required to be able to identify the issues in dispute in the case and the relevant witnesses to be called if the matter is to be listed for a final contested hearing.</w:t>
      </w:r>
    </w:p>
    <w:p w14:paraId="16E72280" w14:textId="226C5977" w:rsidR="003B266F" w:rsidRDefault="003B266F" w:rsidP="003B266F">
      <w:pPr>
        <w:spacing w:before="60"/>
        <w:ind w:left="1021" w:right="567" w:hanging="454"/>
        <w:jc w:val="both"/>
        <w:rPr>
          <w:rFonts w:ascii="Arial" w:hAnsi="Arial" w:cs="Arial"/>
          <w:sz w:val="20"/>
        </w:rPr>
      </w:pPr>
      <w:r>
        <w:rPr>
          <w:rFonts w:ascii="Arial" w:hAnsi="Arial" w:cs="Arial"/>
          <w:sz w:val="20"/>
        </w:rPr>
        <w:t>36.</w:t>
      </w:r>
      <w:r>
        <w:rPr>
          <w:rFonts w:ascii="Arial" w:hAnsi="Arial" w:cs="Arial"/>
          <w:sz w:val="20"/>
        </w:rPr>
        <w:tab/>
      </w:r>
      <w:r w:rsidRPr="007F7F84">
        <w:rPr>
          <w:rFonts w:ascii="Arial" w:hAnsi="Arial" w:cs="Arial"/>
          <w:sz w:val="20"/>
        </w:rPr>
        <w:t>If the matter does not resolve at the Readiness Hearing the matter will be adjourned on such terms and conditions as ordered by the Court.</w:t>
      </w:r>
    </w:p>
    <w:p w14:paraId="6A360EEA" w14:textId="0749E0F1" w:rsidR="003B266F" w:rsidRDefault="003B266F" w:rsidP="003B266F">
      <w:pPr>
        <w:spacing w:before="60"/>
        <w:ind w:left="1021" w:right="567" w:hanging="454"/>
        <w:jc w:val="both"/>
        <w:rPr>
          <w:rFonts w:ascii="Arial" w:hAnsi="Arial" w:cs="Arial"/>
          <w:sz w:val="20"/>
        </w:rPr>
      </w:pPr>
      <w:r>
        <w:rPr>
          <w:rFonts w:ascii="Arial" w:hAnsi="Arial" w:cs="Arial"/>
          <w:sz w:val="20"/>
        </w:rPr>
        <w:t>37.</w:t>
      </w:r>
      <w:r>
        <w:rPr>
          <w:rFonts w:ascii="Arial" w:hAnsi="Arial" w:cs="Arial"/>
          <w:sz w:val="20"/>
        </w:rPr>
        <w:tab/>
      </w:r>
      <w:r w:rsidRPr="007F7F84">
        <w:rPr>
          <w:rFonts w:ascii="Arial" w:hAnsi="Arial" w:cs="Arial"/>
          <w:sz w:val="20"/>
        </w:rPr>
        <w:t>In the event the matter is listed for a final contested hearing, procedural orders will be made and a witness list will be drafted with the input of all parties. Where the final contested hearing date is more than 3 months after the Readiness Hearing, a directions hearing may be listed not less than 6</w:t>
      </w:r>
      <w:r>
        <w:rPr>
          <w:rFonts w:ascii="Arial" w:hAnsi="Arial" w:cs="Arial"/>
          <w:sz w:val="20"/>
        </w:rPr>
        <w:t> </w:t>
      </w:r>
      <w:r w:rsidRPr="007F7F84">
        <w:rPr>
          <w:rFonts w:ascii="Arial" w:hAnsi="Arial" w:cs="Arial"/>
          <w:sz w:val="20"/>
        </w:rPr>
        <w:t>weeks prior to the contest hearing date.</w:t>
      </w:r>
    </w:p>
    <w:p w14:paraId="09F77FCD" w14:textId="77777777" w:rsidR="000B1850" w:rsidRPr="002F7CE3" w:rsidRDefault="000B1850" w:rsidP="007D2F69">
      <w:pPr>
        <w:jc w:val="both"/>
        <w:rPr>
          <w:rFonts w:ascii="Arial" w:hAnsi="Arial" w:cs="Arial"/>
          <w:sz w:val="18"/>
          <w:szCs w:val="22"/>
        </w:rPr>
      </w:pPr>
    </w:p>
    <w:p w14:paraId="47E801CA" w14:textId="72A09D6C" w:rsidR="009E1546" w:rsidRDefault="009E1546" w:rsidP="007D2F69">
      <w:pPr>
        <w:jc w:val="both"/>
        <w:rPr>
          <w:rFonts w:ascii="Arial" w:hAnsi="Arial" w:cs="Arial"/>
          <w:sz w:val="20"/>
        </w:rPr>
      </w:pPr>
      <w:r>
        <w:rPr>
          <w:rFonts w:ascii="Arial" w:hAnsi="Arial" w:cs="Arial"/>
          <w:sz w:val="20"/>
        </w:rPr>
        <w:t xml:space="preserve">Secondary benefits of Readiness </w:t>
      </w:r>
      <w:r w:rsidR="00EB4219">
        <w:rPr>
          <w:rFonts w:ascii="Arial" w:hAnsi="Arial" w:cs="Arial"/>
          <w:sz w:val="20"/>
        </w:rPr>
        <w:t>H</w:t>
      </w:r>
      <w:r>
        <w:rPr>
          <w:rFonts w:ascii="Arial" w:hAnsi="Arial" w:cs="Arial"/>
          <w:sz w:val="20"/>
        </w:rPr>
        <w:t>earings are that</w:t>
      </w:r>
      <w:r w:rsidR="002F7CE3">
        <w:rPr>
          <w:rFonts w:ascii="Arial" w:hAnsi="Arial" w:cs="Arial"/>
          <w:sz w:val="20"/>
        </w:rPr>
        <w:t>:</w:t>
      </w:r>
    </w:p>
    <w:p w14:paraId="602AC6C1" w14:textId="5D263931" w:rsidR="009E1546" w:rsidRDefault="002F7CE3">
      <w:pPr>
        <w:pStyle w:val="ListParagraph"/>
        <w:numPr>
          <w:ilvl w:val="0"/>
          <w:numId w:val="111"/>
        </w:numPr>
        <w:ind w:left="357" w:hanging="357"/>
        <w:jc w:val="both"/>
        <w:rPr>
          <w:rFonts w:ascii="Arial" w:hAnsi="Arial" w:cs="Arial"/>
          <w:sz w:val="20"/>
        </w:rPr>
      </w:pPr>
      <w:r>
        <w:rPr>
          <w:rFonts w:ascii="Arial" w:hAnsi="Arial" w:cs="Arial"/>
          <w:sz w:val="20"/>
        </w:rPr>
        <w:t xml:space="preserve">they give the parties a benefit of a judicial officer’s view of their respective cases which appears to cause a not insignificant number of cases to resolve at some point between the end of the </w:t>
      </w:r>
      <w:r w:rsidR="00EB4219">
        <w:rPr>
          <w:rFonts w:ascii="Arial" w:hAnsi="Arial" w:cs="Arial"/>
          <w:sz w:val="20"/>
        </w:rPr>
        <w:t>R</w:t>
      </w:r>
      <w:r>
        <w:rPr>
          <w:rFonts w:ascii="Arial" w:hAnsi="Arial" w:cs="Arial"/>
          <w:sz w:val="20"/>
        </w:rPr>
        <w:t xml:space="preserve">eadiness </w:t>
      </w:r>
      <w:r w:rsidR="00EB4219">
        <w:rPr>
          <w:rFonts w:ascii="Arial" w:hAnsi="Arial" w:cs="Arial"/>
          <w:sz w:val="20"/>
        </w:rPr>
        <w:t>H</w:t>
      </w:r>
      <w:r>
        <w:rPr>
          <w:rFonts w:ascii="Arial" w:hAnsi="Arial" w:cs="Arial"/>
          <w:sz w:val="20"/>
        </w:rPr>
        <w:t>earing and the start of the evidence-based contest; and</w:t>
      </w:r>
    </w:p>
    <w:p w14:paraId="1733ACCC" w14:textId="116E1FD3" w:rsidR="002F7CE3" w:rsidRPr="009E1546" w:rsidRDefault="002F7CE3">
      <w:pPr>
        <w:pStyle w:val="ListParagraph"/>
        <w:numPr>
          <w:ilvl w:val="0"/>
          <w:numId w:val="111"/>
        </w:numPr>
        <w:ind w:left="357" w:hanging="357"/>
        <w:jc w:val="both"/>
        <w:rPr>
          <w:rFonts w:ascii="Arial" w:hAnsi="Arial" w:cs="Arial"/>
          <w:sz w:val="20"/>
        </w:rPr>
      </w:pPr>
      <w:r>
        <w:rPr>
          <w:rFonts w:ascii="Arial" w:hAnsi="Arial" w:cs="Arial"/>
          <w:sz w:val="20"/>
        </w:rPr>
        <w:t>they ensure that the parties are more prepared for an evidence-based contest by confirming such matters as the names and availability of witnesses intended to be called.</w:t>
      </w:r>
    </w:p>
    <w:p w14:paraId="256322B7" w14:textId="77777777" w:rsidR="002F7CE3" w:rsidRPr="002F7CE3" w:rsidRDefault="002F7CE3" w:rsidP="007D2F69">
      <w:pPr>
        <w:jc w:val="both"/>
        <w:rPr>
          <w:rFonts w:ascii="Arial" w:hAnsi="Arial" w:cs="Arial"/>
          <w:sz w:val="18"/>
          <w:szCs w:val="22"/>
        </w:rPr>
      </w:pPr>
    </w:p>
    <w:p w14:paraId="644420CB" w14:textId="52961E46" w:rsidR="002444EA" w:rsidRDefault="002F7CE3" w:rsidP="002F7CE3">
      <w:pPr>
        <w:spacing w:after="120"/>
        <w:jc w:val="both"/>
        <w:rPr>
          <w:rFonts w:ascii="Arial" w:hAnsi="Arial" w:cs="Arial"/>
          <w:sz w:val="20"/>
        </w:rPr>
      </w:pPr>
      <w:r>
        <w:rPr>
          <w:rFonts w:ascii="Arial" w:hAnsi="Arial" w:cs="Arial"/>
          <w:sz w:val="20"/>
        </w:rPr>
        <w:t xml:space="preserve">These benefits are demonstrated by the </w:t>
      </w:r>
      <w:r w:rsidR="002444EA">
        <w:rPr>
          <w:rFonts w:ascii="Arial" w:hAnsi="Arial" w:cs="Arial"/>
          <w:sz w:val="20"/>
        </w:rPr>
        <w:t xml:space="preserve">large reduction in the percentage of contested hearings adjourned between </w:t>
      </w:r>
      <w:r w:rsidR="009970B7">
        <w:rPr>
          <w:rFonts w:ascii="Arial" w:hAnsi="Arial" w:cs="Arial"/>
          <w:sz w:val="20"/>
        </w:rPr>
        <w:t xml:space="preserve">1 </w:t>
      </w:r>
      <w:r w:rsidR="002444EA">
        <w:rPr>
          <w:rFonts w:ascii="Arial" w:hAnsi="Arial" w:cs="Arial"/>
          <w:sz w:val="20"/>
        </w:rPr>
        <w:t xml:space="preserve">July &amp; </w:t>
      </w:r>
      <w:r w:rsidR="009970B7">
        <w:rPr>
          <w:rFonts w:ascii="Arial" w:hAnsi="Arial" w:cs="Arial"/>
          <w:sz w:val="20"/>
        </w:rPr>
        <w:t>10 Dec</w:t>
      </w:r>
      <w:r w:rsidR="002444EA">
        <w:rPr>
          <w:rFonts w:ascii="Arial" w:hAnsi="Arial" w:cs="Arial"/>
          <w:sz w:val="20"/>
        </w:rPr>
        <w:t xml:space="preserve">ember 2021 compared </w:t>
      </w:r>
      <w:r w:rsidR="001870BB">
        <w:rPr>
          <w:rFonts w:ascii="Arial" w:hAnsi="Arial" w:cs="Arial"/>
          <w:sz w:val="20"/>
        </w:rPr>
        <w:t xml:space="preserve">with </w:t>
      </w:r>
      <w:r w:rsidR="002444EA">
        <w:rPr>
          <w:rFonts w:ascii="Arial" w:hAnsi="Arial" w:cs="Arial"/>
          <w:sz w:val="20"/>
        </w:rPr>
        <w:t>the percentage which were adjourned in the 2018</w:t>
      </w:r>
      <w:r w:rsidR="00D9623F">
        <w:rPr>
          <w:rFonts w:ascii="Arial" w:hAnsi="Arial" w:cs="Arial"/>
          <w:sz w:val="20"/>
        </w:rPr>
        <w:t>/20</w:t>
      </w:r>
      <w:r w:rsidR="002444EA">
        <w:rPr>
          <w:rFonts w:ascii="Arial" w:hAnsi="Arial" w:cs="Arial"/>
          <w:sz w:val="20"/>
        </w:rPr>
        <w:t>19 financial year</w:t>
      </w:r>
      <w:r w:rsidR="005F4435">
        <w:rPr>
          <w:rFonts w:ascii="Arial" w:hAnsi="Arial" w:cs="Arial"/>
          <w:sz w:val="20"/>
        </w:rPr>
        <w:t xml:space="preserve"> (before the introduction of </w:t>
      </w:r>
      <w:r w:rsidR="001870BB">
        <w:rPr>
          <w:rFonts w:ascii="Arial" w:hAnsi="Arial" w:cs="Arial"/>
          <w:sz w:val="20"/>
        </w:rPr>
        <w:t>R</w:t>
      </w:r>
      <w:r w:rsidR="005F4435">
        <w:rPr>
          <w:rFonts w:ascii="Arial" w:hAnsi="Arial" w:cs="Arial"/>
          <w:sz w:val="20"/>
        </w:rPr>
        <w:t xml:space="preserve">eadiness </w:t>
      </w:r>
      <w:r w:rsidR="00EB4219">
        <w:rPr>
          <w:rFonts w:ascii="Arial" w:hAnsi="Arial" w:cs="Arial"/>
          <w:sz w:val="20"/>
        </w:rPr>
        <w:t>H</w:t>
      </w:r>
      <w:r w:rsidR="005F4435">
        <w:rPr>
          <w:rFonts w:ascii="Arial" w:hAnsi="Arial" w:cs="Arial"/>
          <w:sz w:val="20"/>
        </w:rPr>
        <w:t>earings)</w:t>
      </w:r>
      <w:r w:rsidR="002444EA">
        <w:rPr>
          <w:rFonts w:ascii="Arial" w:hAnsi="Arial" w:cs="Arial"/>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2750"/>
        <w:gridCol w:w="2770"/>
      </w:tblGrid>
      <w:tr w:rsidR="009970B7" w:rsidRPr="00855531" w14:paraId="3088BC69" w14:textId="77777777" w:rsidTr="002F7CE3">
        <w:tc>
          <w:tcPr>
            <w:tcW w:w="2782" w:type="dxa"/>
            <w:shd w:val="clear" w:color="auto" w:fill="000000"/>
          </w:tcPr>
          <w:p w14:paraId="501EA4A6" w14:textId="77777777" w:rsidR="009970B7" w:rsidRPr="00855531" w:rsidRDefault="00C60943" w:rsidP="00302E60">
            <w:pPr>
              <w:jc w:val="center"/>
              <w:rPr>
                <w:rFonts w:ascii="Arial" w:hAnsi="Arial" w:cs="Arial"/>
                <w:b/>
                <w:bCs/>
                <w:sz w:val="20"/>
                <w:szCs w:val="20"/>
              </w:rPr>
            </w:pPr>
            <w:r w:rsidRPr="00855531">
              <w:rPr>
                <w:rFonts w:ascii="Arial" w:hAnsi="Arial" w:cs="Arial"/>
                <w:b/>
                <w:bCs/>
                <w:sz w:val="20"/>
                <w:szCs w:val="20"/>
              </w:rPr>
              <w:t>CONTESTED HEARINGS</w:t>
            </w:r>
          </w:p>
        </w:tc>
        <w:tc>
          <w:tcPr>
            <w:tcW w:w="2750" w:type="dxa"/>
            <w:shd w:val="clear" w:color="auto" w:fill="000000"/>
          </w:tcPr>
          <w:p w14:paraId="429F4FDE" w14:textId="555DD05D" w:rsidR="009970B7" w:rsidRPr="00855531" w:rsidRDefault="009970B7" w:rsidP="00855531">
            <w:pPr>
              <w:jc w:val="center"/>
              <w:rPr>
                <w:rFonts w:ascii="Arial" w:hAnsi="Arial" w:cs="Arial"/>
                <w:b/>
                <w:bCs/>
                <w:sz w:val="20"/>
                <w:szCs w:val="20"/>
              </w:rPr>
            </w:pPr>
            <w:r w:rsidRPr="00855531">
              <w:rPr>
                <w:rFonts w:ascii="Arial" w:hAnsi="Arial" w:cs="Arial"/>
                <w:b/>
                <w:bCs/>
                <w:sz w:val="20"/>
                <w:szCs w:val="20"/>
              </w:rPr>
              <w:t>2018</w:t>
            </w:r>
            <w:r w:rsidR="00D9623F">
              <w:rPr>
                <w:rFonts w:ascii="Arial" w:hAnsi="Arial" w:cs="Arial"/>
                <w:b/>
                <w:bCs/>
                <w:sz w:val="20"/>
                <w:szCs w:val="20"/>
              </w:rPr>
              <w:t>/20</w:t>
            </w:r>
            <w:r w:rsidRPr="00855531">
              <w:rPr>
                <w:rFonts w:ascii="Arial" w:hAnsi="Arial" w:cs="Arial"/>
                <w:b/>
                <w:bCs/>
                <w:sz w:val="20"/>
                <w:szCs w:val="20"/>
              </w:rPr>
              <w:t>19 FY</w:t>
            </w:r>
          </w:p>
        </w:tc>
        <w:tc>
          <w:tcPr>
            <w:tcW w:w="2770" w:type="dxa"/>
            <w:shd w:val="clear" w:color="auto" w:fill="000000"/>
          </w:tcPr>
          <w:p w14:paraId="74C7D023" w14:textId="77777777" w:rsidR="009970B7" w:rsidRPr="00855531" w:rsidRDefault="009970B7" w:rsidP="00302E60">
            <w:pPr>
              <w:jc w:val="center"/>
              <w:rPr>
                <w:rFonts w:ascii="Arial" w:hAnsi="Arial" w:cs="Arial"/>
                <w:b/>
                <w:bCs/>
                <w:sz w:val="20"/>
                <w:szCs w:val="20"/>
              </w:rPr>
            </w:pPr>
            <w:r w:rsidRPr="00855531">
              <w:rPr>
                <w:rFonts w:ascii="Arial" w:hAnsi="Arial" w:cs="Arial"/>
                <w:b/>
                <w:bCs/>
                <w:sz w:val="20"/>
                <w:szCs w:val="20"/>
              </w:rPr>
              <w:t>1 July- 10 December 2021</w:t>
            </w:r>
          </w:p>
        </w:tc>
      </w:tr>
      <w:tr w:rsidR="009970B7" w:rsidRPr="00855531" w14:paraId="40F5FD69" w14:textId="77777777" w:rsidTr="002F7CE3">
        <w:tc>
          <w:tcPr>
            <w:tcW w:w="2782" w:type="dxa"/>
            <w:shd w:val="clear" w:color="auto" w:fill="auto"/>
          </w:tcPr>
          <w:p w14:paraId="08B0DEF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Proceeded</w:t>
            </w:r>
          </w:p>
        </w:tc>
        <w:tc>
          <w:tcPr>
            <w:tcW w:w="2750" w:type="dxa"/>
            <w:shd w:val="clear" w:color="auto" w:fill="auto"/>
          </w:tcPr>
          <w:p w14:paraId="0467576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20%</w:t>
            </w:r>
          </w:p>
        </w:tc>
        <w:tc>
          <w:tcPr>
            <w:tcW w:w="2770" w:type="dxa"/>
            <w:shd w:val="clear" w:color="auto" w:fill="auto"/>
          </w:tcPr>
          <w:p w14:paraId="0B907C1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46%</w:t>
            </w:r>
          </w:p>
        </w:tc>
      </w:tr>
      <w:tr w:rsidR="009970B7" w:rsidRPr="00855531" w14:paraId="45BC7627" w14:textId="77777777" w:rsidTr="002F7CE3">
        <w:tc>
          <w:tcPr>
            <w:tcW w:w="2782" w:type="dxa"/>
            <w:shd w:val="clear" w:color="auto" w:fill="auto"/>
          </w:tcPr>
          <w:p w14:paraId="38078AA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Adjourned</w:t>
            </w:r>
          </w:p>
        </w:tc>
        <w:tc>
          <w:tcPr>
            <w:tcW w:w="2750" w:type="dxa"/>
            <w:shd w:val="clear" w:color="auto" w:fill="auto"/>
          </w:tcPr>
          <w:p w14:paraId="145FC70C"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51%</w:t>
            </w:r>
          </w:p>
        </w:tc>
        <w:tc>
          <w:tcPr>
            <w:tcW w:w="2770" w:type="dxa"/>
            <w:shd w:val="clear" w:color="auto" w:fill="auto"/>
          </w:tcPr>
          <w:p w14:paraId="3963D3AD"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18%</w:t>
            </w:r>
          </w:p>
        </w:tc>
      </w:tr>
      <w:tr w:rsidR="009970B7" w:rsidRPr="00855531" w14:paraId="5A4ABC15" w14:textId="77777777" w:rsidTr="002F7CE3">
        <w:tc>
          <w:tcPr>
            <w:tcW w:w="2782" w:type="dxa"/>
            <w:shd w:val="clear" w:color="auto" w:fill="auto"/>
          </w:tcPr>
          <w:p w14:paraId="6A0D9BFE"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Resolved</w:t>
            </w:r>
          </w:p>
        </w:tc>
        <w:tc>
          <w:tcPr>
            <w:tcW w:w="2750" w:type="dxa"/>
            <w:shd w:val="clear" w:color="auto" w:fill="auto"/>
          </w:tcPr>
          <w:p w14:paraId="272659B5"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29%</w:t>
            </w:r>
          </w:p>
        </w:tc>
        <w:tc>
          <w:tcPr>
            <w:tcW w:w="2770" w:type="dxa"/>
            <w:shd w:val="clear" w:color="auto" w:fill="auto"/>
          </w:tcPr>
          <w:p w14:paraId="054C46F4" w14:textId="77777777" w:rsidR="009970B7" w:rsidRPr="00855531" w:rsidRDefault="00C60943" w:rsidP="00302E60">
            <w:pPr>
              <w:jc w:val="center"/>
              <w:rPr>
                <w:rFonts w:ascii="Arial" w:hAnsi="Arial" w:cs="Arial"/>
                <w:sz w:val="20"/>
                <w:szCs w:val="20"/>
              </w:rPr>
            </w:pPr>
            <w:r w:rsidRPr="00855531">
              <w:rPr>
                <w:rFonts w:ascii="Arial" w:hAnsi="Arial" w:cs="Arial"/>
                <w:sz w:val="20"/>
                <w:szCs w:val="20"/>
              </w:rPr>
              <w:t>37%</w:t>
            </w:r>
          </w:p>
        </w:tc>
      </w:tr>
    </w:tbl>
    <w:p w14:paraId="24F18FE4" w14:textId="763D1824" w:rsidR="00166C52" w:rsidRPr="00855531" w:rsidRDefault="00166C52" w:rsidP="002F7CE3">
      <w:pPr>
        <w:spacing w:before="120"/>
        <w:jc w:val="both"/>
        <w:rPr>
          <w:rFonts w:ascii="Arial" w:hAnsi="Arial" w:cs="Arial"/>
          <w:sz w:val="20"/>
          <w:szCs w:val="20"/>
        </w:rPr>
      </w:pPr>
      <w:r w:rsidRPr="00855531">
        <w:rPr>
          <w:rFonts w:ascii="Arial" w:hAnsi="Arial" w:cs="Arial"/>
          <w:sz w:val="20"/>
          <w:szCs w:val="20"/>
        </w:rPr>
        <w:t xml:space="preserve">A total of 90 </w:t>
      </w:r>
      <w:r w:rsidR="00EB457C">
        <w:rPr>
          <w:rFonts w:ascii="Arial" w:hAnsi="Arial" w:cs="Arial"/>
          <w:sz w:val="20"/>
          <w:szCs w:val="20"/>
        </w:rPr>
        <w:t xml:space="preserve">hearing </w:t>
      </w:r>
      <w:r w:rsidRPr="00855531">
        <w:rPr>
          <w:rFonts w:ascii="Arial" w:hAnsi="Arial" w:cs="Arial"/>
          <w:sz w:val="20"/>
          <w:szCs w:val="20"/>
        </w:rPr>
        <w:t xml:space="preserve">days of </w:t>
      </w:r>
      <w:r w:rsidR="00D9515B">
        <w:rPr>
          <w:rFonts w:ascii="Arial" w:hAnsi="Arial" w:cs="Arial"/>
          <w:sz w:val="20"/>
          <w:szCs w:val="20"/>
        </w:rPr>
        <w:t xml:space="preserve">listed </w:t>
      </w:r>
      <w:r w:rsidRPr="00855531">
        <w:rPr>
          <w:rFonts w:ascii="Arial" w:hAnsi="Arial" w:cs="Arial"/>
          <w:sz w:val="20"/>
          <w:szCs w:val="20"/>
        </w:rPr>
        <w:t xml:space="preserve">contests </w:t>
      </w:r>
      <w:r w:rsidR="00D9515B">
        <w:rPr>
          <w:rFonts w:ascii="Arial" w:hAnsi="Arial" w:cs="Arial"/>
          <w:sz w:val="20"/>
          <w:szCs w:val="20"/>
        </w:rPr>
        <w:t>were</w:t>
      </w:r>
      <w:r w:rsidRPr="00855531">
        <w:rPr>
          <w:rFonts w:ascii="Arial" w:hAnsi="Arial" w:cs="Arial"/>
          <w:sz w:val="20"/>
          <w:szCs w:val="20"/>
        </w:rPr>
        <w:t xml:space="preserve"> adjourned between July and December 2021. If the percentage recorded in </w:t>
      </w:r>
      <w:r w:rsidR="00D9623F">
        <w:rPr>
          <w:rFonts w:ascii="Arial" w:hAnsi="Arial" w:cs="Arial"/>
          <w:sz w:val="20"/>
          <w:szCs w:val="20"/>
        </w:rPr>
        <w:t>20</w:t>
      </w:r>
      <w:r w:rsidRPr="00855531">
        <w:rPr>
          <w:rFonts w:ascii="Arial" w:hAnsi="Arial" w:cs="Arial"/>
          <w:sz w:val="20"/>
          <w:szCs w:val="20"/>
        </w:rPr>
        <w:t>18</w:t>
      </w:r>
      <w:r w:rsidR="00D9623F">
        <w:rPr>
          <w:rFonts w:ascii="Arial" w:hAnsi="Arial" w:cs="Arial"/>
          <w:sz w:val="20"/>
          <w:szCs w:val="20"/>
        </w:rPr>
        <w:t>-20</w:t>
      </w:r>
      <w:r w:rsidRPr="00855531">
        <w:rPr>
          <w:rFonts w:ascii="Arial" w:hAnsi="Arial" w:cs="Arial"/>
          <w:sz w:val="20"/>
          <w:szCs w:val="20"/>
        </w:rPr>
        <w:t xml:space="preserve">19 applied, this would equate to 280 </w:t>
      </w:r>
      <w:r w:rsidR="00EB457C">
        <w:rPr>
          <w:rFonts w:ascii="Arial" w:hAnsi="Arial" w:cs="Arial"/>
          <w:sz w:val="20"/>
          <w:szCs w:val="20"/>
        </w:rPr>
        <w:t xml:space="preserve">hearing </w:t>
      </w:r>
      <w:r w:rsidRPr="00855531">
        <w:rPr>
          <w:rFonts w:ascii="Arial" w:hAnsi="Arial" w:cs="Arial"/>
          <w:sz w:val="20"/>
          <w:szCs w:val="20"/>
        </w:rPr>
        <w:t>days.</w:t>
      </w:r>
    </w:p>
    <w:p w14:paraId="4D2373F9" w14:textId="77777777" w:rsidR="003B266F" w:rsidRPr="008E4C7E" w:rsidRDefault="003B266F" w:rsidP="003B266F">
      <w:pPr>
        <w:ind w:left="363" w:hanging="363"/>
        <w:jc w:val="both"/>
        <w:rPr>
          <w:rFonts w:ascii="Arial" w:hAnsi="Arial" w:cs="Arial"/>
          <w:sz w:val="20"/>
        </w:rPr>
      </w:pPr>
      <w:bookmarkStart w:id="1393" w:name="_4.9.5_Directions_hearing"/>
      <w:bookmarkStart w:id="1394" w:name="_Toc30651689"/>
      <w:bookmarkStart w:id="1395" w:name="_Toc30652679"/>
      <w:bookmarkStart w:id="1396" w:name="_Toc30652775"/>
      <w:bookmarkStart w:id="1397" w:name="_Toc30654125"/>
      <w:bookmarkStart w:id="1398" w:name="_Toc30654476"/>
      <w:bookmarkStart w:id="1399" w:name="_Toc30655095"/>
      <w:bookmarkStart w:id="1400" w:name="_Toc30655352"/>
      <w:bookmarkStart w:id="1401" w:name="_Toc30657030"/>
      <w:bookmarkStart w:id="1402" w:name="_Toc30661779"/>
      <w:bookmarkStart w:id="1403" w:name="_Toc30666467"/>
      <w:bookmarkStart w:id="1404" w:name="_Toc30666697"/>
      <w:bookmarkStart w:id="1405" w:name="_Toc30667872"/>
      <w:bookmarkStart w:id="1406" w:name="_Toc30669250"/>
      <w:bookmarkStart w:id="1407" w:name="_Toc30671466"/>
      <w:bookmarkStart w:id="1408" w:name="_Toc30673993"/>
      <w:bookmarkStart w:id="1409" w:name="_Toc30691215"/>
      <w:bookmarkStart w:id="1410" w:name="_Toc30691588"/>
      <w:bookmarkStart w:id="1411" w:name="_Toc30691968"/>
      <w:bookmarkStart w:id="1412" w:name="_Toc30692727"/>
      <w:bookmarkStart w:id="1413" w:name="_Toc30693106"/>
      <w:bookmarkStart w:id="1414" w:name="_Toc30693484"/>
      <w:bookmarkStart w:id="1415" w:name="_Toc30693862"/>
      <w:bookmarkStart w:id="1416" w:name="_Toc30694243"/>
      <w:bookmarkStart w:id="1417" w:name="_Toc30698832"/>
      <w:bookmarkStart w:id="1418" w:name="_Toc30699210"/>
      <w:bookmarkStart w:id="1419" w:name="_Toc30699595"/>
      <w:bookmarkStart w:id="1420" w:name="_Toc30700750"/>
      <w:bookmarkStart w:id="1421" w:name="_Toc30701137"/>
      <w:bookmarkStart w:id="1422" w:name="_Toc30743746"/>
      <w:bookmarkStart w:id="1423" w:name="_Toc30754569"/>
      <w:bookmarkStart w:id="1424" w:name="_Toc30757009"/>
      <w:bookmarkStart w:id="1425" w:name="_Toc30757558"/>
      <w:bookmarkStart w:id="1426" w:name="_Toc30757958"/>
      <w:bookmarkStart w:id="1427" w:name="_Toc30762719"/>
      <w:bookmarkStart w:id="1428" w:name="_Toc30767373"/>
      <w:bookmarkStart w:id="1429" w:name="_Toc34823388"/>
      <w:bookmarkEnd w:id="1392"/>
      <w:bookmarkEnd w:id="1393"/>
    </w:p>
    <w:p w14:paraId="6424EB3A" w14:textId="77777777" w:rsidR="003B266F" w:rsidRPr="005836D1" w:rsidRDefault="003B266F" w:rsidP="003B266F">
      <w:pPr>
        <w:jc w:val="center"/>
        <w:rPr>
          <w:rFonts w:ascii="Arial" w:hAnsi="Arial" w:cs="Arial"/>
          <w:b/>
          <w:bCs/>
          <w:szCs w:val="32"/>
        </w:rPr>
      </w:pPr>
      <w:r w:rsidRPr="005836D1">
        <w:rPr>
          <w:rFonts w:ascii="Arial" w:hAnsi="Arial" w:cs="Arial"/>
          <w:b/>
          <w:bCs/>
          <w:szCs w:val="32"/>
        </w:rPr>
        <w:t>THE REST OF THIS PAGE IS BLANK</w:t>
      </w:r>
    </w:p>
    <w:p w14:paraId="7760ECC1" w14:textId="77777777" w:rsidR="003B266F" w:rsidRDefault="003B266F" w:rsidP="003B266F">
      <w:pPr>
        <w:jc w:val="both"/>
        <w:rPr>
          <w:rFonts w:ascii="Arial" w:hAnsi="Arial" w:cs="Arial"/>
          <w:sz w:val="20"/>
        </w:rPr>
      </w:pPr>
    </w:p>
    <w:p w14:paraId="121848AA" w14:textId="77777777" w:rsidR="007F7F84" w:rsidRDefault="007F7F84">
      <w:pPr>
        <w:rPr>
          <w:rFonts w:ascii="Arial" w:hAnsi="Arial" w:cs="Arial"/>
          <w:b/>
          <w:bCs/>
          <w:kern w:val="28"/>
          <w:sz w:val="20"/>
          <w:szCs w:val="20"/>
          <w:lang w:val="en-GB"/>
        </w:rPr>
      </w:pPr>
      <w:r>
        <w:rPr>
          <w:rFonts w:ascii="Arial" w:hAnsi="Arial" w:cs="Arial"/>
          <w:b/>
          <w:bCs/>
          <w:sz w:val="20"/>
        </w:rPr>
        <w:br w:type="page"/>
      </w:r>
    </w:p>
    <w:p w14:paraId="11F8DD48" w14:textId="107FCE41" w:rsidR="00196254" w:rsidRDefault="00196254" w:rsidP="00196254">
      <w:pPr>
        <w:pStyle w:val="Heading3"/>
        <w:keepNext/>
        <w:keepLines/>
        <w:spacing w:line="240" w:lineRule="auto"/>
        <w:rPr>
          <w:rFonts w:ascii="Arial" w:hAnsi="Arial" w:cs="Arial"/>
          <w:b/>
          <w:bCs/>
          <w:sz w:val="20"/>
        </w:rPr>
      </w:pPr>
      <w:r>
        <w:rPr>
          <w:rFonts w:ascii="Arial" w:hAnsi="Arial" w:cs="Arial"/>
          <w:b/>
          <w:bCs/>
          <w:sz w:val="20"/>
        </w:rPr>
        <w:lastRenderedPageBreak/>
        <w:t>4.9.5</w:t>
      </w:r>
      <w:r>
        <w:rPr>
          <w:rFonts w:ascii="Arial" w:hAnsi="Arial" w:cs="Arial"/>
          <w:b/>
          <w:bCs/>
          <w:sz w:val="20"/>
        </w:rPr>
        <w:tab/>
        <w:t>Directions hearing</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Pr>
          <w:rFonts w:ascii="Arial" w:hAnsi="Arial" w:cs="Arial"/>
          <w:b/>
          <w:bCs/>
          <w:sz w:val="20"/>
        </w:rPr>
        <w:t xml:space="preserve"> preceding a contest</w:t>
      </w:r>
    </w:p>
    <w:p w14:paraId="134DD180" w14:textId="7A8D2E8F" w:rsidR="00196254" w:rsidRDefault="00196254" w:rsidP="00196254">
      <w:pPr>
        <w:spacing w:before="120"/>
        <w:jc w:val="both"/>
        <w:rPr>
          <w:rFonts w:ascii="Arial" w:hAnsi="Arial" w:cs="Arial"/>
          <w:sz w:val="20"/>
        </w:rPr>
      </w:pPr>
      <w:r>
        <w:rPr>
          <w:rFonts w:ascii="Arial" w:hAnsi="Arial" w:cs="Arial"/>
          <w:sz w:val="20"/>
        </w:rPr>
        <w:t xml:space="preserve">If a case does not resolve at the Readiness </w:t>
      </w:r>
      <w:r w:rsidR="00EB4219">
        <w:rPr>
          <w:rFonts w:ascii="Arial" w:hAnsi="Arial" w:cs="Arial"/>
          <w:sz w:val="20"/>
        </w:rPr>
        <w:t>H</w:t>
      </w:r>
      <w:r>
        <w:rPr>
          <w:rFonts w:ascii="Arial" w:hAnsi="Arial" w:cs="Arial"/>
          <w:sz w:val="20"/>
        </w:rPr>
        <w:t xml:space="preserve">earing stage, it is </w:t>
      </w:r>
      <w:r w:rsidR="00D9623F">
        <w:rPr>
          <w:rFonts w:ascii="Arial" w:hAnsi="Arial" w:cs="Arial"/>
          <w:sz w:val="20"/>
        </w:rPr>
        <w:t xml:space="preserve">sometimes adjourned for further mention if the parties are close to resolution.  Otherwise it is </w:t>
      </w:r>
      <w:r>
        <w:rPr>
          <w:rFonts w:ascii="Arial" w:hAnsi="Arial" w:cs="Arial"/>
          <w:sz w:val="20"/>
        </w:rPr>
        <w:t xml:space="preserve">adjourned for a contest, </w:t>
      </w:r>
      <w:r w:rsidR="001870BB">
        <w:rPr>
          <w:rFonts w:ascii="Arial" w:hAnsi="Arial" w:cs="Arial"/>
          <w:sz w:val="20"/>
        </w:rPr>
        <w:t xml:space="preserve">sometimes </w:t>
      </w:r>
      <w:r>
        <w:rPr>
          <w:rFonts w:ascii="Arial" w:hAnsi="Arial" w:cs="Arial"/>
          <w:sz w:val="20"/>
        </w:rPr>
        <w:t xml:space="preserve">preceded by a </w:t>
      </w:r>
      <w:r w:rsidR="00EE23A7">
        <w:rPr>
          <w:rFonts w:ascii="Arial" w:hAnsi="Arial" w:cs="Arial"/>
          <w:sz w:val="20"/>
        </w:rPr>
        <w:t>D</w:t>
      </w:r>
      <w:r>
        <w:rPr>
          <w:rFonts w:ascii="Arial" w:hAnsi="Arial" w:cs="Arial"/>
          <w:sz w:val="20"/>
        </w:rPr>
        <w:t xml:space="preserve">irections hearing.  There are three purposes of such a </w:t>
      </w:r>
      <w:r w:rsidR="00EE23A7">
        <w:rPr>
          <w:rFonts w:ascii="Arial" w:hAnsi="Arial" w:cs="Arial"/>
          <w:sz w:val="20"/>
        </w:rPr>
        <w:t>D</w:t>
      </w:r>
      <w:r>
        <w:rPr>
          <w:rFonts w:ascii="Arial" w:hAnsi="Arial" w:cs="Arial"/>
          <w:sz w:val="20"/>
        </w:rPr>
        <w:t>irections hearing:</w:t>
      </w:r>
    </w:p>
    <w:p w14:paraId="2B6AD3C6"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to give the parties a further opportunity to negotiate a resolution of the case without the need for a fully contested hearing;</w:t>
      </w:r>
    </w:p>
    <w:p w14:paraId="3C4B1637" w14:textId="654F8219" w:rsidR="00196254" w:rsidRDefault="00196254">
      <w:pPr>
        <w:numPr>
          <w:ilvl w:val="0"/>
          <w:numId w:val="34"/>
        </w:numPr>
        <w:tabs>
          <w:tab w:val="clear" w:pos="1083"/>
        </w:tabs>
        <w:jc w:val="both"/>
        <w:rPr>
          <w:rFonts w:ascii="Arial" w:hAnsi="Arial" w:cs="Arial"/>
          <w:sz w:val="20"/>
        </w:rPr>
      </w:pPr>
      <w:r>
        <w:rPr>
          <w:rFonts w:ascii="Arial" w:hAnsi="Arial" w:cs="Arial"/>
          <w:sz w:val="20"/>
        </w:rPr>
        <w:t xml:space="preserve">to enable an informal conciliation to be conducted by a judicial officer with the aim of enabling the case to be resolved without a fully contested hearing; if the judicial officer conducting this </w:t>
      </w:r>
      <w:r w:rsidR="00EE23A7">
        <w:rPr>
          <w:rFonts w:ascii="Arial" w:hAnsi="Arial" w:cs="Arial"/>
          <w:sz w:val="20"/>
        </w:rPr>
        <w:t>D</w:t>
      </w:r>
      <w:r>
        <w:rPr>
          <w:rFonts w:ascii="Arial" w:hAnsi="Arial" w:cs="Arial"/>
          <w:sz w:val="20"/>
        </w:rPr>
        <w:t xml:space="preserve">irections hearing is also listed to hear the contest, this process will usually not be as rigorous as that in a </w:t>
      </w:r>
      <w:r w:rsidR="00EE23A7">
        <w:rPr>
          <w:rFonts w:ascii="Arial" w:hAnsi="Arial" w:cs="Arial"/>
          <w:sz w:val="20"/>
        </w:rPr>
        <w:t>Readiness</w:t>
      </w:r>
      <w:r>
        <w:rPr>
          <w:rFonts w:ascii="Arial" w:hAnsi="Arial" w:cs="Arial"/>
          <w:sz w:val="20"/>
        </w:rPr>
        <w:t xml:space="preserve"> hearing;</w:t>
      </w:r>
    </w:p>
    <w:p w14:paraId="27A01A2B" w14:textId="77777777" w:rsidR="00196254" w:rsidRDefault="00196254">
      <w:pPr>
        <w:numPr>
          <w:ilvl w:val="0"/>
          <w:numId w:val="34"/>
        </w:numPr>
        <w:tabs>
          <w:tab w:val="clear" w:pos="1083"/>
        </w:tabs>
        <w:jc w:val="both"/>
        <w:rPr>
          <w:rFonts w:ascii="Arial" w:hAnsi="Arial" w:cs="Arial"/>
          <w:sz w:val="20"/>
        </w:rPr>
      </w:pPr>
      <w:r>
        <w:rPr>
          <w:rFonts w:ascii="Arial" w:hAnsi="Arial" w:cs="Arial"/>
          <w:sz w:val="20"/>
        </w:rPr>
        <w:t>in the event that the case cannot be resolved, to attempt to narrow the issues between the parties and to settle the mechanics of the case (e.g. appropriate length of time reserved for the number of witnesses who are to be called, whether an interpreter is required, whether proof of the application is conceded etc.).</w:t>
      </w:r>
    </w:p>
    <w:p w14:paraId="49A60DB4" w14:textId="47A73E4A" w:rsidR="00040296" w:rsidRDefault="00040296">
      <w:pPr>
        <w:rPr>
          <w:rFonts w:ascii="Arial" w:hAnsi="Arial" w:cs="Arial"/>
          <w:b/>
          <w:bCs/>
          <w:kern w:val="28"/>
          <w:sz w:val="20"/>
          <w:szCs w:val="20"/>
          <w:lang w:val="en-GB"/>
        </w:rPr>
      </w:pPr>
      <w:bookmarkStart w:id="1430" w:name="_4.9.5_Contested_hearing"/>
      <w:bookmarkStart w:id="1431" w:name="B495"/>
      <w:bookmarkEnd w:id="1430"/>
      <w:bookmarkEnd w:id="1431"/>
    </w:p>
    <w:p w14:paraId="7949BDA6" w14:textId="1D510E80" w:rsidR="007D7E39" w:rsidRPr="00785E1A" w:rsidRDefault="00693223" w:rsidP="007D7E39">
      <w:pPr>
        <w:pStyle w:val="Heading3"/>
        <w:keepNext/>
        <w:keepLines/>
        <w:spacing w:after="120" w:line="240" w:lineRule="auto"/>
        <w:rPr>
          <w:rFonts w:ascii="Arial" w:hAnsi="Arial" w:cs="Arial"/>
          <w:color w:val="000000"/>
          <w:sz w:val="20"/>
        </w:rPr>
      </w:pPr>
      <w:bookmarkStart w:id="1432" w:name="_Hlk121314979"/>
      <w:r>
        <w:rPr>
          <w:rFonts w:ascii="Arial" w:hAnsi="Arial" w:cs="Arial"/>
          <w:b/>
          <w:bCs/>
          <w:sz w:val="20"/>
        </w:rPr>
        <w:t>4.9</w:t>
      </w:r>
      <w:r w:rsidR="009B53F7">
        <w:rPr>
          <w:rFonts w:ascii="Arial" w:hAnsi="Arial" w:cs="Arial"/>
          <w:b/>
          <w:bCs/>
          <w:sz w:val="20"/>
        </w:rPr>
        <w:t>.</w:t>
      </w:r>
      <w:r w:rsidR="00ED3555">
        <w:rPr>
          <w:rFonts w:ascii="Arial" w:hAnsi="Arial" w:cs="Arial"/>
          <w:b/>
          <w:bCs/>
          <w:sz w:val="20"/>
        </w:rPr>
        <w:t>6</w:t>
      </w:r>
      <w:r>
        <w:rPr>
          <w:rFonts w:ascii="Arial" w:hAnsi="Arial" w:cs="Arial"/>
          <w:b/>
          <w:bCs/>
          <w:sz w:val="20"/>
        </w:rPr>
        <w:tab/>
        <w:t>Contested hearing</w:t>
      </w:r>
    </w:p>
    <w:p w14:paraId="1CFD8C82" w14:textId="4AA7A47F" w:rsidR="00693223" w:rsidRDefault="00693223">
      <w:pPr>
        <w:spacing w:before="120"/>
        <w:jc w:val="both"/>
        <w:rPr>
          <w:rFonts w:ascii="Arial" w:hAnsi="Arial" w:cs="Arial"/>
          <w:sz w:val="20"/>
        </w:rPr>
      </w:pPr>
      <w:r>
        <w:rPr>
          <w:rFonts w:ascii="Arial" w:hAnsi="Arial" w:cs="Arial"/>
          <w:sz w:val="20"/>
        </w:rPr>
        <w:t xml:space="preserve">A contested hearing generally involves the calling of </w:t>
      </w:r>
      <w:r>
        <w:rPr>
          <w:rFonts w:ascii="Arial" w:hAnsi="Arial" w:cs="Arial"/>
          <w:i/>
          <w:iCs/>
          <w:sz w:val="20"/>
        </w:rPr>
        <w:t>viva voce</w:t>
      </w:r>
      <w:r>
        <w:rPr>
          <w:rFonts w:ascii="Arial" w:hAnsi="Arial" w:cs="Arial"/>
          <w:sz w:val="20"/>
        </w:rPr>
        <w:t xml:space="preserve"> evidence and the tendering of </w:t>
      </w:r>
      <w:r w:rsidRPr="00D00CAA">
        <w:rPr>
          <w:rFonts w:ascii="Arial" w:hAnsi="Arial" w:cs="Arial"/>
          <w:color w:val="000000"/>
          <w:sz w:val="20"/>
        </w:rPr>
        <w:t xml:space="preserve">professional reports, although on occasion the hearing may be restricted, </w:t>
      </w:r>
      <w:r w:rsidR="00824827">
        <w:rPr>
          <w:rFonts w:ascii="Arial" w:hAnsi="Arial" w:cs="Arial"/>
          <w:color w:val="000000"/>
          <w:sz w:val="20"/>
        </w:rPr>
        <w:t>almost always</w:t>
      </w:r>
      <w:r w:rsidR="00DE63E7" w:rsidRPr="00D00CAA">
        <w:rPr>
          <w:rFonts w:ascii="Arial" w:hAnsi="Arial" w:cs="Arial"/>
          <w:color w:val="000000"/>
          <w:sz w:val="20"/>
        </w:rPr>
        <w:t xml:space="preserve"> </w:t>
      </w:r>
      <w:r w:rsidRPr="00D00CAA">
        <w:rPr>
          <w:rFonts w:ascii="Arial" w:hAnsi="Arial" w:cs="Arial"/>
          <w:color w:val="000000"/>
          <w:sz w:val="20"/>
        </w:rPr>
        <w:t>with</w:t>
      </w:r>
      <w:r>
        <w:rPr>
          <w:rFonts w:ascii="Arial" w:hAnsi="Arial" w:cs="Arial"/>
          <w:sz w:val="20"/>
        </w:rPr>
        <w:t xml:space="preserve"> the consent of the parties, to legal submissions based on a</w:t>
      </w:r>
      <w:r w:rsidR="00D214B8">
        <w:rPr>
          <w:rFonts w:ascii="Arial" w:hAnsi="Arial" w:cs="Arial"/>
          <w:sz w:val="20"/>
        </w:rPr>
        <w:t xml:space="preserve"> </w:t>
      </w:r>
      <w:r>
        <w:rPr>
          <w:rFonts w:ascii="Arial" w:hAnsi="Arial" w:cs="Arial"/>
          <w:sz w:val="20"/>
        </w:rPr>
        <w:t>statement of facts.</w:t>
      </w:r>
      <w:r w:rsidR="00C447D0">
        <w:rPr>
          <w:rFonts w:ascii="Arial" w:hAnsi="Arial" w:cs="Arial"/>
          <w:sz w:val="20"/>
        </w:rPr>
        <w:t xml:space="preserve">  As the data in </w:t>
      </w:r>
      <w:r w:rsidR="00C447D0" w:rsidRPr="00A40A28">
        <w:rPr>
          <w:rFonts w:ascii="Arial" w:hAnsi="Arial" w:cs="Arial"/>
          <w:b/>
          <w:bCs/>
          <w:sz w:val="20"/>
          <w:shd w:val="clear" w:color="auto" w:fill="C5E0B3"/>
        </w:rPr>
        <w:t xml:space="preserve">section </w:t>
      </w:r>
      <w:r w:rsidR="00C335BA" w:rsidRPr="00A40A28">
        <w:rPr>
          <w:rFonts w:ascii="Arial" w:hAnsi="Arial" w:cs="Arial"/>
          <w:b/>
          <w:bCs/>
          <w:sz w:val="20"/>
          <w:shd w:val="clear" w:color="auto" w:fill="C5E0B3"/>
        </w:rPr>
        <w:t>4.9.7</w:t>
      </w:r>
      <w:r w:rsidR="00C335BA">
        <w:rPr>
          <w:rFonts w:ascii="Arial" w:hAnsi="Arial" w:cs="Arial"/>
          <w:sz w:val="20"/>
        </w:rPr>
        <w:t xml:space="preserve"> </w:t>
      </w:r>
      <w:r w:rsidR="00C447D0">
        <w:rPr>
          <w:rFonts w:ascii="Arial" w:hAnsi="Arial" w:cs="Arial"/>
          <w:sz w:val="20"/>
        </w:rPr>
        <w:t xml:space="preserve">demonstrates only a very small percentage of initiated protection and secondary applications </w:t>
      </w:r>
      <w:r w:rsidR="00EB0E8C">
        <w:rPr>
          <w:rFonts w:ascii="Arial" w:hAnsi="Arial" w:cs="Arial"/>
          <w:sz w:val="20"/>
        </w:rPr>
        <w:t>reach a final contested hearing</w:t>
      </w:r>
      <w:r w:rsidR="009A6603">
        <w:rPr>
          <w:rFonts w:ascii="Arial" w:hAnsi="Arial" w:cs="Arial"/>
          <w:sz w:val="20"/>
        </w:rPr>
        <w:t>.</w:t>
      </w:r>
      <w:r w:rsidR="00EB0E8C">
        <w:rPr>
          <w:rFonts w:ascii="Arial" w:hAnsi="Arial" w:cs="Arial"/>
          <w:sz w:val="20"/>
        </w:rPr>
        <w:t xml:space="preserve">  The vast majority of cases are resolved at one of the pr</w:t>
      </w:r>
      <w:r w:rsidR="009A6603">
        <w:rPr>
          <w:rFonts w:ascii="Arial" w:hAnsi="Arial" w:cs="Arial"/>
          <w:sz w:val="20"/>
        </w:rPr>
        <w:t>e</w:t>
      </w:r>
      <w:r w:rsidR="00EB0E8C">
        <w:rPr>
          <w:rFonts w:ascii="Arial" w:hAnsi="Arial" w:cs="Arial"/>
          <w:sz w:val="20"/>
        </w:rPr>
        <w:t>ceding steps in the process, the majority at the mention stage.</w:t>
      </w:r>
    </w:p>
    <w:p w14:paraId="001BDCE5" w14:textId="7DE8CEE2" w:rsidR="00A407ED" w:rsidRDefault="00A407ED" w:rsidP="00A407ED">
      <w:pPr>
        <w:jc w:val="both"/>
        <w:rPr>
          <w:rFonts w:ascii="Arial" w:hAnsi="Arial" w:cs="Arial"/>
          <w:sz w:val="20"/>
        </w:rPr>
      </w:pPr>
    </w:p>
    <w:p w14:paraId="3BEFFDDF" w14:textId="77777777" w:rsidR="00653195" w:rsidRPr="00653195" w:rsidRDefault="00653195" w:rsidP="00653195">
      <w:pPr>
        <w:jc w:val="center"/>
        <w:rPr>
          <w:rFonts w:ascii="Arial" w:hAnsi="Arial" w:cs="Arial"/>
          <w:b/>
          <w:bCs/>
          <w:sz w:val="20"/>
          <w:szCs w:val="20"/>
          <w:u w:val="single"/>
        </w:rPr>
      </w:pPr>
      <w:r w:rsidRPr="00653195">
        <w:rPr>
          <w:rFonts w:ascii="Arial" w:hAnsi="Arial" w:cs="Arial"/>
          <w:b/>
          <w:bCs/>
          <w:sz w:val="20"/>
          <w:szCs w:val="20"/>
          <w:u w:val="single"/>
        </w:rPr>
        <w:t>TIPS FOR ADULTS REPRESENTING THEMSELVES AT A FINAL HEARING IN A CONTESTED FAMILY DIVISION CASE IN THE CHILDREN’S COURT</w:t>
      </w:r>
    </w:p>
    <w:p w14:paraId="1C32BC45" w14:textId="77777777" w:rsidR="00653195" w:rsidRPr="00653195" w:rsidRDefault="00653195" w:rsidP="00653195">
      <w:pPr>
        <w:jc w:val="both"/>
        <w:rPr>
          <w:rFonts w:ascii="Arial" w:hAnsi="Arial" w:cs="Arial"/>
          <w:sz w:val="20"/>
        </w:rPr>
      </w:pPr>
    </w:p>
    <w:p w14:paraId="00EB3340" w14:textId="604DA5DE" w:rsidR="00653195" w:rsidRPr="00653195" w:rsidRDefault="00653195">
      <w:pPr>
        <w:pStyle w:val="ListParagraph"/>
        <w:numPr>
          <w:ilvl w:val="0"/>
          <w:numId w:val="75"/>
        </w:numPr>
        <w:ind w:left="357" w:hanging="357"/>
        <w:contextualSpacing/>
        <w:jc w:val="both"/>
        <w:rPr>
          <w:rFonts w:ascii="Arial" w:hAnsi="Arial" w:cs="Arial"/>
          <w:sz w:val="20"/>
        </w:rPr>
      </w:pPr>
      <w:r w:rsidRPr="00653195">
        <w:rPr>
          <w:rFonts w:ascii="Arial" w:hAnsi="Arial" w:cs="Arial"/>
          <w:sz w:val="20"/>
        </w:rPr>
        <w:t xml:space="preserve">Most cases in Victorian Courts are conducted on an ‘adversarial’ basis where the parties present their cases and the judge or magistrate </w:t>
      </w:r>
      <w:r w:rsidR="00DC3200">
        <w:rPr>
          <w:rFonts w:ascii="Arial" w:hAnsi="Arial" w:cs="Arial"/>
          <w:sz w:val="20"/>
        </w:rPr>
        <w:t>[</w:t>
      </w:r>
      <w:r w:rsidRPr="00653195">
        <w:rPr>
          <w:rFonts w:ascii="Arial" w:hAnsi="Arial" w:cs="Arial"/>
          <w:sz w:val="20"/>
        </w:rPr>
        <w:t>JO-judicial officer</w:t>
      </w:r>
      <w:r w:rsidR="00DC3200">
        <w:rPr>
          <w:rFonts w:ascii="Arial" w:hAnsi="Arial" w:cs="Arial"/>
          <w:sz w:val="20"/>
        </w:rPr>
        <w:t>]</w:t>
      </w:r>
      <w:r w:rsidRPr="00653195">
        <w:rPr>
          <w:rFonts w:ascii="Arial" w:hAnsi="Arial" w:cs="Arial"/>
          <w:sz w:val="20"/>
        </w:rPr>
        <w:t xml:space="preserve"> acts as an umpire.  However, in Children’s Court Family Division cases JOs often ask more questions of witnesses and legal representatives than in other types of cases.  This is because the JO has an obligation – independent of the parties – to have regard to ‘best interests’ provisions in making any order or taking any action under the </w:t>
      </w:r>
      <w:r w:rsidRPr="00653195">
        <w:rPr>
          <w:rFonts w:ascii="Arial" w:hAnsi="Arial" w:cs="Arial"/>
          <w:i/>
          <w:iCs/>
          <w:sz w:val="20"/>
        </w:rPr>
        <w:t xml:space="preserve">Children, Youth and Families Act 2005 </w:t>
      </w:r>
      <w:r w:rsidR="00DC3200">
        <w:rPr>
          <w:rFonts w:ascii="Arial" w:hAnsi="Arial" w:cs="Arial"/>
          <w:sz w:val="20"/>
        </w:rPr>
        <w:t>[</w:t>
      </w:r>
      <w:r w:rsidRPr="00653195">
        <w:rPr>
          <w:rFonts w:ascii="Arial" w:hAnsi="Arial" w:cs="Arial"/>
          <w:sz w:val="20"/>
        </w:rPr>
        <w:t>CYFA</w:t>
      </w:r>
      <w:r w:rsidR="00DC3200">
        <w:rPr>
          <w:rFonts w:ascii="Arial" w:hAnsi="Arial" w:cs="Arial"/>
          <w:sz w:val="20"/>
        </w:rPr>
        <w:t>]</w:t>
      </w:r>
      <w:r w:rsidRPr="00653195">
        <w:rPr>
          <w:rFonts w:ascii="Arial" w:hAnsi="Arial" w:cs="Arial"/>
          <w:sz w:val="20"/>
        </w:rPr>
        <w:t>.</w:t>
      </w:r>
    </w:p>
    <w:p w14:paraId="5A19CC8E" w14:textId="77777777" w:rsidR="00653195" w:rsidRPr="00653195" w:rsidRDefault="00653195" w:rsidP="00653195">
      <w:pPr>
        <w:jc w:val="both"/>
        <w:rPr>
          <w:rFonts w:ascii="Arial" w:hAnsi="Arial" w:cs="Arial"/>
          <w:sz w:val="20"/>
          <w:szCs w:val="20"/>
        </w:rPr>
      </w:pPr>
    </w:p>
    <w:p w14:paraId="2AC9472B"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Cs/>
          <w:sz w:val="20"/>
        </w:rPr>
        <w:t>In the Family Division of the Children’s Court child protection or intervention order hearings are generally conducted in a more informal manner than in criminal courts and the JO can inform herself or himself as she or he thinks fit despite any rules of evidence to the contrary.  It is very rare for the Children’s Court to allow a child to be called as a witness in a Family Division case.</w:t>
      </w:r>
    </w:p>
    <w:p w14:paraId="06BC0AED" w14:textId="77777777" w:rsidR="00653195" w:rsidRPr="00653195" w:rsidRDefault="00653195" w:rsidP="00653195">
      <w:pPr>
        <w:jc w:val="both"/>
        <w:rPr>
          <w:rFonts w:ascii="Arial" w:hAnsi="Arial" w:cs="Arial"/>
          <w:sz w:val="20"/>
          <w:szCs w:val="20"/>
        </w:rPr>
      </w:pPr>
    </w:p>
    <w:p w14:paraId="76FBD274" w14:textId="77777777" w:rsidR="00653195" w:rsidRPr="00653195" w:rsidRDefault="00653195">
      <w:pPr>
        <w:pStyle w:val="ListParagraph"/>
        <w:numPr>
          <w:ilvl w:val="0"/>
          <w:numId w:val="75"/>
        </w:numPr>
        <w:ind w:left="357" w:hanging="357"/>
        <w:contextualSpacing/>
        <w:jc w:val="both"/>
        <w:rPr>
          <w:rFonts w:ascii="Arial" w:hAnsi="Arial" w:cs="Arial"/>
          <w:bCs/>
          <w:sz w:val="20"/>
        </w:rPr>
      </w:pPr>
      <w:r w:rsidRPr="00653195">
        <w:rPr>
          <w:rFonts w:ascii="Arial" w:hAnsi="Arial" w:cs="Arial"/>
          <w:b/>
          <w:bCs/>
          <w:sz w:val="20"/>
          <w:u w:val="single"/>
        </w:rPr>
        <w:t>PREPARATION</w:t>
      </w:r>
      <w:r w:rsidRPr="00653195">
        <w:rPr>
          <w:rFonts w:ascii="Arial" w:hAnsi="Arial" w:cs="Arial"/>
          <w:sz w:val="20"/>
        </w:rPr>
        <w:t>:</w:t>
      </w:r>
    </w:p>
    <w:p w14:paraId="35C59A5C"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As long as possible before the hearing date you should ask a court registrar-</w:t>
      </w:r>
    </w:p>
    <w:p w14:paraId="78BF9CC0"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issue subpoenas for the attendance of any persons whom you wish to call to give evidence and/or produce documents and who will not attend court voluntarily; and</w:t>
      </w:r>
    </w:p>
    <w:p w14:paraId="69ED70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to arrange an interpreter for any of your witnesses who requires one.</w:t>
      </w:r>
    </w:p>
    <w:p w14:paraId="54F192B2"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Make sure you know what court orders you would like the JO to make at the end of the hearing.  If you are unsure the legal representative for any party who wants the same outcome as you may be prepared to help you.</w:t>
      </w:r>
    </w:p>
    <w:p w14:paraId="529591ED" w14:textId="77777777" w:rsidR="00653195" w:rsidRPr="00653195" w:rsidRDefault="00653195">
      <w:pPr>
        <w:pStyle w:val="ListParagraph"/>
        <w:numPr>
          <w:ilvl w:val="0"/>
          <w:numId w:val="78"/>
        </w:numPr>
        <w:ind w:left="714" w:hanging="357"/>
        <w:contextualSpacing/>
        <w:jc w:val="both"/>
        <w:rPr>
          <w:rFonts w:ascii="Arial" w:hAnsi="Arial" w:cs="Arial"/>
          <w:bCs/>
          <w:sz w:val="20"/>
        </w:rPr>
      </w:pPr>
      <w:r w:rsidRPr="00653195">
        <w:rPr>
          <w:rFonts w:ascii="Arial" w:hAnsi="Arial" w:cs="Arial"/>
          <w:bCs/>
          <w:sz w:val="20"/>
        </w:rPr>
        <w:t>To assist you in the hearing you should make-</w:t>
      </w:r>
    </w:p>
    <w:p w14:paraId="4F0C141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what you see as the issues in the case; this might include for example issues about family violence, child abuse or education;</w:t>
      </w:r>
    </w:p>
    <w:p w14:paraId="1D6B1B16"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summary of any evidence that you want to use (including evidence from other witnesses); and</w:t>
      </w:r>
    </w:p>
    <w:p w14:paraId="30FAC9F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 list of any documents that you want to access.</w:t>
      </w:r>
    </w:p>
    <w:p w14:paraId="20232B07"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You should also bring to Court-</w:t>
      </w:r>
    </w:p>
    <w:p w14:paraId="00366FA8"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reports/documents which have been given to you earlier;</w:t>
      </w:r>
    </w:p>
    <w:p w14:paraId="436637C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notes you have made about your contact with Child Protection (CP);</w:t>
      </w:r>
    </w:p>
    <w:p w14:paraId="4376AC87"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lastRenderedPageBreak/>
        <w:t>any documents that show things you have been doing to address the concerns CP has, such as letters from a counsellor or drug screen results;</w:t>
      </w:r>
    </w:p>
    <w:p w14:paraId="3AC59A1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any other Court orders you have, such as Family Law orders or intervention orders.</w:t>
      </w:r>
    </w:p>
    <w:p w14:paraId="49B58FDE" w14:textId="77777777" w:rsidR="00653195" w:rsidRPr="00653195" w:rsidRDefault="00653195">
      <w:pPr>
        <w:pStyle w:val="ListParagraph"/>
        <w:numPr>
          <w:ilvl w:val="0"/>
          <w:numId w:val="79"/>
        </w:numPr>
        <w:ind w:left="714" w:hanging="357"/>
        <w:contextualSpacing/>
        <w:jc w:val="both"/>
        <w:rPr>
          <w:rFonts w:ascii="Arial" w:hAnsi="Arial" w:cs="Arial"/>
          <w:bCs/>
          <w:sz w:val="20"/>
        </w:rPr>
      </w:pPr>
      <w:r w:rsidRPr="00653195">
        <w:rPr>
          <w:rFonts w:ascii="Arial" w:hAnsi="Arial" w:cs="Arial"/>
          <w:bCs/>
          <w:sz w:val="20"/>
        </w:rPr>
        <w:t>As part of your preparation you should read every report/document and be prepared to cross-examine the writer about anything you disagree with.  This includes any documents you were given at a Readiness Hearing (if there was one), e.g. a Readiness Certificate (Form 6C) completed by the legal representative for CP.  The Readiness Certificate contains much important information about the forthcoming hearing including:</w:t>
      </w:r>
    </w:p>
    <w:p w14:paraId="555D08D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what issues remain in dispute between the parties;</w:t>
      </w:r>
    </w:p>
    <w:p w14:paraId="6D2A28F4"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dispositions (orders) sought by all of the parties; and</w:t>
      </w:r>
    </w:p>
    <w:p w14:paraId="0571FF99"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Cs/>
          <w:sz w:val="20"/>
        </w:rPr>
        <w:t>the names of all proposed witnesses, whether the witness is required for cross-examination and whether the witness requires an interpreter.</w:t>
      </w:r>
    </w:p>
    <w:p w14:paraId="016733E1" w14:textId="77777777" w:rsidR="00653195" w:rsidRPr="00653195" w:rsidRDefault="00653195" w:rsidP="00653195">
      <w:pPr>
        <w:jc w:val="both"/>
        <w:rPr>
          <w:rFonts w:ascii="Arial" w:hAnsi="Arial" w:cs="Arial"/>
          <w:bCs/>
          <w:sz w:val="20"/>
          <w:szCs w:val="20"/>
        </w:rPr>
      </w:pPr>
    </w:p>
    <w:p w14:paraId="6F3DE10E" w14:textId="77777777" w:rsidR="00653195" w:rsidRPr="00653195" w:rsidRDefault="00653195">
      <w:pPr>
        <w:pStyle w:val="ListParagraph"/>
        <w:keepNext/>
        <w:keepLines/>
        <w:numPr>
          <w:ilvl w:val="0"/>
          <w:numId w:val="75"/>
        </w:numPr>
        <w:ind w:left="357" w:hanging="357"/>
        <w:contextualSpacing/>
        <w:jc w:val="both"/>
        <w:rPr>
          <w:rFonts w:ascii="Arial" w:hAnsi="Arial" w:cs="Arial"/>
          <w:sz w:val="20"/>
        </w:rPr>
      </w:pPr>
      <w:r w:rsidRPr="00653195">
        <w:rPr>
          <w:rFonts w:ascii="Arial" w:hAnsi="Arial" w:cs="Arial"/>
          <w:b/>
          <w:bCs/>
          <w:sz w:val="20"/>
          <w:u w:val="single"/>
        </w:rPr>
        <w:t>HOW TO BEHAVE IN COURT</w:t>
      </w:r>
      <w:r w:rsidRPr="00653195">
        <w:rPr>
          <w:rFonts w:ascii="Arial" w:hAnsi="Arial" w:cs="Arial"/>
          <w:sz w:val="20"/>
        </w:rPr>
        <w:t>:</w:t>
      </w:r>
    </w:p>
    <w:p w14:paraId="33EFB74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Look neat and tidy.</w:t>
      </w:r>
    </w:p>
    <w:p w14:paraId="0E56A7B6"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Bow to the JO when you enter the court room.</w:t>
      </w:r>
    </w:p>
    <w:p w14:paraId="2D6CBC32"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Stand when the JO talks to you or when you talk to the JO.</w:t>
      </w:r>
    </w:p>
    <w:p w14:paraId="3F7CA42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Refer to the JO as ‘Your Honour’.</w:t>
      </w:r>
    </w:p>
    <w:p w14:paraId="2BB24BC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Sit down and do not talk when someone else is talking at the bar table.</w:t>
      </w:r>
    </w:p>
    <w:p w14:paraId="7211E270"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Turn your mobile phone off.</w:t>
      </w:r>
    </w:p>
    <w:p w14:paraId="3328D80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Do not wear a hat or sunglasses on your head and do not eat or chew gum.</w:t>
      </w:r>
    </w:p>
    <w:p w14:paraId="40F44967"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If you have any questions about the court procedure, do not hesitate to ask the JO or a member of the court staff.  However, please bear in mind that the JO cannot run the case on your behalf or on behalf of any other party.</w:t>
      </w:r>
    </w:p>
    <w:p w14:paraId="76B0CB7B"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sz w:val="20"/>
        </w:rPr>
        <w:t>It is rarely effective and usually counter-productive to question a witness or speak to the JO in an aggressive, rude, sarcastic or disrespectful way.  Politeness and good manners will serve you much better in the eyes of the JO.</w:t>
      </w:r>
    </w:p>
    <w:p w14:paraId="777B306E" w14:textId="77777777" w:rsidR="00653195" w:rsidRPr="00653195" w:rsidRDefault="00653195" w:rsidP="00653195">
      <w:pPr>
        <w:jc w:val="both"/>
        <w:rPr>
          <w:rFonts w:ascii="Arial" w:hAnsi="Arial" w:cs="Arial"/>
          <w:sz w:val="20"/>
          <w:szCs w:val="20"/>
        </w:rPr>
      </w:pPr>
    </w:p>
    <w:p w14:paraId="4BFDEAD0" w14:textId="77777777" w:rsidR="00653195" w:rsidRPr="00653195" w:rsidRDefault="00653195">
      <w:pPr>
        <w:pStyle w:val="ListParagraph"/>
        <w:keepNext/>
        <w:keepLines/>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WHAT HAPPENS IN A FINAL HEARING OF A FAMILY DIVISION CASE</w:t>
      </w:r>
      <w:r w:rsidRPr="00653195">
        <w:rPr>
          <w:rFonts w:ascii="Arial" w:hAnsi="Arial" w:cs="Arial"/>
          <w:sz w:val="20"/>
        </w:rPr>
        <w:t>:</w:t>
      </w:r>
    </w:p>
    <w:p w14:paraId="67261B55" w14:textId="77777777" w:rsidR="00653195" w:rsidRPr="00653195" w:rsidRDefault="00653195" w:rsidP="00653195">
      <w:pPr>
        <w:ind w:left="357"/>
        <w:jc w:val="both"/>
        <w:rPr>
          <w:rFonts w:ascii="Arial" w:hAnsi="Arial" w:cs="Arial"/>
          <w:bCs/>
          <w:sz w:val="20"/>
          <w:szCs w:val="20"/>
        </w:rPr>
      </w:pPr>
      <w:r w:rsidRPr="00653195">
        <w:rPr>
          <w:rFonts w:ascii="Arial" w:hAnsi="Arial" w:cs="Arial"/>
          <w:bCs/>
          <w:sz w:val="20"/>
          <w:szCs w:val="20"/>
        </w:rPr>
        <w:t>Although the JO can vary the procedure in the interests of justice, a final hearing will usually proceed in the following order:</w:t>
      </w:r>
    </w:p>
    <w:p w14:paraId="3BF369B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w:t>
      </w:r>
      <w:r w:rsidRPr="00653195">
        <w:rPr>
          <w:rFonts w:ascii="Arial" w:hAnsi="Arial" w:cs="Arial"/>
          <w:b/>
          <w:sz w:val="20"/>
        </w:rPr>
        <w:t>ask each party</w:t>
      </w:r>
      <w:r w:rsidRPr="00653195">
        <w:rPr>
          <w:rFonts w:ascii="Arial" w:hAnsi="Arial" w:cs="Arial"/>
          <w:bCs/>
          <w:sz w:val="20"/>
        </w:rPr>
        <w:t xml:space="preserve"> or the party’s legal representative </w:t>
      </w:r>
      <w:r w:rsidRPr="00653195">
        <w:rPr>
          <w:rFonts w:ascii="Arial" w:hAnsi="Arial" w:cs="Arial"/>
          <w:b/>
          <w:sz w:val="20"/>
        </w:rPr>
        <w:t>what orders he or she is seeking</w:t>
      </w:r>
      <w:r w:rsidRPr="00653195">
        <w:rPr>
          <w:rFonts w:ascii="Arial" w:hAnsi="Arial" w:cs="Arial"/>
          <w:bCs/>
          <w:sz w:val="20"/>
        </w:rPr>
        <w:t xml:space="preserve"> in the case.</w:t>
      </w:r>
    </w:p>
    <w:p w14:paraId="042A6EAA"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gives </w:t>
      </w:r>
      <w:r w:rsidRPr="00653195">
        <w:rPr>
          <w:rFonts w:ascii="Arial" w:hAnsi="Arial" w:cs="Arial"/>
          <w:b/>
          <w:sz w:val="20"/>
        </w:rPr>
        <w:t>evidence in chief</w:t>
      </w:r>
      <w:r w:rsidRPr="00653195">
        <w:rPr>
          <w:rFonts w:ascii="Arial" w:hAnsi="Arial" w:cs="Arial"/>
          <w:bCs/>
          <w:sz w:val="20"/>
        </w:rPr>
        <w:t xml:space="preserve"> by calling their first witness.</w:t>
      </w:r>
    </w:p>
    <w:p w14:paraId="6AE42E8C"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has the opportunity to </w:t>
      </w:r>
      <w:r w:rsidRPr="00653195">
        <w:rPr>
          <w:rFonts w:ascii="Arial" w:hAnsi="Arial" w:cs="Arial"/>
          <w:b/>
          <w:sz w:val="20"/>
        </w:rPr>
        <w:t>cross-examine</w:t>
      </w:r>
      <w:r w:rsidRPr="00653195">
        <w:rPr>
          <w:rFonts w:ascii="Arial" w:hAnsi="Arial" w:cs="Arial"/>
          <w:bCs/>
          <w:sz w:val="20"/>
        </w:rPr>
        <w:t xml:space="preserve"> the witness.  Parties who dispute any aspect of the evidence of a witness should put their version to the witness for him or her to comment on.  Because cross-examination is usually more difficult than it looks, the JO will often allow any legal representative who is seeking the same orders as an unrepresented party to cross-examine the witness first.</w:t>
      </w:r>
    </w:p>
    <w:p w14:paraId="4EDA92F1"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CP/applicant gets the chance to </w:t>
      </w:r>
      <w:r w:rsidRPr="00653195">
        <w:rPr>
          <w:rFonts w:ascii="Arial" w:hAnsi="Arial" w:cs="Arial"/>
          <w:b/>
          <w:sz w:val="20"/>
        </w:rPr>
        <w:t>re-examine</w:t>
      </w:r>
      <w:r w:rsidRPr="00653195">
        <w:rPr>
          <w:rFonts w:ascii="Arial" w:hAnsi="Arial" w:cs="Arial"/>
          <w:bCs/>
          <w:sz w:val="20"/>
        </w:rPr>
        <w:t xml:space="preserve"> the witness briefly to clarify any evidence that is unclear or incomplete.</w:t>
      </w:r>
    </w:p>
    <w:p w14:paraId="3243F88D"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CP/applicant calls their next witness if they have one.  This witness gives evidence in chief, is cross-examined and re-examined if necessary.  This process is repeated until all of the witnesses called by DFFH have given evidence.</w:t>
      </w:r>
    </w:p>
    <w:p w14:paraId="74A2FA42"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Each of the other parties then have the opportunity to call witnesses who give </w:t>
      </w:r>
      <w:r w:rsidRPr="00653195">
        <w:rPr>
          <w:rFonts w:ascii="Arial" w:hAnsi="Arial" w:cs="Arial"/>
          <w:b/>
          <w:sz w:val="20"/>
        </w:rPr>
        <w:t>evidence in chief</w:t>
      </w:r>
      <w:r w:rsidRPr="00653195">
        <w:rPr>
          <w:rFonts w:ascii="Arial" w:hAnsi="Arial" w:cs="Arial"/>
          <w:bCs/>
          <w:sz w:val="20"/>
        </w:rPr>
        <w:t xml:space="preserve"> and are then cross-examined and re-examined like the witnesses called by CP/applicant.</w:t>
      </w:r>
    </w:p>
    <w:p w14:paraId="2B67A94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Finally, if the JO permits, each of the parties are given an opportunity to make </w:t>
      </w:r>
      <w:r w:rsidRPr="00653195">
        <w:rPr>
          <w:rFonts w:ascii="Arial" w:hAnsi="Arial" w:cs="Arial"/>
          <w:b/>
          <w:sz w:val="20"/>
        </w:rPr>
        <w:t>closing submissions</w:t>
      </w:r>
      <w:r w:rsidRPr="00653195">
        <w:rPr>
          <w:rFonts w:ascii="Arial" w:hAnsi="Arial" w:cs="Arial"/>
          <w:bCs/>
          <w:sz w:val="20"/>
        </w:rPr>
        <w:t>.  These focus on-</w:t>
      </w:r>
    </w:p>
    <w:p w14:paraId="42D66AB4"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the disposition that the parties are seeking; and</w:t>
      </w:r>
    </w:p>
    <w:p w14:paraId="36C847AB" w14:textId="77777777"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relevant legal principles in the </w:t>
      </w:r>
      <w:r w:rsidRPr="00653195">
        <w:rPr>
          <w:rFonts w:ascii="Arial" w:hAnsi="Arial" w:cs="Arial"/>
          <w:sz w:val="20"/>
        </w:rPr>
        <w:t>CYFA, any other relevant Act and the case law derived from specific cases that have gone before a court.</w:t>
      </w:r>
    </w:p>
    <w:p w14:paraId="3C724184" w14:textId="68904078" w:rsidR="00653195" w:rsidRPr="00653195" w:rsidRDefault="00653195">
      <w:pPr>
        <w:pStyle w:val="ListParagraph"/>
        <w:numPr>
          <w:ilvl w:val="0"/>
          <w:numId w:val="80"/>
        </w:numPr>
        <w:ind w:left="714" w:hanging="357"/>
        <w:contextualSpacing/>
        <w:jc w:val="both"/>
        <w:rPr>
          <w:rFonts w:ascii="Arial" w:hAnsi="Arial" w:cs="Arial"/>
          <w:bCs/>
          <w:sz w:val="20"/>
        </w:rPr>
      </w:pPr>
      <w:r w:rsidRPr="00653195">
        <w:rPr>
          <w:rFonts w:ascii="Arial" w:hAnsi="Arial" w:cs="Arial"/>
          <w:bCs/>
          <w:sz w:val="20"/>
        </w:rPr>
        <w:t xml:space="preserve">The JO will then </w:t>
      </w:r>
      <w:r w:rsidR="00BB22BB">
        <w:rPr>
          <w:rFonts w:ascii="Arial" w:hAnsi="Arial" w:cs="Arial"/>
          <w:bCs/>
          <w:sz w:val="20"/>
        </w:rPr>
        <w:t>announce his or her</w:t>
      </w:r>
      <w:r w:rsidRPr="00653195">
        <w:rPr>
          <w:rFonts w:ascii="Arial" w:hAnsi="Arial" w:cs="Arial"/>
          <w:bCs/>
          <w:sz w:val="20"/>
        </w:rPr>
        <w:t xml:space="preserve"> decision.  Sometimes this will happen on the same day, especially in intervention order cases.  In CP cases it is more usual for the decision to be handed down on a later day after the JO has had a chance to review the evidence and the submissions and prepare a judgment.</w:t>
      </w:r>
    </w:p>
    <w:p w14:paraId="064828FE" w14:textId="77777777" w:rsidR="00653195" w:rsidRPr="00AA20A6" w:rsidRDefault="00653195" w:rsidP="00AA053F">
      <w:pPr>
        <w:jc w:val="both"/>
        <w:rPr>
          <w:rFonts w:ascii="Arial" w:hAnsi="Arial" w:cs="Arial"/>
          <w:sz w:val="20"/>
          <w:szCs w:val="20"/>
        </w:rPr>
      </w:pPr>
    </w:p>
    <w:p w14:paraId="1959490E" w14:textId="77777777" w:rsidR="00653195" w:rsidRPr="00653195" w:rsidRDefault="00653195">
      <w:pPr>
        <w:pStyle w:val="ListParagraph"/>
        <w:numPr>
          <w:ilvl w:val="0"/>
          <w:numId w:val="75"/>
        </w:numPr>
        <w:ind w:left="357" w:hanging="357"/>
        <w:contextualSpacing/>
        <w:jc w:val="both"/>
        <w:rPr>
          <w:rFonts w:ascii="Arial" w:hAnsi="Arial" w:cs="Arial"/>
          <w:b/>
          <w:bCs/>
          <w:sz w:val="20"/>
          <w:u w:val="single"/>
        </w:rPr>
      </w:pPr>
      <w:r w:rsidRPr="00653195">
        <w:rPr>
          <w:rFonts w:ascii="Arial" w:hAnsi="Arial" w:cs="Arial"/>
          <w:b/>
          <w:bCs/>
          <w:sz w:val="20"/>
          <w:u w:val="single"/>
        </w:rPr>
        <w:t>WHERE TO FIND THE LAW THAT APPLIES IN CHILDREN’S COURT CASES</w:t>
      </w:r>
      <w:r w:rsidRPr="00653195">
        <w:rPr>
          <w:rFonts w:ascii="Arial" w:hAnsi="Arial" w:cs="Arial"/>
          <w:sz w:val="20"/>
        </w:rPr>
        <w:t>:</w:t>
      </w:r>
    </w:p>
    <w:p w14:paraId="11545B15"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The following Acts can be downloaded from </w:t>
      </w:r>
      <w:hyperlink r:id="rId34" w:history="1">
        <w:r w:rsidRPr="00653195">
          <w:rPr>
            <w:rStyle w:val="Hyperlink"/>
            <w:rFonts w:ascii="Arial" w:hAnsi="Arial" w:cs="Arial"/>
            <w:bCs/>
            <w:sz w:val="20"/>
          </w:rPr>
          <w:t>https://www.legislation.vic.gov.au</w:t>
        </w:r>
      </w:hyperlink>
      <w:r w:rsidRPr="00653195">
        <w:rPr>
          <w:rFonts w:ascii="Arial" w:hAnsi="Arial" w:cs="Arial"/>
          <w:bCs/>
          <w:sz w:val="20"/>
        </w:rPr>
        <w:t>:</w:t>
      </w:r>
    </w:p>
    <w:p w14:paraId="6C36E28F"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lastRenderedPageBreak/>
        <w:t>For all cases</w:t>
      </w:r>
      <w:r w:rsidRPr="00653195">
        <w:rPr>
          <w:rFonts w:ascii="Arial" w:hAnsi="Arial" w:cs="Arial"/>
          <w:bCs/>
          <w:sz w:val="20"/>
        </w:rPr>
        <w:t xml:space="preserve">: </w:t>
      </w:r>
      <w:r w:rsidRPr="00653195">
        <w:rPr>
          <w:rFonts w:ascii="Arial" w:hAnsi="Arial" w:cs="Arial"/>
          <w:bCs/>
          <w:i/>
          <w:iCs/>
          <w:sz w:val="20"/>
        </w:rPr>
        <w:t>Children, Youth and Families Act 2005</w:t>
      </w:r>
      <w:r w:rsidRPr="00653195">
        <w:rPr>
          <w:rFonts w:ascii="Arial" w:hAnsi="Arial" w:cs="Arial"/>
          <w:bCs/>
          <w:sz w:val="20"/>
        </w:rPr>
        <w:t>.</w:t>
      </w:r>
    </w:p>
    <w:p w14:paraId="109E6F0E" w14:textId="77777777" w:rsidR="00653195" w:rsidRPr="00653195" w:rsidRDefault="00653195">
      <w:pPr>
        <w:pStyle w:val="ListParagraph"/>
        <w:numPr>
          <w:ilvl w:val="0"/>
          <w:numId w:val="76"/>
        </w:numPr>
        <w:ind w:left="1077" w:hanging="357"/>
        <w:contextualSpacing/>
        <w:jc w:val="both"/>
        <w:rPr>
          <w:rFonts w:ascii="Arial" w:hAnsi="Arial" w:cs="Arial"/>
          <w:bCs/>
          <w:sz w:val="20"/>
        </w:rPr>
      </w:pPr>
      <w:r w:rsidRPr="00653195">
        <w:rPr>
          <w:rFonts w:ascii="Arial" w:hAnsi="Arial" w:cs="Arial"/>
          <w:b/>
          <w:sz w:val="20"/>
        </w:rPr>
        <w:t>For intervention order cases</w:t>
      </w:r>
      <w:r w:rsidRPr="00653195">
        <w:rPr>
          <w:rFonts w:ascii="Arial" w:hAnsi="Arial" w:cs="Arial"/>
          <w:bCs/>
          <w:sz w:val="20"/>
        </w:rPr>
        <w:t xml:space="preserve">: </w:t>
      </w:r>
      <w:r w:rsidRPr="00653195">
        <w:rPr>
          <w:rFonts w:ascii="Arial" w:hAnsi="Arial" w:cs="Arial"/>
          <w:bCs/>
          <w:i/>
          <w:iCs/>
          <w:sz w:val="20"/>
        </w:rPr>
        <w:t>Family Violence Protection Act 2008</w:t>
      </w:r>
      <w:r w:rsidRPr="00653195">
        <w:rPr>
          <w:rFonts w:ascii="Arial" w:hAnsi="Arial" w:cs="Arial"/>
          <w:bCs/>
          <w:sz w:val="20"/>
        </w:rPr>
        <w:t xml:space="preserve"> or </w:t>
      </w:r>
      <w:r w:rsidRPr="00653195">
        <w:rPr>
          <w:rFonts w:ascii="Arial" w:hAnsi="Arial" w:cs="Arial"/>
          <w:bCs/>
          <w:i/>
          <w:iCs/>
          <w:sz w:val="20"/>
        </w:rPr>
        <w:t>Personal Safety Intervention Orders Act 2010</w:t>
      </w:r>
      <w:r w:rsidRPr="00653195">
        <w:rPr>
          <w:rFonts w:ascii="Arial" w:hAnsi="Arial" w:cs="Arial"/>
          <w:bCs/>
          <w:sz w:val="20"/>
        </w:rPr>
        <w:t>.</w:t>
      </w:r>
    </w:p>
    <w:p w14:paraId="29171D2A" w14:textId="77777777" w:rsidR="00653195" w:rsidRPr="00653195" w:rsidRDefault="00653195">
      <w:pPr>
        <w:pStyle w:val="ListParagraph"/>
        <w:numPr>
          <w:ilvl w:val="0"/>
          <w:numId w:val="77"/>
        </w:numPr>
        <w:ind w:left="714" w:hanging="357"/>
        <w:contextualSpacing/>
        <w:jc w:val="both"/>
        <w:rPr>
          <w:rFonts w:ascii="Arial" w:hAnsi="Arial" w:cs="Arial"/>
          <w:bCs/>
          <w:sz w:val="20"/>
        </w:rPr>
      </w:pPr>
      <w:r w:rsidRPr="00653195">
        <w:rPr>
          <w:rFonts w:ascii="Arial" w:hAnsi="Arial" w:cs="Arial"/>
          <w:bCs/>
          <w:sz w:val="20"/>
        </w:rPr>
        <w:t xml:space="preserve">Information about the Children’s Court and about the law (including case law deriving from other cases) can be downloaded from </w:t>
      </w:r>
      <w:hyperlink r:id="rId35" w:history="1">
        <w:r w:rsidRPr="00CE09D6">
          <w:rPr>
            <w:rStyle w:val="Hyperlink"/>
            <w:rFonts w:ascii="Arial" w:hAnsi="Arial" w:cs="Arial"/>
            <w:bCs/>
            <w:sz w:val="20"/>
          </w:rPr>
          <w:t>https://www.childrenscourt.vic.gov.au</w:t>
        </w:r>
      </w:hyperlink>
      <w:r w:rsidRPr="00CE09D6">
        <w:rPr>
          <w:rFonts w:ascii="Arial" w:hAnsi="Arial" w:cs="Arial"/>
          <w:bCs/>
          <w:sz w:val="20"/>
        </w:rPr>
        <w:t>.</w:t>
      </w:r>
    </w:p>
    <w:p w14:paraId="67D26206" w14:textId="77777777" w:rsidR="00AA053F" w:rsidRPr="00AA20A6" w:rsidRDefault="00AA053F" w:rsidP="00AA053F">
      <w:pPr>
        <w:jc w:val="both"/>
        <w:rPr>
          <w:rFonts w:ascii="Arial" w:hAnsi="Arial" w:cs="Arial"/>
          <w:sz w:val="20"/>
          <w:szCs w:val="20"/>
        </w:rPr>
      </w:pPr>
    </w:p>
    <w:p w14:paraId="0D077320" w14:textId="2435744D" w:rsidR="00AA053F" w:rsidRPr="00653195" w:rsidRDefault="00AA053F">
      <w:pPr>
        <w:pStyle w:val="ListParagraph"/>
        <w:numPr>
          <w:ilvl w:val="0"/>
          <w:numId w:val="75"/>
        </w:numPr>
        <w:ind w:left="357" w:hanging="357"/>
        <w:contextualSpacing/>
        <w:jc w:val="both"/>
        <w:rPr>
          <w:rFonts w:ascii="Arial" w:hAnsi="Arial" w:cs="Arial"/>
          <w:b/>
          <w:bCs/>
          <w:sz w:val="20"/>
          <w:u w:val="single"/>
        </w:rPr>
      </w:pPr>
      <w:r>
        <w:rPr>
          <w:rFonts w:ascii="Arial" w:hAnsi="Arial" w:cs="Arial"/>
          <w:b/>
          <w:bCs/>
          <w:sz w:val="20"/>
          <w:u w:val="single"/>
        </w:rPr>
        <w:t>ADDITIONAL INFORMATION</w:t>
      </w:r>
      <w:r w:rsidRPr="00653195">
        <w:rPr>
          <w:rFonts w:ascii="Arial" w:hAnsi="Arial" w:cs="Arial"/>
          <w:sz w:val="20"/>
        </w:rPr>
        <w:t>:</w:t>
      </w:r>
    </w:p>
    <w:p w14:paraId="71D83829" w14:textId="43DF8B6F" w:rsidR="00AA053F" w:rsidRPr="00CE09D6" w:rsidRDefault="00AA053F" w:rsidP="00AA053F">
      <w:pPr>
        <w:ind w:left="357"/>
        <w:contextualSpacing/>
        <w:jc w:val="both"/>
        <w:rPr>
          <w:rFonts w:ascii="Arial" w:hAnsi="Arial" w:cs="Arial"/>
          <w:bCs/>
          <w:sz w:val="20"/>
          <w:szCs w:val="20"/>
        </w:rPr>
      </w:pPr>
      <w:r w:rsidRPr="00CE09D6">
        <w:rPr>
          <w:rFonts w:ascii="Arial" w:hAnsi="Arial" w:cs="Arial"/>
          <w:bCs/>
          <w:sz w:val="20"/>
          <w:szCs w:val="20"/>
        </w:rPr>
        <w:t>See “</w:t>
      </w:r>
      <w:r w:rsidRPr="00CE09D6">
        <w:rPr>
          <w:rFonts w:ascii="Arial" w:hAnsi="Arial" w:cs="Arial"/>
          <w:b/>
          <w:sz w:val="20"/>
          <w:szCs w:val="20"/>
        </w:rPr>
        <w:t>Information for parents and primary carers with a child protection court case</w:t>
      </w:r>
      <w:r w:rsidRPr="00CE09D6">
        <w:rPr>
          <w:rFonts w:ascii="Arial" w:hAnsi="Arial" w:cs="Arial"/>
          <w:bCs/>
          <w:sz w:val="20"/>
          <w:szCs w:val="20"/>
        </w:rPr>
        <w:t xml:space="preserve">” which can be downloaded from </w:t>
      </w:r>
      <w:hyperlink r:id="rId36" w:tgtFrame="_blank" w:history="1">
        <w:r w:rsidR="000A4830" w:rsidRPr="00CE09D6">
          <w:rPr>
            <w:rStyle w:val="Hyperlink"/>
            <w:rFonts w:ascii="Arial" w:hAnsi="Arial" w:cs="Arial"/>
            <w:sz w:val="20"/>
            <w:szCs w:val="20"/>
            <w:shd w:val="clear" w:color="auto" w:fill="FFFFFF"/>
          </w:rPr>
          <w:t>https://www.legalaid.vic.gov.au/sites/default/files/2022-02/vla-resource-information-parents-primary-carers-child-protection-court-case.docx</w:t>
        </w:r>
      </w:hyperlink>
      <w:r w:rsidR="000A4830" w:rsidRPr="00CE09D6">
        <w:rPr>
          <w:rFonts w:ascii="Arial" w:hAnsi="Arial" w:cs="Arial"/>
          <w:sz w:val="20"/>
          <w:szCs w:val="20"/>
        </w:rPr>
        <w:t>.</w:t>
      </w:r>
    </w:p>
    <w:p w14:paraId="290C30C9" w14:textId="7ACD4C67" w:rsidR="004B0BBE" w:rsidRDefault="004B0BBE" w:rsidP="004B0BBE">
      <w:pPr>
        <w:jc w:val="both"/>
        <w:rPr>
          <w:rFonts w:ascii="Arial" w:hAnsi="Arial" w:cs="Arial"/>
          <w:sz w:val="20"/>
        </w:rPr>
      </w:pPr>
      <w:bookmarkStart w:id="1433" w:name="_4.9.7_Throughput_of"/>
      <w:bookmarkEnd w:id="1432"/>
      <w:bookmarkEnd w:id="1433"/>
    </w:p>
    <w:p w14:paraId="72F16FFD" w14:textId="3F85DAC8" w:rsidR="00DA6E39" w:rsidRPr="00785E1A" w:rsidRDefault="00527793" w:rsidP="001F6450">
      <w:pPr>
        <w:pStyle w:val="Heading3"/>
        <w:keepNext/>
        <w:keepLines/>
        <w:spacing w:after="100" w:line="240" w:lineRule="auto"/>
        <w:rPr>
          <w:rFonts w:ascii="Arial" w:hAnsi="Arial" w:cs="Arial"/>
          <w:color w:val="000000"/>
          <w:sz w:val="20"/>
        </w:rPr>
      </w:pPr>
      <w:bookmarkStart w:id="1434" w:name="_4.9.7_Throughput_of_2"/>
      <w:bookmarkEnd w:id="1434"/>
      <w:r>
        <w:rPr>
          <w:rFonts w:ascii="Arial" w:hAnsi="Arial" w:cs="Arial"/>
          <w:b/>
          <w:bCs/>
          <w:sz w:val="20"/>
        </w:rPr>
        <w:t>4.9.7</w:t>
      </w:r>
      <w:r>
        <w:rPr>
          <w:rFonts w:ascii="Arial" w:hAnsi="Arial" w:cs="Arial"/>
          <w:b/>
          <w:bCs/>
          <w:sz w:val="20"/>
        </w:rPr>
        <w:tab/>
      </w:r>
      <w:r w:rsidR="005C410C">
        <w:rPr>
          <w:rFonts w:ascii="Arial" w:hAnsi="Arial" w:cs="Arial"/>
          <w:b/>
          <w:bCs/>
          <w:sz w:val="20"/>
        </w:rPr>
        <w:t>Throughput of applications</w:t>
      </w:r>
      <w:r w:rsidR="00E56A47">
        <w:rPr>
          <w:rFonts w:ascii="Arial" w:hAnsi="Arial" w:cs="Arial"/>
          <w:b/>
          <w:bCs/>
          <w:sz w:val="20"/>
        </w:rPr>
        <w:t xml:space="preserve"> in the </w:t>
      </w:r>
      <w:r w:rsidR="001F6450">
        <w:rPr>
          <w:rFonts w:ascii="Arial" w:hAnsi="Arial" w:cs="Arial"/>
          <w:b/>
          <w:bCs/>
          <w:sz w:val="20"/>
        </w:rPr>
        <w:t>Family Division child protection jurisdiction</w:t>
      </w:r>
    </w:p>
    <w:p w14:paraId="1D856055" w14:textId="3647229E" w:rsidR="00DB6142" w:rsidRDefault="001B734E" w:rsidP="00DB6142">
      <w:pPr>
        <w:jc w:val="both"/>
        <w:rPr>
          <w:rFonts w:ascii="Arial" w:hAnsi="Arial" w:cs="Arial"/>
          <w:sz w:val="20"/>
          <w:szCs w:val="20"/>
        </w:rPr>
      </w:pPr>
      <w:r>
        <w:rPr>
          <w:rFonts w:ascii="Arial" w:hAnsi="Arial" w:cs="Arial"/>
          <w:sz w:val="20"/>
          <w:szCs w:val="20"/>
        </w:rPr>
        <w:t xml:space="preserve">As stated in </w:t>
      </w:r>
      <w:r w:rsidR="001966B1" w:rsidRPr="00A40A28">
        <w:rPr>
          <w:rFonts w:ascii="Arial" w:hAnsi="Arial" w:cs="Arial"/>
          <w:b/>
          <w:bCs/>
          <w:sz w:val="20"/>
          <w:szCs w:val="20"/>
          <w:shd w:val="clear" w:color="auto" w:fill="C5E0B3"/>
        </w:rPr>
        <w:t xml:space="preserve">Part </w:t>
      </w:r>
      <w:r w:rsidRPr="00A40A28">
        <w:rPr>
          <w:rFonts w:ascii="Arial" w:hAnsi="Arial" w:cs="Arial"/>
          <w:b/>
          <w:bCs/>
          <w:sz w:val="20"/>
          <w:szCs w:val="20"/>
          <w:shd w:val="clear" w:color="auto" w:fill="C5E0B3"/>
        </w:rPr>
        <w:t>4.2</w:t>
      </w:r>
      <w:r>
        <w:rPr>
          <w:rFonts w:ascii="Arial" w:hAnsi="Arial" w:cs="Arial"/>
          <w:sz w:val="20"/>
          <w:szCs w:val="20"/>
        </w:rPr>
        <w:t xml:space="preserve"> above, t</w:t>
      </w:r>
      <w:r w:rsidRPr="002B758B">
        <w:rPr>
          <w:rFonts w:ascii="Arial" w:hAnsi="Arial" w:cs="Arial"/>
          <w:sz w:val="20"/>
          <w:szCs w:val="20"/>
        </w:rPr>
        <w:t xml:space="preserve">he Family Division of the Children’s Court becomes involved in the life of a child when </w:t>
      </w:r>
      <w:r w:rsidR="00DB6142">
        <w:rPr>
          <w:rFonts w:ascii="Arial" w:hAnsi="Arial" w:cs="Arial"/>
          <w:sz w:val="20"/>
          <w:szCs w:val="20"/>
        </w:rPr>
        <w:t>a protective intervener</w:t>
      </w:r>
      <w:r w:rsidRPr="002B758B">
        <w:rPr>
          <w:rFonts w:ascii="Arial" w:hAnsi="Arial" w:cs="Arial"/>
          <w:sz w:val="20"/>
          <w:szCs w:val="20"/>
        </w:rPr>
        <w:t xml:space="preserve"> invoke</w:t>
      </w:r>
      <w:r w:rsidR="005C6C5C">
        <w:rPr>
          <w:rFonts w:ascii="Arial" w:hAnsi="Arial" w:cs="Arial"/>
          <w:sz w:val="20"/>
          <w:szCs w:val="20"/>
        </w:rPr>
        <w:t>s</w:t>
      </w:r>
      <w:r w:rsidRPr="002B758B">
        <w:rPr>
          <w:rFonts w:ascii="Arial" w:hAnsi="Arial" w:cs="Arial"/>
          <w:sz w:val="20"/>
          <w:szCs w:val="20"/>
        </w:rPr>
        <w:t xml:space="preserve"> the Court’s jurisdiction. </w:t>
      </w:r>
      <w:r w:rsidR="009A1D1C">
        <w:rPr>
          <w:rFonts w:ascii="Arial" w:hAnsi="Arial" w:cs="Arial"/>
          <w:sz w:val="20"/>
          <w:szCs w:val="20"/>
        </w:rPr>
        <w:t xml:space="preserve">The intervener </w:t>
      </w:r>
      <w:r w:rsidRPr="002B758B">
        <w:rPr>
          <w:rFonts w:ascii="Arial" w:hAnsi="Arial" w:cs="Arial"/>
          <w:sz w:val="20"/>
          <w:szCs w:val="20"/>
        </w:rPr>
        <w:t xml:space="preserve">may do this </w:t>
      </w:r>
      <w:r w:rsidR="00DB6142">
        <w:rPr>
          <w:rFonts w:ascii="Arial" w:hAnsi="Arial" w:cs="Arial"/>
          <w:sz w:val="20"/>
          <w:szCs w:val="20"/>
        </w:rPr>
        <w:t>in one of two ways-</w:t>
      </w:r>
    </w:p>
    <w:p w14:paraId="2EC4A1FF" w14:textId="13AC4A8B" w:rsidR="00DB6142" w:rsidRPr="00DB6142" w:rsidRDefault="00DB6142">
      <w:pPr>
        <w:pStyle w:val="ListParagraph"/>
        <w:numPr>
          <w:ilvl w:val="0"/>
          <w:numId w:val="89"/>
        </w:numPr>
        <w:ind w:left="357" w:hanging="357"/>
        <w:jc w:val="both"/>
        <w:rPr>
          <w:rFonts w:ascii="Arial" w:hAnsi="Arial" w:cs="Arial"/>
          <w:sz w:val="20"/>
        </w:rPr>
      </w:pPr>
      <w:r w:rsidRPr="00DB6142">
        <w:rPr>
          <w:rFonts w:ascii="Arial" w:hAnsi="Arial" w:cs="Arial"/>
          <w:sz w:val="20"/>
        </w:rPr>
        <w:t xml:space="preserve">by </w:t>
      </w:r>
      <w:r w:rsidR="00445078">
        <w:rPr>
          <w:rFonts w:ascii="Arial" w:hAnsi="Arial" w:cs="Arial"/>
          <w:sz w:val="20"/>
        </w:rPr>
        <w:t>fil</w:t>
      </w:r>
      <w:r w:rsidRPr="00DB6142">
        <w:rPr>
          <w:rFonts w:ascii="Arial" w:hAnsi="Arial" w:cs="Arial"/>
          <w:sz w:val="20"/>
        </w:rPr>
        <w:t xml:space="preserve">ing an application which involves </w:t>
      </w:r>
      <w:r>
        <w:rPr>
          <w:rFonts w:ascii="Arial" w:hAnsi="Arial" w:cs="Arial"/>
          <w:sz w:val="20"/>
        </w:rPr>
        <w:t>a</w:t>
      </w:r>
      <w:r w:rsidRPr="00DB6142">
        <w:rPr>
          <w:rFonts w:ascii="Arial" w:hAnsi="Arial" w:cs="Arial"/>
          <w:sz w:val="20"/>
        </w:rPr>
        <w:t xml:space="preserve"> notice of a future hearing</w:t>
      </w:r>
      <w:r>
        <w:rPr>
          <w:rFonts w:ascii="Arial" w:hAnsi="Arial" w:cs="Arial"/>
          <w:sz w:val="20"/>
        </w:rPr>
        <w:t>; or</w:t>
      </w:r>
    </w:p>
    <w:p w14:paraId="699FAB96" w14:textId="2F03013A" w:rsidR="00DB6142" w:rsidRDefault="00DB6142">
      <w:pPr>
        <w:pStyle w:val="ListParagraph"/>
        <w:numPr>
          <w:ilvl w:val="0"/>
          <w:numId w:val="89"/>
        </w:numPr>
        <w:ind w:left="357" w:hanging="357"/>
        <w:jc w:val="both"/>
        <w:rPr>
          <w:rFonts w:ascii="Arial" w:hAnsi="Arial" w:cs="Arial"/>
          <w:sz w:val="20"/>
        </w:rPr>
      </w:pPr>
      <w:r w:rsidRPr="002B758B">
        <w:rPr>
          <w:rFonts w:ascii="Arial" w:hAnsi="Arial" w:cs="Arial"/>
          <w:sz w:val="20"/>
        </w:rPr>
        <w:t xml:space="preserve">by </w:t>
      </w:r>
      <w:r>
        <w:rPr>
          <w:rFonts w:ascii="Arial" w:hAnsi="Arial" w:cs="Arial"/>
          <w:sz w:val="20"/>
        </w:rPr>
        <w:t xml:space="preserve">placing the child into emergency care </w:t>
      </w:r>
      <w:r w:rsidRPr="002B758B">
        <w:rPr>
          <w:rFonts w:ascii="Arial" w:hAnsi="Arial" w:cs="Arial"/>
          <w:sz w:val="20"/>
        </w:rPr>
        <w:t xml:space="preserve">and </w:t>
      </w:r>
      <w:r w:rsidR="00445078">
        <w:rPr>
          <w:rFonts w:ascii="Arial" w:hAnsi="Arial" w:cs="Arial"/>
          <w:sz w:val="20"/>
        </w:rPr>
        <w:t>fil</w:t>
      </w:r>
      <w:r>
        <w:rPr>
          <w:rFonts w:ascii="Arial" w:hAnsi="Arial" w:cs="Arial"/>
          <w:sz w:val="20"/>
        </w:rPr>
        <w:t>ing an application s</w:t>
      </w:r>
      <w:r w:rsidRPr="002B758B">
        <w:rPr>
          <w:rFonts w:ascii="Arial" w:hAnsi="Arial" w:cs="Arial"/>
          <w:sz w:val="20"/>
        </w:rPr>
        <w:t>eek</w:t>
      </w:r>
      <w:r>
        <w:rPr>
          <w:rFonts w:ascii="Arial" w:hAnsi="Arial" w:cs="Arial"/>
          <w:sz w:val="20"/>
        </w:rPr>
        <w:t>ing</w:t>
      </w:r>
      <w:r w:rsidRPr="002B758B">
        <w:rPr>
          <w:rFonts w:ascii="Arial" w:hAnsi="Arial" w:cs="Arial"/>
          <w:sz w:val="20"/>
        </w:rPr>
        <w:t xml:space="preserve"> immediate orders from the Court in relation to the child’s placement.</w:t>
      </w:r>
    </w:p>
    <w:p w14:paraId="7F6E0647" w14:textId="0E773EB8" w:rsidR="00DB6142" w:rsidRDefault="00DB6142" w:rsidP="00DB6142">
      <w:pPr>
        <w:jc w:val="both"/>
        <w:rPr>
          <w:rFonts w:ascii="Arial" w:hAnsi="Arial" w:cs="Arial"/>
          <w:sz w:val="20"/>
          <w:szCs w:val="20"/>
        </w:rPr>
      </w:pPr>
      <w:r>
        <w:rPr>
          <w:rFonts w:ascii="Arial" w:hAnsi="Arial" w:cs="Arial"/>
          <w:sz w:val="20"/>
          <w:szCs w:val="20"/>
        </w:rPr>
        <w:t xml:space="preserve">Details of the possible types of application are set out in </w:t>
      </w:r>
      <w:r w:rsidRPr="00A40A28">
        <w:rPr>
          <w:rFonts w:ascii="Arial" w:hAnsi="Arial" w:cs="Arial"/>
          <w:b/>
          <w:bCs/>
          <w:sz w:val="20"/>
          <w:szCs w:val="20"/>
          <w:shd w:val="clear" w:color="auto" w:fill="C5E0B3"/>
        </w:rPr>
        <w:t>Part 5.3</w:t>
      </w:r>
      <w:r>
        <w:rPr>
          <w:rFonts w:ascii="Arial" w:hAnsi="Arial" w:cs="Arial"/>
          <w:sz w:val="20"/>
          <w:szCs w:val="20"/>
        </w:rPr>
        <w:t xml:space="preserve"> of these Research Materials.</w:t>
      </w:r>
    </w:p>
    <w:p w14:paraId="23CEFDD5" w14:textId="77777777" w:rsidR="00DB6142" w:rsidRDefault="00DB6142" w:rsidP="00DB6142">
      <w:pPr>
        <w:jc w:val="both"/>
        <w:rPr>
          <w:rFonts w:ascii="Arial" w:hAnsi="Arial" w:cs="Arial"/>
          <w:sz w:val="20"/>
          <w:szCs w:val="20"/>
        </w:rPr>
      </w:pPr>
    </w:p>
    <w:p w14:paraId="449DE855" w14:textId="4FF9B5F2" w:rsidR="00DB6142" w:rsidRDefault="00E56A47" w:rsidP="00445078">
      <w:pPr>
        <w:jc w:val="both"/>
        <w:rPr>
          <w:rFonts w:ascii="Arial" w:hAnsi="Arial" w:cs="Arial"/>
          <w:sz w:val="20"/>
        </w:rPr>
      </w:pPr>
      <w:r w:rsidRPr="00E56A47">
        <w:rPr>
          <w:rFonts w:ascii="Arial" w:hAnsi="Arial" w:cs="Arial"/>
          <w:sz w:val="20"/>
        </w:rPr>
        <w:t xml:space="preserve">In the </w:t>
      </w:r>
      <w:r>
        <w:rPr>
          <w:rFonts w:ascii="Arial" w:hAnsi="Arial" w:cs="Arial"/>
          <w:sz w:val="20"/>
        </w:rPr>
        <w:t xml:space="preserve">period from </w:t>
      </w:r>
      <w:r w:rsidRPr="000E6292">
        <w:rPr>
          <w:rFonts w:ascii="Arial" w:hAnsi="Arial" w:cs="Arial"/>
          <w:b/>
          <w:bCs/>
          <w:sz w:val="20"/>
        </w:rPr>
        <w:t>01/06/2019 to 31/05/2021</w:t>
      </w:r>
      <w:r>
        <w:rPr>
          <w:rFonts w:ascii="Arial" w:hAnsi="Arial" w:cs="Arial"/>
          <w:sz w:val="20"/>
        </w:rPr>
        <w:t xml:space="preserve"> a total of </w:t>
      </w:r>
      <w:r w:rsidRPr="001F6450">
        <w:rPr>
          <w:rFonts w:ascii="Arial" w:hAnsi="Arial" w:cs="Arial"/>
          <w:b/>
          <w:bCs/>
          <w:sz w:val="20"/>
        </w:rPr>
        <w:t>34,846</w:t>
      </w:r>
      <w:r>
        <w:rPr>
          <w:rFonts w:ascii="Arial" w:hAnsi="Arial" w:cs="Arial"/>
          <w:sz w:val="20"/>
        </w:rPr>
        <w:t xml:space="preserve"> applications were initiated </w:t>
      </w:r>
      <w:r w:rsidR="001B734E">
        <w:rPr>
          <w:rFonts w:ascii="Arial" w:hAnsi="Arial" w:cs="Arial"/>
          <w:sz w:val="20"/>
        </w:rPr>
        <w:t xml:space="preserve">statewide </w:t>
      </w:r>
      <w:r>
        <w:rPr>
          <w:rFonts w:ascii="Arial" w:hAnsi="Arial" w:cs="Arial"/>
          <w:sz w:val="20"/>
        </w:rPr>
        <w:t xml:space="preserve">in the </w:t>
      </w:r>
      <w:r w:rsidR="001B734E">
        <w:rPr>
          <w:rFonts w:ascii="Arial" w:hAnsi="Arial" w:cs="Arial"/>
          <w:sz w:val="20"/>
        </w:rPr>
        <w:t>child protection [CP] jurisdiction of the Family Division.  Of these</w:t>
      </w:r>
      <w:r w:rsidR="000E6292">
        <w:rPr>
          <w:rFonts w:ascii="Arial" w:hAnsi="Arial" w:cs="Arial"/>
          <w:sz w:val="20"/>
        </w:rPr>
        <w:t>,</w:t>
      </w:r>
      <w:r w:rsidR="001B734E">
        <w:rPr>
          <w:rFonts w:ascii="Arial" w:hAnsi="Arial" w:cs="Arial"/>
          <w:sz w:val="20"/>
        </w:rPr>
        <w:t xml:space="preserve"> </w:t>
      </w:r>
      <w:r w:rsidR="001B734E" w:rsidRPr="00DB6142">
        <w:rPr>
          <w:rFonts w:ascii="Arial" w:hAnsi="Arial" w:cs="Arial"/>
          <w:b/>
          <w:bCs/>
          <w:sz w:val="20"/>
        </w:rPr>
        <w:t>16,241</w:t>
      </w:r>
      <w:r w:rsidR="001B734E">
        <w:rPr>
          <w:rFonts w:ascii="Arial" w:hAnsi="Arial" w:cs="Arial"/>
          <w:sz w:val="20"/>
        </w:rPr>
        <w:t xml:space="preserve"> applications [46.6%] were initiated by placing the child in emergency care and </w:t>
      </w:r>
      <w:r w:rsidR="001B734E" w:rsidRPr="00DB6142">
        <w:rPr>
          <w:rFonts w:ascii="Arial" w:hAnsi="Arial" w:cs="Arial"/>
          <w:b/>
          <w:bCs/>
          <w:sz w:val="20"/>
        </w:rPr>
        <w:t>18,605</w:t>
      </w:r>
      <w:r w:rsidR="001B734E">
        <w:rPr>
          <w:rFonts w:ascii="Arial" w:hAnsi="Arial" w:cs="Arial"/>
          <w:sz w:val="20"/>
        </w:rPr>
        <w:t xml:space="preserve"> [53.4%] were initiated by notice.</w:t>
      </w:r>
      <w:r w:rsidR="00445078">
        <w:rPr>
          <w:rFonts w:ascii="Arial" w:hAnsi="Arial" w:cs="Arial"/>
          <w:sz w:val="20"/>
        </w:rPr>
        <w:t xml:space="preserve">  All of the emergency care applications were filed by a protective intervener.  The majority of the applications by notice were also filed by a protective intervener although some were filed by other parties.</w:t>
      </w:r>
    </w:p>
    <w:p w14:paraId="79160BBA" w14:textId="77777777" w:rsidR="00445078" w:rsidRDefault="00445078" w:rsidP="00445078">
      <w:pPr>
        <w:jc w:val="both"/>
        <w:rPr>
          <w:rFonts w:ascii="Arial" w:hAnsi="Arial" w:cs="Arial"/>
          <w:sz w:val="20"/>
        </w:rPr>
      </w:pPr>
    </w:p>
    <w:p w14:paraId="51BBE7B4" w14:textId="25FF0CE1" w:rsidR="001B734E" w:rsidRDefault="001B734E" w:rsidP="00DB6142">
      <w:pPr>
        <w:spacing w:after="120"/>
        <w:jc w:val="both"/>
        <w:rPr>
          <w:rFonts w:ascii="Arial" w:hAnsi="Arial" w:cs="Arial"/>
          <w:sz w:val="20"/>
        </w:rPr>
      </w:pPr>
      <w:r>
        <w:rPr>
          <w:rFonts w:ascii="Arial" w:hAnsi="Arial" w:cs="Arial"/>
          <w:sz w:val="20"/>
        </w:rPr>
        <w:t xml:space="preserve">In the same period a total of </w:t>
      </w:r>
      <w:r w:rsidRPr="001F6450">
        <w:rPr>
          <w:rFonts w:ascii="Arial" w:hAnsi="Arial" w:cs="Arial"/>
          <w:b/>
          <w:bCs/>
          <w:sz w:val="20"/>
        </w:rPr>
        <w:t>34,</w:t>
      </w:r>
      <w:r w:rsidR="001F6450" w:rsidRPr="001F6450">
        <w:rPr>
          <w:rFonts w:ascii="Arial" w:hAnsi="Arial" w:cs="Arial"/>
          <w:b/>
          <w:bCs/>
          <w:sz w:val="20"/>
        </w:rPr>
        <w:t>495</w:t>
      </w:r>
      <w:r>
        <w:rPr>
          <w:rFonts w:ascii="Arial" w:hAnsi="Arial" w:cs="Arial"/>
          <w:sz w:val="20"/>
        </w:rPr>
        <w:t xml:space="preserve"> applications were finalised.  It is noteworthy that in this 2</w:t>
      </w:r>
      <w:r w:rsidR="002F63E2">
        <w:rPr>
          <w:rFonts w:ascii="Arial" w:hAnsi="Arial" w:cs="Arial"/>
          <w:sz w:val="20"/>
        </w:rPr>
        <w:noBreakHyphen/>
      </w:r>
      <w:r>
        <w:rPr>
          <w:rFonts w:ascii="Arial" w:hAnsi="Arial" w:cs="Arial"/>
          <w:sz w:val="20"/>
        </w:rPr>
        <w:t>year period, the greater part of which was affected by the COVID</w:t>
      </w:r>
      <w:r>
        <w:rPr>
          <w:rFonts w:ascii="Arial" w:hAnsi="Arial" w:cs="Arial"/>
          <w:sz w:val="20"/>
        </w:rPr>
        <w:noBreakHyphen/>
        <w:t xml:space="preserve">19 pandemic, the finalisation figure for Child Protection cases in the Family Division was 99% of the initiation figure.  The </w:t>
      </w:r>
      <w:r w:rsidRPr="00285A4F">
        <w:rPr>
          <w:rFonts w:ascii="Arial" w:hAnsi="Arial" w:cs="Arial"/>
          <w:sz w:val="20"/>
        </w:rPr>
        <w:t xml:space="preserve">chart below shows the </w:t>
      </w:r>
      <w:r>
        <w:rPr>
          <w:rFonts w:ascii="Arial" w:hAnsi="Arial" w:cs="Arial"/>
          <w:sz w:val="20"/>
        </w:rPr>
        <w:t>time lapse</w:t>
      </w:r>
      <w:r w:rsidRPr="00285A4F">
        <w:rPr>
          <w:rFonts w:ascii="Arial" w:hAnsi="Arial" w:cs="Arial"/>
          <w:sz w:val="20"/>
        </w:rPr>
        <w:t xml:space="preserve"> between the initiation and the </w:t>
      </w:r>
      <w:r>
        <w:rPr>
          <w:rFonts w:ascii="Arial" w:hAnsi="Arial" w:cs="Arial"/>
          <w:sz w:val="20"/>
        </w:rPr>
        <w:t>finali</w:t>
      </w:r>
      <w:r w:rsidR="000E6292">
        <w:rPr>
          <w:rFonts w:ascii="Arial" w:hAnsi="Arial" w:cs="Arial"/>
          <w:sz w:val="20"/>
        </w:rPr>
        <w:t>s</w:t>
      </w:r>
      <w:r>
        <w:rPr>
          <w:rFonts w:ascii="Arial" w:hAnsi="Arial" w:cs="Arial"/>
          <w:sz w:val="20"/>
        </w:rPr>
        <w:t xml:space="preserve">ation of </w:t>
      </w:r>
      <w:r w:rsidR="000E6292" w:rsidRPr="00AD3C6C">
        <w:rPr>
          <w:rFonts w:ascii="Arial" w:hAnsi="Arial" w:cs="Arial"/>
          <w:sz w:val="20"/>
        </w:rPr>
        <w:t>32,346</w:t>
      </w:r>
      <w:r w:rsidR="000E6292">
        <w:rPr>
          <w:rFonts w:ascii="Arial" w:hAnsi="Arial" w:cs="Arial"/>
          <w:sz w:val="20"/>
        </w:rPr>
        <w:t xml:space="preserve"> of </w:t>
      </w:r>
      <w:r>
        <w:rPr>
          <w:rFonts w:ascii="Arial" w:hAnsi="Arial" w:cs="Arial"/>
          <w:sz w:val="20"/>
        </w:rPr>
        <w:t>the</w:t>
      </w:r>
      <w:r w:rsidR="001F6450">
        <w:rPr>
          <w:rFonts w:ascii="Arial" w:hAnsi="Arial" w:cs="Arial"/>
          <w:sz w:val="20"/>
        </w:rPr>
        <w:t>se</w:t>
      </w:r>
      <w:r>
        <w:rPr>
          <w:rFonts w:ascii="Arial" w:hAnsi="Arial" w:cs="Arial"/>
          <w:sz w:val="20"/>
        </w:rPr>
        <w:t xml:space="preserve"> </w:t>
      </w:r>
      <w:r w:rsidRPr="000E6292">
        <w:rPr>
          <w:rFonts w:ascii="Arial" w:hAnsi="Arial" w:cs="Arial"/>
          <w:sz w:val="20"/>
        </w:rPr>
        <w:t>34,495</w:t>
      </w:r>
      <w:r>
        <w:rPr>
          <w:rFonts w:ascii="Arial" w:hAnsi="Arial" w:cs="Arial"/>
          <w:sz w:val="20"/>
        </w:rPr>
        <w:t xml:space="preserve"> </w:t>
      </w:r>
      <w:r w:rsidR="001F6450">
        <w:rPr>
          <w:rFonts w:ascii="Arial" w:hAnsi="Arial" w:cs="Arial"/>
          <w:sz w:val="20"/>
        </w:rPr>
        <w:t>applications</w:t>
      </w:r>
      <w:r>
        <w:rPr>
          <w:rFonts w:ascii="Arial" w:hAnsi="Arial" w:cs="Arial"/>
          <w:sz w:val="20"/>
        </w:rPr>
        <w:t>.</w:t>
      </w:r>
    </w:p>
    <w:tbl>
      <w:tblPr>
        <w:tblStyle w:val="TableGrid"/>
        <w:tblW w:w="8844" w:type="dxa"/>
        <w:tblInd w:w="-170" w:type="dxa"/>
        <w:tblLook w:val="04A0" w:firstRow="1" w:lastRow="0" w:firstColumn="1" w:lastColumn="0" w:noHBand="0" w:noVBand="1"/>
      </w:tblPr>
      <w:tblGrid>
        <w:gridCol w:w="1474"/>
        <w:gridCol w:w="1474"/>
        <w:gridCol w:w="1474"/>
        <w:gridCol w:w="1474"/>
        <w:gridCol w:w="1474"/>
        <w:gridCol w:w="1474"/>
      </w:tblGrid>
      <w:tr w:rsidR="001B734E" w14:paraId="657285D4" w14:textId="77777777" w:rsidTr="00D905CB">
        <w:tc>
          <w:tcPr>
            <w:tcW w:w="1474" w:type="dxa"/>
            <w:shd w:val="clear" w:color="auto" w:fill="B4C6E7" w:themeFill="accent1" w:themeFillTint="66"/>
          </w:tcPr>
          <w:p w14:paraId="30B4BB3C" w14:textId="77777777" w:rsidR="001B734E" w:rsidRDefault="001B734E" w:rsidP="006414BE">
            <w:pPr>
              <w:jc w:val="center"/>
              <w:rPr>
                <w:rFonts w:ascii="Arial" w:hAnsi="Arial" w:cs="Arial"/>
                <w:sz w:val="20"/>
              </w:rPr>
            </w:pPr>
            <w:r>
              <w:rPr>
                <w:rFonts w:ascii="Arial" w:hAnsi="Arial" w:cs="Arial"/>
                <w:sz w:val="20"/>
              </w:rPr>
              <w:t>0-3 months</w:t>
            </w:r>
          </w:p>
        </w:tc>
        <w:tc>
          <w:tcPr>
            <w:tcW w:w="1474" w:type="dxa"/>
            <w:shd w:val="clear" w:color="auto" w:fill="B4C6E7" w:themeFill="accent1" w:themeFillTint="66"/>
          </w:tcPr>
          <w:p w14:paraId="207FB448" w14:textId="77777777" w:rsidR="001B734E" w:rsidRDefault="001B734E" w:rsidP="006414BE">
            <w:pPr>
              <w:jc w:val="center"/>
              <w:rPr>
                <w:rFonts w:ascii="Arial" w:hAnsi="Arial" w:cs="Arial"/>
                <w:sz w:val="20"/>
              </w:rPr>
            </w:pPr>
            <w:r>
              <w:rPr>
                <w:rFonts w:ascii="Arial" w:hAnsi="Arial" w:cs="Arial"/>
                <w:sz w:val="20"/>
              </w:rPr>
              <w:t>3-6 months</w:t>
            </w:r>
          </w:p>
        </w:tc>
        <w:tc>
          <w:tcPr>
            <w:tcW w:w="1474" w:type="dxa"/>
            <w:shd w:val="clear" w:color="auto" w:fill="B4C6E7" w:themeFill="accent1" w:themeFillTint="66"/>
          </w:tcPr>
          <w:p w14:paraId="5E33EC92" w14:textId="77777777" w:rsidR="001B734E" w:rsidRDefault="001B734E" w:rsidP="006414BE">
            <w:pPr>
              <w:jc w:val="center"/>
              <w:rPr>
                <w:rFonts w:ascii="Arial" w:hAnsi="Arial" w:cs="Arial"/>
                <w:sz w:val="20"/>
              </w:rPr>
            </w:pPr>
            <w:r>
              <w:rPr>
                <w:rFonts w:ascii="Arial" w:hAnsi="Arial" w:cs="Arial"/>
                <w:sz w:val="20"/>
              </w:rPr>
              <w:t>6-12 months</w:t>
            </w:r>
          </w:p>
        </w:tc>
        <w:tc>
          <w:tcPr>
            <w:tcW w:w="1474" w:type="dxa"/>
            <w:shd w:val="clear" w:color="auto" w:fill="B4C6E7" w:themeFill="accent1" w:themeFillTint="66"/>
          </w:tcPr>
          <w:p w14:paraId="090782A5" w14:textId="77777777" w:rsidR="001B734E" w:rsidRDefault="001B734E" w:rsidP="006414BE">
            <w:pPr>
              <w:jc w:val="center"/>
              <w:rPr>
                <w:rFonts w:ascii="Arial" w:hAnsi="Arial" w:cs="Arial"/>
                <w:sz w:val="20"/>
              </w:rPr>
            </w:pPr>
            <w:r>
              <w:rPr>
                <w:rFonts w:ascii="Arial" w:hAnsi="Arial" w:cs="Arial"/>
                <w:sz w:val="20"/>
              </w:rPr>
              <w:t>12-18 months</w:t>
            </w:r>
          </w:p>
        </w:tc>
        <w:tc>
          <w:tcPr>
            <w:tcW w:w="1474" w:type="dxa"/>
            <w:shd w:val="clear" w:color="auto" w:fill="B4C6E7" w:themeFill="accent1" w:themeFillTint="66"/>
          </w:tcPr>
          <w:p w14:paraId="002BB31C" w14:textId="77777777" w:rsidR="001B734E" w:rsidRDefault="001B734E" w:rsidP="006414BE">
            <w:pPr>
              <w:jc w:val="center"/>
              <w:rPr>
                <w:rFonts w:ascii="Arial" w:hAnsi="Arial" w:cs="Arial"/>
                <w:sz w:val="20"/>
              </w:rPr>
            </w:pPr>
            <w:r>
              <w:rPr>
                <w:rFonts w:ascii="Arial" w:hAnsi="Arial" w:cs="Arial"/>
                <w:sz w:val="20"/>
              </w:rPr>
              <w:t>18-24 months</w:t>
            </w:r>
          </w:p>
        </w:tc>
        <w:tc>
          <w:tcPr>
            <w:tcW w:w="1474" w:type="dxa"/>
            <w:shd w:val="clear" w:color="auto" w:fill="B4C6E7" w:themeFill="accent1" w:themeFillTint="66"/>
          </w:tcPr>
          <w:p w14:paraId="2782F15F" w14:textId="77777777" w:rsidR="001B734E" w:rsidRDefault="001B734E" w:rsidP="006414BE">
            <w:pPr>
              <w:jc w:val="center"/>
              <w:rPr>
                <w:rFonts w:ascii="Arial" w:hAnsi="Arial" w:cs="Arial"/>
                <w:sz w:val="20"/>
              </w:rPr>
            </w:pPr>
            <w:r>
              <w:rPr>
                <w:rFonts w:ascii="Arial" w:hAnsi="Arial" w:cs="Arial"/>
                <w:sz w:val="20"/>
              </w:rPr>
              <w:t>24+ months</w:t>
            </w:r>
          </w:p>
        </w:tc>
      </w:tr>
      <w:tr w:rsidR="001B734E" w14:paraId="73D12B1C" w14:textId="77777777" w:rsidTr="00D905CB">
        <w:tc>
          <w:tcPr>
            <w:tcW w:w="1474" w:type="dxa"/>
          </w:tcPr>
          <w:p w14:paraId="758506B4" w14:textId="77777777" w:rsidR="001B734E" w:rsidRDefault="001B734E" w:rsidP="006414BE">
            <w:pPr>
              <w:jc w:val="center"/>
              <w:rPr>
                <w:rFonts w:ascii="Arial" w:hAnsi="Arial" w:cs="Arial"/>
                <w:sz w:val="20"/>
              </w:rPr>
            </w:pPr>
            <w:r>
              <w:rPr>
                <w:rFonts w:ascii="Arial" w:hAnsi="Arial" w:cs="Arial"/>
                <w:sz w:val="20"/>
              </w:rPr>
              <w:t>17,393</w:t>
            </w:r>
          </w:p>
        </w:tc>
        <w:tc>
          <w:tcPr>
            <w:tcW w:w="1474" w:type="dxa"/>
          </w:tcPr>
          <w:p w14:paraId="0B5F2ECA" w14:textId="77777777" w:rsidR="001B734E" w:rsidRDefault="001B734E" w:rsidP="006414BE">
            <w:pPr>
              <w:jc w:val="center"/>
              <w:rPr>
                <w:rFonts w:ascii="Arial" w:hAnsi="Arial" w:cs="Arial"/>
                <w:sz w:val="20"/>
              </w:rPr>
            </w:pPr>
            <w:r>
              <w:rPr>
                <w:rFonts w:ascii="Arial" w:hAnsi="Arial" w:cs="Arial"/>
                <w:sz w:val="20"/>
              </w:rPr>
              <w:t>7,279</w:t>
            </w:r>
          </w:p>
        </w:tc>
        <w:tc>
          <w:tcPr>
            <w:tcW w:w="1474" w:type="dxa"/>
          </w:tcPr>
          <w:p w14:paraId="5D92B78C" w14:textId="77777777" w:rsidR="001B734E" w:rsidRDefault="001B734E" w:rsidP="006414BE">
            <w:pPr>
              <w:jc w:val="center"/>
              <w:rPr>
                <w:rFonts w:ascii="Arial" w:hAnsi="Arial" w:cs="Arial"/>
                <w:sz w:val="20"/>
              </w:rPr>
            </w:pPr>
            <w:r>
              <w:rPr>
                <w:rFonts w:ascii="Arial" w:hAnsi="Arial" w:cs="Arial"/>
                <w:sz w:val="20"/>
              </w:rPr>
              <w:t>4,136</w:t>
            </w:r>
          </w:p>
        </w:tc>
        <w:tc>
          <w:tcPr>
            <w:tcW w:w="1474" w:type="dxa"/>
          </w:tcPr>
          <w:p w14:paraId="60987097" w14:textId="77777777" w:rsidR="001B734E" w:rsidRDefault="001B734E" w:rsidP="006414BE">
            <w:pPr>
              <w:jc w:val="center"/>
              <w:rPr>
                <w:rFonts w:ascii="Arial" w:hAnsi="Arial" w:cs="Arial"/>
                <w:sz w:val="20"/>
              </w:rPr>
            </w:pPr>
            <w:r>
              <w:rPr>
                <w:rFonts w:ascii="Arial" w:hAnsi="Arial" w:cs="Arial"/>
                <w:sz w:val="20"/>
              </w:rPr>
              <w:t>2,321</w:t>
            </w:r>
          </w:p>
        </w:tc>
        <w:tc>
          <w:tcPr>
            <w:tcW w:w="1474" w:type="dxa"/>
          </w:tcPr>
          <w:p w14:paraId="53243EED" w14:textId="77777777" w:rsidR="001B734E" w:rsidRDefault="001B734E" w:rsidP="006414BE">
            <w:pPr>
              <w:jc w:val="center"/>
              <w:rPr>
                <w:rFonts w:ascii="Arial" w:hAnsi="Arial" w:cs="Arial"/>
                <w:sz w:val="20"/>
              </w:rPr>
            </w:pPr>
            <w:r>
              <w:rPr>
                <w:rFonts w:ascii="Arial" w:hAnsi="Arial" w:cs="Arial"/>
                <w:sz w:val="20"/>
              </w:rPr>
              <w:t>720</w:t>
            </w:r>
          </w:p>
        </w:tc>
        <w:tc>
          <w:tcPr>
            <w:tcW w:w="1474" w:type="dxa"/>
          </w:tcPr>
          <w:p w14:paraId="308EDD6B" w14:textId="77777777" w:rsidR="001B734E" w:rsidRDefault="001B734E" w:rsidP="006414BE">
            <w:pPr>
              <w:jc w:val="center"/>
              <w:rPr>
                <w:rFonts w:ascii="Arial" w:hAnsi="Arial" w:cs="Arial"/>
                <w:sz w:val="20"/>
              </w:rPr>
            </w:pPr>
            <w:r>
              <w:rPr>
                <w:rFonts w:ascii="Arial" w:hAnsi="Arial" w:cs="Arial"/>
                <w:sz w:val="20"/>
              </w:rPr>
              <w:t>497</w:t>
            </w:r>
          </w:p>
        </w:tc>
      </w:tr>
      <w:tr w:rsidR="001B734E" w14:paraId="14C41610" w14:textId="77777777" w:rsidTr="00D905CB">
        <w:tc>
          <w:tcPr>
            <w:tcW w:w="1474" w:type="dxa"/>
          </w:tcPr>
          <w:p w14:paraId="3A6FB7D3" w14:textId="77777777" w:rsidR="001B734E" w:rsidRDefault="001B734E" w:rsidP="006414BE">
            <w:pPr>
              <w:jc w:val="center"/>
              <w:rPr>
                <w:rFonts w:ascii="Arial" w:hAnsi="Arial" w:cs="Arial"/>
                <w:sz w:val="20"/>
              </w:rPr>
            </w:pPr>
            <w:r>
              <w:rPr>
                <w:rFonts w:ascii="Arial" w:hAnsi="Arial" w:cs="Arial"/>
                <w:sz w:val="20"/>
              </w:rPr>
              <w:t>50.4%</w:t>
            </w:r>
          </w:p>
        </w:tc>
        <w:tc>
          <w:tcPr>
            <w:tcW w:w="1474" w:type="dxa"/>
          </w:tcPr>
          <w:p w14:paraId="6AEBEDCB" w14:textId="77777777" w:rsidR="001B734E" w:rsidRDefault="001B734E" w:rsidP="006414BE">
            <w:pPr>
              <w:jc w:val="center"/>
              <w:rPr>
                <w:rFonts w:ascii="Arial" w:hAnsi="Arial" w:cs="Arial"/>
                <w:sz w:val="20"/>
              </w:rPr>
            </w:pPr>
            <w:r>
              <w:rPr>
                <w:rFonts w:ascii="Arial" w:hAnsi="Arial" w:cs="Arial"/>
                <w:sz w:val="20"/>
              </w:rPr>
              <w:t>21.1%</w:t>
            </w:r>
          </w:p>
        </w:tc>
        <w:tc>
          <w:tcPr>
            <w:tcW w:w="1474" w:type="dxa"/>
          </w:tcPr>
          <w:p w14:paraId="780E8445" w14:textId="77777777" w:rsidR="001B734E" w:rsidRDefault="001B734E" w:rsidP="006414BE">
            <w:pPr>
              <w:jc w:val="center"/>
              <w:rPr>
                <w:rFonts w:ascii="Arial" w:hAnsi="Arial" w:cs="Arial"/>
                <w:sz w:val="20"/>
              </w:rPr>
            </w:pPr>
            <w:r>
              <w:rPr>
                <w:rFonts w:ascii="Arial" w:hAnsi="Arial" w:cs="Arial"/>
                <w:sz w:val="20"/>
              </w:rPr>
              <w:t>12.0%</w:t>
            </w:r>
          </w:p>
        </w:tc>
        <w:tc>
          <w:tcPr>
            <w:tcW w:w="1474" w:type="dxa"/>
          </w:tcPr>
          <w:p w14:paraId="5FF55143" w14:textId="77777777" w:rsidR="001B734E" w:rsidRDefault="001B734E" w:rsidP="006414BE">
            <w:pPr>
              <w:jc w:val="center"/>
              <w:rPr>
                <w:rFonts w:ascii="Arial" w:hAnsi="Arial" w:cs="Arial"/>
                <w:sz w:val="20"/>
              </w:rPr>
            </w:pPr>
            <w:r>
              <w:rPr>
                <w:rFonts w:ascii="Arial" w:hAnsi="Arial" w:cs="Arial"/>
                <w:sz w:val="20"/>
              </w:rPr>
              <w:t>6.7%</w:t>
            </w:r>
          </w:p>
        </w:tc>
        <w:tc>
          <w:tcPr>
            <w:tcW w:w="1474" w:type="dxa"/>
          </w:tcPr>
          <w:p w14:paraId="613B5D77" w14:textId="77777777" w:rsidR="001B734E" w:rsidRDefault="001B734E" w:rsidP="006414BE">
            <w:pPr>
              <w:jc w:val="center"/>
              <w:rPr>
                <w:rFonts w:ascii="Arial" w:hAnsi="Arial" w:cs="Arial"/>
                <w:sz w:val="20"/>
              </w:rPr>
            </w:pPr>
            <w:r>
              <w:rPr>
                <w:rFonts w:ascii="Arial" w:hAnsi="Arial" w:cs="Arial"/>
                <w:sz w:val="20"/>
              </w:rPr>
              <w:t>2.1%</w:t>
            </w:r>
          </w:p>
        </w:tc>
        <w:tc>
          <w:tcPr>
            <w:tcW w:w="1474" w:type="dxa"/>
          </w:tcPr>
          <w:p w14:paraId="3D7D8E2C" w14:textId="77777777" w:rsidR="001B734E" w:rsidRDefault="001B734E" w:rsidP="006414BE">
            <w:pPr>
              <w:jc w:val="center"/>
              <w:rPr>
                <w:rFonts w:ascii="Arial" w:hAnsi="Arial" w:cs="Arial"/>
                <w:sz w:val="20"/>
              </w:rPr>
            </w:pPr>
            <w:r>
              <w:rPr>
                <w:rFonts w:ascii="Arial" w:hAnsi="Arial" w:cs="Arial"/>
                <w:sz w:val="20"/>
              </w:rPr>
              <w:t>1.4%</w:t>
            </w:r>
          </w:p>
        </w:tc>
      </w:tr>
    </w:tbl>
    <w:p w14:paraId="6CF55D56" w14:textId="77777777" w:rsidR="000E6292" w:rsidRDefault="000E6292" w:rsidP="000E6292">
      <w:pPr>
        <w:jc w:val="both"/>
        <w:rPr>
          <w:rFonts w:ascii="Arial" w:hAnsi="Arial" w:cs="Arial"/>
          <w:sz w:val="20"/>
        </w:rPr>
      </w:pPr>
    </w:p>
    <w:p w14:paraId="3DB58AE3" w14:textId="4FC29EF2" w:rsidR="000E6292" w:rsidRDefault="000E6292" w:rsidP="000E6292">
      <w:pPr>
        <w:jc w:val="both"/>
        <w:rPr>
          <w:rFonts w:ascii="Arial" w:hAnsi="Arial" w:cs="Arial"/>
          <w:sz w:val="20"/>
        </w:rPr>
      </w:pPr>
      <w:r>
        <w:rPr>
          <w:rFonts w:ascii="Arial" w:hAnsi="Arial" w:cs="Arial"/>
          <w:sz w:val="20"/>
        </w:rPr>
        <w:t xml:space="preserve">In the period from </w:t>
      </w:r>
      <w:r w:rsidR="00AD3C6C" w:rsidRPr="00AD3C6C">
        <w:rPr>
          <w:rFonts w:ascii="Arial" w:hAnsi="Arial" w:cs="Arial"/>
          <w:b/>
          <w:bCs/>
          <w:sz w:val="20"/>
        </w:rPr>
        <w:t>0</w:t>
      </w:r>
      <w:r w:rsidRPr="00AD3C6C">
        <w:rPr>
          <w:rFonts w:ascii="Arial" w:hAnsi="Arial" w:cs="Arial"/>
          <w:b/>
          <w:bCs/>
          <w:sz w:val="20"/>
        </w:rPr>
        <w:t>1</w:t>
      </w:r>
      <w:r w:rsidRPr="000E6292">
        <w:rPr>
          <w:rFonts w:ascii="Arial" w:hAnsi="Arial" w:cs="Arial"/>
          <w:b/>
          <w:bCs/>
          <w:sz w:val="20"/>
        </w:rPr>
        <w:t>/</w:t>
      </w:r>
      <w:r w:rsidR="00AD3C6C">
        <w:rPr>
          <w:rFonts w:ascii="Arial" w:hAnsi="Arial" w:cs="Arial"/>
          <w:b/>
          <w:bCs/>
          <w:sz w:val="20"/>
        </w:rPr>
        <w:t>0</w:t>
      </w:r>
      <w:r w:rsidRPr="000E6292">
        <w:rPr>
          <w:rFonts w:ascii="Arial" w:hAnsi="Arial" w:cs="Arial"/>
          <w:b/>
          <w:bCs/>
          <w:sz w:val="20"/>
        </w:rPr>
        <w:t>7/2021 to 30/</w:t>
      </w:r>
      <w:r w:rsidR="00AD3C6C">
        <w:rPr>
          <w:rFonts w:ascii="Arial" w:hAnsi="Arial" w:cs="Arial"/>
          <w:b/>
          <w:bCs/>
          <w:sz w:val="20"/>
        </w:rPr>
        <w:t>0</w:t>
      </w:r>
      <w:r w:rsidRPr="000E6292">
        <w:rPr>
          <w:rFonts w:ascii="Arial" w:hAnsi="Arial" w:cs="Arial"/>
          <w:b/>
          <w:bCs/>
          <w:sz w:val="20"/>
        </w:rPr>
        <w:t>6/2022</w:t>
      </w:r>
      <w:r>
        <w:rPr>
          <w:rFonts w:ascii="Arial" w:hAnsi="Arial" w:cs="Arial"/>
          <w:sz w:val="20"/>
        </w:rPr>
        <w:t xml:space="preserve"> a total of </w:t>
      </w:r>
      <w:r>
        <w:rPr>
          <w:rFonts w:ascii="Arial" w:hAnsi="Arial" w:cs="Arial"/>
          <w:b/>
          <w:bCs/>
          <w:sz w:val="20"/>
        </w:rPr>
        <w:t>16</w:t>
      </w:r>
      <w:r w:rsidRPr="001F6450">
        <w:rPr>
          <w:rFonts w:ascii="Arial" w:hAnsi="Arial" w:cs="Arial"/>
          <w:b/>
          <w:bCs/>
          <w:sz w:val="20"/>
        </w:rPr>
        <w:t>,</w:t>
      </w:r>
      <w:r>
        <w:rPr>
          <w:rFonts w:ascii="Arial" w:hAnsi="Arial" w:cs="Arial"/>
          <w:b/>
          <w:bCs/>
          <w:sz w:val="20"/>
        </w:rPr>
        <w:t>677</w:t>
      </w:r>
      <w:r>
        <w:rPr>
          <w:rFonts w:ascii="Arial" w:hAnsi="Arial" w:cs="Arial"/>
          <w:sz w:val="20"/>
        </w:rPr>
        <w:t xml:space="preserve"> applications were initiated statewide in the CP jurisdiction of the Family Division and </w:t>
      </w:r>
      <w:r w:rsidRPr="000E6292">
        <w:rPr>
          <w:rFonts w:ascii="Arial" w:hAnsi="Arial" w:cs="Arial"/>
          <w:b/>
          <w:bCs/>
          <w:sz w:val="20"/>
        </w:rPr>
        <w:t>17,675</w:t>
      </w:r>
      <w:r>
        <w:rPr>
          <w:rFonts w:ascii="Arial" w:hAnsi="Arial" w:cs="Arial"/>
          <w:sz w:val="20"/>
        </w:rPr>
        <w:t xml:space="preserve"> applications were finalised.  </w:t>
      </w:r>
      <w:r w:rsidR="005E7676">
        <w:rPr>
          <w:rFonts w:ascii="Arial" w:hAnsi="Arial" w:cs="Arial"/>
          <w:sz w:val="20"/>
        </w:rPr>
        <w:t xml:space="preserve">Of these </w:t>
      </w:r>
      <w:r w:rsidR="005E7676" w:rsidRPr="005E7676">
        <w:rPr>
          <w:rFonts w:ascii="Arial" w:hAnsi="Arial" w:cs="Arial"/>
          <w:b/>
          <w:bCs/>
          <w:sz w:val="20"/>
        </w:rPr>
        <w:t>551</w:t>
      </w:r>
      <w:r w:rsidR="005E7676">
        <w:rPr>
          <w:rFonts w:ascii="Arial" w:hAnsi="Arial" w:cs="Arial"/>
          <w:sz w:val="20"/>
        </w:rPr>
        <w:t xml:space="preserve"> [3.1% of the total number of applications] were finalised at the final hearing stage and </w:t>
      </w:r>
      <w:r w:rsidR="005E7676" w:rsidRPr="005E7676">
        <w:rPr>
          <w:rFonts w:ascii="Arial" w:hAnsi="Arial" w:cs="Arial"/>
          <w:b/>
          <w:bCs/>
          <w:sz w:val="20"/>
        </w:rPr>
        <w:t>17</w:t>
      </w:r>
      <w:r w:rsidR="005E7676">
        <w:rPr>
          <w:rFonts w:ascii="Arial" w:hAnsi="Arial" w:cs="Arial"/>
          <w:sz w:val="20"/>
        </w:rPr>
        <w:t xml:space="preserve"> [0.1% of the total] were finalised at an evidence-based IAO contest.  </w:t>
      </w:r>
      <w:r>
        <w:rPr>
          <w:rFonts w:ascii="Arial" w:hAnsi="Arial" w:cs="Arial"/>
          <w:sz w:val="20"/>
        </w:rPr>
        <w:t xml:space="preserve">The total number of court listings in 2021/22 was </w:t>
      </w:r>
      <w:r w:rsidRPr="000E6292">
        <w:rPr>
          <w:rFonts w:ascii="Arial" w:hAnsi="Arial" w:cs="Arial"/>
          <w:b/>
          <w:bCs/>
          <w:sz w:val="20"/>
        </w:rPr>
        <w:t>50,137</w:t>
      </w:r>
      <w:r>
        <w:rPr>
          <w:rFonts w:ascii="Arial" w:hAnsi="Arial" w:cs="Arial"/>
          <w:sz w:val="20"/>
        </w:rPr>
        <w:t>, an average of 2.8 listings per finalisation.</w:t>
      </w:r>
    </w:p>
    <w:p w14:paraId="49C072C6" w14:textId="77777777" w:rsidR="003F74A9" w:rsidRDefault="003F74A9" w:rsidP="000E6292">
      <w:pPr>
        <w:jc w:val="both"/>
        <w:rPr>
          <w:rFonts w:ascii="Arial" w:hAnsi="Arial" w:cs="Arial"/>
          <w:sz w:val="20"/>
        </w:rPr>
      </w:pPr>
    </w:p>
    <w:p w14:paraId="27C5B6F8" w14:textId="4BB72667" w:rsidR="006B216F" w:rsidRDefault="000E6292" w:rsidP="000E6292">
      <w:pPr>
        <w:jc w:val="both"/>
        <w:rPr>
          <w:rFonts w:ascii="Arial" w:hAnsi="Arial" w:cs="Arial"/>
          <w:sz w:val="20"/>
        </w:rPr>
      </w:pPr>
      <w:r>
        <w:rPr>
          <w:rFonts w:ascii="Arial" w:hAnsi="Arial" w:cs="Arial"/>
          <w:sz w:val="20"/>
        </w:rPr>
        <w:t xml:space="preserve">Although the above statistics are accurate they </w:t>
      </w:r>
      <w:r w:rsidR="006B216F">
        <w:rPr>
          <w:rFonts w:ascii="Arial" w:hAnsi="Arial" w:cs="Arial"/>
          <w:sz w:val="20"/>
        </w:rPr>
        <w:t xml:space="preserve">do not paint the whole picture and care needs to be taken in interpreting them.  They relate to </w:t>
      </w:r>
      <w:r w:rsidR="006B216F" w:rsidRPr="006B216F">
        <w:rPr>
          <w:rFonts w:ascii="Arial" w:hAnsi="Arial" w:cs="Arial"/>
          <w:b/>
          <w:bCs/>
          <w:sz w:val="20"/>
        </w:rPr>
        <w:t>applications</w:t>
      </w:r>
      <w:r w:rsidR="006B216F">
        <w:rPr>
          <w:rFonts w:ascii="Arial" w:hAnsi="Arial" w:cs="Arial"/>
          <w:sz w:val="20"/>
        </w:rPr>
        <w:t xml:space="preserve">, not to </w:t>
      </w:r>
      <w:r w:rsidR="006B216F" w:rsidRPr="006B216F">
        <w:rPr>
          <w:rFonts w:ascii="Arial" w:hAnsi="Arial" w:cs="Arial"/>
          <w:b/>
          <w:bCs/>
          <w:sz w:val="20"/>
        </w:rPr>
        <w:t>cases</w:t>
      </w:r>
      <w:r w:rsidR="006B216F">
        <w:rPr>
          <w:rFonts w:ascii="Arial" w:hAnsi="Arial" w:cs="Arial"/>
          <w:sz w:val="20"/>
        </w:rPr>
        <w:t xml:space="preserve">.  In some cases there may be only one application, for example a protection application.  But in others </w:t>
      </w:r>
      <w:r w:rsidR="000D47D1">
        <w:rPr>
          <w:rFonts w:ascii="Arial" w:hAnsi="Arial" w:cs="Arial"/>
          <w:sz w:val="20"/>
        </w:rPr>
        <w:t xml:space="preserve">a </w:t>
      </w:r>
      <w:r w:rsidR="000D47D1" w:rsidRPr="000D47D1">
        <w:rPr>
          <w:rFonts w:ascii="Arial" w:hAnsi="Arial" w:cs="Arial"/>
          <w:b/>
          <w:bCs/>
          <w:sz w:val="20"/>
        </w:rPr>
        <w:t>case</w:t>
      </w:r>
      <w:r w:rsidR="000D47D1">
        <w:rPr>
          <w:rFonts w:ascii="Arial" w:hAnsi="Arial" w:cs="Arial"/>
          <w:sz w:val="20"/>
        </w:rPr>
        <w:t xml:space="preserve"> may consist of </w:t>
      </w:r>
      <w:r w:rsidR="006B216F">
        <w:rPr>
          <w:rFonts w:ascii="Arial" w:hAnsi="Arial" w:cs="Arial"/>
          <w:sz w:val="20"/>
        </w:rPr>
        <w:t>multiple applications, for example-</w:t>
      </w:r>
    </w:p>
    <w:p w14:paraId="4DD1FDEA" w14:textId="57C9FB9D" w:rsidR="006B216F"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a protection application, an application to vary an IAO and an application to breach an IAO</w:t>
      </w:r>
      <w:r>
        <w:rPr>
          <w:rFonts w:ascii="Arial" w:hAnsi="Arial" w:cs="Arial"/>
          <w:sz w:val="20"/>
        </w:rPr>
        <w:t>;</w:t>
      </w:r>
      <w:r w:rsidRPr="006B216F">
        <w:rPr>
          <w:rFonts w:ascii="Arial" w:hAnsi="Arial" w:cs="Arial"/>
          <w:sz w:val="20"/>
        </w:rPr>
        <w:t xml:space="preserve"> or</w:t>
      </w:r>
    </w:p>
    <w:p w14:paraId="188ECCEA" w14:textId="7A622D37" w:rsidR="00B86AC9" w:rsidRDefault="006B216F">
      <w:pPr>
        <w:pStyle w:val="ListParagraph"/>
        <w:numPr>
          <w:ilvl w:val="0"/>
          <w:numId w:val="89"/>
        </w:numPr>
        <w:ind w:left="357" w:hanging="357"/>
        <w:jc w:val="both"/>
        <w:rPr>
          <w:rFonts w:ascii="Arial" w:hAnsi="Arial" w:cs="Arial"/>
          <w:sz w:val="20"/>
        </w:rPr>
      </w:pPr>
      <w:r w:rsidRPr="006B216F">
        <w:rPr>
          <w:rFonts w:ascii="Arial" w:hAnsi="Arial" w:cs="Arial"/>
          <w:sz w:val="20"/>
        </w:rPr>
        <w:t xml:space="preserve">an application to extend a </w:t>
      </w:r>
      <w:r w:rsidR="00B86AC9">
        <w:rPr>
          <w:rFonts w:ascii="Arial" w:hAnsi="Arial" w:cs="Arial"/>
          <w:sz w:val="20"/>
        </w:rPr>
        <w:t>family reunification</w:t>
      </w:r>
      <w:r>
        <w:rPr>
          <w:rFonts w:ascii="Arial" w:hAnsi="Arial" w:cs="Arial"/>
          <w:sz w:val="20"/>
        </w:rPr>
        <w:t xml:space="preserve"> order</w:t>
      </w:r>
      <w:r w:rsidR="000A23AC">
        <w:rPr>
          <w:rFonts w:ascii="Arial" w:hAnsi="Arial" w:cs="Arial"/>
          <w:sz w:val="20"/>
        </w:rPr>
        <w:t xml:space="preserve">, a later application to revoke it </w:t>
      </w:r>
      <w:r w:rsidR="00B86AC9">
        <w:rPr>
          <w:rFonts w:ascii="Arial" w:hAnsi="Arial" w:cs="Arial"/>
          <w:sz w:val="20"/>
        </w:rPr>
        <w:t>and an application for a care by Secretary order; or</w:t>
      </w:r>
    </w:p>
    <w:p w14:paraId="4F29F2C4" w14:textId="66F2E1ED" w:rsidR="000E6292" w:rsidRPr="006B216F" w:rsidRDefault="00B86AC9">
      <w:pPr>
        <w:pStyle w:val="ListParagraph"/>
        <w:numPr>
          <w:ilvl w:val="0"/>
          <w:numId w:val="89"/>
        </w:numPr>
        <w:ind w:left="357" w:hanging="357"/>
        <w:jc w:val="both"/>
        <w:rPr>
          <w:rFonts w:ascii="Arial" w:hAnsi="Arial" w:cs="Arial"/>
          <w:sz w:val="20"/>
        </w:rPr>
      </w:pPr>
      <w:r>
        <w:rPr>
          <w:rFonts w:ascii="Arial" w:hAnsi="Arial" w:cs="Arial"/>
          <w:sz w:val="20"/>
        </w:rPr>
        <w:t xml:space="preserve">an application </w:t>
      </w:r>
      <w:r w:rsidR="00DB6142">
        <w:rPr>
          <w:rFonts w:ascii="Arial" w:hAnsi="Arial" w:cs="Arial"/>
          <w:sz w:val="20"/>
        </w:rPr>
        <w:t>to extend a family preservation order, an application to breach an IAO</w:t>
      </w:r>
      <w:r w:rsidR="001A7C46">
        <w:rPr>
          <w:rFonts w:ascii="Arial" w:hAnsi="Arial" w:cs="Arial"/>
          <w:sz w:val="20"/>
        </w:rPr>
        <w:t xml:space="preserve"> and</w:t>
      </w:r>
      <w:r w:rsidR="00DB6142">
        <w:rPr>
          <w:rFonts w:ascii="Arial" w:hAnsi="Arial" w:cs="Arial"/>
          <w:sz w:val="20"/>
        </w:rPr>
        <w:t xml:space="preserve"> an application to revoke the family preservation order.</w:t>
      </w:r>
    </w:p>
    <w:p w14:paraId="64E06D35" w14:textId="23224806" w:rsidR="001A7C46" w:rsidRDefault="001A7C46" w:rsidP="001A7C46">
      <w:pPr>
        <w:jc w:val="both"/>
        <w:rPr>
          <w:rFonts w:ascii="Arial" w:hAnsi="Arial" w:cs="Arial"/>
          <w:sz w:val="20"/>
        </w:rPr>
      </w:pPr>
    </w:p>
    <w:p w14:paraId="3F96FC95" w14:textId="66926F90" w:rsidR="001A7C46" w:rsidRPr="001A7C46" w:rsidRDefault="001A7C46" w:rsidP="001A7C46">
      <w:pPr>
        <w:jc w:val="both"/>
        <w:rPr>
          <w:rFonts w:ascii="Arial" w:hAnsi="Arial" w:cs="Arial"/>
          <w:sz w:val="20"/>
        </w:rPr>
      </w:pPr>
      <w:r>
        <w:rPr>
          <w:rFonts w:ascii="Arial" w:hAnsi="Arial" w:cs="Arial"/>
          <w:sz w:val="20"/>
        </w:rPr>
        <w:t xml:space="preserve">Where there are multiple applications in a particular case, </w:t>
      </w:r>
      <w:r w:rsidR="00AA20A6">
        <w:rPr>
          <w:rFonts w:ascii="Arial" w:hAnsi="Arial" w:cs="Arial"/>
          <w:sz w:val="20"/>
        </w:rPr>
        <w:t>it is not uncommon for</w:t>
      </w:r>
      <w:r>
        <w:rPr>
          <w:rFonts w:ascii="Arial" w:hAnsi="Arial" w:cs="Arial"/>
          <w:sz w:val="20"/>
        </w:rPr>
        <w:t xml:space="preserve"> one or more of the applications </w:t>
      </w:r>
      <w:r w:rsidR="00AA20A6">
        <w:rPr>
          <w:rFonts w:ascii="Arial" w:hAnsi="Arial" w:cs="Arial"/>
          <w:sz w:val="20"/>
        </w:rPr>
        <w:t>to be</w:t>
      </w:r>
      <w:r>
        <w:rPr>
          <w:rFonts w:ascii="Arial" w:hAnsi="Arial" w:cs="Arial"/>
          <w:sz w:val="20"/>
        </w:rPr>
        <w:t xml:space="preserve"> determined before the whole case is </w:t>
      </w:r>
      <w:r w:rsidR="00AA20A6">
        <w:rPr>
          <w:rFonts w:ascii="Arial" w:hAnsi="Arial" w:cs="Arial"/>
          <w:sz w:val="20"/>
        </w:rPr>
        <w:t xml:space="preserve">ultimately </w:t>
      </w:r>
      <w:r>
        <w:rPr>
          <w:rFonts w:ascii="Arial" w:hAnsi="Arial" w:cs="Arial"/>
          <w:sz w:val="20"/>
        </w:rPr>
        <w:t>finalised.  This means that the previously published figures show</w:t>
      </w:r>
      <w:r w:rsidR="00AA20A6">
        <w:rPr>
          <w:rFonts w:ascii="Arial" w:hAnsi="Arial" w:cs="Arial"/>
          <w:sz w:val="20"/>
        </w:rPr>
        <w:t>ing</w:t>
      </w:r>
      <w:r>
        <w:rPr>
          <w:rFonts w:ascii="Arial" w:hAnsi="Arial" w:cs="Arial"/>
          <w:sz w:val="20"/>
        </w:rPr>
        <w:t xml:space="preserve"> that 22,792 </w:t>
      </w:r>
      <w:r w:rsidRPr="00FF4E72">
        <w:rPr>
          <w:rFonts w:ascii="Arial" w:hAnsi="Arial" w:cs="Arial"/>
          <w:b/>
          <w:bCs/>
          <w:sz w:val="20"/>
        </w:rPr>
        <w:t>applications</w:t>
      </w:r>
      <w:r>
        <w:rPr>
          <w:rFonts w:ascii="Arial" w:hAnsi="Arial" w:cs="Arial"/>
          <w:sz w:val="20"/>
        </w:rPr>
        <w:t xml:space="preserve"> finalised </w:t>
      </w:r>
      <w:r w:rsidR="00AA20A6">
        <w:rPr>
          <w:rFonts w:ascii="Arial" w:hAnsi="Arial" w:cs="Arial"/>
          <w:sz w:val="20"/>
        </w:rPr>
        <w:t xml:space="preserve">at mention </w:t>
      </w:r>
      <w:r>
        <w:rPr>
          <w:rFonts w:ascii="Arial" w:hAnsi="Arial" w:cs="Arial"/>
          <w:sz w:val="20"/>
        </w:rPr>
        <w:t>in the period from 01</w:t>
      </w:r>
      <w:r w:rsidRPr="001A7C46">
        <w:rPr>
          <w:rFonts w:ascii="Arial" w:hAnsi="Arial" w:cs="Arial"/>
          <w:sz w:val="20"/>
        </w:rPr>
        <w:t xml:space="preserve">/06/2019 </w:t>
      </w:r>
      <w:r>
        <w:rPr>
          <w:rFonts w:ascii="Arial" w:hAnsi="Arial" w:cs="Arial"/>
          <w:sz w:val="20"/>
        </w:rPr>
        <w:t>to</w:t>
      </w:r>
      <w:r w:rsidRPr="001A7C46">
        <w:rPr>
          <w:rFonts w:ascii="Arial" w:hAnsi="Arial" w:cs="Arial"/>
          <w:sz w:val="20"/>
        </w:rPr>
        <w:t xml:space="preserve"> 31/05/2021 </w:t>
      </w:r>
      <w:r>
        <w:rPr>
          <w:rFonts w:ascii="Arial" w:hAnsi="Arial" w:cs="Arial"/>
          <w:sz w:val="20"/>
        </w:rPr>
        <w:t xml:space="preserve">have the potential to be misleading in the absence of a further figure which details how many were substantive applications which resulted in the finalisation of the whole </w:t>
      </w:r>
      <w:r w:rsidRPr="00FF4E72">
        <w:rPr>
          <w:rFonts w:ascii="Arial" w:hAnsi="Arial" w:cs="Arial"/>
          <w:b/>
          <w:bCs/>
          <w:sz w:val="20"/>
        </w:rPr>
        <w:t>case</w:t>
      </w:r>
      <w:r>
        <w:rPr>
          <w:rFonts w:ascii="Arial" w:hAnsi="Arial" w:cs="Arial"/>
          <w:sz w:val="20"/>
        </w:rPr>
        <w:t>.</w:t>
      </w:r>
      <w:r w:rsidR="00AA20A6">
        <w:rPr>
          <w:rFonts w:ascii="Arial" w:hAnsi="Arial" w:cs="Arial"/>
          <w:sz w:val="20"/>
        </w:rPr>
        <w:t xml:space="preserve">  It is hoped that this latter figure may become available in due course.</w:t>
      </w:r>
    </w:p>
    <w:p w14:paraId="6EF657A6" w14:textId="77777777" w:rsidR="00AA20A6" w:rsidRDefault="00AA20A6" w:rsidP="00AA20A6">
      <w:pPr>
        <w:jc w:val="both"/>
        <w:rPr>
          <w:rFonts w:ascii="Arial" w:hAnsi="Arial" w:cs="Arial"/>
          <w:sz w:val="20"/>
        </w:rPr>
      </w:pPr>
    </w:p>
    <w:p w14:paraId="35394683" w14:textId="3FA2B57F" w:rsidR="00856E75" w:rsidRDefault="004E2CB6" w:rsidP="00AA20A6">
      <w:pPr>
        <w:jc w:val="both"/>
        <w:rPr>
          <w:rFonts w:ascii="Arial" w:hAnsi="Arial" w:cs="Arial"/>
          <w:sz w:val="20"/>
        </w:rPr>
      </w:pPr>
      <w:r>
        <w:rPr>
          <w:rFonts w:ascii="Arial" w:hAnsi="Arial" w:cs="Arial"/>
          <w:sz w:val="20"/>
        </w:rPr>
        <w:t xml:space="preserve">There is, however, one conclusion one can confidently draw from the </w:t>
      </w:r>
      <w:r w:rsidR="001966B1">
        <w:rPr>
          <w:rFonts w:ascii="Arial" w:hAnsi="Arial" w:cs="Arial"/>
          <w:sz w:val="20"/>
        </w:rPr>
        <w:t xml:space="preserve">2019/21 </w:t>
      </w:r>
      <w:r>
        <w:rPr>
          <w:rFonts w:ascii="Arial" w:hAnsi="Arial" w:cs="Arial"/>
          <w:sz w:val="20"/>
        </w:rPr>
        <w:t xml:space="preserve">statistics that show that </w:t>
      </w:r>
      <w:r w:rsidRPr="006A733D">
        <w:rPr>
          <w:rFonts w:ascii="Arial" w:hAnsi="Arial" w:cs="Arial"/>
          <w:b/>
          <w:bCs/>
          <w:sz w:val="20"/>
        </w:rPr>
        <w:t>720</w:t>
      </w:r>
      <w:r>
        <w:rPr>
          <w:rFonts w:ascii="Arial" w:hAnsi="Arial" w:cs="Arial"/>
          <w:sz w:val="20"/>
        </w:rPr>
        <w:t xml:space="preserve"> </w:t>
      </w:r>
      <w:r w:rsidRPr="006A733D">
        <w:rPr>
          <w:rFonts w:ascii="Arial" w:hAnsi="Arial" w:cs="Arial"/>
          <w:b/>
          <w:bCs/>
          <w:sz w:val="20"/>
        </w:rPr>
        <w:t>applications</w:t>
      </w:r>
      <w:r>
        <w:rPr>
          <w:rFonts w:ascii="Arial" w:hAnsi="Arial" w:cs="Arial"/>
          <w:sz w:val="20"/>
        </w:rPr>
        <w:t xml:space="preserve"> were </w:t>
      </w:r>
      <w:r w:rsidR="006A733D">
        <w:rPr>
          <w:rFonts w:ascii="Arial" w:hAnsi="Arial" w:cs="Arial"/>
          <w:sz w:val="20"/>
        </w:rPr>
        <w:t>resolved at final evidence-based contest [2.1% of the total] and 86</w:t>
      </w:r>
      <w:r w:rsidR="00417E90">
        <w:rPr>
          <w:rFonts w:ascii="Arial" w:hAnsi="Arial" w:cs="Arial"/>
          <w:sz w:val="20"/>
        </w:rPr>
        <w:t xml:space="preserve"> </w:t>
      </w:r>
      <w:r w:rsidR="006A733D">
        <w:rPr>
          <w:rFonts w:ascii="Arial" w:hAnsi="Arial" w:cs="Arial"/>
          <w:sz w:val="20"/>
        </w:rPr>
        <w:t xml:space="preserve">applications [0.2% of the total] were resolved at an evidence-based IAO contest.  That conclusion is that </w:t>
      </w:r>
      <w:r w:rsidR="00FD216B">
        <w:rPr>
          <w:rFonts w:ascii="Arial" w:hAnsi="Arial" w:cs="Arial"/>
          <w:sz w:val="20"/>
        </w:rPr>
        <w:t>more</w:t>
      </w:r>
      <w:r w:rsidR="006A733D">
        <w:rPr>
          <w:rFonts w:ascii="Arial" w:hAnsi="Arial" w:cs="Arial"/>
          <w:sz w:val="20"/>
        </w:rPr>
        <w:t xml:space="preserve"> than </w:t>
      </w:r>
      <w:r w:rsidR="00FD216B">
        <w:rPr>
          <w:rFonts w:ascii="Arial" w:hAnsi="Arial" w:cs="Arial"/>
          <w:sz w:val="20"/>
        </w:rPr>
        <w:t>97.7</w:t>
      </w:r>
      <w:r w:rsidR="006A733D">
        <w:rPr>
          <w:rFonts w:ascii="Arial" w:hAnsi="Arial" w:cs="Arial"/>
          <w:sz w:val="20"/>
        </w:rPr>
        <w:t xml:space="preserve">% of the </w:t>
      </w:r>
      <w:r w:rsidR="006A733D" w:rsidRPr="006A733D">
        <w:rPr>
          <w:rFonts w:ascii="Arial" w:hAnsi="Arial" w:cs="Arial"/>
          <w:b/>
          <w:bCs/>
          <w:sz w:val="20"/>
        </w:rPr>
        <w:t>cases</w:t>
      </w:r>
      <w:r w:rsidR="006A733D">
        <w:rPr>
          <w:rFonts w:ascii="Arial" w:hAnsi="Arial" w:cs="Arial"/>
          <w:sz w:val="20"/>
        </w:rPr>
        <w:t xml:space="preserve"> were resolved </w:t>
      </w:r>
      <w:r w:rsidR="00FD216B">
        <w:rPr>
          <w:rFonts w:ascii="Arial" w:hAnsi="Arial" w:cs="Arial"/>
          <w:sz w:val="20"/>
        </w:rPr>
        <w:t>without</w:t>
      </w:r>
      <w:r w:rsidR="006A733D">
        <w:rPr>
          <w:rFonts w:ascii="Arial" w:hAnsi="Arial" w:cs="Arial"/>
          <w:sz w:val="20"/>
        </w:rPr>
        <w:t xml:space="preserve"> an evidence-based contest.  </w:t>
      </w:r>
      <w:r w:rsidR="00856E75">
        <w:rPr>
          <w:rFonts w:ascii="Arial" w:hAnsi="Arial" w:cs="Arial"/>
          <w:sz w:val="20"/>
        </w:rPr>
        <w:t>A similar conclusion follows from the 2021/22 statistics.</w:t>
      </w:r>
    </w:p>
    <w:p w14:paraId="10936385" w14:textId="77777777" w:rsidR="00856E75" w:rsidRDefault="00856E75" w:rsidP="00AA20A6">
      <w:pPr>
        <w:jc w:val="both"/>
        <w:rPr>
          <w:rFonts w:ascii="Arial" w:hAnsi="Arial" w:cs="Arial"/>
          <w:sz w:val="20"/>
        </w:rPr>
      </w:pPr>
    </w:p>
    <w:p w14:paraId="1C1221F4" w14:textId="24EBE22E" w:rsidR="006A733D" w:rsidRDefault="009A1D1C" w:rsidP="00AA20A6">
      <w:pPr>
        <w:jc w:val="both"/>
        <w:rPr>
          <w:rFonts w:ascii="Arial" w:hAnsi="Arial" w:cs="Arial"/>
          <w:sz w:val="20"/>
        </w:rPr>
      </w:pPr>
      <w:r>
        <w:rPr>
          <w:rFonts w:ascii="Arial" w:hAnsi="Arial" w:cs="Arial"/>
          <w:sz w:val="20"/>
        </w:rPr>
        <w:t>In fact t</w:t>
      </w:r>
      <w:r w:rsidR="001966B1">
        <w:rPr>
          <w:rFonts w:ascii="Arial" w:hAnsi="Arial" w:cs="Arial"/>
          <w:sz w:val="20"/>
        </w:rPr>
        <w:t xml:space="preserve">he vast majority of </w:t>
      </w:r>
      <w:r w:rsidR="001966B1" w:rsidRPr="00856E75">
        <w:rPr>
          <w:rFonts w:ascii="Arial" w:hAnsi="Arial" w:cs="Arial"/>
          <w:b/>
          <w:bCs/>
          <w:sz w:val="20"/>
        </w:rPr>
        <w:t>cases</w:t>
      </w:r>
      <w:r w:rsidR="001966B1">
        <w:rPr>
          <w:rFonts w:ascii="Arial" w:hAnsi="Arial" w:cs="Arial"/>
          <w:sz w:val="20"/>
        </w:rPr>
        <w:t xml:space="preserve"> </w:t>
      </w:r>
      <w:r w:rsidR="005D4F28">
        <w:rPr>
          <w:rFonts w:ascii="Arial" w:hAnsi="Arial" w:cs="Arial"/>
          <w:sz w:val="20"/>
        </w:rPr>
        <w:t xml:space="preserve">in both periods </w:t>
      </w:r>
      <w:r w:rsidR="001966B1">
        <w:rPr>
          <w:rFonts w:ascii="Arial" w:hAnsi="Arial" w:cs="Arial"/>
          <w:sz w:val="20"/>
        </w:rPr>
        <w:t xml:space="preserve">were resolved </w:t>
      </w:r>
      <w:r>
        <w:rPr>
          <w:rFonts w:ascii="Arial" w:hAnsi="Arial" w:cs="Arial"/>
          <w:sz w:val="20"/>
        </w:rPr>
        <w:t xml:space="preserve">– without the need for a final contest – </w:t>
      </w:r>
      <w:r w:rsidR="001966B1">
        <w:rPr>
          <w:rFonts w:ascii="Arial" w:hAnsi="Arial" w:cs="Arial"/>
          <w:sz w:val="20"/>
        </w:rPr>
        <w:t>by</w:t>
      </w:r>
      <w:r>
        <w:rPr>
          <w:rFonts w:ascii="Arial" w:hAnsi="Arial" w:cs="Arial"/>
          <w:sz w:val="20"/>
        </w:rPr>
        <w:t xml:space="preserve"> </w:t>
      </w:r>
      <w:r w:rsidR="001966B1">
        <w:rPr>
          <w:rFonts w:ascii="Arial" w:hAnsi="Arial" w:cs="Arial"/>
          <w:sz w:val="20"/>
        </w:rPr>
        <w:t>agreement between the parties</w:t>
      </w:r>
      <w:r>
        <w:rPr>
          <w:rFonts w:ascii="Arial" w:hAnsi="Arial" w:cs="Arial"/>
          <w:sz w:val="20"/>
        </w:rPr>
        <w:t xml:space="preserve"> and </w:t>
      </w:r>
      <w:r w:rsidR="00F8680C">
        <w:rPr>
          <w:rFonts w:ascii="Arial" w:hAnsi="Arial" w:cs="Arial"/>
          <w:sz w:val="20"/>
        </w:rPr>
        <w:t xml:space="preserve">the satisfaction of the Court that the resolution was in the best interests of the subject child or children.  Such resolution </w:t>
      </w:r>
      <w:r w:rsidR="001966B1">
        <w:rPr>
          <w:rFonts w:ascii="Arial" w:hAnsi="Arial" w:cs="Arial"/>
          <w:sz w:val="20"/>
        </w:rPr>
        <w:t xml:space="preserve">often </w:t>
      </w:r>
      <w:r w:rsidR="00F8680C">
        <w:rPr>
          <w:rFonts w:ascii="Arial" w:hAnsi="Arial" w:cs="Arial"/>
          <w:sz w:val="20"/>
        </w:rPr>
        <w:t xml:space="preserve">occurred as a result of </w:t>
      </w:r>
      <w:r w:rsidR="001966B1">
        <w:rPr>
          <w:rFonts w:ascii="Arial" w:hAnsi="Arial" w:cs="Arial"/>
          <w:sz w:val="20"/>
        </w:rPr>
        <w:t xml:space="preserve">a conciliation </w:t>
      </w:r>
      <w:r w:rsidR="000D47D1">
        <w:rPr>
          <w:rFonts w:ascii="Arial" w:hAnsi="Arial" w:cs="Arial"/>
          <w:sz w:val="20"/>
        </w:rPr>
        <w:t>conference</w:t>
      </w:r>
      <w:r w:rsidR="001966B1">
        <w:rPr>
          <w:rFonts w:ascii="Arial" w:hAnsi="Arial" w:cs="Arial"/>
          <w:sz w:val="20"/>
        </w:rPr>
        <w:t xml:space="preserve">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 xml:space="preserve">Court-appointed convenor or a judicial resolution process </w:t>
      </w:r>
      <w:r w:rsidR="009702F9">
        <w:rPr>
          <w:rFonts w:ascii="Arial" w:hAnsi="Arial" w:cs="Arial"/>
          <w:sz w:val="20"/>
        </w:rPr>
        <w:t>conducted by</w:t>
      </w:r>
      <w:r w:rsidR="001966B1">
        <w:rPr>
          <w:rFonts w:ascii="Arial" w:hAnsi="Arial" w:cs="Arial"/>
          <w:sz w:val="20"/>
        </w:rPr>
        <w:t xml:space="preserve"> </w:t>
      </w:r>
      <w:r w:rsidR="009702F9">
        <w:rPr>
          <w:rFonts w:ascii="Arial" w:hAnsi="Arial" w:cs="Arial"/>
          <w:sz w:val="20"/>
        </w:rPr>
        <w:t xml:space="preserve">a </w:t>
      </w:r>
      <w:r w:rsidR="001966B1">
        <w:rPr>
          <w:rFonts w:ascii="Arial" w:hAnsi="Arial" w:cs="Arial"/>
          <w:sz w:val="20"/>
        </w:rPr>
        <w:t>judicial officer or both.</w:t>
      </w:r>
    </w:p>
    <w:p w14:paraId="5C483849" w14:textId="77777777" w:rsidR="006A733D" w:rsidRDefault="006A733D" w:rsidP="00AA20A6">
      <w:pPr>
        <w:jc w:val="both"/>
        <w:rPr>
          <w:rFonts w:ascii="Arial" w:hAnsi="Arial" w:cs="Arial"/>
          <w:sz w:val="20"/>
        </w:rPr>
      </w:pPr>
    </w:p>
    <w:p w14:paraId="246BE971" w14:textId="2A39F37C" w:rsidR="007D7E39" w:rsidRPr="00785E1A" w:rsidRDefault="00705C9E" w:rsidP="001B734E">
      <w:pPr>
        <w:pStyle w:val="Heading3"/>
        <w:keepNext/>
        <w:keepLines/>
        <w:spacing w:after="120" w:line="240" w:lineRule="auto"/>
        <w:rPr>
          <w:rFonts w:ascii="Arial" w:hAnsi="Arial" w:cs="Arial"/>
          <w:color w:val="000000"/>
          <w:sz w:val="20"/>
        </w:rPr>
      </w:pPr>
      <w:bookmarkStart w:id="1435" w:name="_4.9.8_Marram-Ngala_Ganbu"/>
      <w:bookmarkEnd w:id="1435"/>
      <w:r>
        <w:rPr>
          <w:rFonts w:ascii="Arial" w:hAnsi="Arial" w:cs="Arial"/>
          <w:b/>
          <w:bCs/>
          <w:sz w:val="20"/>
        </w:rPr>
        <w:t>4.9.</w:t>
      </w:r>
      <w:r w:rsidR="00ED3555">
        <w:rPr>
          <w:rFonts w:ascii="Arial" w:hAnsi="Arial" w:cs="Arial"/>
          <w:b/>
          <w:bCs/>
          <w:sz w:val="20"/>
        </w:rPr>
        <w:t>8</w:t>
      </w:r>
      <w:r>
        <w:rPr>
          <w:rFonts w:ascii="Arial" w:hAnsi="Arial" w:cs="Arial"/>
          <w:b/>
          <w:bCs/>
          <w:sz w:val="20"/>
        </w:rPr>
        <w:tab/>
        <w:t>Marram-Ngala Ganbu Program</w:t>
      </w:r>
    </w:p>
    <w:p w14:paraId="5AE76D24" w14:textId="77777777" w:rsidR="00D441CB" w:rsidRPr="00F51496" w:rsidRDefault="00D441CB" w:rsidP="000F5059">
      <w:pPr>
        <w:keepNext/>
        <w:keepLines/>
        <w:spacing w:before="120"/>
        <w:jc w:val="both"/>
        <w:rPr>
          <w:rFonts w:ascii="Arial" w:hAnsi="Arial" w:cs="Arial"/>
          <w:color w:val="000000"/>
          <w:sz w:val="20"/>
        </w:rPr>
      </w:pPr>
      <w:r w:rsidRPr="00F51496">
        <w:rPr>
          <w:rFonts w:ascii="Arial" w:hAnsi="Arial" w:cs="Arial"/>
          <w:color w:val="000000"/>
          <w:sz w:val="20"/>
        </w:rPr>
        <w:t>Under s.3(1) of the CYFA “Aboriginal person” means a person who:</w:t>
      </w:r>
    </w:p>
    <w:p w14:paraId="7B52D6CA" w14:textId="516BE602"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A95893">
        <w:rPr>
          <w:rFonts w:ascii="Arial" w:hAnsi="Arial" w:cs="Arial"/>
          <w:color w:val="000000"/>
          <w:sz w:val="20"/>
        </w:rPr>
        <w:t>al person</w:t>
      </w:r>
      <w:r w:rsidRPr="00F51496">
        <w:rPr>
          <w:rFonts w:ascii="Arial" w:hAnsi="Arial" w:cs="Arial"/>
          <w:color w:val="000000"/>
          <w:sz w:val="20"/>
        </w:rPr>
        <w:t xml:space="preserve"> or Torres Strait Islander; and</w:t>
      </w:r>
    </w:p>
    <w:p w14:paraId="340705FC" w14:textId="2659D786"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and</w:t>
      </w:r>
    </w:p>
    <w:p w14:paraId="0C7D5F1B" w14:textId="2697C43F" w:rsidR="00D441CB" w:rsidRPr="00F51496" w:rsidRDefault="00D441CB">
      <w:pPr>
        <w:numPr>
          <w:ilvl w:val="0"/>
          <w:numId w:val="4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9F7D38">
        <w:rPr>
          <w:rFonts w:ascii="Arial" w:hAnsi="Arial" w:cs="Arial"/>
          <w:color w:val="000000"/>
          <w:sz w:val="20"/>
        </w:rPr>
        <w:t>al person</w:t>
      </w:r>
      <w:r w:rsidRPr="00F51496">
        <w:rPr>
          <w:rFonts w:ascii="Arial" w:hAnsi="Arial" w:cs="Arial"/>
          <w:color w:val="000000"/>
          <w:sz w:val="20"/>
        </w:rPr>
        <w:t xml:space="preserve"> or Torres Strait Islander by an Aboriginal or Torres Strait Islander community.</w:t>
      </w:r>
    </w:p>
    <w:p w14:paraId="40B63805" w14:textId="77777777" w:rsidR="00D441CB" w:rsidRDefault="00D441CB" w:rsidP="00132E50">
      <w:pPr>
        <w:ind w:left="363" w:hanging="363"/>
        <w:jc w:val="both"/>
        <w:rPr>
          <w:rFonts w:ascii="Arial" w:hAnsi="Arial" w:cs="Arial"/>
          <w:b/>
          <w:bCs/>
          <w:sz w:val="20"/>
        </w:rPr>
      </w:pPr>
    </w:p>
    <w:p w14:paraId="298FEDE9" w14:textId="77777777" w:rsidR="000F5059" w:rsidRDefault="000F5059" w:rsidP="000F5059">
      <w:pPr>
        <w:pBdr>
          <w:top w:val="single" w:sz="4" w:space="1" w:color="auto"/>
          <w:left w:val="single" w:sz="4" w:space="4" w:color="auto"/>
          <w:bottom w:val="single" w:sz="4" w:space="1" w:color="auto"/>
          <w:right w:val="single" w:sz="4" w:space="4" w:color="auto"/>
        </w:pBdr>
        <w:jc w:val="both"/>
        <w:rPr>
          <w:rFonts w:ascii="Arial" w:hAnsi="Arial" w:cs="Arial"/>
          <w:sz w:val="20"/>
        </w:rPr>
      </w:pPr>
      <w:r>
        <w:rPr>
          <w:rFonts w:ascii="Arial" w:hAnsi="Arial" w:cs="Arial"/>
          <w:sz w:val="20"/>
        </w:rPr>
        <w:t xml:space="preserve">“Most Victorian Aboriginal children are cared for in loving families, where they are cherished, protected and nurtured, where their connection to community and culture is strong, their Koori identity is affirmed and they are thriving, empowered and safe”: see </w:t>
      </w:r>
      <w:r w:rsidRPr="00705C9E">
        <w:rPr>
          <w:rFonts w:ascii="Arial" w:hAnsi="Arial" w:cs="Arial"/>
          <w:i/>
          <w:iCs/>
          <w:sz w:val="20"/>
        </w:rPr>
        <w:t xml:space="preserve">Always Was, Always Will </w:t>
      </w:r>
      <w:r w:rsidR="00535682">
        <w:rPr>
          <w:rFonts w:ascii="Arial" w:hAnsi="Arial" w:cs="Arial"/>
          <w:i/>
          <w:iCs/>
          <w:sz w:val="20"/>
        </w:rPr>
        <w:t>b</w:t>
      </w:r>
      <w:r w:rsidRPr="00705C9E">
        <w:rPr>
          <w:rFonts w:ascii="Arial" w:hAnsi="Arial" w:cs="Arial"/>
          <w:i/>
          <w:iCs/>
          <w:sz w:val="20"/>
        </w:rPr>
        <w:t>e Koori Children</w:t>
      </w:r>
      <w:r w:rsidR="00535682" w:rsidRPr="00535682">
        <w:rPr>
          <w:rFonts w:ascii="Arial" w:hAnsi="Arial" w:cs="Arial"/>
          <w:sz w:val="20"/>
        </w:rPr>
        <w:t>,</w:t>
      </w:r>
      <w:r>
        <w:rPr>
          <w:rFonts w:ascii="Arial" w:hAnsi="Arial" w:cs="Arial"/>
          <w:sz w:val="20"/>
        </w:rPr>
        <w:t xml:space="preserve"> Report of Taskforce 1000 (October 2016).</w:t>
      </w:r>
      <w:r w:rsidR="00816B30">
        <w:rPr>
          <w:rFonts w:ascii="Arial" w:hAnsi="Arial" w:cs="Arial"/>
          <w:sz w:val="20"/>
        </w:rPr>
        <w:t xml:space="preserve">  </w:t>
      </w:r>
      <w:r w:rsidR="00816B30" w:rsidRPr="00816B30">
        <w:rPr>
          <w:rFonts w:ascii="Arial" w:hAnsi="Arial" w:cs="Arial"/>
          <w:sz w:val="20"/>
          <w:szCs w:val="20"/>
        </w:rPr>
        <w:t xml:space="preserve">The term </w:t>
      </w:r>
      <w:r w:rsidR="00816B30" w:rsidRPr="00816B30">
        <w:rPr>
          <w:rFonts w:ascii="Arial" w:hAnsi="Arial" w:cs="Arial"/>
          <w:i/>
          <w:iCs/>
          <w:sz w:val="20"/>
          <w:szCs w:val="20"/>
        </w:rPr>
        <w:t>Koori</w:t>
      </w:r>
      <w:r w:rsidR="00816B30" w:rsidRPr="00816B30">
        <w:rPr>
          <w:rFonts w:ascii="Arial" w:hAnsi="Arial" w:cs="Arial"/>
          <w:sz w:val="20"/>
          <w:szCs w:val="20"/>
        </w:rPr>
        <w:t xml:space="preserve"> is used throughout this </w:t>
      </w:r>
      <w:r w:rsidR="00816B30">
        <w:rPr>
          <w:rFonts w:ascii="Arial" w:hAnsi="Arial" w:cs="Arial"/>
          <w:sz w:val="20"/>
          <w:szCs w:val="20"/>
        </w:rPr>
        <w:t>sec</w:t>
      </w:r>
      <w:r w:rsidR="00816B30" w:rsidRPr="00816B30">
        <w:rPr>
          <w:rFonts w:ascii="Arial" w:hAnsi="Arial" w:cs="Arial"/>
          <w:sz w:val="20"/>
          <w:szCs w:val="20"/>
        </w:rPr>
        <w:t>tion to describe the traditional inhabitants of Victoria and is intended to be inclusive of all Aboriginal and/or Torres Strait Islander people.</w:t>
      </w:r>
    </w:p>
    <w:p w14:paraId="11A6D22C" w14:textId="77777777" w:rsidR="00816B30" w:rsidRDefault="00816B30" w:rsidP="00132E50">
      <w:pPr>
        <w:ind w:left="363" w:hanging="363"/>
        <w:jc w:val="both"/>
        <w:rPr>
          <w:rFonts w:ascii="Arial" w:hAnsi="Arial" w:cs="Arial"/>
          <w:b/>
          <w:bCs/>
          <w:sz w:val="20"/>
        </w:rPr>
      </w:pPr>
    </w:p>
    <w:p w14:paraId="47D9A33F" w14:textId="77777777" w:rsidR="00DD3832" w:rsidRDefault="001B14AB" w:rsidP="00705C9E">
      <w:pPr>
        <w:jc w:val="both"/>
        <w:rPr>
          <w:rFonts w:ascii="Arial" w:hAnsi="Arial" w:cs="Arial"/>
          <w:color w:val="000000"/>
          <w:sz w:val="20"/>
        </w:rPr>
      </w:pPr>
      <w:r>
        <w:rPr>
          <w:rFonts w:ascii="Arial" w:hAnsi="Arial" w:cs="Arial"/>
          <w:color w:val="000000"/>
          <w:sz w:val="20"/>
        </w:rPr>
        <w:t>Developed over a 6 month period, t</w:t>
      </w:r>
      <w:r w:rsidR="00705C9E">
        <w:rPr>
          <w:rFonts w:ascii="Arial" w:hAnsi="Arial" w:cs="Arial"/>
          <w:color w:val="000000"/>
          <w:sz w:val="20"/>
        </w:rPr>
        <w:t xml:space="preserve">he Marram-Ngala Ganbu Program was </w:t>
      </w:r>
      <w:r w:rsidR="00E8430A">
        <w:rPr>
          <w:rFonts w:ascii="Arial" w:hAnsi="Arial" w:cs="Arial"/>
          <w:color w:val="000000"/>
          <w:sz w:val="20"/>
        </w:rPr>
        <w:t>launched</w:t>
      </w:r>
      <w:r w:rsidR="00705C9E">
        <w:rPr>
          <w:rFonts w:ascii="Arial" w:hAnsi="Arial" w:cs="Arial"/>
          <w:color w:val="000000"/>
          <w:sz w:val="20"/>
        </w:rPr>
        <w:t xml:space="preserve"> in </w:t>
      </w:r>
      <w:r w:rsidR="00E8430A">
        <w:rPr>
          <w:rFonts w:ascii="Arial" w:hAnsi="Arial" w:cs="Arial"/>
          <w:color w:val="000000"/>
          <w:sz w:val="20"/>
        </w:rPr>
        <w:t xml:space="preserve">August </w:t>
      </w:r>
      <w:r w:rsidR="00705C9E">
        <w:rPr>
          <w:rFonts w:ascii="Arial" w:hAnsi="Arial" w:cs="Arial"/>
          <w:color w:val="000000"/>
          <w:sz w:val="20"/>
        </w:rPr>
        <w:t xml:space="preserve">2016 </w:t>
      </w:r>
      <w:r w:rsidR="00E8430A">
        <w:rPr>
          <w:rFonts w:ascii="Arial" w:hAnsi="Arial" w:cs="Arial"/>
          <w:color w:val="000000"/>
          <w:sz w:val="20"/>
        </w:rPr>
        <w:t xml:space="preserve">at the Broadmeadows Children’s Court </w:t>
      </w:r>
      <w:r w:rsidR="00705C9E">
        <w:rPr>
          <w:rFonts w:ascii="Arial" w:hAnsi="Arial" w:cs="Arial"/>
          <w:color w:val="000000"/>
          <w:sz w:val="20"/>
        </w:rPr>
        <w:t>as an acknowledgement of the above fact and as an innovative response to the over-representation of Aboriginal children and families in the child protection system in Victoria.</w:t>
      </w:r>
      <w:r w:rsidR="00DD3832">
        <w:rPr>
          <w:rFonts w:ascii="Arial" w:hAnsi="Arial" w:cs="Arial"/>
          <w:color w:val="000000"/>
          <w:sz w:val="20"/>
        </w:rPr>
        <w:t xml:space="preserve">  </w:t>
      </w:r>
      <w:r w:rsidR="008C5570">
        <w:rPr>
          <w:rFonts w:ascii="Arial" w:hAnsi="Arial" w:cs="Arial"/>
          <w:color w:val="000000"/>
          <w:sz w:val="20"/>
        </w:rPr>
        <w:t xml:space="preserve">Marram-Ngala Ganbu means “We are one” in the Woiwurrung language.  </w:t>
      </w:r>
      <w:r w:rsidR="00DD3832">
        <w:rPr>
          <w:rFonts w:ascii="Arial" w:hAnsi="Arial" w:cs="Arial"/>
          <w:color w:val="000000"/>
          <w:sz w:val="20"/>
        </w:rPr>
        <w:t xml:space="preserve">The material </w:t>
      </w:r>
      <w:r w:rsidR="008B36BD">
        <w:rPr>
          <w:rFonts w:ascii="Arial" w:hAnsi="Arial" w:cs="Arial"/>
          <w:color w:val="000000"/>
          <w:sz w:val="20"/>
        </w:rPr>
        <w:t xml:space="preserve">in this section </w:t>
      </w:r>
      <w:r w:rsidR="00DD3832">
        <w:rPr>
          <w:rFonts w:ascii="Arial" w:hAnsi="Arial" w:cs="Arial"/>
          <w:color w:val="000000"/>
          <w:sz w:val="20"/>
        </w:rPr>
        <w:t>is taken from</w:t>
      </w:r>
      <w:r w:rsidR="008D0BD2">
        <w:rPr>
          <w:rFonts w:ascii="Arial" w:hAnsi="Arial" w:cs="Arial"/>
          <w:color w:val="000000"/>
          <w:sz w:val="20"/>
        </w:rPr>
        <w:t xml:space="preserve"> the very positive</w:t>
      </w:r>
      <w:r w:rsidR="00DD3832">
        <w:rPr>
          <w:rFonts w:ascii="Arial" w:hAnsi="Arial" w:cs="Arial"/>
          <w:color w:val="000000"/>
          <w:sz w:val="20"/>
        </w:rPr>
        <w:t xml:space="preserve"> </w:t>
      </w:r>
      <w:r w:rsidR="00DD3832" w:rsidRPr="00DD3832">
        <w:rPr>
          <w:rFonts w:ascii="Arial" w:hAnsi="Arial" w:cs="Arial"/>
          <w:i/>
          <w:iCs/>
          <w:color w:val="000000"/>
          <w:sz w:val="20"/>
        </w:rPr>
        <w:t>Evaluation of Marram-Ngala Ganbu</w:t>
      </w:r>
      <w:r w:rsidR="00DD3832">
        <w:rPr>
          <w:rFonts w:ascii="Arial" w:hAnsi="Arial" w:cs="Arial"/>
          <w:color w:val="000000"/>
          <w:sz w:val="20"/>
        </w:rPr>
        <w:t xml:space="preserve"> (November 2019)</w:t>
      </w:r>
      <w:r w:rsidR="008D0BD2">
        <w:rPr>
          <w:rFonts w:ascii="Arial" w:hAnsi="Arial" w:cs="Arial"/>
          <w:color w:val="000000"/>
          <w:sz w:val="20"/>
        </w:rPr>
        <w:t>.</w:t>
      </w:r>
    </w:p>
    <w:p w14:paraId="035889BF" w14:textId="77777777" w:rsidR="00DD3832" w:rsidRDefault="00DD3832" w:rsidP="00705C9E">
      <w:pPr>
        <w:jc w:val="both"/>
        <w:rPr>
          <w:rFonts w:ascii="Arial" w:hAnsi="Arial" w:cs="Arial"/>
          <w:color w:val="000000"/>
          <w:sz w:val="20"/>
        </w:rPr>
      </w:pPr>
    </w:p>
    <w:p w14:paraId="76A92067" w14:textId="02CAF4FE" w:rsidR="000F5059" w:rsidRDefault="008B36BD" w:rsidP="00705C9E">
      <w:pPr>
        <w:jc w:val="both"/>
        <w:rPr>
          <w:rFonts w:ascii="Arial" w:hAnsi="Arial" w:cs="Arial"/>
          <w:color w:val="000000"/>
          <w:sz w:val="20"/>
        </w:rPr>
      </w:pPr>
      <w:r>
        <w:rPr>
          <w:rFonts w:ascii="Arial" w:hAnsi="Arial" w:cs="Arial"/>
          <w:color w:val="000000"/>
          <w:sz w:val="20"/>
        </w:rPr>
        <w:t xml:space="preserve">The following statistics are taken from SNAICC (2019) </w:t>
      </w:r>
      <w:r w:rsidRPr="007D6AD3">
        <w:rPr>
          <w:rFonts w:ascii="Arial" w:hAnsi="Arial" w:cs="Arial"/>
          <w:i/>
          <w:iCs/>
          <w:color w:val="000000"/>
          <w:sz w:val="20"/>
        </w:rPr>
        <w:t>The Family Matters</w:t>
      </w:r>
      <w:r>
        <w:rPr>
          <w:rFonts w:ascii="Arial" w:hAnsi="Arial" w:cs="Arial"/>
          <w:color w:val="000000"/>
          <w:sz w:val="20"/>
        </w:rPr>
        <w:t xml:space="preserve"> Report and from A</w:t>
      </w:r>
      <w:r w:rsidR="007D6AD3">
        <w:rPr>
          <w:rFonts w:ascii="Arial" w:hAnsi="Arial" w:cs="Arial"/>
          <w:color w:val="000000"/>
          <w:sz w:val="20"/>
        </w:rPr>
        <w:t> </w:t>
      </w:r>
      <w:r>
        <w:rPr>
          <w:rFonts w:ascii="Arial" w:hAnsi="Arial" w:cs="Arial"/>
          <w:color w:val="000000"/>
          <w:sz w:val="20"/>
        </w:rPr>
        <w:t xml:space="preserve">Morris &amp; K Macpherson, 2017, </w:t>
      </w:r>
      <w:r w:rsidRPr="008B36BD">
        <w:rPr>
          <w:rFonts w:ascii="Arial" w:hAnsi="Arial" w:cs="Arial"/>
          <w:i/>
          <w:iCs/>
          <w:color w:val="000000"/>
          <w:sz w:val="20"/>
        </w:rPr>
        <w:t>‘Marram-Ngala Ganbu: We are one’</w:t>
      </w:r>
      <w:r>
        <w:rPr>
          <w:rFonts w:ascii="Arial" w:hAnsi="Arial" w:cs="Arial"/>
          <w:color w:val="000000"/>
          <w:sz w:val="20"/>
        </w:rPr>
        <w:t xml:space="preserve"> in AIJA Proceedings of the NAJ 2017 Conference: Non-</w:t>
      </w:r>
      <w:r w:rsidR="00F10752">
        <w:rPr>
          <w:rFonts w:ascii="Arial" w:hAnsi="Arial" w:cs="Arial"/>
          <w:color w:val="000000"/>
          <w:sz w:val="20"/>
        </w:rPr>
        <w:t>a</w:t>
      </w:r>
      <w:r>
        <w:rPr>
          <w:rFonts w:ascii="Arial" w:hAnsi="Arial" w:cs="Arial"/>
          <w:color w:val="000000"/>
          <w:sz w:val="20"/>
        </w:rPr>
        <w:t xml:space="preserve">dversarial Justice, Indigenous Justice, Melbourne.  </w:t>
      </w:r>
      <w:r w:rsidR="00705C9E">
        <w:rPr>
          <w:rFonts w:ascii="Arial" w:hAnsi="Arial" w:cs="Arial"/>
          <w:color w:val="000000"/>
          <w:sz w:val="20"/>
        </w:rPr>
        <w:t>In March 2019, although the majority of Aboriginal children in Victoria were living wi</w:t>
      </w:r>
      <w:r w:rsidR="00DD3832">
        <w:rPr>
          <w:rFonts w:ascii="Arial" w:hAnsi="Arial" w:cs="Arial"/>
          <w:color w:val="000000"/>
          <w:sz w:val="20"/>
        </w:rPr>
        <w:t>t</w:t>
      </w:r>
      <w:r w:rsidR="00705C9E">
        <w:rPr>
          <w:rFonts w:ascii="Arial" w:hAnsi="Arial" w:cs="Arial"/>
          <w:color w:val="000000"/>
          <w:sz w:val="20"/>
        </w:rPr>
        <w:t xml:space="preserve">h their families and </w:t>
      </w:r>
      <w:r w:rsidR="000F5059">
        <w:rPr>
          <w:rFonts w:ascii="Arial" w:hAnsi="Arial" w:cs="Arial"/>
          <w:color w:val="000000"/>
          <w:sz w:val="20"/>
        </w:rPr>
        <w:t xml:space="preserve">were </w:t>
      </w:r>
      <w:r w:rsidR="00705C9E">
        <w:rPr>
          <w:rFonts w:ascii="Arial" w:hAnsi="Arial" w:cs="Arial"/>
          <w:color w:val="000000"/>
          <w:sz w:val="20"/>
        </w:rPr>
        <w:t>not in contact with the child</w:t>
      </w:r>
      <w:r w:rsidR="00DD3832">
        <w:rPr>
          <w:rFonts w:ascii="Arial" w:hAnsi="Arial" w:cs="Arial"/>
          <w:color w:val="000000"/>
          <w:sz w:val="20"/>
        </w:rPr>
        <w:t xml:space="preserve"> protection system, 19.1% were involved with child protection compared with 1.4% of non-</w:t>
      </w:r>
      <w:r w:rsidR="00226C41">
        <w:rPr>
          <w:rFonts w:ascii="Arial" w:hAnsi="Arial" w:cs="Arial"/>
          <w:color w:val="000000"/>
          <w:sz w:val="20"/>
        </w:rPr>
        <w:t>Aboriginal</w:t>
      </w:r>
      <w:r w:rsidR="00DD3832">
        <w:rPr>
          <w:rFonts w:ascii="Arial" w:hAnsi="Arial" w:cs="Arial"/>
          <w:color w:val="000000"/>
          <w:sz w:val="20"/>
        </w:rPr>
        <w:t xml:space="preserve"> children.  </w:t>
      </w:r>
      <w:r w:rsidR="000F5059">
        <w:rPr>
          <w:rFonts w:ascii="Arial" w:hAnsi="Arial" w:cs="Arial"/>
          <w:color w:val="000000"/>
          <w:sz w:val="20"/>
        </w:rPr>
        <w:t xml:space="preserve">Aboriginal children in Victoria were 16.4 times more likely to be removed from their families than non-Aboriginal children, the second highest over-representation of any state of Australia.  Unborn children were also susceptible, with 21% of child protection reports for unborn Aboriginal children in Victoria progressing to out-of-home care placements within 12 months of birth, compared with 13% for non-Aboriginal children.  </w:t>
      </w:r>
      <w:r>
        <w:rPr>
          <w:rFonts w:ascii="Arial" w:hAnsi="Arial" w:cs="Arial"/>
          <w:color w:val="000000"/>
          <w:sz w:val="20"/>
        </w:rPr>
        <w:t xml:space="preserve">Victoria and the ACT exhibit the largest percentage increase of Aboriginal children in out-of-home care, with the number more than doubling between 2011 &amp; 2018.  In Victoria, the percentage increase is almost double that of the percentage increase in the Aboriginal general population.  </w:t>
      </w:r>
      <w:r w:rsidR="00535682">
        <w:rPr>
          <w:rFonts w:ascii="Arial" w:hAnsi="Arial" w:cs="Arial"/>
          <w:color w:val="000000"/>
          <w:sz w:val="20"/>
        </w:rPr>
        <w:t>Despite the Aboriginal Child Placement Principles set out in ss.12-14 of the CYFA, m</w:t>
      </w:r>
      <w:r>
        <w:rPr>
          <w:rFonts w:ascii="Arial" w:hAnsi="Arial" w:cs="Arial"/>
          <w:color w:val="000000"/>
          <w:sz w:val="20"/>
        </w:rPr>
        <w:t xml:space="preserve">ore than 60% of </w:t>
      </w:r>
      <w:r w:rsidR="00535682">
        <w:rPr>
          <w:rFonts w:ascii="Arial" w:hAnsi="Arial" w:cs="Arial"/>
          <w:color w:val="000000"/>
          <w:sz w:val="20"/>
        </w:rPr>
        <w:t>Aboriginal children removed from their families were placed with a non-Aboriginal carer and over 40% of Aboriginal children with siblings were placed separately from their siblings.  Aboriginal children in Victoria are also more likely to stay removed from their parents, being over-represented on permanent care orders at rates significantly higher than the national average.</w:t>
      </w:r>
    </w:p>
    <w:p w14:paraId="514CFC37" w14:textId="77777777" w:rsidR="00705C9E" w:rsidRDefault="00705C9E" w:rsidP="00705C9E">
      <w:pPr>
        <w:jc w:val="both"/>
        <w:rPr>
          <w:rFonts w:ascii="Arial" w:hAnsi="Arial" w:cs="Arial"/>
          <w:color w:val="000000"/>
          <w:sz w:val="20"/>
        </w:rPr>
      </w:pPr>
    </w:p>
    <w:p w14:paraId="117499EF" w14:textId="77777777" w:rsidR="00705C9E" w:rsidRDefault="00E8430A" w:rsidP="00E8430A">
      <w:pPr>
        <w:jc w:val="both"/>
        <w:rPr>
          <w:rFonts w:ascii="Arial" w:hAnsi="Arial" w:cs="Arial"/>
          <w:color w:val="000000"/>
          <w:sz w:val="20"/>
        </w:rPr>
      </w:pPr>
      <w:r>
        <w:rPr>
          <w:rFonts w:ascii="Arial" w:hAnsi="Arial" w:cs="Arial"/>
          <w:color w:val="000000"/>
          <w:sz w:val="20"/>
        </w:rPr>
        <w:t xml:space="preserve">The </w:t>
      </w:r>
      <w:r w:rsidR="00E21689">
        <w:rPr>
          <w:rFonts w:ascii="Arial" w:hAnsi="Arial" w:cs="Arial"/>
          <w:color w:val="000000"/>
          <w:sz w:val="20"/>
        </w:rPr>
        <w:t xml:space="preserve">aim of the </w:t>
      </w:r>
      <w:r>
        <w:rPr>
          <w:rFonts w:ascii="Arial" w:hAnsi="Arial" w:cs="Arial"/>
          <w:color w:val="000000"/>
          <w:sz w:val="20"/>
        </w:rPr>
        <w:t xml:space="preserve">Marram-Ngala Ganbu Program </w:t>
      </w:r>
      <w:r w:rsidR="00E21689">
        <w:rPr>
          <w:rFonts w:ascii="Arial" w:hAnsi="Arial" w:cs="Arial"/>
          <w:color w:val="000000"/>
          <w:sz w:val="20"/>
        </w:rPr>
        <w:t>i</w:t>
      </w:r>
      <w:r>
        <w:rPr>
          <w:rFonts w:ascii="Arial" w:hAnsi="Arial" w:cs="Arial"/>
          <w:color w:val="000000"/>
          <w:sz w:val="20"/>
        </w:rPr>
        <w:t xml:space="preserve">s to improve outcomes for Koori children and families involved in child protection proceedings.  It </w:t>
      </w:r>
      <w:r w:rsidR="00E21689">
        <w:rPr>
          <w:rFonts w:ascii="Arial" w:hAnsi="Arial" w:cs="Arial"/>
          <w:color w:val="000000"/>
          <w:sz w:val="20"/>
        </w:rPr>
        <w:t>seeks to do this by</w:t>
      </w:r>
      <w:r>
        <w:rPr>
          <w:rFonts w:ascii="Arial" w:hAnsi="Arial" w:cs="Arial"/>
          <w:color w:val="000000"/>
          <w:sz w:val="20"/>
        </w:rPr>
        <w:t xml:space="preserve"> provid</w:t>
      </w:r>
      <w:r w:rsidR="00E21689">
        <w:rPr>
          <w:rFonts w:ascii="Arial" w:hAnsi="Arial" w:cs="Arial"/>
          <w:color w:val="000000"/>
          <w:sz w:val="20"/>
        </w:rPr>
        <w:t>ing</w:t>
      </w:r>
      <w:r>
        <w:rPr>
          <w:rFonts w:ascii="Arial" w:hAnsi="Arial" w:cs="Arial"/>
          <w:color w:val="000000"/>
          <w:sz w:val="20"/>
        </w:rPr>
        <w:t xml:space="preserve"> a more effective, culturally appropriate and just response for Koori families through a culturally appropriate court process that involves greater participation by family members and culturally-informed decision-making.</w:t>
      </w:r>
      <w:r w:rsidR="001B14AB">
        <w:rPr>
          <w:rFonts w:ascii="Arial" w:hAnsi="Arial" w:cs="Arial"/>
          <w:color w:val="000000"/>
          <w:sz w:val="20"/>
        </w:rPr>
        <w:t xml:space="preserve">  The Program is based on a therapeutic justice model that is less adversarial than the traditional model.</w:t>
      </w:r>
      <w:r w:rsidR="003155E1">
        <w:rPr>
          <w:rFonts w:ascii="Arial" w:hAnsi="Arial" w:cs="Arial"/>
          <w:color w:val="000000"/>
          <w:sz w:val="20"/>
        </w:rPr>
        <w:t xml:space="preserve">  Its key features are:</w:t>
      </w:r>
    </w:p>
    <w:p w14:paraId="41421208" w14:textId="77777777" w:rsidR="00112297" w:rsidRDefault="00112297">
      <w:pPr>
        <w:numPr>
          <w:ilvl w:val="0"/>
          <w:numId w:val="41"/>
        </w:numPr>
        <w:ind w:left="357" w:hanging="357"/>
        <w:jc w:val="both"/>
        <w:rPr>
          <w:rFonts w:ascii="Arial" w:hAnsi="Arial" w:cs="Arial"/>
          <w:color w:val="000000"/>
          <w:sz w:val="20"/>
        </w:rPr>
      </w:pPr>
      <w:r w:rsidRPr="001A5C38">
        <w:rPr>
          <w:rFonts w:ascii="Arial" w:hAnsi="Arial" w:cs="Arial"/>
          <w:b/>
          <w:bCs/>
          <w:color w:val="000000"/>
          <w:sz w:val="20"/>
        </w:rPr>
        <w:lastRenderedPageBreak/>
        <w:t xml:space="preserve">A </w:t>
      </w:r>
      <w:r w:rsidRPr="00FB6D2C">
        <w:rPr>
          <w:rFonts w:ascii="Arial" w:hAnsi="Arial" w:cs="Arial"/>
          <w:b/>
          <w:bCs/>
          <w:color w:val="000000"/>
          <w:sz w:val="20"/>
        </w:rPr>
        <w:t>case management approach</w:t>
      </w:r>
      <w:r>
        <w:rPr>
          <w:rFonts w:ascii="Arial" w:hAnsi="Arial" w:cs="Arial"/>
          <w:color w:val="000000"/>
          <w:sz w:val="20"/>
        </w:rPr>
        <w:t xml:space="preserve"> </w:t>
      </w:r>
      <w:r w:rsidR="002F57B0">
        <w:rPr>
          <w:rFonts w:ascii="Arial" w:hAnsi="Arial" w:cs="Arial"/>
          <w:color w:val="000000"/>
          <w:sz w:val="20"/>
        </w:rPr>
        <w:t xml:space="preserve">in which </w:t>
      </w:r>
      <w:r w:rsidR="00FB6D2C">
        <w:rPr>
          <w:rFonts w:ascii="Arial" w:hAnsi="Arial" w:cs="Arial"/>
          <w:color w:val="000000"/>
          <w:sz w:val="20"/>
        </w:rPr>
        <w:t xml:space="preserve">the Koori Services Coordinator, the Koori Family Support Officer and </w:t>
      </w:r>
      <w:r w:rsidR="00785D2D">
        <w:rPr>
          <w:rFonts w:ascii="Arial" w:hAnsi="Arial" w:cs="Arial"/>
          <w:color w:val="000000"/>
          <w:sz w:val="20"/>
        </w:rPr>
        <w:t>DFFH</w:t>
      </w:r>
      <w:r w:rsidR="00FB6D2C">
        <w:rPr>
          <w:rFonts w:ascii="Arial" w:hAnsi="Arial" w:cs="Arial"/>
          <w:color w:val="000000"/>
          <w:sz w:val="20"/>
        </w:rPr>
        <w:t>’</w:t>
      </w:r>
      <w:r w:rsidR="00C72645">
        <w:rPr>
          <w:rFonts w:ascii="Arial" w:hAnsi="Arial" w:cs="Arial"/>
          <w:color w:val="000000"/>
          <w:sz w:val="20"/>
        </w:rPr>
        <w:t>s</w:t>
      </w:r>
      <w:r w:rsidR="00FB6D2C">
        <w:rPr>
          <w:rFonts w:ascii="Arial" w:hAnsi="Arial" w:cs="Arial"/>
          <w:color w:val="000000"/>
          <w:sz w:val="20"/>
        </w:rPr>
        <w:t xml:space="preserve"> (Child Protection) Practice Leader M-NG oversee each court case to ensure it continues to progress.</w:t>
      </w:r>
    </w:p>
    <w:p w14:paraId="1EBA9D31" w14:textId="77777777" w:rsidR="003155E1"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emotional and practical support provided to families</w:t>
      </w:r>
      <w:r>
        <w:rPr>
          <w:rFonts w:ascii="Arial" w:hAnsi="Arial" w:cs="Arial"/>
          <w:color w:val="000000"/>
          <w:sz w:val="20"/>
        </w:rPr>
        <w:t xml:space="preserve"> by the</w:t>
      </w:r>
      <w:r w:rsidR="00813A34">
        <w:rPr>
          <w:rFonts w:ascii="Arial" w:hAnsi="Arial" w:cs="Arial"/>
          <w:color w:val="000000"/>
          <w:sz w:val="20"/>
        </w:rPr>
        <w:t>se</w:t>
      </w:r>
      <w:r>
        <w:rPr>
          <w:rFonts w:ascii="Arial" w:hAnsi="Arial" w:cs="Arial"/>
          <w:color w:val="000000"/>
          <w:sz w:val="20"/>
        </w:rPr>
        <w:t xml:space="preserve"> </w:t>
      </w:r>
      <w:r w:rsidR="00813A34">
        <w:rPr>
          <w:rFonts w:ascii="Arial" w:hAnsi="Arial" w:cs="Arial"/>
          <w:color w:val="000000"/>
          <w:sz w:val="20"/>
        </w:rPr>
        <w:t>three</w:t>
      </w:r>
      <w:r w:rsidR="00FB6D2C">
        <w:rPr>
          <w:rFonts w:ascii="Arial" w:hAnsi="Arial" w:cs="Arial"/>
          <w:color w:val="000000"/>
          <w:sz w:val="20"/>
        </w:rPr>
        <w:t xml:space="preserve"> </w:t>
      </w:r>
      <w:r w:rsidR="00813A34">
        <w:rPr>
          <w:rFonts w:ascii="Arial" w:hAnsi="Arial" w:cs="Arial"/>
          <w:color w:val="000000"/>
          <w:sz w:val="20"/>
        </w:rPr>
        <w:t>Court</w:t>
      </w:r>
      <w:r w:rsidR="00FB6D2C">
        <w:rPr>
          <w:rFonts w:ascii="Arial" w:hAnsi="Arial" w:cs="Arial"/>
          <w:color w:val="000000"/>
          <w:sz w:val="20"/>
        </w:rPr>
        <w:t xml:space="preserve"> officers </w:t>
      </w:r>
      <w:r w:rsidR="00813A34">
        <w:rPr>
          <w:rFonts w:ascii="Arial" w:hAnsi="Arial" w:cs="Arial"/>
          <w:color w:val="000000"/>
          <w:sz w:val="20"/>
        </w:rPr>
        <w:t xml:space="preserve">is of central importance </w:t>
      </w:r>
      <w:r w:rsidR="001A5C38">
        <w:rPr>
          <w:rFonts w:ascii="Arial" w:hAnsi="Arial" w:cs="Arial"/>
          <w:color w:val="000000"/>
          <w:sz w:val="20"/>
        </w:rPr>
        <w:t>to</w:t>
      </w:r>
      <w:r w:rsidR="00813A34">
        <w:rPr>
          <w:rFonts w:ascii="Arial" w:hAnsi="Arial" w:cs="Arial"/>
          <w:color w:val="000000"/>
          <w:sz w:val="20"/>
        </w:rPr>
        <w:t xml:space="preserve"> the Program and </w:t>
      </w:r>
      <w:r>
        <w:rPr>
          <w:rFonts w:ascii="Arial" w:hAnsi="Arial" w:cs="Arial"/>
          <w:color w:val="000000"/>
          <w:sz w:val="20"/>
        </w:rPr>
        <w:t>ensures that families are supported at each step of the process.  Such support includes home visits when required, support to access services and comply with court orders (for example, helping parents enrol children in school) and encouragement to parents to attend court.</w:t>
      </w:r>
    </w:p>
    <w:p w14:paraId="782D23EF" w14:textId="77777777" w:rsidR="00AA3936" w:rsidRPr="00AA3936" w:rsidRDefault="003155E1">
      <w:pPr>
        <w:numPr>
          <w:ilvl w:val="0"/>
          <w:numId w:val="41"/>
        </w:numPr>
        <w:ind w:left="357" w:hanging="357"/>
        <w:jc w:val="both"/>
        <w:rPr>
          <w:rFonts w:ascii="Arial" w:hAnsi="Arial" w:cs="Arial"/>
          <w:color w:val="000000"/>
          <w:sz w:val="20"/>
        </w:rPr>
      </w:pPr>
      <w:r w:rsidRPr="001A5C38">
        <w:rPr>
          <w:rFonts w:ascii="Arial" w:hAnsi="Arial" w:cs="Arial"/>
          <w:b/>
          <w:bCs/>
          <w:color w:val="000000"/>
          <w:sz w:val="20"/>
        </w:rPr>
        <w:t xml:space="preserve">The </w:t>
      </w:r>
      <w:r w:rsidRPr="00112297">
        <w:rPr>
          <w:rFonts w:ascii="Arial" w:hAnsi="Arial" w:cs="Arial"/>
          <w:b/>
          <w:bCs/>
          <w:color w:val="000000"/>
          <w:sz w:val="20"/>
        </w:rPr>
        <w:t>informal nature of the hearings</w:t>
      </w:r>
      <w:r w:rsidRPr="00AA3936">
        <w:rPr>
          <w:rFonts w:ascii="Arial" w:hAnsi="Arial" w:cs="Arial"/>
          <w:color w:val="000000"/>
          <w:sz w:val="20"/>
        </w:rPr>
        <w:t xml:space="preserve"> – with everyone sitting at the bar table</w:t>
      </w:r>
      <w:r w:rsidR="008D0BD2">
        <w:rPr>
          <w:rFonts w:ascii="Arial" w:hAnsi="Arial" w:cs="Arial"/>
          <w:color w:val="000000"/>
          <w:sz w:val="20"/>
        </w:rPr>
        <w:t xml:space="preserve"> in an adapted court setting</w:t>
      </w:r>
      <w:r w:rsidRPr="00AA3936">
        <w:rPr>
          <w:rFonts w:ascii="Arial" w:hAnsi="Arial" w:cs="Arial"/>
          <w:color w:val="000000"/>
          <w:sz w:val="20"/>
        </w:rPr>
        <w:t xml:space="preserve"> – encourages all the participants </w:t>
      </w:r>
      <w:r w:rsidR="00062A4F" w:rsidRPr="00AA3936">
        <w:rPr>
          <w:rFonts w:ascii="Arial" w:hAnsi="Arial" w:cs="Arial"/>
          <w:color w:val="000000"/>
          <w:sz w:val="20"/>
        </w:rPr>
        <w:t xml:space="preserve">– parents, children, extended family members, child protection practitioners, family support services and lawyers – </w:t>
      </w:r>
      <w:r w:rsidRPr="00AA3936">
        <w:rPr>
          <w:rFonts w:ascii="Arial" w:hAnsi="Arial" w:cs="Arial"/>
          <w:color w:val="000000"/>
          <w:sz w:val="20"/>
        </w:rPr>
        <w:t>to</w:t>
      </w:r>
      <w:r w:rsidR="00062A4F" w:rsidRPr="00AA3936">
        <w:rPr>
          <w:rFonts w:ascii="Arial" w:hAnsi="Arial" w:cs="Arial"/>
          <w:color w:val="000000"/>
          <w:sz w:val="20"/>
        </w:rPr>
        <w:t xml:space="preserve"> </w:t>
      </w:r>
      <w:r w:rsidRPr="00AA3936">
        <w:rPr>
          <w:rFonts w:ascii="Arial" w:hAnsi="Arial" w:cs="Arial"/>
          <w:color w:val="000000"/>
          <w:sz w:val="20"/>
        </w:rPr>
        <w:t xml:space="preserve">speak freely </w:t>
      </w:r>
      <w:r w:rsidR="00062A4F" w:rsidRPr="00AA3936">
        <w:rPr>
          <w:rFonts w:ascii="Arial" w:hAnsi="Arial" w:cs="Arial"/>
          <w:color w:val="000000"/>
          <w:sz w:val="20"/>
        </w:rPr>
        <w:t>with</w:t>
      </w:r>
      <w:r w:rsidRPr="00AA3936">
        <w:rPr>
          <w:rFonts w:ascii="Arial" w:hAnsi="Arial" w:cs="Arial"/>
          <w:color w:val="000000"/>
          <w:sz w:val="20"/>
        </w:rPr>
        <w:t xml:space="preserve"> the judicial officer</w:t>
      </w:r>
      <w:r w:rsidR="00062A4F" w:rsidRPr="00AA3936">
        <w:rPr>
          <w:rFonts w:ascii="Arial" w:hAnsi="Arial" w:cs="Arial"/>
          <w:color w:val="000000"/>
          <w:sz w:val="20"/>
        </w:rPr>
        <w:t xml:space="preserve"> in a conversational manner.</w:t>
      </w:r>
      <w:r w:rsidR="00AA3936" w:rsidRPr="00AA3936">
        <w:rPr>
          <w:rFonts w:ascii="Arial" w:hAnsi="Arial" w:cs="Arial"/>
          <w:color w:val="000000"/>
          <w:sz w:val="20"/>
        </w:rPr>
        <w:t xml:space="preserve">  The judicial officer adopts an encouraging and empathetic approach to the conduct of hearings and </w:t>
      </w:r>
      <w:r w:rsidR="00706F2C">
        <w:rPr>
          <w:rFonts w:ascii="Arial" w:hAnsi="Arial" w:cs="Arial"/>
          <w:color w:val="000000"/>
          <w:sz w:val="20"/>
        </w:rPr>
        <w:t xml:space="preserve">to </w:t>
      </w:r>
      <w:r w:rsidR="00AA3936" w:rsidRPr="00AA3936">
        <w:rPr>
          <w:rFonts w:ascii="Arial" w:hAnsi="Arial" w:cs="Arial"/>
          <w:color w:val="000000"/>
          <w:sz w:val="20"/>
        </w:rPr>
        <w:t>communicati</w:t>
      </w:r>
      <w:r w:rsidR="00706F2C">
        <w:rPr>
          <w:rFonts w:ascii="Arial" w:hAnsi="Arial" w:cs="Arial"/>
          <w:color w:val="000000"/>
          <w:sz w:val="20"/>
        </w:rPr>
        <w:t>on</w:t>
      </w:r>
      <w:r w:rsidR="00AA3936" w:rsidRPr="00AA3936">
        <w:rPr>
          <w:rFonts w:ascii="Arial" w:hAnsi="Arial" w:cs="Arial"/>
          <w:color w:val="000000"/>
          <w:sz w:val="20"/>
        </w:rPr>
        <w:t xml:space="preserve"> with families.</w:t>
      </w:r>
    </w:p>
    <w:p w14:paraId="76C87E6F" w14:textId="3EEC7159" w:rsidR="00062A4F" w:rsidRDefault="00062A4F">
      <w:pPr>
        <w:numPr>
          <w:ilvl w:val="0"/>
          <w:numId w:val="41"/>
        </w:numPr>
        <w:ind w:left="357" w:hanging="357"/>
        <w:jc w:val="both"/>
        <w:rPr>
          <w:rFonts w:ascii="Arial" w:hAnsi="Arial" w:cs="Arial"/>
          <w:color w:val="000000"/>
          <w:sz w:val="20"/>
        </w:rPr>
      </w:pPr>
      <w:r w:rsidRPr="00FB6D2C">
        <w:rPr>
          <w:rFonts w:ascii="Arial" w:hAnsi="Arial" w:cs="Arial"/>
          <w:b/>
          <w:bCs/>
          <w:color w:val="000000"/>
          <w:sz w:val="20"/>
        </w:rPr>
        <w:t>Fewer cases</w:t>
      </w:r>
      <w:r>
        <w:rPr>
          <w:rFonts w:ascii="Arial" w:hAnsi="Arial" w:cs="Arial"/>
          <w:color w:val="000000"/>
          <w:sz w:val="20"/>
        </w:rPr>
        <w:t xml:space="preserve"> (typically 10-12) are listed on a Marram-Ngala Ganbu court day than in a mainstream mention court (typically 30-50), allowing more time for each case, giving all </w:t>
      </w:r>
      <w:r w:rsidR="00AA3936">
        <w:rPr>
          <w:rFonts w:ascii="Arial" w:hAnsi="Arial" w:cs="Arial"/>
          <w:color w:val="000000"/>
          <w:sz w:val="20"/>
        </w:rPr>
        <w:t>participants</w:t>
      </w:r>
      <w:r>
        <w:rPr>
          <w:rFonts w:ascii="Arial" w:hAnsi="Arial" w:cs="Arial"/>
          <w:color w:val="000000"/>
          <w:sz w:val="20"/>
        </w:rPr>
        <w:t xml:space="preserve"> a better opportunity to be heard and enabling hearings to be conducted in a way that is less adversarial and more collaborative.  The hearings focus on finding mutually agreeable solutions and place high value on decisions reached in Aboriginal Family-Led Decision Making meetings.</w:t>
      </w:r>
    </w:p>
    <w:p w14:paraId="04A756D9" w14:textId="77777777" w:rsidR="00062A4F" w:rsidRPr="00F51496" w:rsidRDefault="00062A4F">
      <w:pPr>
        <w:numPr>
          <w:ilvl w:val="0"/>
          <w:numId w:val="41"/>
        </w:numPr>
        <w:ind w:left="357" w:hanging="357"/>
        <w:jc w:val="both"/>
        <w:rPr>
          <w:rFonts w:ascii="Arial" w:hAnsi="Arial" w:cs="Arial"/>
          <w:color w:val="000000"/>
          <w:sz w:val="20"/>
        </w:rPr>
      </w:pPr>
      <w:r>
        <w:rPr>
          <w:rFonts w:ascii="Arial" w:hAnsi="Arial" w:cs="Arial"/>
          <w:color w:val="000000"/>
          <w:sz w:val="20"/>
        </w:rPr>
        <w:t xml:space="preserve">There is a strong </w:t>
      </w:r>
      <w:r w:rsidR="00813A34">
        <w:rPr>
          <w:rFonts w:ascii="Arial" w:hAnsi="Arial" w:cs="Arial"/>
          <w:color w:val="000000"/>
          <w:sz w:val="20"/>
        </w:rPr>
        <w:t>emphasis</w:t>
      </w:r>
      <w:r>
        <w:rPr>
          <w:rFonts w:ascii="Arial" w:hAnsi="Arial" w:cs="Arial"/>
          <w:color w:val="000000"/>
          <w:sz w:val="20"/>
        </w:rPr>
        <w:t xml:space="preserve"> on ensuring that families’ needs and protective concerns are identified early and that referrals are made to appropriate Aboriginal-controlled services.</w:t>
      </w:r>
      <w:r w:rsidR="00AA3936">
        <w:rPr>
          <w:rFonts w:ascii="Arial" w:hAnsi="Arial" w:cs="Arial"/>
          <w:color w:val="000000"/>
          <w:sz w:val="20"/>
        </w:rPr>
        <w:t xml:space="preserve">  Services working with families are also invited to participate in hearings and provide input about families’ progress and needs.</w:t>
      </w:r>
    </w:p>
    <w:p w14:paraId="22BB7350" w14:textId="77777777" w:rsidR="00705C9E" w:rsidRPr="00816B30" w:rsidRDefault="00705C9E" w:rsidP="00816B30">
      <w:pPr>
        <w:jc w:val="both"/>
        <w:rPr>
          <w:rFonts w:ascii="Arial" w:hAnsi="Arial" w:cs="Arial"/>
          <w:sz w:val="20"/>
        </w:rPr>
      </w:pPr>
    </w:p>
    <w:p w14:paraId="0C438B8C" w14:textId="77777777" w:rsidR="008534CC" w:rsidRDefault="008628E2" w:rsidP="00AA3936">
      <w:pPr>
        <w:jc w:val="both"/>
        <w:rPr>
          <w:rFonts w:ascii="Arial" w:hAnsi="Arial" w:cs="Arial"/>
          <w:color w:val="000000"/>
          <w:sz w:val="20"/>
        </w:rPr>
      </w:pPr>
      <w:r w:rsidRPr="00816B30">
        <w:rPr>
          <w:rFonts w:ascii="Arial" w:hAnsi="Arial" w:cs="Arial"/>
          <w:sz w:val="20"/>
        </w:rPr>
        <w:t xml:space="preserve">Following an independent evaluation of Marram-Ngala Ganbu in 2019, the Koori Family Hearing day was expanded to </w:t>
      </w:r>
      <w:r w:rsidR="00816B30" w:rsidRPr="00816B30">
        <w:rPr>
          <w:rFonts w:ascii="Arial" w:hAnsi="Arial" w:cs="Arial"/>
          <w:sz w:val="20"/>
        </w:rPr>
        <w:t xml:space="preserve">the </w:t>
      </w:r>
      <w:r w:rsidR="008534CC">
        <w:rPr>
          <w:rFonts w:ascii="Arial" w:hAnsi="Arial" w:cs="Arial"/>
          <w:sz w:val="20"/>
        </w:rPr>
        <w:t xml:space="preserve">Shepparton </w:t>
      </w:r>
      <w:r w:rsidR="00816B30" w:rsidRPr="00816B30">
        <w:rPr>
          <w:rFonts w:ascii="Arial" w:hAnsi="Arial" w:cs="Arial"/>
          <w:sz w:val="20"/>
        </w:rPr>
        <w:t>Children’s Court in February 2021.</w:t>
      </w:r>
      <w:r w:rsidR="00816B30">
        <w:rPr>
          <w:rFonts w:ascii="Arial" w:hAnsi="Arial" w:cs="Arial"/>
          <w:sz w:val="20"/>
        </w:rPr>
        <w:t xml:space="preserve">  The </w:t>
      </w:r>
      <w:r w:rsidR="00AA3936">
        <w:rPr>
          <w:rFonts w:ascii="Arial" w:hAnsi="Arial" w:cs="Arial"/>
          <w:color w:val="000000"/>
          <w:sz w:val="20"/>
        </w:rPr>
        <w:t xml:space="preserve">Marram-Ngala Ganbu Court sits </w:t>
      </w:r>
      <w:r w:rsidR="00FB6D2C">
        <w:rPr>
          <w:rFonts w:ascii="Arial" w:hAnsi="Arial" w:cs="Arial"/>
          <w:color w:val="000000"/>
          <w:sz w:val="20"/>
        </w:rPr>
        <w:t>weekly</w:t>
      </w:r>
      <w:r w:rsidR="00816B30">
        <w:rPr>
          <w:rFonts w:ascii="Arial" w:hAnsi="Arial" w:cs="Arial"/>
          <w:color w:val="000000"/>
          <w:sz w:val="20"/>
        </w:rPr>
        <w:t xml:space="preserve"> at Broadmeadows and on one day every 3 weeks at Shepparton</w:t>
      </w:r>
      <w:r w:rsidR="00AA3936">
        <w:rPr>
          <w:rFonts w:ascii="Arial" w:hAnsi="Arial" w:cs="Arial"/>
          <w:color w:val="000000"/>
          <w:sz w:val="20"/>
        </w:rPr>
        <w:t xml:space="preserve">.  </w:t>
      </w:r>
      <w:r w:rsidR="008534CC">
        <w:rPr>
          <w:rFonts w:ascii="Arial" w:hAnsi="Arial" w:cs="Arial"/>
          <w:color w:val="000000"/>
          <w:sz w:val="20"/>
        </w:rPr>
        <w:t>Save that i</w:t>
      </w:r>
      <w:r w:rsidR="00FB6D2C">
        <w:rPr>
          <w:rFonts w:ascii="Arial" w:hAnsi="Arial" w:cs="Arial"/>
          <w:color w:val="000000"/>
          <w:sz w:val="20"/>
        </w:rPr>
        <w:t>t does not hear contested cases</w:t>
      </w:r>
      <w:r w:rsidR="008534CC">
        <w:rPr>
          <w:rFonts w:ascii="Arial" w:hAnsi="Arial" w:cs="Arial"/>
          <w:color w:val="000000"/>
          <w:sz w:val="20"/>
        </w:rPr>
        <w:t>, every family with a Koori child whose case is listed at Broadmeadows or Shepparton Children’s Courts is heard at MNG unless the family wishes to opt out</w:t>
      </w:r>
      <w:r w:rsidR="00FB6D2C">
        <w:rPr>
          <w:rFonts w:ascii="Arial" w:hAnsi="Arial" w:cs="Arial"/>
          <w:color w:val="000000"/>
          <w:sz w:val="20"/>
        </w:rPr>
        <w:t>.</w:t>
      </w:r>
    </w:p>
    <w:p w14:paraId="164D3847" w14:textId="77777777" w:rsidR="008534CC" w:rsidRDefault="008534CC" w:rsidP="00AA3936">
      <w:pPr>
        <w:jc w:val="both"/>
        <w:rPr>
          <w:rFonts w:ascii="Arial" w:hAnsi="Arial" w:cs="Arial"/>
          <w:color w:val="000000"/>
          <w:sz w:val="20"/>
        </w:rPr>
      </w:pPr>
    </w:p>
    <w:p w14:paraId="2B74BB09" w14:textId="77777777" w:rsidR="00816B30" w:rsidRDefault="00816B30" w:rsidP="00AA3936">
      <w:pPr>
        <w:jc w:val="both"/>
        <w:rPr>
          <w:rFonts w:ascii="Arial" w:hAnsi="Arial" w:cs="Arial"/>
          <w:sz w:val="20"/>
          <w:szCs w:val="20"/>
        </w:rPr>
      </w:pPr>
      <w:r>
        <w:rPr>
          <w:rFonts w:ascii="Arial" w:hAnsi="Arial" w:cs="Arial"/>
          <w:color w:val="000000"/>
          <w:sz w:val="20"/>
        </w:rPr>
        <w:t xml:space="preserve">The Koori Services Coordinator (KSC) is </w:t>
      </w:r>
      <w:r w:rsidRPr="00816B30">
        <w:rPr>
          <w:rFonts w:ascii="Arial" w:hAnsi="Arial" w:cs="Arial"/>
          <w:sz w:val="20"/>
          <w:szCs w:val="20"/>
        </w:rPr>
        <w:t xml:space="preserve">responsible for co-ordination of the Koori Family Hearing Day. The KSC </w:t>
      </w:r>
      <w:r w:rsidR="008534CC">
        <w:rPr>
          <w:rFonts w:ascii="Arial" w:hAnsi="Arial" w:cs="Arial"/>
          <w:sz w:val="20"/>
          <w:szCs w:val="20"/>
        </w:rPr>
        <w:t xml:space="preserve">is </w:t>
      </w:r>
      <w:r w:rsidRPr="00816B30">
        <w:rPr>
          <w:rFonts w:ascii="Arial" w:hAnsi="Arial" w:cs="Arial"/>
          <w:sz w:val="20"/>
          <w:szCs w:val="20"/>
        </w:rPr>
        <w:t>the contact point for Koori children and their families and will provide information and referrals to relevant services in collaboration with child protection, including culturally appropriate support programs and legal services. The KSC aims to assist Koori children and families to participate fully in culturally appropriate court processes.</w:t>
      </w:r>
    </w:p>
    <w:p w14:paraId="3838076F" w14:textId="77777777" w:rsidR="00816B30" w:rsidRDefault="00816B30" w:rsidP="00AA3936">
      <w:pPr>
        <w:jc w:val="both"/>
        <w:rPr>
          <w:rFonts w:ascii="Arial" w:hAnsi="Arial" w:cs="Arial"/>
          <w:sz w:val="20"/>
          <w:szCs w:val="20"/>
        </w:rPr>
      </w:pPr>
    </w:p>
    <w:p w14:paraId="58820BE2" w14:textId="77777777" w:rsidR="00816B30" w:rsidRDefault="00816B30" w:rsidP="00AA3936">
      <w:pPr>
        <w:jc w:val="both"/>
        <w:rPr>
          <w:rFonts w:ascii="Arial" w:hAnsi="Arial" w:cs="Arial"/>
          <w:sz w:val="20"/>
          <w:szCs w:val="20"/>
        </w:rPr>
      </w:pPr>
      <w:r w:rsidRPr="00816B30">
        <w:rPr>
          <w:rFonts w:ascii="Arial" w:hAnsi="Arial" w:cs="Arial"/>
          <w:sz w:val="20"/>
          <w:szCs w:val="20"/>
        </w:rPr>
        <w:t>Subject to the direction of the presiding judicial officer</w:t>
      </w:r>
      <w:r>
        <w:rPr>
          <w:rFonts w:ascii="Arial" w:hAnsi="Arial" w:cs="Arial"/>
          <w:sz w:val="20"/>
          <w:szCs w:val="20"/>
        </w:rPr>
        <w:t>:</w:t>
      </w:r>
    </w:p>
    <w:p w14:paraId="100EBFC9"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 xml:space="preserve">proceedings </w:t>
      </w:r>
      <w:r w:rsidR="00C75E68">
        <w:rPr>
          <w:rFonts w:ascii="Arial" w:hAnsi="Arial" w:cs="Arial"/>
          <w:sz w:val="20"/>
          <w:szCs w:val="20"/>
        </w:rPr>
        <w:t>i</w:t>
      </w:r>
      <w:r w:rsidRPr="00816B30">
        <w:rPr>
          <w:rFonts w:ascii="Arial" w:hAnsi="Arial" w:cs="Arial"/>
          <w:sz w:val="20"/>
          <w:szCs w:val="20"/>
        </w:rPr>
        <w:t xml:space="preserve">n the Koori Family Hearing Day </w:t>
      </w:r>
      <w:r>
        <w:rPr>
          <w:rFonts w:ascii="Arial" w:hAnsi="Arial" w:cs="Arial"/>
          <w:sz w:val="20"/>
          <w:szCs w:val="20"/>
        </w:rPr>
        <w:t xml:space="preserve">are </w:t>
      </w:r>
      <w:r w:rsidRPr="00816B30">
        <w:rPr>
          <w:rFonts w:ascii="Arial" w:hAnsi="Arial" w:cs="Arial"/>
          <w:sz w:val="20"/>
          <w:szCs w:val="20"/>
        </w:rPr>
        <w:t>conducted at the bar table where all participants are seated</w:t>
      </w:r>
      <w:r>
        <w:rPr>
          <w:rFonts w:ascii="Arial" w:hAnsi="Arial" w:cs="Arial"/>
          <w:sz w:val="20"/>
          <w:szCs w:val="20"/>
        </w:rPr>
        <w:t>; however, d</w:t>
      </w:r>
      <w:r w:rsidRPr="00816B30">
        <w:rPr>
          <w:rFonts w:ascii="Arial" w:hAnsi="Arial" w:cs="Arial"/>
          <w:sz w:val="20"/>
          <w:szCs w:val="20"/>
        </w:rPr>
        <w:t>ue to COVID-19 restrictions some or all the parties and service providers may be required to appear by audio visual link</w:t>
      </w:r>
      <w:r>
        <w:rPr>
          <w:rFonts w:ascii="Arial" w:hAnsi="Arial" w:cs="Arial"/>
          <w:sz w:val="20"/>
          <w:szCs w:val="20"/>
        </w:rPr>
        <w:t>;</w:t>
      </w:r>
    </w:p>
    <w:p w14:paraId="20E03DF7" w14:textId="77777777" w:rsidR="00816B30" w:rsidRPr="00816B30" w:rsidRDefault="00816B30">
      <w:pPr>
        <w:numPr>
          <w:ilvl w:val="0"/>
          <w:numId w:val="45"/>
        </w:numPr>
        <w:ind w:left="357" w:hanging="357"/>
        <w:jc w:val="both"/>
        <w:rPr>
          <w:rFonts w:ascii="Arial" w:hAnsi="Arial" w:cs="Arial"/>
          <w:color w:val="000000"/>
          <w:sz w:val="20"/>
        </w:rPr>
      </w:pPr>
      <w:r w:rsidRPr="00816B30">
        <w:rPr>
          <w:rFonts w:ascii="Arial" w:hAnsi="Arial" w:cs="Arial"/>
          <w:sz w:val="20"/>
          <w:szCs w:val="20"/>
        </w:rPr>
        <w:t>participants in the Koori Family Hearing Day will include the parties and their legal representatives, the case worker, a Lakidjeka/ACSASS4 worker and, where appropriate, the KSC and representatives from service providers utilised by the child or family</w:t>
      </w:r>
      <w:r w:rsidR="00517EC1">
        <w:rPr>
          <w:rFonts w:ascii="Arial" w:hAnsi="Arial" w:cs="Arial"/>
          <w:sz w:val="20"/>
          <w:szCs w:val="20"/>
        </w:rPr>
        <w:t>; the Lakidjeka Aboriginal Child Specialist Advice and Support Service (ACSASS) program provides culturally appropriate advice and consultation on decisions that determine the future of at-risk Aboriginal children.</w:t>
      </w:r>
    </w:p>
    <w:p w14:paraId="55B5EC32" w14:textId="77777777" w:rsidR="00816B30" w:rsidRPr="00816B30" w:rsidRDefault="00816B30" w:rsidP="00816B30">
      <w:pPr>
        <w:jc w:val="both"/>
        <w:rPr>
          <w:rFonts w:ascii="Arial" w:hAnsi="Arial" w:cs="Arial"/>
          <w:color w:val="000000"/>
          <w:sz w:val="20"/>
        </w:rPr>
      </w:pPr>
    </w:p>
    <w:p w14:paraId="3F330E3C" w14:textId="03BDE67E" w:rsidR="00816B30" w:rsidRDefault="00816B30" w:rsidP="00816B30">
      <w:pPr>
        <w:jc w:val="both"/>
        <w:rPr>
          <w:rFonts w:ascii="Arial" w:hAnsi="Arial" w:cs="Arial"/>
          <w:color w:val="000000"/>
          <w:sz w:val="20"/>
        </w:rPr>
      </w:pPr>
      <w:r w:rsidRPr="00816B30">
        <w:rPr>
          <w:rFonts w:ascii="Arial" w:hAnsi="Arial" w:cs="Arial"/>
          <w:sz w:val="20"/>
          <w:szCs w:val="20"/>
        </w:rPr>
        <w:t xml:space="preserve">Where practicable, child protection applications heard in the Koori Family Hearing Day </w:t>
      </w:r>
      <w:r>
        <w:rPr>
          <w:rFonts w:ascii="Arial" w:hAnsi="Arial" w:cs="Arial"/>
          <w:sz w:val="20"/>
          <w:szCs w:val="20"/>
        </w:rPr>
        <w:t>are</w:t>
      </w:r>
      <w:r w:rsidRPr="00816B30">
        <w:rPr>
          <w:rFonts w:ascii="Arial" w:hAnsi="Arial" w:cs="Arial"/>
          <w:sz w:val="20"/>
          <w:szCs w:val="20"/>
        </w:rPr>
        <w:t xml:space="preserve"> listed before the one judicial officer. </w:t>
      </w:r>
    </w:p>
    <w:p w14:paraId="24B5E5FF" w14:textId="77777777" w:rsidR="00816B30" w:rsidRDefault="00816B30" w:rsidP="00AA3936">
      <w:pPr>
        <w:jc w:val="both"/>
        <w:rPr>
          <w:rFonts w:ascii="Arial" w:hAnsi="Arial" w:cs="Arial"/>
          <w:color w:val="000000"/>
          <w:sz w:val="20"/>
        </w:rPr>
      </w:pPr>
    </w:p>
    <w:p w14:paraId="71452513" w14:textId="77777777" w:rsidR="0091415A" w:rsidRDefault="00E5421A" w:rsidP="00775B9E">
      <w:pPr>
        <w:spacing w:after="120"/>
        <w:jc w:val="both"/>
        <w:rPr>
          <w:rFonts w:ascii="Arial" w:hAnsi="Arial" w:cs="Arial"/>
          <w:color w:val="000000"/>
          <w:sz w:val="20"/>
        </w:rPr>
      </w:pPr>
      <w:r>
        <w:rPr>
          <w:rFonts w:ascii="Arial" w:hAnsi="Arial" w:cs="Arial"/>
          <w:color w:val="000000"/>
          <w:sz w:val="20"/>
        </w:rPr>
        <w:t>Between</w:t>
      </w:r>
      <w:r w:rsidR="00AA3936">
        <w:rPr>
          <w:rFonts w:ascii="Arial" w:hAnsi="Arial" w:cs="Arial"/>
          <w:color w:val="000000"/>
          <w:sz w:val="20"/>
        </w:rPr>
        <w:t xml:space="preserve"> its launch on 25 August 2016 </w:t>
      </w:r>
      <w:r>
        <w:rPr>
          <w:rFonts w:ascii="Arial" w:hAnsi="Arial" w:cs="Arial"/>
          <w:color w:val="000000"/>
          <w:sz w:val="20"/>
        </w:rPr>
        <w:t xml:space="preserve">and 25 July 2019 </w:t>
      </w:r>
      <w:r w:rsidR="00816B30">
        <w:rPr>
          <w:rFonts w:ascii="Arial" w:hAnsi="Arial" w:cs="Arial"/>
          <w:color w:val="000000"/>
          <w:sz w:val="20"/>
        </w:rPr>
        <w:t xml:space="preserve">the Marram-Ngala Ganbu Court </w:t>
      </w:r>
      <w:r>
        <w:rPr>
          <w:rFonts w:ascii="Arial" w:hAnsi="Arial" w:cs="Arial"/>
          <w:color w:val="000000"/>
          <w:sz w:val="20"/>
        </w:rPr>
        <w:t>dealt with</w:t>
      </w:r>
      <w:r w:rsidR="00AA3936">
        <w:rPr>
          <w:rFonts w:ascii="Arial" w:hAnsi="Arial" w:cs="Arial"/>
          <w:color w:val="000000"/>
          <w:sz w:val="20"/>
        </w:rPr>
        <w:t xml:space="preserve"> 380 cases, comprising 16½% of all </w:t>
      </w:r>
      <w:r w:rsidR="001A5C38">
        <w:rPr>
          <w:rFonts w:ascii="Arial" w:hAnsi="Arial" w:cs="Arial"/>
          <w:color w:val="000000"/>
          <w:sz w:val="20"/>
        </w:rPr>
        <w:t xml:space="preserve">Family Division </w:t>
      </w:r>
      <w:r w:rsidR="00AA3936">
        <w:rPr>
          <w:rFonts w:ascii="Arial" w:hAnsi="Arial" w:cs="Arial"/>
          <w:color w:val="000000"/>
          <w:sz w:val="20"/>
        </w:rPr>
        <w:t xml:space="preserve">cases </w:t>
      </w:r>
      <w:r w:rsidR="00706F2C">
        <w:rPr>
          <w:rFonts w:ascii="Arial" w:hAnsi="Arial" w:cs="Arial"/>
          <w:color w:val="000000"/>
          <w:sz w:val="20"/>
        </w:rPr>
        <w:t>liste</w:t>
      </w:r>
      <w:r w:rsidR="00AA3936">
        <w:rPr>
          <w:rFonts w:ascii="Arial" w:hAnsi="Arial" w:cs="Arial"/>
          <w:color w:val="000000"/>
          <w:sz w:val="20"/>
        </w:rPr>
        <w:t>d at Broadmeadows Children’s Court</w:t>
      </w:r>
      <w:r w:rsidR="006858AB">
        <w:rPr>
          <w:rFonts w:ascii="Arial" w:hAnsi="Arial" w:cs="Arial"/>
          <w:color w:val="000000"/>
          <w:sz w:val="20"/>
        </w:rPr>
        <w:t xml:space="preserve"> in that period.</w:t>
      </w:r>
      <w:r w:rsidR="008534CC">
        <w:rPr>
          <w:rFonts w:ascii="Arial" w:hAnsi="Arial" w:cs="Arial"/>
          <w:color w:val="000000"/>
          <w:sz w:val="20"/>
        </w:rPr>
        <w:t xml:space="preserve">  </w:t>
      </w:r>
      <w:r w:rsidR="000E260E">
        <w:rPr>
          <w:rFonts w:ascii="Arial" w:hAnsi="Arial" w:cs="Arial"/>
          <w:color w:val="000000"/>
          <w:sz w:val="20"/>
        </w:rPr>
        <w:t xml:space="preserve">The MNG statistics since 2019/20 are </w:t>
      </w:r>
      <w:r w:rsidR="00C445B6">
        <w:rPr>
          <w:rFonts w:ascii="Arial" w:hAnsi="Arial" w:cs="Arial"/>
          <w:color w:val="000000"/>
          <w:sz w:val="20"/>
        </w:rPr>
        <w:t>set out below.</w:t>
      </w:r>
      <w:r w:rsidR="006212DA">
        <w:rPr>
          <w:rFonts w:ascii="Arial" w:hAnsi="Arial" w:cs="Arial"/>
          <w:color w:val="000000"/>
          <w:sz w:val="20"/>
        </w:rPr>
        <w:t xml:space="preserve">  *Multiple children in the one family are counted as one family hearing.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80"/>
        <w:gridCol w:w="1396"/>
        <w:gridCol w:w="1375"/>
        <w:gridCol w:w="1381"/>
        <w:gridCol w:w="1396"/>
      </w:tblGrid>
      <w:tr w:rsidR="000E260E" w:rsidRPr="00870270" w14:paraId="7544F601" w14:textId="77777777" w:rsidTr="00B361C8">
        <w:tc>
          <w:tcPr>
            <w:tcW w:w="4150" w:type="dxa"/>
            <w:gridSpan w:val="3"/>
            <w:shd w:val="clear" w:color="auto" w:fill="000000"/>
          </w:tcPr>
          <w:p w14:paraId="04AC4803"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lastRenderedPageBreak/>
              <w:t>BROADMEADOWS</w:t>
            </w:r>
          </w:p>
        </w:tc>
        <w:tc>
          <w:tcPr>
            <w:tcW w:w="4152" w:type="dxa"/>
            <w:gridSpan w:val="3"/>
            <w:shd w:val="clear" w:color="auto" w:fill="000000"/>
          </w:tcPr>
          <w:p w14:paraId="6053432D" w14:textId="77777777" w:rsidR="000E260E" w:rsidRPr="00870270" w:rsidRDefault="000E260E" w:rsidP="00B0242D">
            <w:pPr>
              <w:keepNext/>
              <w:keepLines/>
              <w:jc w:val="center"/>
              <w:rPr>
                <w:rFonts w:ascii="Arial" w:hAnsi="Arial" w:cs="Arial"/>
                <w:b/>
                <w:bCs/>
                <w:color w:val="FFFFFF"/>
                <w:sz w:val="22"/>
                <w:szCs w:val="28"/>
              </w:rPr>
            </w:pPr>
            <w:r w:rsidRPr="00870270">
              <w:rPr>
                <w:rFonts w:ascii="Arial" w:hAnsi="Arial" w:cs="Arial"/>
                <w:b/>
                <w:bCs/>
                <w:color w:val="FFFFFF"/>
                <w:sz w:val="22"/>
                <w:szCs w:val="28"/>
              </w:rPr>
              <w:t>SHEPPARTON</w:t>
            </w:r>
          </w:p>
        </w:tc>
      </w:tr>
      <w:tr w:rsidR="00F66746" w:rsidRPr="00870270" w14:paraId="04012EC6" w14:textId="77777777" w:rsidTr="00D567A0">
        <w:tc>
          <w:tcPr>
            <w:tcW w:w="1374" w:type="dxa"/>
            <w:tcBorders>
              <w:left w:val="single" w:sz="12" w:space="0" w:color="auto"/>
              <w:bottom w:val="single" w:sz="12" w:space="0" w:color="auto"/>
            </w:tcBorders>
            <w:shd w:val="clear" w:color="auto" w:fill="DDDDDD"/>
          </w:tcPr>
          <w:p w14:paraId="719E6A57"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0" w:type="dxa"/>
            <w:tcBorders>
              <w:bottom w:val="single" w:sz="12" w:space="0" w:color="auto"/>
              <w:right w:val="nil"/>
            </w:tcBorders>
            <w:shd w:val="clear" w:color="auto" w:fill="DDDDDD"/>
          </w:tcPr>
          <w:p w14:paraId="65626DA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top w:val="nil"/>
              <w:left w:val="nil"/>
              <w:bottom w:val="single" w:sz="12" w:space="0" w:color="auto"/>
              <w:right w:val="single" w:sz="12" w:space="0" w:color="auto"/>
            </w:tcBorders>
            <w:shd w:val="clear" w:color="auto" w:fill="DDDDDD"/>
          </w:tcPr>
          <w:p w14:paraId="0C16C9F0"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 xml:space="preserve">Number of </w:t>
            </w:r>
            <w:r w:rsidR="00C445B6" w:rsidRPr="00870270">
              <w:rPr>
                <w:rFonts w:ascii="Arial" w:hAnsi="Arial" w:cs="Arial"/>
                <w:color w:val="000000"/>
                <w:sz w:val="22"/>
                <w:szCs w:val="28"/>
              </w:rPr>
              <w:t xml:space="preserve">family </w:t>
            </w:r>
            <w:r w:rsidR="000C0319" w:rsidRPr="00870270">
              <w:rPr>
                <w:rFonts w:ascii="Arial" w:hAnsi="Arial" w:cs="Arial"/>
                <w:color w:val="000000"/>
                <w:sz w:val="22"/>
                <w:szCs w:val="28"/>
              </w:rPr>
              <w:t>hearing</w:t>
            </w:r>
            <w:r w:rsidRPr="00870270">
              <w:rPr>
                <w:rFonts w:ascii="Arial" w:hAnsi="Arial" w:cs="Arial"/>
                <w:color w:val="000000"/>
                <w:sz w:val="22"/>
                <w:szCs w:val="28"/>
              </w:rPr>
              <w:t>s</w:t>
            </w:r>
            <w:r w:rsidR="006212DA" w:rsidRPr="00870270">
              <w:rPr>
                <w:rFonts w:ascii="Arial" w:hAnsi="Arial" w:cs="Arial"/>
                <w:color w:val="000000"/>
                <w:sz w:val="22"/>
                <w:szCs w:val="28"/>
              </w:rPr>
              <w:t>*</w:t>
            </w:r>
          </w:p>
        </w:tc>
        <w:tc>
          <w:tcPr>
            <w:tcW w:w="1375" w:type="dxa"/>
            <w:tcBorders>
              <w:left w:val="single" w:sz="12" w:space="0" w:color="auto"/>
              <w:bottom w:val="single" w:sz="12" w:space="0" w:color="auto"/>
            </w:tcBorders>
            <w:shd w:val="clear" w:color="auto" w:fill="DDDDDD"/>
          </w:tcPr>
          <w:p w14:paraId="614DBD39"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Year</w:t>
            </w:r>
          </w:p>
        </w:tc>
        <w:tc>
          <w:tcPr>
            <w:tcW w:w="1381" w:type="dxa"/>
            <w:tcBorders>
              <w:bottom w:val="single" w:sz="12" w:space="0" w:color="auto"/>
            </w:tcBorders>
            <w:shd w:val="clear" w:color="auto" w:fill="DDDDDD"/>
          </w:tcPr>
          <w:p w14:paraId="7E612705"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sittings</w:t>
            </w:r>
          </w:p>
        </w:tc>
        <w:tc>
          <w:tcPr>
            <w:tcW w:w="1396" w:type="dxa"/>
            <w:tcBorders>
              <w:bottom w:val="single" w:sz="12" w:space="0" w:color="auto"/>
              <w:right w:val="single" w:sz="12" w:space="0" w:color="auto"/>
            </w:tcBorders>
            <w:shd w:val="clear" w:color="auto" w:fill="DDDDDD"/>
          </w:tcPr>
          <w:p w14:paraId="7022D98F" w14:textId="77777777" w:rsidR="00F66746" w:rsidRPr="00870270" w:rsidRDefault="00F66746" w:rsidP="00B0242D">
            <w:pPr>
              <w:keepNext/>
              <w:keepLines/>
              <w:jc w:val="center"/>
              <w:rPr>
                <w:rFonts w:ascii="Arial" w:hAnsi="Arial" w:cs="Arial"/>
                <w:color w:val="000000"/>
                <w:sz w:val="22"/>
                <w:szCs w:val="28"/>
              </w:rPr>
            </w:pPr>
            <w:r w:rsidRPr="00870270">
              <w:rPr>
                <w:rFonts w:ascii="Arial" w:hAnsi="Arial" w:cs="Arial"/>
                <w:color w:val="000000"/>
                <w:sz w:val="22"/>
                <w:szCs w:val="28"/>
              </w:rPr>
              <w:t>Number of famil</w:t>
            </w:r>
            <w:r w:rsidR="000C0319" w:rsidRPr="00870270">
              <w:rPr>
                <w:rFonts w:ascii="Arial" w:hAnsi="Arial" w:cs="Arial"/>
                <w:color w:val="000000"/>
                <w:sz w:val="22"/>
                <w:szCs w:val="28"/>
              </w:rPr>
              <w:t>y hearings</w:t>
            </w:r>
            <w:r w:rsidR="006212DA" w:rsidRPr="00870270">
              <w:rPr>
                <w:rFonts w:ascii="Arial" w:hAnsi="Arial" w:cs="Arial"/>
                <w:color w:val="000000"/>
                <w:sz w:val="22"/>
                <w:szCs w:val="28"/>
              </w:rPr>
              <w:t>*</w:t>
            </w:r>
          </w:p>
        </w:tc>
      </w:tr>
      <w:tr w:rsidR="00F66746" w:rsidRPr="00870270" w14:paraId="2069E5B5" w14:textId="77777777" w:rsidTr="00D567A0">
        <w:tc>
          <w:tcPr>
            <w:tcW w:w="1374" w:type="dxa"/>
            <w:tcBorders>
              <w:top w:val="single" w:sz="12" w:space="0" w:color="auto"/>
              <w:left w:val="single" w:sz="12" w:space="0" w:color="auto"/>
            </w:tcBorders>
            <w:shd w:val="clear" w:color="auto" w:fill="auto"/>
          </w:tcPr>
          <w:p w14:paraId="3C6C2418"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0" w:type="dxa"/>
            <w:tcBorders>
              <w:top w:val="single" w:sz="12" w:space="0" w:color="auto"/>
              <w:right w:val="nil"/>
            </w:tcBorders>
            <w:shd w:val="clear" w:color="auto" w:fill="auto"/>
          </w:tcPr>
          <w:p w14:paraId="1BB16F1C"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w:t>
            </w:r>
          </w:p>
        </w:tc>
        <w:tc>
          <w:tcPr>
            <w:tcW w:w="1396" w:type="dxa"/>
            <w:tcBorders>
              <w:top w:val="single" w:sz="12" w:space="0" w:color="auto"/>
              <w:left w:val="nil"/>
              <w:bottom w:val="nil"/>
              <w:right w:val="single" w:sz="12" w:space="0" w:color="auto"/>
            </w:tcBorders>
            <w:shd w:val="clear" w:color="auto" w:fill="auto"/>
          </w:tcPr>
          <w:p w14:paraId="0100361B" w14:textId="77777777" w:rsidR="00F66746" w:rsidRPr="00870270" w:rsidRDefault="006212DA" w:rsidP="00870270">
            <w:pPr>
              <w:jc w:val="center"/>
              <w:rPr>
                <w:rFonts w:ascii="Arial" w:hAnsi="Arial" w:cs="Arial"/>
                <w:color w:val="000000"/>
                <w:sz w:val="20"/>
              </w:rPr>
            </w:pPr>
            <w:r w:rsidRPr="00870270">
              <w:rPr>
                <w:rFonts w:ascii="Arial" w:hAnsi="Arial" w:cs="Arial"/>
                <w:color w:val="000000"/>
                <w:sz w:val="20"/>
              </w:rPr>
              <w:t>502</w:t>
            </w:r>
          </w:p>
        </w:tc>
        <w:tc>
          <w:tcPr>
            <w:tcW w:w="1375" w:type="dxa"/>
            <w:tcBorders>
              <w:top w:val="single" w:sz="12" w:space="0" w:color="auto"/>
              <w:left w:val="single" w:sz="12" w:space="0" w:color="auto"/>
            </w:tcBorders>
            <w:shd w:val="clear" w:color="auto" w:fill="auto"/>
          </w:tcPr>
          <w:p w14:paraId="00284E61"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2019/20</w:t>
            </w:r>
          </w:p>
        </w:tc>
        <w:tc>
          <w:tcPr>
            <w:tcW w:w="1381" w:type="dxa"/>
            <w:tcBorders>
              <w:top w:val="single" w:sz="12" w:space="0" w:color="auto"/>
            </w:tcBorders>
            <w:shd w:val="clear" w:color="auto" w:fill="auto"/>
          </w:tcPr>
          <w:p w14:paraId="255384EE"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c>
          <w:tcPr>
            <w:tcW w:w="1396" w:type="dxa"/>
            <w:tcBorders>
              <w:top w:val="single" w:sz="12" w:space="0" w:color="auto"/>
              <w:right w:val="single" w:sz="12" w:space="0" w:color="auto"/>
            </w:tcBorders>
            <w:shd w:val="clear" w:color="auto" w:fill="auto"/>
          </w:tcPr>
          <w:p w14:paraId="101F6B7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w:t>
            </w:r>
          </w:p>
        </w:tc>
      </w:tr>
      <w:tr w:rsidR="00F66746" w:rsidRPr="00870270" w14:paraId="78EE94AB" w14:textId="77777777" w:rsidTr="00D567A0">
        <w:tc>
          <w:tcPr>
            <w:tcW w:w="1374" w:type="dxa"/>
            <w:tcBorders>
              <w:left w:val="single" w:sz="12" w:space="0" w:color="auto"/>
            </w:tcBorders>
            <w:shd w:val="clear" w:color="auto" w:fill="auto"/>
          </w:tcPr>
          <w:p w14:paraId="199E1CCF"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0" w:type="dxa"/>
            <w:tcBorders>
              <w:right w:val="nil"/>
            </w:tcBorders>
            <w:shd w:val="clear" w:color="auto" w:fill="auto"/>
          </w:tcPr>
          <w:p w14:paraId="61C3F2AF"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35421A56" w14:textId="77777777" w:rsidR="00F66746" w:rsidRPr="00870270" w:rsidRDefault="00C445B6" w:rsidP="00870270">
            <w:pPr>
              <w:jc w:val="center"/>
              <w:rPr>
                <w:rFonts w:ascii="Arial" w:hAnsi="Arial" w:cs="Arial"/>
                <w:color w:val="000000"/>
                <w:sz w:val="20"/>
              </w:rPr>
            </w:pPr>
            <w:r w:rsidRPr="00870270">
              <w:rPr>
                <w:rFonts w:ascii="Arial" w:hAnsi="Arial" w:cs="Arial"/>
                <w:color w:val="000000"/>
                <w:sz w:val="20"/>
              </w:rPr>
              <w:t>451</w:t>
            </w:r>
          </w:p>
        </w:tc>
        <w:tc>
          <w:tcPr>
            <w:tcW w:w="1375" w:type="dxa"/>
            <w:tcBorders>
              <w:left w:val="single" w:sz="12" w:space="0" w:color="auto"/>
            </w:tcBorders>
            <w:shd w:val="clear" w:color="auto" w:fill="auto"/>
          </w:tcPr>
          <w:p w14:paraId="43F92B43"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2020/21</w:t>
            </w:r>
          </w:p>
        </w:tc>
        <w:tc>
          <w:tcPr>
            <w:tcW w:w="1381" w:type="dxa"/>
            <w:shd w:val="clear" w:color="auto" w:fill="auto"/>
          </w:tcPr>
          <w:p w14:paraId="48FD70E5"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w:t>
            </w:r>
          </w:p>
        </w:tc>
        <w:tc>
          <w:tcPr>
            <w:tcW w:w="1396" w:type="dxa"/>
            <w:tcBorders>
              <w:right w:val="single" w:sz="12" w:space="0" w:color="auto"/>
            </w:tcBorders>
            <w:shd w:val="clear" w:color="auto" w:fill="auto"/>
          </w:tcPr>
          <w:p w14:paraId="3DE0ECF0" w14:textId="77777777" w:rsidR="00F66746" w:rsidRPr="00870270" w:rsidRDefault="00F66746" w:rsidP="00870270">
            <w:pPr>
              <w:jc w:val="center"/>
              <w:rPr>
                <w:rFonts w:ascii="Arial" w:hAnsi="Arial" w:cs="Arial"/>
                <w:color w:val="000000"/>
                <w:sz w:val="20"/>
              </w:rPr>
            </w:pPr>
            <w:r w:rsidRPr="00870270">
              <w:rPr>
                <w:rFonts w:ascii="Arial" w:hAnsi="Arial" w:cs="Arial"/>
                <w:color w:val="000000"/>
                <w:sz w:val="20"/>
              </w:rPr>
              <w:t>87</w:t>
            </w:r>
          </w:p>
        </w:tc>
      </w:tr>
      <w:tr w:rsidR="00EF2931" w:rsidRPr="00870270" w14:paraId="2A3A3190" w14:textId="77777777" w:rsidTr="00D567A0">
        <w:tc>
          <w:tcPr>
            <w:tcW w:w="1374" w:type="dxa"/>
            <w:tcBorders>
              <w:left w:val="single" w:sz="12" w:space="0" w:color="auto"/>
            </w:tcBorders>
            <w:shd w:val="clear" w:color="auto" w:fill="auto"/>
          </w:tcPr>
          <w:p w14:paraId="71C55FB4" w14:textId="6B28476E"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0" w:type="dxa"/>
            <w:tcBorders>
              <w:right w:val="nil"/>
            </w:tcBorders>
            <w:shd w:val="clear" w:color="auto" w:fill="auto"/>
          </w:tcPr>
          <w:p w14:paraId="3BF5624B" w14:textId="290038D6" w:rsidR="00EF2931" w:rsidRPr="00870270" w:rsidRDefault="00EF2931" w:rsidP="00870270">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nil"/>
              <w:right w:val="single" w:sz="12" w:space="0" w:color="auto"/>
            </w:tcBorders>
            <w:shd w:val="clear" w:color="auto" w:fill="auto"/>
          </w:tcPr>
          <w:p w14:paraId="4FC8B249" w14:textId="766200CC" w:rsidR="00EF2931" w:rsidRPr="00870270" w:rsidRDefault="00EF2931" w:rsidP="00870270">
            <w:pPr>
              <w:jc w:val="center"/>
              <w:rPr>
                <w:rFonts w:ascii="Arial" w:hAnsi="Arial" w:cs="Arial"/>
                <w:color w:val="000000"/>
                <w:sz w:val="20"/>
              </w:rPr>
            </w:pPr>
            <w:r>
              <w:rPr>
                <w:rFonts w:ascii="Arial" w:hAnsi="Arial" w:cs="Arial"/>
                <w:color w:val="000000"/>
                <w:sz w:val="20"/>
              </w:rPr>
              <w:t>437</w:t>
            </w:r>
          </w:p>
        </w:tc>
        <w:tc>
          <w:tcPr>
            <w:tcW w:w="1375" w:type="dxa"/>
            <w:tcBorders>
              <w:left w:val="single" w:sz="12" w:space="0" w:color="auto"/>
            </w:tcBorders>
            <w:shd w:val="clear" w:color="auto" w:fill="auto"/>
          </w:tcPr>
          <w:p w14:paraId="616C6898" w14:textId="0B48D5D6" w:rsidR="00EF2931" w:rsidRPr="00870270" w:rsidRDefault="00EF2931" w:rsidP="00870270">
            <w:pPr>
              <w:jc w:val="center"/>
              <w:rPr>
                <w:rFonts w:ascii="Arial" w:hAnsi="Arial" w:cs="Arial"/>
                <w:color w:val="000000"/>
                <w:sz w:val="20"/>
              </w:rPr>
            </w:pPr>
            <w:r>
              <w:rPr>
                <w:rFonts w:ascii="Arial" w:hAnsi="Arial" w:cs="Arial"/>
                <w:color w:val="000000"/>
                <w:sz w:val="20"/>
              </w:rPr>
              <w:t>2021/22</w:t>
            </w:r>
          </w:p>
        </w:tc>
        <w:tc>
          <w:tcPr>
            <w:tcW w:w="1381" w:type="dxa"/>
            <w:shd w:val="clear" w:color="auto" w:fill="auto"/>
          </w:tcPr>
          <w:p w14:paraId="16F57367" w14:textId="2CA23D09" w:rsidR="00EF2931" w:rsidRPr="00870270" w:rsidRDefault="00EF2931" w:rsidP="00870270">
            <w:pPr>
              <w:jc w:val="center"/>
              <w:rPr>
                <w:rFonts w:ascii="Arial" w:hAnsi="Arial" w:cs="Arial"/>
                <w:color w:val="000000"/>
                <w:sz w:val="20"/>
              </w:rPr>
            </w:pPr>
            <w:r>
              <w:rPr>
                <w:rFonts w:ascii="Arial" w:hAnsi="Arial" w:cs="Arial"/>
                <w:color w:val="000000"/>
                <w:sz w:val="20"/>
              </w:rPr>
              <w:t>23</w:t>
            </w:r>
          </w:p>
        </w:tc>
        <w:tc>
          <w:tcPr>
            <w:tcW w:w="1396" w:type="dxa"/>
            <w:tcBorders>
              <w:right w:val="single" w:sz="12" w:space="0" w:color="auto"/>
            </w:tcBorders>
            <w:shd w:val="clear" w:color="auto" w:fill="auto"/>
          </w:tcPr>
          <w:p w14:paraId="6158E446" w14:textId="1D118A05" w:rsidR="00EF2931" w:rsidRPr="00870270" w:rsidRDefault="00EF2931" w:rsidP="00870270">
            <w:pPr>
              <w:jc w:val="center"/>
              <w:rPr>
                <w:rFonts w:ascii="Arial" w:hAnsi="Arial" w:cs="Arial"/>
                <w:color w:val="000000"/>
                <w:sz w:val="20"/>
              </w:rPr>
            </w:pPr>
            <w:r>
              <w:rPr>
                <w:rFonts w:ascii="Arial" w:hAnsi="Arial" w:cs="Arial"/>
                <w:color w:val="000000"/>
                <w:sz w:val="20"/>
              </w:rPr>
              <w:t>263</w:t>
            </w:r>
          </w:p>
        </w:tc>
      </w:tr>
      <w:tr w:rsidR="00B361C8" w:rsidRPr="00870270" w14:paraId="44907362" w14:textId="77777777" w:rsidTr="00D567A0">
        <w:tc>
          <w:tcPr>
            <w:tcW w:w="1374" w:type="dxa"/>
            <w:tcBorders>
              <w:top w:val="single" w:sz="4" w:space="0" w:color="auto"/>
              <w:left w:val="single" w:sz="12" w:space="0" w:color="auto"/>
              <w:bottom w:val="single" w:sz="4" w:space="0" w:color="auto"/>
              <w:right w:val="single" w:sz="4" w:space="0" w:color="auto"/>
            </w:tcBorders>
            <w:shd w:val="clear" w:color="auto" w:fill="auto"/>
          </w:tcPr>
          <w:p w14:paraId="455A103F" w14:textId="0C8A6FFC"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0" w:type="dxa"/>
            <w:tcBorders>
              <w:top w:val="single" w:sz="4" w:space="0" w:color="auto"/>
              <w:left w:val="single" w:sz="4" w:space="0" w:color="auto"/>
              <w:bottom w:val="single" w:sz="4" w:space="0" w:color="auto"/>
              <w:right w:val="nil"/>
            </w:tcBorders>
            <w:shd w:val="clear" w:color="auto" w:fill="auto"/>
          </w:tcPr>
          <w:p w14:paraId="2B2E2C43" w14:textId="59B0C2D5" w:rsidR="00B361C8" w:rsidRPr="00870270" w:rsidRDefault="00B361C8" w:rsidP="00F972CB">
            <w:pPr>
              <w:jc w:val="center"/>
              <w:rPr>
                <w:rFonts w:ascii="Arial" w:hAnsi="Arial" w:cs="Arial"/>
                <w:color w:val="000000"/>
                <w:sz w:val="20"/>
              </w:rPr>
            </w:pPr>
            <w:r>
              <w:rPr>
                <w:rFonts w:ascii="Arial" w:hAnsi="Arial" w:cs="Arial"/>
                <w:color w:val="000000"/>
                <w:sz w:val="20"/>
              </w:rPr>
              <w:t>49</w:t>
            </w:r>
          </w:p>
        </w:tc>
        <w:tc>
          <w:tcPr>
            <w:tcW w:w="1396" w:type="dxa"/>
            <w:tcBorders>
              <w:top w:val="nil"/>
              <w:left w:val="nil"/>
              <w:bottom w:val="nil"/>
              <w:right w:val="single" w:sz="12" w:space="0" w:color="auto"/>
            </w:tcBorders>
            <w:shd w:val="clear" w:color="auto" w:fill="auto"/>
          </w:tcPr>
          <w:p w14:paraId="2564C4FB" w14:textId="47D5A1CF" w:rsidR="00B361C8" w:rsidRPr="00870270" w:rsidRDefault="00B361C8" w:rsidP="00F972CB">
            <w:pPr>
              <w:jc w:val="center"/>
              <w:rPr>
                <w:rFonts w:ascii="Arial" w:hAnsi="Arial" w:cs="Arial"/>
                <w:color w:val="000000"/>
                <w:sz w:val="20"/>
              </w:rPr>
            </w:pPr>
            <w:r>
              <w:rPr>
                <w:rFonts w:ascii="Arial" w:hAnsi="Arial" w:cs="Arial"/>
                <w:color w:val="000000"/>
                <w:sz w:val="20"/>
              </w:rPr>
              <w:t>407</w:t>
            </w:r>
          </w:p>
        </w:tc>
        <w:tc>
          <w:tcPr>
            <w:tcW w:w="1375" w:type="dxa"/>
            <w:tcBorders>
              <w:top w:val="single" w:sz="4" w:space="0" w:color="auto"/>
              <w:left w:val="single" w:sz="12" w:space="0" w:color="auto"/>
              <w:bottom w:val="single" w:sz="4" w:space="0" w:color="auto"/>
              <w:right w:val="single" w:sz="4" w:space="0" w:color="auto"/>
            </w:tcBorders>
            <w:shd w:val="clear" w:color="auto" w:fill="auto"/>
          </w:tcPr>
          <w:p w14:paraId="25E5A554" w14:textId="2005769E" w:rsidR="00B361C8" w:rsidRPr="00870270" w:rsidRDefault="00B361C8" w:rsidP="00F972CB">
            <w:pPr>
              <w:jc w:val="center"/>
              <w:rPr>
                <w:rFonts w:ascii="Arial" w:hAnsi="Arial" w:cs="Arial"/>
                <w:color w:val="000000"/>
                <w:sz w:val="20"/>
              </w:rPr>
            </w:pPr>
            <w:r>
              <w:rPr>
                <w:rFonts w:ascii="Arial" w:hAnsi="Arial" w:cs="Arial"/>
                <w:color w:val="000000"/>
                <w:sz w:val="20"/>
              </w:rPr>
              <w:t>2022/23</w:t>
            </w:r>
          </w:p>
        </w:tc>
        <w:tc>
          <w:tcPr>
            <w:tcW w:w="1381" w:type="dxa"/>
            <w:tcBorders>
              <w:top w:val="single" w:sz="4" w:space="0" w:color="auto"/>
              <w:left w:val="single" w:sz="4" w:space="0" w:color="auto"/>
              <w:bottom w:val="single" w:sz="4" w:space="0" w:color="auto"/>
              <w:right w:val="single" w:sz="4" w:space="0" w:color="auto"/>
            </w:tcBorders>
            <w:shd w:val="clear" w:color="auto" w:fill="auto"/>
          </w:tcPr>
          <w:p w14:paraId="760460AD" w14:textId="17F53C0B" w:rsidR="00B361C8" w:rsidRPr="00870270" w:rsidRDefault="00B361C8" w:rsidP="00F972CB">
            <w:pPr>
              <w:jc w:val="center"/>
              <w:rPr>
                <w:rFonts w:ascii="Arial" w:hAnsi="Arial" w:cs="Arial"/>
                <w:color w:val="000000"/>
                <w:sz w:val="20"/>
              </w:rPr>
            </w:pPr>
            <w:r>
              <w:rPr>
                <w:rFonts w:ascii="Arial" w:hAnsi="Arial" w:cs="Arial"/>
                <w:color w:val="000000"/>
                <w:sz w:val="20"/>
              </w:rPr>
              <w:t>25</w:t>
            </w:r>
          </w:p>
        </w:tc>
        <w:tc>
          <w:tcPr>
            <w:tcW w:w="1396" w:type="dxa"/>
            <w:tcBorders>
              <w:top w:val="single" w:sz="4" w:space="0" w:color="auto"/>
              <w:left w:val="single" w:sz="4" w:space="0" w:color="auto"/>
              <w:bottom w:val="single" w:sz="4" w:space="0" w:color="auto"/>
              <w:right w:val="single" w:sz="12" w:space="0" w:color="auto"/>
            </w:tcBorders>
            <w:shd w:val="clear" w:color="auto" w:fill="auto"/>
          </w:tcPr>
          <w:p w14:paraId="20FDD2E6" w14:textId="565C87FB" w:rsidR="00B361C8" w:rsidRPr="00870270" w:rsidRDefault="00B361C8" w:rsidP="00F972CB">
            <w:pPr>
              <w:jc w:val="center"/>
              <w:rPr>
                <w:rFonts w:ascii="Arial" w:hAnsi="Arial" w:cs="Arial"/>
                <w:color w:val="000000"/>
                <w:sz w:val="20"/>
              </w:rPr>
            </w:pPr>
            <w:r>
              <w:rPr>
                <w:rFonts w:ascii="Arial" w:hAnsi="Arial" w:cs="Arial"/>
                <w:color w:val="000000"/>
                <w:sz w:val="20"/>
              </w:rPr>
              <w:t>226</w:t>
            </w:r>
          </w:p>
        </w:tc>
      </w:tr>
      <w:tr w:rsidR="00D567A0" w:rsidRPr="00870270" w14:paraId="525F6082" w14:textId="77777777" w:rsidTr="00D567A0">
        <w:tc>
          <w:tcPr>
            <w:tcW w:w="1374" w:type="dxa"/>
            <w:tcBorders>
              <w:top w:val="single" w:sz="4" w:space="0" w:color="auto"/>
              <w:left w:val="single" w:sz="12" w:space="0" w:color="auto"/>
              <w:bottom w:val="single" w:sz="12" w:space="0" w:color="auto"/>
              <w:right w:val="single" w:sz="4" w:space="0" w:color="auto"/>
            </w:tcBorders>
            <w:shd w:val="clear" w:color="auto" w:fill="auto"/>
          </w:tcPr>
          <w:p w14:paraId="54397F96" w14:textId="44596D5A"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0" w:type="dxa"/>
            <w:tcBorders>
              <w:top w:val="single" w:sz="4" w:space="0" w:color="auto"/>
              <w:left w:val="single" w:sz="4" w:space="0" w:color="auto"/>
              <w:bottom w:val="single" w:sz="12" w:space="0" w:color="auto"/>
              <w:right w:val="nil"/>
            </w:tcBorders>
            <w:shd w:val="clear" w:color="auto" w:fill="auto"/>
          </w:tcPr>
          <w:p w14:paraId="3CE0777B" w14:textId="22A60947" w:rsidR="00D567A0" w:rsidRDefault="00D567A0" w:rsidP="00F972CB">
            <w:pPr>
              <w:jc w:val="center"/>
              <w:rPr>
                <w:rFonts w:ascii="Arial" w:hAnsi="Arial" w:cs="Arial"/>
                <w:color w:val="000000"/>
                <w:sz w:val="20"/>
              </w:rPr>
            </w:pPr>
            <w:r>
              <w:rPr>
                <w:rFonts w:ascii="Arial" w:hAnsi="Arial" w:cs="Arial"/>
                <w:color w:val="000000"/>
                <w:sz w:val="20"/>
              </w:rPr>
              <w:t>48</w:t>
            </w:r>
          </w:p>
        </w:tc>
        <w:tc>
          <w:tcPr>
            <w:tcW w:w="1396" w:type="dxa"/>
            <w:tcBorders>
              <w:top w:val="nil"/>
              <w:left w:val="nil"/>
              <w:bottom w:val="single" w:sz="12" w:space="0" w:color="auto"/>
              <w:right w:val="single" w:sz="12" w:space="0" w:color="auto"/>
            </w:tcBorders>
            <w:shd w:val="clear" w:color="auto" w:fill="auto"/>
          </w:tcPr>
          <w:p w14:paraId="0A54894C" w14:textId="658EDC2F" w:rsidR="00D567A0" w:rsidRDefault="00D567A0" w:rsidP="00F972CB">
            <w:pPr>
              <w:jc w:val="center"/>
              <w:rPr>
                <w:rFonts w:ascii="Arial" w:hAnsi="Arial" w:cs="Arial"/>
                <w:color w:val="000000"/>
                <w:sz w:val="20"/>
              </w:rPr>
            </w:pPr>
            <w:r>
              <w:rPr>
                <w:rFonts w:ascii="Arial" w:hAnsi="Arial" w:cs="Arial"/>
                <w:color w:val="000000"/>
                <w:sz w:val="20"/>
              </w:rPr>
              <w:t>459</w:t>
            </w:r>
          </w:p>
        </w:tc>
        <w:tc>
          <w:tcPr>
            <w:tcW w:w="1375" w:type="dxa"/>
            <w:tcBorders>
              <w:top w:val="single" w:sz="4" w:space="0" w:color="auto"/>
              <w:left w:val="single" w:sz="12" w:space="0" w:color="auto"/>
              <w:bottom w:val="single" w:sz="12" w:space="0" w:color="auto"/>
              <w:right w:val="single" w:sz="4" w:space="0" w:color="auto"/>
            </w:tcBorders>
            <w:shd w:val="clear" w:color="auto" w:fill="auto"/>
          </w:tcPr>
          <w:p w14:paraId="6823D364" w14:textId="06638786" w:rsidR="00D567A0" w:rsidRDefault="00D567A0" w:rsidP="00F972CB">
            <w:pPr>
              <w:jc w:val="center"/>
              <w:rPr>
                <w:rFonts w:ascii="Arial" w:hAnsi="Arial" w:cs="Arial"/>
                <w:color w:val="000000"/>
                <w:sz w:val="20"/>
              </w:rPr>
            </w:pPr>
            <w:r>
              <w:rPr>
                <w:rFonts w:ascii="Arial" w:hAnsi="Arial" w:cs="Arial"/>
                <w:color w:val="000000"/>
                <w:sz w:val="20"/>
              </w:rPr>
              <w:t>2023/24</w:t>
            </w:r>
          </w:p>
        </w:tc>
        <w:tc>
          <w:tcPr>
            <w:tcW w:w="1381" w:type="dxa"/>
            <w:tcBorders>
              <w:top w:val="single" w:sz="4" w:space="0" w:color="auto"/>
              <w:left w:val="single" w:sz="4" w:space="0" w:color="auto"/>
              <w:bottom w:val="single" w:sz="12" w:space="0" w:color="auto"/>
              <w:right w:val="single" w:sz="4" w:space="0" w:color="auto"/>
            </w:tcBorders>
            <w:shd w:val="clear" w:color="auto" w:fill="auto"/>
          </w:tcPr>
          <w:p w14:paraId="417198AB" w14:textId="2D1A9F5E" w:rsidR="00D567A0" w:rsidRDefault="00D567A0" w:rsidP="00F972CB">
            <w:pPr>
              <w:jc w:val="center"/>
              <w:rPr>
                <w:rFonts w:ascii="Arial" w:hAnsi="Arial" w:cs="Arial"/>
                <w:color w:val="000000"/>
                <w:sz w:val="20"/>
              </w:rPr>
            </w:pPr>
            <w:r>
              <w:rPr>
                <w:rFonts w:ascii="Arial" w:hAnsi="Arial" w:cs="Arial"/>
                <w:color w:val="000000"/>
                <w:sz w:val="20"/>
              </w:rPr>
              <w:t>24</w:t>
            </w:r>
          </w:p>
        </w:tc>
        <w:tc>
          <w:tcPr>
            <w:tcW w:w="1396" w:type="dxa"/>
            <w:tcBorders>
              <w:top w:val="single" w:sz="4" w:space="0" w:color="auto"/>
              <w:left w:val="single" w:sz="4" w:space="0" w:color="auto"/>
              <w:bottom w:val="single" w:sz="12" w:space="0" w:color="auto"/>
              <w:right w:val="single" w:sz="12" w:space="0" w:color="auto"/>
            </w:tcBorders>
            <w:shd w:val="clear" w:color="auto" w:fill="auto"/>
          </w:tcPr>
          <w:p w14:paraId="3DFA9CD5" w14:textId="13C77017" w:rsidR="00D567A0" w:rsidRDefault="00D567A0" w:rsidP="00F972CB">
            <w:pPr>
              <w:jc w:val="center"/>
              <w:rPr>
                <w:rFonts w:ascii="Arial" w:hAnsi="Arial" w:cs="Arial"/>
                <w:color w:val="000000"/>
                <w:sz w:val="20"/>
              </w:rPr>
            </w:pPr>
            <w:r>
              <w:rPr>
                <w:rFonts w:ascii="Arial" w:hAnsi="Arial" w:cs="Arial"/>
                <w:color w:val="000000"/>
                <w:sz w:val="20"/>
              </w:rPr>
              <w:t>173</w:t>
            </w:r>
          </w:p>
        </w:tc>
      </w:tr>
    </w:tbl>
    <w:p w14:paraId="73CA4A05" w14:textId="77777777" w:rsidR="0091415A" w:rsidRDefault="0091415A" w:rsidP="00F66746">
      <w:pPr>
        <w:jc w:val="both"/>
        <w:rPr>
          <w:rFonts w:ascii="Arial" w:hAnsi="Arial" w:cs="Arial"/>
          <w:color w:val="000000"/>
          <w:sz w:val="20"/>
        </w:rPr>
      </w:pPr>
    </w:p>
    <w:p w14:paraId="3286A338" w14:textId="45C01F18" w:rsidR="008628E2" w:rsidRPr="0068011B" w:rsidRDefault="008628E2" w:rsidP="00F66746">
      <w:pPr>
        <w:jc w:val="both"/>
        <w:rPr>
          <w:rFonts w:ascii="Arial" w:hAnsi="Arial" w:cs="Arial"/>
          <w:sz w:val="20"/>
        </w:rPr>
      </w:pPr>
      <w:r w:rsidRPr="0068011B">
        <w:rPr>
          <w:rFonts w:ascii="Arial" w:hAnsi="Arial" w:cs="Arial"/>
          <w:sz w:val="20"/>
        </w:rPr>
        <w:t xml:space="preserve">For further information see </w:t>
      </w:r>
      <w:r w:rsidR="00CE09D6" w:rsidRPr="0068011B">
        <w:rPr>
          <w:rFonts w:ascii="Arial" w:hAnsi="Arial" w:cs="Arial"/>
          <w:sz w:val="20"/>
        </w:rPr>
        <w:t xml:space="preserve">paragraphs </w:t>
      </w:r>
      <w:r w:rsidR="00880806">
        <w:rPr>
          <w:rFonts w:ascii="Arial" w:hAnsi="Arial" w:cs="Arial"/>
          <w:sz w:val="20"/>
        </w:rPr>
        <w:t>46</w:t>
      </w:r>
      <w:r w:rsidR="00CE09D6" w:rsidRPr="0068011B">
        <w:rPr>
          <w:rFonts w:ascii="Arial" w:hAnsi="Arial" w:cs="Arial"/>
          <w:sz w:val="20"/>
        </w:rPr>
        <w:t>-5</w:t>
      </w:r>
      <w:r w:rsidR="00880806">
        <w:rPr>
          <w:rFonts w:ascii="Arial" w:hAnsi="Arial" w:cs="Arial"/>
          <w:sz w:val="20"/>
        </w:rPr>
        <w:t>1</w:t>
      </w:r>
      <w:r w:rsidR="00CE09D6" w:rsidRPr="0068011B">
        <w:rPr>
          <w:rFonts w:ascii="Arial" w:hAnsi="Arial" w:cs="Arial"/>
          <w:sz w:val="20"/>
        </w:rPr>
        <w:t xml:space="preserve"> of </w:t>
      </w:r>
      <w:r w:rsidRPr="0068011B">
        <w:rPr>
          <w:rFonts w:ascii="Arial" w:hAnsi="Arial" w:cs="Arial"/>
          <w:sz w:val="20"/>
        </w:rPr>
        <w:t>Practice Direction No.</w:t>
      </w:r>
      <w:r w:rsidR="00880806">
        <w:rPr>
          <w:rFonts w:ascii="Arial" w:hAnsi="Arial" w:cs="Arial"/>
          <w:sz w:val="20"/>
        </w:rPr>
        <w:t>1</w:t>
      </w:r>
      <w:r w:rsidRPr="0068011B">
        <w:rPr>
          <w:rFonts w:ascii="Arial" w:hAnsi="Arial" w:cs="Arial"/>
          <w:sz w:val="20"/>
        </w:rPr>
        <w:t xml:space="preserve"> of 202</w:t>
      </w:r>
      <w:r w:rsidR="00880806">
        <w:rPr>
          <w:rFonts w:ascii="Arial" w:hAnsi="Arial" w:cs="Arial"/>
          <w:sz w:val="20"/>
        </w:rPr>
        <w:t>5</w:t>
      </w:r>
      <w:r w:rsidRPr="0068011B">
        <w:rPr>
          <w:rFonts w:ascii="Arial" w:hAnsi="Arial" w:cs="Arial"/>
          <w:sz w:val="20"/>
        </w:rPr>
        <w:t xml:space="preserve"> – </w:t>
      </w:r>
      <w:r w:rsidR="00CE09D6" w:rsidRPr="0068011B">
        <w:rPr>
          <w:rFonts w:ascii="Arial" w:hAnsi="Arial" w:cs="Arial"/>
          <w:color w:val="000000"/>
          <w:sz w:val="20"/>
        </w:rPr>
        <w:t>M</w:t>
      </w:r>
      <w:r w:rsidR="0068011B" w:rsidRPr="0068011B">
        <w:rPr>
          <w:rFonts w:ascii="Arial" w:hAnsi="Arial" w:cs="Arial"/>
          <w:color w:val="000000"/>
          <w:sz w:val="20"/>
        </w:rPr>
        <w:t>arram</w:t>
      </w:r>
      <w:r w:rsidR="00CE09D6" w:rsidRPr="0068011B">
        <w:rPr>
          <w:rFonts w:ascii="Arial" w:hAnsi="Arial" w:cs="Arial"/>
          <w:color w:val="000000"/>
          <w:sz w:val="20"/>
        </w:rPr>
        <w:t>-</w:t>
      </w:r>
      <w:r w:rsidR="0068011B" w:rsidRPr="0068011B">
        <w:rPr>
          <w:rFonts w:ascii="Arial" w:hAnsi="Arial" w:cs="Arial"/>
          <w:color w:val="000000"/>
          <w:sz w:val="20"/>
        </w:rPr>
        <w:t>Ngala Ganbu (Koori Family Hearing Day)</w:t>
      </w:r>
      <w:r w:rsidR="00CE09D6" w:rsidRPr="0068011B">
        <w:rPr>
          <w:rFonts w:ascii="Arial" w:hAnsi="Arial" w:cs="Arial"/>
          <w:sz w:val="20"/>
        </w:rPr>
        <w:t>.</w:t>
      </w:r>
    </w:p>
    <w:p w14:paraId="3FE7B219" w14:textId="77777777" w:rsidR="00CE09D6" w:rsidRPr="008628E2" w:rsidRDefault="00CE09D6" w:rsidP="00F66746">
      <w:pPr>
        <w:jc w:val="both"/>
        <w:rPr>
          <w:rFonts w:ascii="Arial" w:hAnsi="Arial" w:cs="Arial"/>
          <w:sz w:val="20"/>
        </w:rPr>
      </w:pPr>
    </w:p>
    <w:p w14:paraId="2F495975" w14:textId="4E9688DB" w:rsidR="0035654B" w:rsidRDefault="008E4C7E" w:rsidP="0035654B">
      <w:pPr>
        <w:jc w:val="both"/>
        <w:rPr>
          <w:rFonts w:ascii="Arial" w:hAnsi="Arial" w:cs="Arial"/>
          <w:sz w:val="20"/>
        </w:rPr>
      </w:pPr>
      <w:bookmarkStart w:id="1436" w:name="_4.10_Alternative_Dispute"/>
      <w:bookmarkStart w:id="1437" w:name="_Hlk144738638"/>
      <w:bookmarkEnd w:id="1436"/>
      <w:r>
        <w:rPr>
          <w:rFonts w:ascii="Arial" w:hAnsi="Arial" w:cs="Arial"/>
          <w:sz w:val="20"/>
        </w:rPr>
        <w:t xml:space="preserve">In its second interim report – </w:t>
      </w:r>
      <w:hyperlink r:id="rId37" w:history="1">
        <w:r w:rsidRPr="001851B4">
          <w:rPr>
            <w:rStyle w:val="Hyperlink"/>
            <w:rFonts w:ascii="Arial" w:hAnsi="Arial" w:cs="Arial"/>
            <w:sz w:val="20"/>
          </w:rPr>
          <w:t>Report into Victoria’s Child Protection and Criminal Justice Systems</w:t>
        </w:r>
      </w:hyperlink>
      <w:r>
        <w:rPr>
          <w:rFonts w:ascii="Arial" w:hAnsi="Arial" w:cs="Arial"/>
          <w:sz w:val="20"/>
        </w:rPr>
        <w:t xml:space="preserve"> – tabled on 04/09/2023, the Yoorrook Justice Commission </w:t>
      </w:r>
      <w:bookmarkEnd w:id="1437"/>
      <w:r>
        <w:rPr>
          <w:rFonts w:ascii="Arial" w:hAnsi="Arial" w:cs="Arial"/>
          <w:sz w:val="20"/>
        </w:rPr>
        <w:t>recommended: “</w:t>
      </w:r>
      <w:r w:rsidR="00C31576">
        <w:rPr>
          <w:rFonts w:ascii="Arial" w:hAnsi="Arial" w:cs="Arial"/>
          <w:sz w:val="20"/>
        </w:rPr>
        <w:t>19. </w:t>
      </w:r>
      <w:r w:rsidRPr="008E4C7E">
        <w:rPr>
          <w:rFonts w:ascii="Arial" w:hAnsi="Arial" w:cs="Arial"/>
          <w:sz w:val="20"/>
        </w:rPr>
        <w:t>The</w:t>
      </w:r>
      <w:r>
        <w:rPr>
          <w:rFonts w:ascii="Arial" w:hAnsi="Arial" w:cs="Arial"/>
          <w:sz w:val="20"/>
        </w:rPr>
        <w:t> </w:t>
      </w:r>
      <w:r w:rsidRPr="008E4C7E">
        <w:rPr>
          <w:rFonts w:ascii="Arial" w:hAnsi="Arial" w:cs="Arial"/>
          <w:sz w:val="20"/>
        </w:rPr>
        <w:t>Victorian Government must</w:t>
      </w:r>
      <w:r>
        <w:rPr>
          <w:rFonts w:ascii="Arial" w:hAnsi="Arial" w:cs="Arial"/>
          <w:sz w:val="20"/>
        </w:rPr>
        <w:t xml:space="preserve"> as soon as possible expand and sufficiently resource the Marram-Ngala Ganbu (Koori Family Hearing Day) state-wide.”  The reasons for this recommendation together with the reasons for recommendation 18 – that specialist Children’s Court judicial officers should determine child protection matters state-wide – are detailed on pages 163-167 of the report.</w:t>
      </w:r>
      <w:r w:rsidR="0035654B">
        <w:rPr>
          <w:rFonts w:ascii="Arial" w:hAnsi="Arial" w:cs="Arial"/>
          <w:sz w:val="20"/>
        </w:rPr>
        <w:t xml:space="preserve">  In its response dated April 2024 the Victorian Government noted that it supports recommendations 18 &amp; 19 in principle.</w:t>
      </w:r>
      <w:r w:rsidR="00D567A0">
        <w:rPr>
          <w:rFonts w:ascii="Arial" w:hAnsi="Arial" w:cs="Arial"/>
          <w:sz w:val="20"/>
        </w:rPr>
        <w:t xml:space="preserve"> See </w:t>
      </w:r>
      <w:r w:rsidR="00D567A0" w:rsidRPr="00880806">
        <w:rPr>
          <w:rFonts w:ascii="Arial" w:hAnsi="Arial" w:cs="Arial"/>
          <w:b/>
          <w:bCs/>
          <w:sz w:val="20"/>
          <w:shd w:val="clear" w:color="auto" w:fill="C5E0B3"/>
        </w:rPr>
        <w:t>Part 1.7</w:t>
      </w:r>
      <w:r w:rsidR="00D567A0" w:rsidRPr="00D567A0">
        <w:rPr>
          <w:rFonts w:ascii="Arial" w:hAnsi="Arial" w:cs="Arial"/>
          <w:sz w:val="20"/>
        </w:rPr>
        <w:t xml:space="preserve"> </w:t>
      </w:r>
      <w:r w:rsidR="00D567A0">
        <w:rPr>
          <w:rFonts w:ascii="Arial" w:hAnsi="Arial" w:cs="Arial"/>
          <w:sz w:val="20"/>
        </w:rPr>
        <w:t>of the Research Materials.</w:t>
      </w:r>
    </w:p>
    <w:p w14:paraId="6B1F6A99" w14:textId="77777777" w:rsidR="0035654B" w:rsidRPr="008E4C7E" w:rsidRDefault="0035654B" w:rsidP="00132E50">
      <w:pPr>
        <w:ind w:left="363" w:hanging="363"/>
        <w:jc w:val="both"/>
        <w:rPr>
          <w:rFonts w:ascii="Arial" w:hAnsi="Arial" w:cs="Arial"/>
          <w:sz w:val="20"/>
        </w:rPr>
      </w:pPr>
    </w:p>
    <w:p w14:paraId="62691E14" w14:textId="77777777" w:rsidR="008E4C7E" w:rsidRPr="005836D1" w:rsidRDefault="008E4C7E" w:rsidP="008E4C7E">
      <w:pPr>
        <w:jc w:val="center"/>
        <w:rPr>
          <w:rFonts w:ascii="Arial" w:hAnsi="Arial" w:cs="Arial"/>
          <w:b/>
          <w:bCs/>
          <w:szCs w:val="32"/>
        </w:rPr>
      </w:pPr>
      <w:bookmarkStart w:id="1438" w:name="B410"/>
      <w:bookmarkEnd w:id="1438"/>
      <w:r w:rsidRPr="005836D1">
        <w:rPr>
          <w:rFonts w:ascii="Arial" w:hAnsi="Arial" w:cs="Arial"/>
          <w:b/>
          <w:bCs/>
          <w:szCs w:val="32"/>
        </w:rPr>
        <w:t>THE REST OF THIS PAGE IS BLANK</w:t>
      </w:r>
    </w:p>
    <w:p w14:paraId="75B3C2B3" w14:textId="77777777" w:rsidR="008E4C7E" w:rsidRDefault="008E4C7E" w:rsidP="008E4C7E">
      <w:pPr>
        <w:jc w:val="both"/>
        <w:rPr>
          <w:rFonts w:ascii="Arial" w:hAnsi="Arial" w:cs="Arial"/>
          <w:sz w:val="20"/>
        </w:rPr>
      </w:pPr>
    </w:p>
    <w:p w14:paraId="33EE1DA1" w14:textId="0C413A47" w:rsidR="00132E50" w:rsidRPr="00132E50" w:rsidRDefault="008E4C7E" w:rsidP="008E4C7E">
      <w:pPr>
        <w:pStyle w:val="Heading2"/>
        <w:keepNext/>
        <w:keepLines/>
        <w:widowControl/>
        <w:tabs>
          <w:tab w:val="left" w:pos="567"/>
        </w:tabs>
        <w:spacing w:line="240" w:lineRule="auto"/>
        <w:rPr>
          <w:rFonts w:ascii="Arial" w:hAnsi="Arial" w:cs="Arial"/>
          <w:b/>
          <w:bCs/>
          <w:color w:val="000000"/>
        </w:rPr>
      </w:pPr>
      <w:bookmarkStart w:id="1439" w:name="_4.9.7_Throughput_of_1"/>
      <w:bookmarkEnd w:id="1439"/>
      <w:r>
        <w:rPr>
          <w:rFonts w:ascii="Arial" w:hAnsi="Arial" w:cs="Arial"/>
          <w:sz w:val="20"/>
        </w:rPr>
        <w:br w:type="page"/>
      </w:r>
      <w:r w:rsidR="00132E50" w:rsidRPr="00132E50">
        <w:rPr>
          <w:rFonts w:ascii="Arial" w:hAnsi="Arial" w:cs="Arial"/>
          <w:b/>
          <w:bCs/>
          <w:color w:val="000000"/>
        </w:rPr>
        <w:lastRenderedPageBreak/>
        <w:t>4.10</w:t>
      </w:r>
      <w:r w:rsidR="00132E50" w:rsidRPr="00132E50">
        <w:rPr>
          <w:rFonts w:ascii="Arial" w:hAnsi="Arial" w:cs="Arial"/>
          <w:b/>
          <w:bCs/>
          <w:color w:val="000000"/>
        </w:rPr>
        <w:tab/>
        <w:t>Alternative Dispute Resolution</w:t>
      </w:r>
    </w:p>
    <w:p w14:paraId="50F37949" w14:textId="77777777" w:rsidR="00132E50" w:rsidRPr="00132E50" w:rsidRDefault="00132E50" w:rsidP="00522630">
      <w:pPr>
        <w:jc w:val="both"/>
        <w:rPr>
          <w:rFonts w:ascii="Arial" w:hAnsi="Arial" w:cs="Arial"/>
          <w:color w:val="000000"/>
          <w:sz w:val="20"/>
        </w:rPr>
      </w:pPr>
    </w:p>
    <w:p w14:paraId="2780D085" w14:textId="03D81FAB" w:rsidR="00132E50" w:rsidRPr="00132E50" w:rsidRDefault="00522630" w:rsidP="00522630">
      <w:pPr>
        <w:jc w:val="both"/>
        <w:rPr>
          <w:rFonts w:ascii="Arial" w:hAnsi="Arial" w:cs="Arial"/>
          <w:color w:val="000000"/>
          <w:sz w:val="20"/>
        </w:rPr>
      </w:pPr>
      <w:r>
        <w:rPr>
          <w:rFonts w:ascii="Arial" w:hAnsi="Arial" w:cs="Arial"/>
          <w:color w:val="000000"/>
          <w:sz w:val="20"/>
        </w:rPr>
        <w:t xml:space="preserve">Prior to </w:t>
      </w:r>
      <w:r w:rsidR="00731A43">
        <w:rPr>
          <w:rFonts w:ascii="Arial" w:hAnsi="Arial" w:cs="Arial"/>
          <w:color w:val="000000"/>
          <w:sz w:val="20"/>
        </w:rPr>
        <w:t>20</w:t>
      </w:r>
      <w:r w:rsidR="00514537">
        <w:rPr>
          <w:rFonts w:ascii="Arial" w:hAnsi="Arial" w:cs="Arial"/>
          <w:color w:val="000000"/>
          <w:sz w:val="20"/>
        </w:rPr>
        <w:t>/</w:t>
      </w:r>
      <w:r w:rsidR="00731A43">
        <w:rPr>
          <w:rFonts w:ascii="Arial" w:hAnsi="Arial" w:cs="Arial"/>
          <w:color w:val="000000"/>
          <w:sz w:val="20"/>
        </w:rPr>
        <w:t>12</w:t>
      </w:r>
      <w:r w:rsidR="00514537">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w:t>
      </w:r>
      <w:r w:rsidR="00015C77">
        <w:rPr>
          <w:rFonts w:ascii="Arial" w:hAnsi="Arial" w:cs="Arial"/>
          <w:color w:val="000000"/>
          <w:sz w:val="20"/>
        </w:rPr>
        <w:t>t</w:t>
      </w:r>
      <w:r w:rsidR="00132E50" w:rsidRPr="00132E50">
        <w:rPr>
          <w:rFonts w:ascii="Arial" w:hAnsi="Arial" w:cs="Arial"/>
          <w:color w:val="000000"/>
          <w:sz w:val="20"/>
        </w:rPr>
        <w:t xml:space="preserve">here </w:t>
      </w:r>
      <w:r w:rsidR="00015C77">
        <w:rPr>
          <w:rFonts w:ascii="Arial" w:hAnsi="Arial" w:cs="Arial"/>
          <w:color w:val="000000"/>
          <w:sz w:val="20"/>
        </w:rPr>
        <w:t>were</w:t>
      </w:r>
      <w:r w:rsidR="00132E50" w:rsidRPr="00132E50">
        <w:rPr>
          <w:rFonts w:ascii="Arial" w:hAnsi="Arial" w:cs="Arial"/>
          <w:color w:val="000000"/>
          <w:sz w:val="20"/>
        </w:rPr>
        <w:t xml:space="preserve"> two different </w:t>
      </w:r>
      <w:r w:rsidR="00D6777A">
        <w:rPr>
          <w:rFonts w:ascii="Arial" w:hAnsi="Arial" w:cs="Arial"/>
          <w:color w:val="000000"/>
          <w:sz w:val="20"/>
        </w:rPr>
        <w:t>type</w:t>
      </w:r>
      <w:r w:rsidR="00132E50" w:rsidRPr="00132E50">
        <w:rPr>
          <w:rFonts w:ascii="Arial" w:hAnsi="Arial" w:cs="Arial"/>
          <w:color w:val="000000"/>
          <w:sz w:val="20"/>
        </w:rPr>
        <w:t>s of Alternative Dispute Resolution used in the Family Division:</w:t>
      </w:r>
    </w:p>
    <w:p w14:paraId="13CC407B" w14:textId="77777777" w:rsidR="00132E50" w:rsidRPr="00132E50" w:rsidRDefault="00132E50" w:rsidP="00753FA4">
      <w:pPr>
        <w:numPr>
          <w:ilvl w:val="0"/>
          <w:numId w:val="24"/>
        </w:numPr>
        <w:ind w:left="284" w:hanging="284"/>
        <w:jc w:val="both"/>
        <w:rPr>
          <w:rFonts w:ascii="Arial" w:hAnsi="Arial" w:cs="Arial"/>
          <w:color w:val="000000"/>
          <w:sz w:val="20"/>
        </w:rPr>
      </w:pPr>
      <w:r w:rsidRPr="00132E50">
        <w:rPr>
          <w:rFonts w:ascii="Arial" w:hAnsi="Arial" w:cs="Arial"/>
          <w:color w:val="000000"/>
          <w:sz w:val="20"/>
        </w:rPr>
        <w:t>a Conciliation Conference [‘CC’]; and</w:t>
      </w:r>
    </w:p>
    <w:p w14:paraId="1DD27113" w14:textId="77777777" w:rsidR="00132E50" w:rsidRPr="00132E50" w:rsidRDefault="00132E50">
      <w:pPr>
        <w:numPr>
          <w:ilvl w:val="0"/>
          <w:numId w:val="24"/>
        </w:numPr>
        <w:jc w:val="both"/>
        <w:rPr>
          <w:rFonts w:ascii="Arial" w:hAnsi="Arial" w:cs="Arial"/>
          <w:color w:val="000000"/>
          <w:sz w:val="20"/>
        </w:rPr>
      </w:pPr>
      <w:r w:rsidRPr="00132E50">
        <w:rPr>
          <w:rFonts w:ascii="Arial" w:hAnsi="Arial" w:cs="Arial"/>
          <w:color w:val="000000"/>
          <w:sz w:val="20"/>
        </w:rPr>
        <w:t>a Judicial Resolution Conference [‘JRC’].</w:t>
      </w:r>
    </w:p>
    <w:p w14:paraId="22BFD075" w14:textId="77777777" w:rsidR="00753FA4" w:rsidRDefault="00753FA4" w:rsidP="00132E50">
      <w:pPr>
        <w:jc w:val="both"/>
        <w:rPr>
          <w:rFonts w:ascii="Arial" w:hAnsi="Arial" w:cs="Arial"/>
          <w:color w:val="000000"/>
          <w:sz w:val="20"/>
        </w:rPr>
      </w:pPr>
    </w:p>
    <w:p w14:paraId="2D4896D5" w14:textId="43B1CFC3" w:rsidR="00132E50" w:rsidRDefault="00753FA4" w:rsidP="00132E50">
      <w:pPr>
        <w:jc w:val="both"/>
        <w:rPr>
          <w:rFonts w:ascii="Arial" w:hAnsi="Arial" w:cs="Arial"/>
          <w:color w:val="000000"/>
          <w:sz w:val="20"/>
        </w:rPr>
      </w:pPr>
      <w:r>
        <w:rPr>
          <w:rFonts w:ascii="Arial" w:hAnsi="Arial" w:cs="Arial"/>
          <w:color w:val="000000"/>
          <w:sz w:val="20"/>
        </w:rPr>
        <w:t xml:space="preserve">Since </w:t>
      </w:r>
      <w:r w:rsidR="00731A43">
        <w:rPr>
          <w:rFonts w:ascii="Arial" w:hAnsi="Arial" w:cs="Arial"/>
          <w:color w:val="000000"/>
          <w:sz w:val="20"/>
        </w:rPr>
        <w:t>20</w:t>
      </w:r>
      <w:r>
        <w:rPr>
          <w:rFonts w:ascii="Arial" w:hAnsi="Arial" w:cs="Arial"/>
          <w:color w:val="000000"/>
          <w:sz w:val="20"/>
        </w:rPr>
        <w:t>/</w:t>
      </w:r>
      <w:r w:rsidR="00731A43">
        <w:rPr>
          <w:rFonts w:ascii="Arial" w:hAnsi="Arial" w:cs="Arial"/>
          <w:color w:val="000000"/>
          <w:sz w:val="20"/>
        </w:rPr>
        <w:t>12</w:t>
      </w:r>
      <w:r>
        <w:rPr>
          <w:rFonts w:ascii="Arial" w:hAnsi="Arial" w:cs="Arial"/>
          <w:color w:val="000000"/>
          <w:sz w:val="20"/>
        </w:rPr>
        <w:t>/202</w:t>
      </w:r>
      <w:r w:rsidR="00731A43">
        <w:rPr>
          <w:rFonts w:ascii="Arial" w:hAnsi="Arial" w:cs="Arial"/>
          <w:color w:val="000000"/>
          <w:sz w:val="20"/>
        </w:rPr>
        <w:t>4</w:t>
      </w:r>
      <w:r>
        <w:rPr>
          <w:rFonts w:ascii="Arial" w:hAnsi="Arial" w:cs="Arial"/>
          <w:color w:val="000000"/>
          <w:sz w:val="20"/>
        </w:rPr>
        <w:t xml:space="preserve"> only JRCs are available. </w:t>
      </w:r>
      <w:r w:rsidR="00514537">
        <w:rPr>
          <w:rFonts w:ascii="Arial" w:hAnsi="Arial" w:cs="Arial"/>
          <w:color w:val="000000"/>
          <w:sz w:val="20"/>
        </w:rPr>
        <w:t xml:space="preserve">Although the </w:t>
      </w:r>
      <w:r>
        <w:rPr>
          <w:rFonts w:ascii="Arial" w:hAnsi="Arial" w:cs="Arial"/>
          <w:color w:val="000000"/>
          <w:sz w:val="20"/>
        </w:rPr>
        <w:t>statutory</w:t>
      </w:r>
      <w:r w:rsidR="00514537">
        <w:rPr>
          <w:rFonts w:ascii="Arial" w:hAnsi="Arial" w:cs="Arial"/>
          <w:color w:val="000000"/>
          <w:sz w:val="20"/>
        </w:rPr>
        <w:t xml:space="preserve"> basis for the conduct of CCs </w:t>
      </w:r>
      <w:r w:rsidR="00412B7F">
        <w:rPr>
          <w:rFonts w:ascii="Arial" w:hAnsi="Arial" w:cs="Arial"/>
          <w:color w:val="000000"/>
          <w:sz w:val="20"/>
        </w:rPr>
        <w:t xml:space="preserve">which is </w:t>
      </w:r>
      <w:r>
        <w:rPr>
          <w:rFonts w:ascii="Arial" w:hAnsi="Arial" w:cs="Arial"/>
          <w:color w:val="000000"/>
          <w:sz w:val="20"/>
        </w:rPr>
        <w:t xml:space="preserve">contained in ss.217-227 of the CYFA has not been </w:t>
      </w:r>
      <w:r w:rsidR="00111111">
        <w:rPr>
          <w:rFonts w:ascii="Arial" w:hAnsi="Arial" w:cs="Arial"/>
          <w:color w:val="000000"/>
          <w:sz w:val="20"/>
        </w:rPr>
        <w:t>repeal</w:t>
      </w:r>
      <w:r>
        <w:rPr>
          <w:rFonts w:ascii="Arial" w:hAnsi="Arial" w:cs="Arial"/>
          <w:color w:val="000000"/>
          <w:sz w:val="20"/>
        </w:rPr>
        <w:t xml:space="preserve">ed, the Children’s Court is no longer </w:t>
      </w:r>
      <w:r w:rsidR="00731A43">
        <w:rPr>
          <w:rFonts w:ascii="Arial" w:hAnsi="Arial" w:cs="Arial"/>
          <w:color w:val="000000"/>
          <w:sz w:val="20"/>
        </w:rPr>
        <w:t xml:space="preserve">conducting </w:t>
      </w:r>
      <w:r>
        <w:rPr>
          <w:rFonts w:ascii="Arial" w:hAnsi="Arial" w:cs="Arial"/>
          <w:color w:val="000000"/>
          <w:sz w:val="20"/>
        </w:rPr>
        <w:t>CCs.</w:t>
      </w:r>
    </w:p>
    <w:p w14:paraId="46CDA18C" w14:textId="1D411B9C" w:rsidR="00753FA4" w:rsidRDefault="00753FA4" w:rsidP="00132E50">
      <w:pPr>
        <w:jc w:val="both"/>
        <w:rPr>
          <w:rFonts w:ascii="Arial" w:hAnsi="Arial" w:cs="Arial"/>
          <w:color w:val="000000"/>
          <w:sz w:val="20"/>
        </w:rPr>
      </w:pPr>
    </w:p>
    <w:p w14:paraId="7FB76009" w14:textId="35523A73" w:rsidR="00753FA4" w:rsidRPr="00753FA4" w:rsidRDefault="00753FA4" w:rsidP="00753FA4">
      <w:pPr>
        <w:shd w:val="clear" w:color="auto" w:fill="FF0000"/>
        <w:jc w:val="both"/>
        <w:rPr>
          <w:rFonts w:ascii="Arial" w:hAnsi="Arial" w:cs="Arial"/>
          <w:color w:val="FFFFFF" w:themeColor="background1"/>
          <w:sz w:val="20"/>
        </w:rPr>
      </w:pPr>
      <w:r w:rsidRPr="00753FA4">
        <w:rPr>
          <w:rFonts w:ascii="Arial" w:hAnsi="Arial" w:cs="Arial"/>
          <w:b/>
          <w:bCs/>
          <w:color w:val="FFFFFF" w:themeColor="background1"/>
          <w:sz w:val="20"/>
        </w:rPr>
        <w:t xml:space="preserve">SECTIONS 4.10.1 TO 4.10.9 HAVE BEEN RETAINED </w:t>
      </w:r>
      <w:r>
        <w:rPr>
          <w:rFonts w:ascii="Arial" w:hAnsi="Arial" w:cs="Arial"/>
          <w:b/>
          <w:bCs/>
          <w:color w:val="FFFFFF" w:themeColor="background1"/>
          <w:sz w:val="20"/>
        </w:rPr>
        <w:t xml:space="preserve">IN THIS PART </w:t>
      </w:r>
      <w:r w:rsidRPr="00753FA4">
        <w:rPr>
          <w:rFonts w:ascii="Arial" w:hAnsi="Arial" w:cs="Arial"/>
          <w:b/>
          <w:bCs/>
          <w:color w:val="FFFFFF" w:themeColor="background1"/>
          <w:sz w:val="20"/>
        </w:rPr>
        <w:t xml:space="preserve">FOR HISTORICAL PURPOSES BUT </w:t>
      </w:r>
      <w:r w:rsidR="00050C36">
        <w:rPr>
          <w:rFonts w:ascii="Arial" w:hAnsi="Arial" w:cs="Arial"/>
          <w:b/>
          <w:bCs/>
          <w:color w:val="FFFFFF" w:themeColor="background1"/>
          <w:sz w:val="20"/>
        </w:rPr>
        <w:t xml:space="preserve">SINCE 20/12/2014 </w:t>
      </w:r>
      <w:r>
        <w:rPr>
          <w:rFonts w:ascii="Arial" w:hAnsi="Arial" w:cs="Arial"/>
          <w:b/>
          <w:bCs/>
          <w:color w:val="FFFFFF" w:themeColor="background1"/>
          <w:sz w:val="20"/>
        </w:rPr>
        <w:t>THEY ARE NO LONGER RELEVANT TO THE OPERATION OF THE FAMILY DIVISION</w:t>
      </w:r>
      <w:r w:rsidR="00BC3004">
        <w:rPr>
          <w:rFonts w:ascii="Arial" w:hAnsi="Arial" w:cs="Arial"/>
          <w:b/>
          <w:bCs/>
          <w:color w:val="FFFFFF" w:themeColor="background1"/>
          <w:sz w:val="20"/>
        </w:rPr>
        <w:t xml:space="preserve">: SEE </w:t>
      </w:r>
      <w:r w:rsidR="00BC3004" w:rsidRPr="00BC3004">
        <w:rPr>
          <w:rFonts w:ascii="Arial" w:hAnsi="Arial" w:cs="Arial"/>
          <w:b/>
          <w:bCs/>
          <w:color w:val="000000" w:themeColor="text1"/>
          <w:sz w:val="20"/>
          <w:shd w:val="clear" w:color="auto" w:fill="C5E0B3" w:themeFill="accent6" w:themeFillTint="66"/>
        </w:rPr>
        <w:t>SECTION 4.9.3</w:t>
      </w:r>
      <w:r>
        <w:rPr>
          <w:rFonts w:ascii="Arial" w:hAnsi="Arial" w:cs="Arial"/>
          <w:b/>
          <w:bCs/>
          <w:color w:val="FFFFFF" w:themeColor="background1"/>
          <w:sz w:val="20"/>
        </w:rPr>
        <w:t>.</w:t>
      </w:r>
    </w:p>
    <w:p w14:paraId="54CF344E" w14:textId="77777777" w:rsidR="00132E50" w:rsidRPr="00132E50" w:rsidRDefault="00132E50" w:rsidP="00132E50">
      <w:pPr>
        <w:jc w:val="both"/>
        <w:rPr>
          <w:rFonts w:ascii="Arial" w:hAnsi="Arial" w:cs="Arial"/>
          <w:color w:val="000000"/>
          <w:sz w:val="20"/>
        </w:rPr>
      </w:pPr>
    </w:p>
    <w:p w14:paraId="2C1686C1" w14:textId="5BD91CDF" w:rsidR="00132E50" w:rsidRPr="00132E50" w:rsidRDefault="00132E50" w:rsidP="00132E50">
      <w:pPr>
        <w:pStyle w:val="Heading3"/>
        <w:keepNext/>
        <w:keepLines/>
        <w:spacing w:after="120" w:line="240" w:lineRule="auto"/>
        <w:rPr>
          <w:rFonts w:ascii="Arial" w:hAnsi="Arial" w:cs="Arial"/>
          <w:b/>
          <w:bCs/>
          <w:color w:val="000000"/>
          <w:sz w:val="20"/>
        </w:rPr>
      </w:pPr>
      <w:bookmarkStart w:id="1440" w:name="_4.10.1_Conciliation_Conferences"/>
      <w:bookmarkStart w:id="1441" w:name="B4101"/>
      <w:bookmarkEnd w:id="1440"/>
      <w:bookmarkEnd w:id="1441"/>
      <w:r w:rsidRPr="00132E50">
        <w:rPr>
          <w:rFonts w:ascii="Arial" w:hAnsi="Arial" w:cs="Arial"/>
          <w:b/>
          <w:bCs/>
          <w:color w:val="000000"/>
          <w:sz w:val="20"/>
        </w:rPr>
        <w:t>4.10.1</w:t>
      </w:r>
      <w:r w:rsidRPr="00132E50">
        <w:rPr>
          <w:rFonts w:ascii="Arial" w:hAnsi="Arial" w:cs="Arial"/>
          <w:b/>
          <w:bCs/>
          <w:color w:val="000000"/>
          <w:sz w:val="20"/>
        </w:rPr>
        <w:tab/>
        <w:t>Conciliation Conferences</w:t>
      </w:r>
      <w:r w:rsidR="00111111">
        <w:rPr>
          <w:rFonts w:ascii="Arial" w:hAnsi="Arial" w:cs="Arial"/>
          <w:b/>
          <w:bCs/>
          <w:color w:val="000000"/>
          <w:sz w:val="20"/>
        </w:rPr>
        <w:t xml:space="preserve"> </w:t>
      </w:r>
      <w:r w:rsidR="00111111" w:rsidRPr="00111111">
        <w:rPr>
          <w:rFonts w:ascii="Arial" w:hAnsi="Arial" w:cs="Arial"/>
          <w:b/>
          <w:bCs/>
          <w:color w:val="FFFFFF" w:themeColor="background1"/>
          <w:sz w:val="20"/>
          <w:shd w:val="clear" w:color="auto" w:fill="FF0000"/>
        </w:rPr>
        <w:t>[NO LONGER AVAILABLE]</w:t>
      </w:r>
    </w:p>
    <w:p w14:paraId="773C5B99" w14:textId="7BF5AA6B" w:rsidR="00132E50" w:rsidRPr="00132E50" w:rsidRDefault="00132E50" w:rsidP="00132E50">
      <w:pPr>
        <w:jc w:val="both"/>
        <w:rPr>
          <w:rFonts w:ascii="Arial" w:hAnsi="Arial" w:cs="Arial"/>
          <w:color w:val="000000"/>
          <w:sz w:val="20"/>
        </w:rPr>
      </w:pPr>
      <w:r w:rsidRPr="00132E50">
        <w:rPr>
          <w:rFonts w:ascii="Arial" w:hAnsi="Arial" w:cs="Arial"/>
          <w:color w:val="000000"/>
          <w:sz w:val="20"/>
        </w:rPr>
        <w:t>Sections 217-218 &amp; 220-227 of the CYFA form the statutory basis for CCs</w:t>
      </w:r>
      <w:r w:rsidR="00B87BB0">
        <w:rPr>
          <w:rFonts w:ascii="Arial" w:hAnsi="Arial" w:cs="Arial"/>
          <w:color w:val="000000"/>
          <w:sz w:val="20"/>
        </w:rPr>
        <w:t xml:space="preserve">.  These </w:t>
      </w:r>
      <w:r w:rsidR="00BC3004">
        <w:rPr>
          <w:rFonts w:ascii="Arial" w:hAnsi="Arial" w:cs="Arial"/>
          <w:color w:val="000000"/>
          <w:sz w:val="20"/>
        </w:rPr>
        <w:t>a</w:t>
      </w:r>
      <w:r w:rsidRPr="00132E50">
        <w:rPr>
          <w:rFonts w:ascii="Arial" w:hAnsi="Arial" w:cs="Arial"/>
          <w:color w:val="000000"/>
          <w:sz w:val="20"/>
        </w:rPr>
        <w:t>re court ordered conciliations presided over by one or two convenors appointed by the President of the Children’s Court.</w:t>
      </w:r>
    </w:p>
    <w:p w14:paraId="6192F357" w14:textId="77777777" w:rsidR="00B87BB0" w:rsidRPr="00132E50" w:rsidRDefault="00B87BB0" w:rsidP="00B87BB0">
      <w:pPr>
        <w:jc w:val="both"/>
        <w:rPr>
          <w:rFonts w:ascii="Arial" w:hAnsi="Arial" w:cs="Arial"/>
          <w:color w:val="000000"/>
          <w:sz w:val="20"/>
        </w:rPr>
      </w:pPr>
    </w:p>
    <w:p w14:paraId="5D8E4D0F" w14:textId="1A8F5E4E" w:rsidR="00B87BB0" w:rsidRPr="00B87BB0" w:rsidRDefault="00B87BB0" w:rsidP="00B87BB0">
      <w:pPr>
        <w:jc w:val="both"/>
        <w:rPr>
          <w:rFonts w:ascii="Arial" w:hAnsi="Arial" w:cs="Arial"/>
          <w:color w:val="000000"/>
          <w:sz w:val="20"/>
        </w:rPr>
      </w:pPr>
      <w:r>
        <w:rPr>
          <w:rFonts w:ascii="Arial" w:hAnsi="Arial" w:cs="Arial"/>
          <w:color w:val="000000"/>
          <w:sz w:val="20"/>
        </w:rPr>
        <w:t xml:space="preserve">A </w:t>
      </w:r>
      <w:r w:rsidR="003B4C54">
        <w:rPr>
          <w:rFonts w:ascii="Arial" w:hAnsi="Arial" w:cs="Arial"/>
          <w:color w:val="000000"/>
          <w:sz w:val="20"/>
        </w:rPr>
        <w:t>“</w:t>
      </w:r>
      <w:r>
        <w:rPr>
          <w:rFonts w:ascii="Arial" w:hAnsi="Arial" w:cs="Arial"/>
          <w:color w:val="000000"/>
          <w:sz w:val="20"/>
        </w:rPr>
        <w:t>conciliation conference</w:t>
      </w:r>
      <w:r w:rsidR="003B4C54">
        <w:rPr>
          <w:rFonts w:ascii="Arial" w:hAnsi="Arial" w:cs="Arial"/>
          <w:color w:val="000000"/>
          <w:sz w:val="20"/>
        </w:rPr>
        <w:t>”</w:t>
      </w:r>
      <w:r w:rsidRPr="00B87BB0">
        <w:rPr>
          <w:rFonts w:ascii="Arial" w:hAnsi="Arial" w:cs="Arial"/>
          <w:color w:val="000000"/>
          <w:sz w:val="20"/>
        </w:rPr>
        <w:t xml:space="preserve"> – first introduced in 1993</w:t>
      </w:r>
      <w:r>
        <w:rPr>
          <w:rFonts w:ascii="Arial" w:hAnsi="Arial" w:cs="Arial"/>
          <w:color w:val="000000"/>
          <w:sz w:val="20"/>
        </w:rPr>
        <w:t xml:space="preserve"> under the name “pre-hearing conference” and subsequently under the name</w:t>
      </w:r>
      <w:r w:rsidR="00DC3FFE">
        <w:rPr>
          <w:rFonts w:ascii="Arial" w:hAnsi="Arial" w:cs="Arial"/>
          <w:color w:val="000000"/>
          <w:sz w:val="20"/>
        </w:rPr>
        <w:t>s</w:t>
      </w:r>
      <w:r>
        <w:rPr>
          <w:rFonts w:ascii="Arial" w:hAnsi="Arial" w:cs="Arial"/>
          <w:color w:val="000000"/>
          <w:sz w:val="20"/>
        </w:rPr>
        <w:t xml:space="preserve"> “dispute resolution conference”</w:t>
      </w:r>
      <w:r w:rsidRPr="00B87BB0">
        <w:rPr>
          <w:rFonts w:ascii="Arial" w:hAnsi="Arial" w:cs="Arial"/>
          <w:color w:val="000000"/>
          <w:sz w:val="20"/>
        </w:rPr>
        <w:t xml:space="preserve"> </w:t>
      </w:r>
      <w:r w:rsidR="00DC3FFE">
        <w:rPr>
          <w:rFonts w:ascii="Arial" w:hAnsi="Arial" w:cs="Arial"/>
          <w:color w:val="000000"/>
          <w:sz w:val="20"/>
        </w:rPr>
        <w:t xml:space="preserve">&amp; “new model conference” </w:t>
      </w:r>
      <w:r w:rsidRPr="00B87BB0">
        <w:rPr>
          <w:rFonts w:ascii="Arial" w:hAnsi="Arial" w:cs="Arial"/>
          <w:color w:val="000000"/>
          <w:sz w:val="20"/>
        </w:rPr>
        <w:t>– provide</w:t>
      </w:r>
      <w:r w:rsidR="00BC3004">
        <w:rPr>
          <w:rFonts w:ascii="Arial" w:hAnsi="Arial" w:cs="Arial"/>
          <w:color w:val="000000"/>
          <w:sz w:val="20"/>
        </w:rPr>
        <w:t>d</w:t>
      </w:r>
      <w:r w:rsidR="003B4C54">
        <w:rPr>
          <w:rFonts w:ascii="Arial" w:hAnsi="Arial" w:cs="Arial"/>
          <w:color w:val="000000"/>
          <w:sz w:val="20"/>
        </w:rPr>
        <w:t xml:space="preserve"> a means of </w:t>
      </w:r>
      <w:r w:rsidRPr="00B87BB0">
        <w:rPr>
          <w:rFonts w:ascii="Arial" w:hAnsi="Arial" w:cs="Arial"/>
          <w:color w:val="000000"/>
          <w:sz w:val="20"/>
        </w:rPr>
        <w:t xml:space="preserve">dispute resolution </w:t>
      </w:r>
      <w:r w:rsidR="003B4C54">
        <w:rPr>
          <w:rFonts w:ascii="Arial" w:hAnsi="Arial" w:cs="Arial"/>
          <w:color w:val="000000"/>
          <w:sz w:val="20"/>
        </w:rPr>
        <w:t xml:space="preserve">alternative </w:t>
      </w:r>
      <w:r w:rsidRPr="00B87BB0">
        <w:rPr>
          <w:rFonts w:ascii="Arial" w:hAnsi="Arial" w:cs="Arial"/>
          <w:color w:val="000000"/>
          <w:sz w:val="20"/>
        </w:rPr>
        <w:t xml:space="preserve">to that provided by a traditional formal court hearing.  In particular, </w:t>
      </w:r>
      <w:r>
        <w:rPr>
          <w:rFonts w:ascii="Arial" w:hAnsi="Arial" w:cs="Arial"/>
          <w:color w:val="000000"/>
          <w:sz w:val="20"/>
        </w:rPr>
        <w:t>it</w:t>
      </w:r>
      <w:r w:rsidRPr="00B87BB0">
        <w:rPr>
          <w:rFonts w:ascii="Arial" w:hAnsi="Arial" w:cs="Arial"/>
          <w:color w:val="000000"/>
          <w:sz w:val="20"/>
        </w:rPr>
        <w:t xml:space="preserve"> </w:t>
      </w:r>
      <w:r w:rsidR="00BC3004">
        <w:rPr>
          <w:rFonts w:ascii="Arial" w:hAnsi="Arial" w:cs="Arial"/>
          <w:color w:val="000000"/>
          <w:sz w:val="20"/>
        </w:rPr>
        <w:t>gave</w:t>
      </w:r>
      <w:r w:rsidRPr="00B87BB0">
        <w:rPr>
          <w:rFonts w:ascii="Arial" w:hAnsi="Arial" w:cs="Arial"/>
          <w:color w:val="000000"/>
          <w:sz w:val="20"/>
        </w:rPr>
        <w:t xml:space="preserve"> participants a greater opportunity to be heard and to speak for</w:t>
      </w:r>
      <w:r w:rsidRPr="00B87BB0">
        <w:rPr>
          <w:rFonts w:ascii="Arial" w:hAnsi="Arial" w:cs="Arial"/>
          <w:color w:val="000000"/>
        </w:rPr>
        <w:t xml:space="preserve"> </w:t>
      </w:r>
      <w:r w:rsidRPr="00B87BB0">
        <w:rPr>
          <w:rFonts w:ascii="Arial" w:hAnsi="Arial" w:cs="Arial"/>
          <w:color w:val="000000"/>
          <w:sz w:val="20"/>
        </w:rPr>
        <w:t>themselves than d</w:t>
      </w:r>
      <w:r w:rsidR="00BC3004">
        <w:rPr>
          <w:rFonts w:ascii="Arial" w:hAnsi="Arial" w:cs="Arial"/>
          <w:color w:val="000000"/>
          <w:sz w:val="20"/>
        </w:rPr>
        <w:t>id</w:t>
      </w:r>
      <w:r w:rsidRPr="00B87BB0">
        <w:rPr>
          <w:rFonts w:ascii="Arial" w:hAnsi="Arial" w:cs="Arial"/>
          <w:color w:val="000000"/>
          <w:sz w:val="20"/>
        </w:rPr>
        <w:t xml:space="preserve"> traditional court proceedings in the adversarial environment of the courtroom.</w:t>
      </w:r>
    </w:p>
    <w:p w14:paraId="372F2D57" w14:textId="77777777" w:rsidR="00B87BB0" w:rsidRPr="00B87BB0" w:rsidRDefault="00B87BB0" w:rsidP="00B87BB0">
      <w:pPr>
        <w:jc w:val="both"/>
        <w:rPr>
          <w:rFonts w:ascii="Arial" w:hAnsi="Arial" w:cs="Arial"/>
          <w:color w:val="000000"/>
          <w:sz w:val="20"/>
        </w:rPr>
      </w:pPr>
    </w:p>
    <w:p w14:paraId="27EB23DF" w14:textId="2AEC56F2" w:rsidR="00132E50" w:rsidRPr="00132E50" w:rsidRDefault="00DC3FFE" w:rsidP="00132E50">
      <w:pPr>
        <w:jc w:val="both"/>
        <w:rPr>
          <w:rFonts w:ascii="Arial" w:hAnsi="Arial" w:cs="Arial"/>
          <w:color w:val="000000"/>
          <w:sz w:val="20"/>
        </w:rPr>
      </w:pPr>
      <w:r>
        <w:rPr>
          <w:rFonts w:ascii="Arial" w:hAnsi="Arial" w:cs="Arial"/>
          <w:color w:val="000000"/>
          <w:sz w:val="20"/>
        </w:rPr>
        <w:t>Adapted from a model developed by the Harvard Law School, t</w:t>
      </w:r>
      <w:r w:rsidR="00132E50" w:rsidRPr="00132E50">
        <w:rPr>
          <w:rFonts w:ascii="Arial" w:hAnsi="Arial" w:cs="Arial"/>
          <w:color w:val="000000"/>
          <w:sz w:val="20"/>
        </w:rPr>
        <w:t>he Court</w:t>
      </w:r>
      <w:r>
        <w:rPr>
          <w:rFonts w:ascii="Arial" w:hAnsi="Arial" w:cs="Arial"/>
          <w:color w:val="000000"/>
          <w:sz w:val="20"/>
        </w:rPr>
        <w:t xml:space="preserve">’s model for its </w:t>
      </w:r>
      <w:r w:rsidR="00984865">
        <w:rPr>
          <w:rFonts w:ascii="Arial" w:hAnsi="Arial" w:cs="Arial"/>
          <w:color w:val="000000"/>
          <w:sz w:val="20"/>
        </w:rPr>
        <w:t xml:space="preserve">former </w:t>
      </w:r>
      <w:r>
        <w:rPr>
          <w:rFonts w:ascii="Arial" w:hAnsi="Arial" w:cs="Arial"/>
          <w:color w:val="000000"/>
          <w:sz w:val="20"/>
        </w:rPr>
        <w:t>conciliation conferences</w:t>
      </w:r>
      <w:r w:rsidR="00132E50" w:rsidRPr="00132E50">
        <w:rPr>
          <w:rFonts w:ascii="Arial" w:hAnsi="Arial" w:cs="Arial"/>
          <w:color w:val="000000"/>
          <w:sz w:val="20"/>
        </w:rPr>
        <w:t>:</w:t>
      </w:r>
    </w:p>
    <w:p w14:paraId="61FD803E" w14:textId="74CEF0F3"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makes more time available for discussion in an appropriate environment;</w:t>
      </w:r>
    </w:p>
    <w:p w14:paraId="552DB752"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supports convenors to exercise appropriate authority;</w:t>
      </w:r>
    </w:p>
    <w:p w14:paraId="55DEABBD"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mandatory training and accreditation of convenors;</w:t>
      </w:r>
    </w:p>
    <w:p w14:paraId="5A6F6187"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pre-conference preparation by convenors and parties (including requiring information exchange by the parties prior to the conference);</w:t>
      </w:r>
    </w:p>
    <w:p w14:paraId="7DFD5926"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ensures that participants are better prepared for conferences;</w:t>
      </w:r>
    </w:p>
    <w:p w14:paraId="7B51F03A"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requires appropriate behaviour by all participants (including legal practitioners);</w:t>
      </w:r>
    </w:p>
    <w:p w14:paraId="1179D0CB"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 xml:space="preserve">requires that </w:t>
      </w:r>
      <w:r w:rsidR="00785D2D">
        <w:rPr>
          <w:rFonts w:ascii="Arial" w:hAnsi="Arial" w:cs="Arial"/>
          <w:color w:val="000000"/>
          <w:sz w:val="20"/>
        </w:rPr>
        <w:t>DFFH</w:t>
      </w:r>
      <w:r w:rsidRPr="00785E1A">
        <w:rPr>
          <w:rFonts w:ascii="Arial" w:hAnsi="Arial" w:cs="Arial"/>
          <w:color w:val="000000"/>
          <w:sz w:val="20"/>
        </w:rPr>
        <w:t xml:space="preserve"> has a decision-maker in attendance;</w:t>
      </w:r>
    </w:p>
    <w:p w14:paraId="3690FAC3"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the time spent by families in adversarial court proceedings and by child protection practitioners in attending at Court; and</w:t>
      </w:r>
    </w:p>
    <w:p w14:paraId="72F0CF3F" w14:textId="77777777" w:rsidR="00132E50" w:rsidRPr="00785E1A" w:rsidRDefault="00132E50">
      <w:pPr>
        <w:numPr>
          <w:ilvl w:val="0"/>
          <w:numId w:val="25"/>
        </w:numPr>
        <w:jc w:val="both"/>
        <w:rPr>
          <w:rFonts w:ascii="Arial" w:hAnsi="Arial" w:cs="Arial"/>
          <w:color w:val="000000"/>
          <w:sz w:val="20"/>
        </w:rPr>
      </w:pPr>
      <w:r w:rsidRPr="00785E1A">
        <w:rPr>
          <w:rFonts w:ascii="Arial" w:hAnsi="Arial" w:cs="Arial"/>
          <w:color w:val="000000"/>
          <w:sz w:val="20"/>
        </w:rPr>
        <w:t>reduces Court delay.</w:t>
      </w:r>
    </w:p>
    <w:p w14:paraId="1B4B9DDF" w14:textId="77777777" w:rsidR="00132E50" w:rsidRPr="00785E1A" w:rsidRDefault="00132E50" w:rsidP="00132E50">
      <w:pPr>
        <w:jc w:val="both"/>
        <w:rPr>
          <w:rFonts w:ascii="Arial" w:hAnsi="Arial" w:cs="Arial"/>
          <w:color w:val="000000"/>
          <w:sz w:val="20"/>
        </w:rPr>
      </w:pPr>
    </w:p>
    <w:p w14:paraId="3EF442C3" w14:textId="0D05F537" w:rsidR="00132E50" w:rsidRPr="00132E50" w:rsidRDefault="00DC3FFE" w:rsidP="00132E50">
      <w:pPr>
        <w:jc w:val="both"/>
        <w:rPr>
          <w:rFonts w:ascii="Arial" w:hAnsi="Arial" w:cs="Arial"/>
          <w:color w:val="000000"/>
          <w:sz w:val="20"/>
        </w:rPr>
      </w:pPr>
      <w:r>
        <w:rPr>
          <w:rFonts w:ascii="Arial" w:hAnsi="Arial" w:cs="Arial"/>
          <w:color w:val="000000"/>
          <w:sz w:val="20"/>
        </w:rPr>
        <w:t xml:space="preserve">In addition, the </w:t>
      </w:r>
      <w:r w:rsidR="00132E50" w:rsidRPr="00132E50">
        <w:rPr>
          <w:rFonts w:ascii="Arial" w:hAnsi="Arial" w:cs="Arial"/>
          <w:color w:val="000000"/>
          <w:sz w:val="20"/>
        </w:rPr>
        <w:t xml:space="preserve">CC model </w:t>
      </w:r>
      <w:r w:rsidR="00984865">
        <w:rPr>
          <w:rFonts w:ascii="Arial" w:hAnsi="Arial" w:cs="Arial"/>
          <w:color w:val="000000"/>
          <w:sz w:val="20"/>
        </w:rPr>
        <w:t>wa</w:t>
      </w:r>
      <w:r w:rsidR="00132E50" w:rsidRPr="00132E50">
        <w:rPr>
          <w:rFonts w:ascii="Arial" w:hAnsi="Arial" w:cs="Arial"/>
          <w:color w:val="000000"/>
          <w:sz w:val="20"/>
        </w:rPr>
        <w:t xml:space="preserve">s </w:t>
      </w:r>
      <w:r w:rsidR="00132E50" w:rsidRPr="00132E50">
        <w:rPr>
          <w:rFonts w:ascii="Arial" w:hAnsi="Arial" w:cs="Arial"/>
          <w:i/>
          <w:color w:val="000000"/>
          <w:sz w:val="20"/>
        </w:rPr>
        <w:t xml:space="preserve">strength-based. </w:t>
      </w:r>
      <w:r w:rsidR="00132E50" w:rsidRPr="00132E50">
        <w:rPr>
          <w:rFonts w:ascii="Arial" w:hAnsi="Arial" w:cs="Arial"/>
          <w:color w:val="000000"/>
          <w:sz w:val="20"/>
        </w:rPr>
        <w:t xml:space="preserve"> By allowing family strengths to be identified early in the conference, it create</w:t>
      </w:r>
      <w:r w:rsidR="00984865">
        <w:rPr>
          <w:rFonts w:ascii="Arial" w:hAnsi="Arial" w:cs="Arial"/>
          <w:color w:val="000000"/>
          <w:sz w:val="20"/>
        </w:rPr>
        <w:t>d</w:t>
      </w:r>
      <w:r w:rsidR="00132E50" w:rsidRPr="00132E50">
        <w:rPr>
          <w:rFonts w:ascii="Arial" w:hAnsi="Arial" w:cs="Arial"/>
          <w:color w:val="000000"/>
          <w:sz w:val="20"/>
        </w:rPr>
        <w:t xml:space="preserve"> a less adversarial dynamic.</w:t>
      </w:r>
    </w:p>
    <w:p w14:paraId="3BB20902" w14:textId="77777777" w:rsidR="00132E50" w:rsidRPr="00132E50" w:rsidRDefault="00132E50" w:rsidP="00132E50">
      <w:pPr>
        <w:jc w:val="both"/>
        <w:rPr>
          <w:rFonts w:ascii="Arial" w:hAnsi="Arial" w:cs="Arial"/>
          <w:color w:val="000000"/>
          <w:sz w:val="20"/>
        </w:rPr>
      </w:pPr>
    </w:p>
    <w:p w14:paraId="38106738" w14:textId="4DAF4F1E" w:rsidR="00132E50" w:rsidRPr="00132E50" w:rsidRDefault="00132E50" w:rsidP="00132E50">
      <w:pPr>
        <w:jc w:val="both"/>
        <w:rPr>
          <w:rFonts w:ascii="Arial" w:hAnsi="Arial" w:cs="Arial"/>
          <w:color w:val="000000"/>
          <w:sz w:val="20"/>
        </w:rPr>
      </w:pPr>
      <w:r w:rsidRPr="00132E50">
        <w:rPr>
          <w:rFonts w:ascii="Arial" w:hAnsi="Arial" w:cs="Arial"/>
          <w:color w:val="000000"/>
          <w:sz w:val="20"/>
        </w:rPr>
        <w:t>The developm</w:t>
      </w:r>
      <w:r w:rsidR="00DC3FFE">
        <w:rPr>
          <w:rFonts w:ascii="Arial" w:hAnsi="Arial" w:cs="Arial"/>
          <w:color w:val="000000"/>
          <w:sz w:val="20"/>
        </w:rPr>
        <w:t xml:space="preserve">ent and introduction of this </w:t>
      </w:r>
      <w:r w:rsidRPr="00132E50">
        <w:rPr>
          <w:rFonts w:ascii="Arial" w:hAnsi="Arial" w:cs="Arial"/>
          <w:color w:val="000000"/>
          <w:sz w:val="20"/>
        </w:rPr>
        <w:t xml:space="preserve">CC model was a collaborative effort involving the Court, </w:t>
      </w:r>
      <w:r w:rsidR="00785D2D">
        <w:rPr>
          <w:rFonts w:ascii="Arial" w:hAnsi="Arial" w:cs="Arial"/>
          <w:color w:val="000000"/>
          <w:sz w:val="20"/>
        </w:rPr>
        <w:t>DFFH</w:t>
      </w:r>
      <w:r w:rsidRPr="00132E50">
        <w:rPr>
          <w:rFonts w:ascii="Arial" w:hAnsi="Arial" w:cs="Arial"/>
          <w:color w:val="000000"/>
          <w:sz w:val="20"/>
        </w:rPr>
        <w:t xml:space="preserve"> and Victoria Legal Aid (VLA).  Cross-agency training of private solicitors and barristers, VLA solicitors and </w:t>
      </w:r>
      <w:r w:rsidR="00785D2D">
        <w:rPr>
          <w:rFonts w:ascii="Arial" w:hAnsi="Arial" w:cs="Arial"/>
          <w:color w:val="000000"/>
          <w:sz w:val="20"/>
        </w:rPr>
        <w:t>DFFH</w:t>
      </w:r>
      <w:r w:rsidRPr="00132E50">
        <w:rPr>
          <w:rFonts w:ascii="Arial" w:hAnsi="Arial" w:cs="Arial"/>
          <w:color w:val="000000"/>
          <w:sz w:val="20"/>
        </w:rPr>
        <w:t xml:space="preserve"> child protection practitioners and lawyers ha</w:t>
      </w:r>
      <w:r w:rsidR="00BC3004">
        <w:rPr>
          <w:rFonts w:ascii="Arial" w:hAnsi="Arial" w:cs="Arial"/>
          <w:color w:val="000000"/>
          <w:sz w:val="20"/>
        </w:rPr>
        <w:t>d</w:t>
      </w:r>
      <w:r w:rsidRPr="00132E50">
        <w:rPr>
          <w:rFonts w:ascii="Arial" w:hAnsi="Arial" w:cs="Arial"/>
          <w:color w:val="000000"/>
          <w:sz w:val="20"/>
        </w:rPr>
        <w:t xml:space="preserve"> been conducted.</w:t>
      </w:r>
    </w:p>
    <w:p w14:paraId="0877B052" w14:textId="77777777" w:rsidR="00132E50" w:rsidRPr="00132E50" w:rsidRDefault="00132E50" w:rsidP="00132E50">
      <w:pPr>
        <w:jc w:val="both"/>
        <w:rPr>
          <w:rFonts w:ascii="Arial" w:hAnsi="Arial" w:cs="Arial"/>
          <w:color w:val="000000"/>
          <w:sz w:val="20"/>
        </w:rPr>
      </w:pPr>
    </w:p>
    <w:p w14:paraId="49D0766C" w14:textId="597B0D62" w:rsidR="00132E50" w:rsidRPr="00132E50" w:rsidRDefault="00132E50" w:rsidP="00132E50">
      <w:pPr>
        <w:jc w:val="both"/>
        <w:rPr>
          <w:rFonts w:ascii="Arial" w:hAnsi="Arial" w:cs="Arial"/>
          <w:color w:val="000000"/>
          <w:sz w:val="20"/>
        </w:rPr>
      </w:pPr>
      <w:r w:rsidRPr="00132E50">
        <w:rPr>
          <w:rFonts w:ascii="Arial" w:hAnsi="Arial" w:cs="Arial"/>
          <w:color w:val="000000"/>
          <w:sz w:val="20"/>
        </w:rPr>
        <w:t>In June 2013 the Court introduced Koori Conciliation Conferences for Melbourne matters involving children of Aboriginal or Torres Strait Island</w:t>
      </w:r>
      <w:r w:rsidR="00855531">
        <w:rPr>
          <w:rFonts w:ascii="Arial" w:hAnsi="Arial" w:cs="Arial"/>
          <w:color w:val="000000"/>
          <w:sz w:val="20"/>
        </w:rPr>
        <w:t>er</w:t>
      </w:r>
      <w:r w:rsidRPr="00132E50">
        <w:rPr>
          <w:rFonts w:ascii="Arial" w:hAnsi="Arial" w:cs="Arial"/>
          <w:color w:val="000000"/>
          <w:sz w:val="20"/>
        </w:rPr>
        <w:t xml:space="preserve"> heritage. These conferences involve</w:t>
      </w:r>
      <w:r w:rsidR="00BC3004">
        <w:rPr>
          <w:rFonts w:ascii="Arial" w:hAnsi="Arial" w:cs="Arial"/>
          <w:color w:val="000000"/>
          <w:sz w:val="20"/>
        </w:rPr>
        <w:t>d</w:t>
      </w:r>
      <w:r w:rsidRPr="00132E50">
        <w:rPr>
          <w:rFonts w:ascii="Arial" w:hAnsi="Arial" w:cs="Arial"/>
          <w:color w:val="000000"/>
          <w:sz w:val="20"/>
        </w:rPr>
        <w:t xml:space="preserve"> a Koori convenor whose role is to provide appropriate cultural support and input to the process.</w:t>
      </w:r>
    </w:p>
    <w:p w14:paraId="5D5BE4AD" w14:textId="77777777" w:rsidR="00132E50" w:rsidRPr="00132E50" w:rsidRDefault="00132E50" w:rsidP="00132E50">
      <w:pPr>
        <w:jc w:val="both"/>
        <w:rPr>
          <w:rFonts w:ascii="Arial" w:hAnsi="Arial" w:cs="Arial"/>
          <w:color w:val="000000"/>
          <w:sz w:val="20"/>
        </w:rPr>
      </w:pPr>
    </w:p>
    <w:p w14:paraId="296099B7" w14:textId="77777777" w:rsidR="00132E50" w:rsidRPr="00B87BB0" w:rsidRDefault="00132E50" w:rsidP="00132E50">
      <w:pPr>
        <w:pStyle w:val="Heading3"/>
        <w:keepNext/>
        <w:keepLines/>
        <w:spacing w:after="120" w:line="240" w:lineRule="auto"/>
        <w:rPr>
          <w:rFonts w:ascii="Arial" w:hAnsi="Arial" w:cs="Arial"/>
          <w:b/>
          <w:color w:val="000000"/>
          <w:sz w:val="20"/>
        </w:rPr>
      </w:pPr>
      <w:bookmarkStart w:id="1442" w:name="_4.10.2_Jurisdiction_&amp;"/>
      <w:bookmarkStart w:id="1443" w:name="B4102"/>
      <w:bookmarkEnd w:id="1442"/>
      <w:bookmarkEnd w:id="1443"/>
      <w:r w:rsidRPr="00B87BB0">
        <w:rPr>
          <w:rFonts w:ascii="Arial" w:hAnsi="Arial" w:cs="Arial"/>
          <w:b/>
          <w:bCs/>
          <w:color w:val="000000"/>
          <w:sz w:val="20"/>
        </w:rPr>
        <w:t>4.10.2</w:t>
      </w:r>
      <w:r w:rsidRPr="00B87BB0">
        <w:rPr>
          <w:rFonts w:ascii="Arial" w:hAnsi="Arial" w:cs="Arial"/>
          <w:b/>
          <w:bCs/>
          <w:color w:val="000000"/>
          <w:sz w:val="20"/>
        </w:rPr>
        <w:tab/>
        <w:t>Jurisdiction &amp; Purpose of CC</w:t>
      </w:r>
    </w:p>
    <w:p w14:paraId="79F5C54A"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Under s.217(1) of the CYFA the Family Division may, on the application of a party or on its own motion, order that any application made to the Family Division under the CYFA be referred for a conciliation conference to one or two convenors appointed under s.227.</w:t>
      </w:r>
    </w:p>
    <w:p w14:paraId="649E907B" w14:textId="77777777" w:rsidR="00132E50" w:rsidRPr="00785E1A" w:rsidRDefault="00132E50" w:rsidP="00132E50">
      <w:pPr>
        <w:jc w:val="both"/>
        <w:rPr>
          <w:rFonts w:ascii="Arial" w:hAnsi="Arial" w:cs="Arial"/>
          <w:color w:val="000000"/>
          <w:sz w:val="20"/>
        </w:rPr>
      </w:pPr>
    </w:p>
    <w:p w14:paraId="43D30429" w14:textId="77777777" w:rsidR="00132E50" w:rsidRPr="00B87BB0" w:rsidRDefault="00132E50" w:rsidP="00132E50">
      <w:pPr>
        <w:jc w:val="both"/>
        <w:rPr>
          <w:rFonts w:ascii="Arial" w:hAnsi="Arial" w:cs="Arial"/>
          <w:color w:val="000000"/>
          <w:sz w:val="20"/>
        </w:rPr>
      </w:pPr>
      <w:r w:rsidRPr="00B87BB0">
        <w:rPr>
          <w:rFonts w:ascii="Arial" w:hAnsi="Arial" w:cs="Arial"/>
          <w:color w:val="000000"/>
          <w:sz w:val="20"/>
        </w:rPr>
        <w:t xml:space="preserve">Section 217(2) of the CYFA provides that the purpose of a CC is to give the parties to the application an opportunity to agree or advise on the action that should be taken in the best </w:t>
      </w:r>
      <w:r w:rsidRPr="00B87BB0">
        <w:rPr>
          <w:rFonts w:ascii="Arial" w:hAnsi="Arial" w:cs="Arial"/>
          <w:color w:val="000000"/>
          <w:sz w:val="20"/>
        </w:rPr>
        <w:lastRenderedPageBreak/>
        <w:t>interests of the child.  Section 218 provides that the purpose of a CC is to enable the parties with the assistance of the convenor(s)-</w:t>
      </w:r>
    </w:p>
    <w:p w14:paraId="1153616E"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(a)</w:t>
      </w:r>
      <w:r w:rsidRPr="00B87BB0">
        <w:rPr>
          <w:rFonts w:ascii="Arial" w:hAnsi="Arial" w:cs="Arial"/>
          <w:color w:val="000000"/>
          <w:sz w:val="20"/>
        </w:rPr>
        <w:tab/>
        <w:t>to identify the issues in dispute; and</w:t>
      </w:r>
    </w:p>
    <w:p w14:paraId="46CD65D8" w14:textId="77777777" w:rsidR="00132E50" w:rsidRPr="00B87BB0" w:rsidRDefault="00132E50" w:rsidP="00132E50">
      <w:pPr>
        <w:tabs>
          <w:tab w:val="left" w:pos="363"/>
        </w:tabs>
        <w:jc w:val="both"/>
        <w:rPr>
          <w:rFonts w:ascii="Arial" w:hAnsi="Arial" w:cs="Arial"/>
          <w:color w:val="000000"/>
          <w:sz w:val="20"/>
        </w:rPr>
      </w:pPr>
      <w:r w:rsidRPr="00B87BB0">
        <w:rPr>
          <w:rFonts w:ascii="Arial" w:hAnsi="Arial" w:cs="Arial"/>
          <w:color w:val="000000"/>
          <w:sz w:val="20"/>
        </w:rPr>
        <w:t>(b)</w:t>
      </w:r>
      <w:r w:rsidRPr="00B87BB0">
        <w:rPr>
          <w:rFonts w:ascii="Arial" w:hAnsi="Arial" w:cs="Arial"/>
          <w:color w:val="000000"/>
          <w:sz w:val="20"/>
        </w:rPr>
        <w:tab/>
        <w:t>to consider alternatives; and</w:t>
      </w:r>
    </w:p>
    <w:p w14:paraId="50C8E1BD" w14:textId="77777777" w:rsidR="00132E50" w:rsidRPr="00B87BB0" w:rsidRDefault="00132E50" w:rsidP="00132E50">
      <w:pPr>
        <w:tabs>
          <w:tab w:val="left" w:pos="363"/>
        </w:tabs>
        <w:ind w:left="720" w:hanging="720"/>
        <w:jc w:val="both"/>
        <w:rPr>
          <w:rFonts w:ascii="Arial" w:hAnsi="Arial" w:cs="Arial"/>
          <w:color w:val="000000"/>
          <w:sz w:val="20"/>
        </w:rPr>
      </w:pPr>
      <w:r w:rsidRPr="00B87BB0">
        <w:rPr>
          <w:rFonts w:ascii="Arial" w:hAnsi="Arial" w:cs="Arial"/>
          <w:color w:val="000000"/>
          <w:sz w:val="20"/>
        </w:rPr>
        <w:t>(c)</w:t>
      </w:r>
      <w:r w:rsidRPr="00B87BB0">
        <w:rPr>
          <w:rFonts w:ascii="Arial" w:hAnsi="Arial" w:cs="Arial"/>
          <w:color w:val="000000"/>
          <w:sz w:val="20"/>
        </w:rPr>
        <w:tab/>
        <w:t>to try to reach an agreement as to the action to be taken in the best interests of the child.</w:t>
      </w:r>
    </w:p>
    <w:p w14:paraId="4588FA6F" w14:textId="77777777" w:rsidR="00132E50" w:rsidRPr="00B87BB0" w:rsidRDefault="00132E50" w:rsidP="00132E50">
      <w:pPr>
        <w:jc w:val="both"/>
        <w:rPr>
          <w:rFonts w:ascii="Arial" w:hAnsi="Arial" w:cs="Arial"/>
          <w:color w:val="000000"/>
          <w:sz w:val="20"/>
        </w:rPr>
      </w:pPr>
    </w:p>
    <w:p w14:paraId="32FC47F2" w14:textId="77777777" w:rsidR="00132E50" w:rsidRPr="00B87BB0" w:rsidRDefault="00132E50" w:rsidP="00855531">
      <w:pPr>
        <w:jc w:val="both"/>
        <w:rPr>
          <w:rFonts w:ascii="Arial" w:hAnsi="Arial" w:cs="Arial"/>
          <w:color w:val="000000"/>
          <w:sz w:val="20"/>
        </w:rPr>
      </w:pPr>
      <w:r w:rsidRPr="00B87BB0">
        <w:rPr>
          <w:rFonts w:ascii="Arial" w:hAnsi="Arial" w:cs="Arial"/>
          <w:color w:val="000000"/>
          <w:sz w:val="20"/>
        </w:rPr>
        <w:t>A CC is an exercise in negotiation and joint problem solving.  It establishes a process that parties to an application (and other approved persons) meet together in an environment controlled by an independent convenor.  Through the CC process the participants, with the assistance of the convenor(s), attempt to-</w:t>
      </w:r>
    </w:p>
    <w:p w14:paraId="1360DDAB"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disputed issues;</w:t>
      </w:r>
    </w:p>
    <w:p w14:paraId="062498EE"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identify and clarify areas of agreement;</w:t>
      </w:r>
    </w:p>
    <w:p w14:paraId="450B9197"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develop options and consider alternatives;</w:t>
      </w:r>
    </w:p>
    <w:p w14:paraId="67DD315C"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enhance communication; and</w:t>
      </w:r>
    </w:p>
    <w:p w14:paraId="2BBB78A8" w14:textId="77777777" w:rsidR="00132E50" w:rsidRPr="00B87BB0" w:rsidRDefault="00132E50" w:rsidP="00BA6FBE">
      <w:pPr>
        <w:numPr>
          <w:ilvl w:val="0"/>
          <w:numId w:val="14"/>
        </w:numPr>
        <w:jc w:val="both"/>
        <w:rPr>
          <w:rFonts w:ascii="Arial" w:hAnsi="Arial" w:cs="Arial"/>
          <w:bCs/>
          <w:color w:val="000000"/>
          <w:sz w:val="20"/>
        </w:rPr>
      </w:pPr>
      <w:r w:rsidRPr="00B87BB0">
        <w:rPr>
          <w:rFonts w:ascii="Arial" w:hAnsi="Arial" w:cs="Arial"/>
          <w:bCs/>
          <w:color w:val="000000"/>
          <w:sz w:val="20"/>
        </w:rPr>
        <w:t>reach agreement on issues of dispute between the parties in order to avoid – or limit the scope of – a hearing.</w:t>
      </w:r>
    </w:p>
    <w:p w14:paraId="52107D87" w14:textId="77777777" w:rsidR="007229AB" w:rsidRDefault="007229AB" w:rsidP="007229AB">
      <w:pPr>
        <w:jc w:val="both"/>
        <w:rPr>
          <w:rFonts w:ascii="Arial" w:hAnsi="Arial" w:cs="Arial"/>
          <w:b/>
          <w:bCs/>
          <w:color w:val="000000"/>
          <w:sz w:val="20"/>
        </w:rPr>
      </w:pPr>
      <w:bookmarkStart w:id="1444" w:name="_4.10.3_Convenor"/>
      <w:bookmarkEnd w:id="1444"/>
    </w:p>
    <w:p w14:paraId="5DAC7C3B" w14:textId="77777777" w:rsidR="00132E50" w:rsidRPr="00785E1A" w:rsidRDefault="00132E50" w:rsidP="007229AB">
      <w:pPr>
        <w:spacing w:after="120"/>
        <w:jc w:val="both"/>
        <w:rPr>
          <w:rFonts w:ascii="Arial" w:hAnsi="Arial" w:cs="Arial"/>
          <w:color w:val="000000"/>
          <w:sz w:val="20"/>
        </w:rPr>
      </w:pPr>
      <w:bookmarkStart w:id="1445" w:name="B4103"/>
      <w:bookmarkEnd w:id="1445"/>
      <w:r w:rsidRPr="00785E1A">
        <w:rPr>
          <w:rFonts w:ascii="Arial" w:hAnsi="Arial" w:cs="Arial"/>
          <w:b/>
          <w:bCs/>
          <w:color w:val="000000"/>
          <w:sz w:val="20"/>
        </w:rPr>
        <w:t>4.10.3</w:t>
      </w:r>
      <w:r w:rsidRPr="00785E1A">
        <w:rPr>
          <w:rFonts w:ascii="Arial" w:hAnsi="Arial" w:cs="Arial"/>
          <w:b/>
          <w:bCs/>
          <w:color w:val="000000"/>
          <w:sz w:val="20"/>
        </w:rPr>
        <w:tab/>
        <w:t>Convenor</w:t>
      </w:r>
    </w:p>
    <w:p w14:paraId="3D26DB9E" w14:textId="7FFD3942" w:rsidR="00132E50" w:rsidRPr="00D00CAA" w:rsidRDefault="00132E50" w:rsidP="00855531">
      <w:pPr>
        <w:jc w:val="both"/>
        <w:rPr>
          <w:rFonts w:ascii="Arial" w:hAnsi="Arial" w:cs="Arial"/>
          <w:color w:val="000000"/>
          <w:sz w:val="20"/>
        </w:rPr>
      </w:pPr>
      <w:r w:rsidRPr="00D00CAA">
        <w:rPr>
          <w:rFonts w:ascii="Arial" w:hAnsi="Arial" w:cs="Arial"/>
          <w:color w:val="000000"/>
          <w:sz w:val="20"/>
        </w:rPr>
        <w:t>Under ss.227(1) &amp; 227(2) of the CY</w:t>
      </w:r>
      <w:r w:rsidR="00753FA4">
        <w:rPr>
          <w:rFonts w:ascii="Arial" w:hAnsi="Arial" w:cs="Arial"/>
          <w:color w:val="000000"/>
          <w:sz w:val="20"/>
        </w:rPr>
        <w:t>F</w:t>
      </w:r>
      <w:r w:rsidRPr="00D00CAA">
        <w:rPr>
          <w:rFonts w:ascii="Arial" w:hAnsi="Arial" w:cs="Arial"/>
          <w:color w:val="000000"/>
          <w:sz w:val="20"/>
        </w:rPr>
        <w:t xml:space="preserve">A a convenor is appointed by the President of the Children’s Court on the terms and conditions set out in the instrument of appointment.  Under s.227(3), the </w:t>
      </w:r>
      <w:r w:rsidR="00FB0C23">
        <w:rPr>
          <w:rFonts w:ascii="Arial" w:hAnsi="Arial" w:cs="Arial"/>
          <w:color w:val="000000"/>
          <w:sz w:val="20"/>
        </w:rPr>
        <w:t>President</w:t>
      </w:r>
      <w:r w:rsidRPr="00D00CAA">
        <w:rPr>
          <w:rFonts w:ascii="Arial" w:hAnsi="Arial" w:cs="Arial"/>
          <w:color w:val="000000"/>
          <w:sz w:val="20"/>
        </w:rPr>
        <w:t xml:space="preserve"> must not recommend a person for appointment as a convenor unless satisfied that the person is of good character and has appropriate qualifications and experience. Under s.227(4) the President may remove a convenor from office at any time.</w:t>
      </w:r>
    </w:p>
    <w:p w14:paraId="16C423BA" w14:textId="77777777" w:rsidR="00132E50" w:rsidRPr="00D00CAA" w:rsidRDefault="00132E50" w:rsidP="00132E50">
      <w:pPr>
        <w:jc w:val="both"/>
        <w:rPr>
          <w:rFonts w:ascii="Arial" w:hAnsi="Arial" w:cs="Arial"/>
          <w:color w:val="000000"/>
          <w:sz w:val="20"/>
        </w:rPr>
      </w:pPr>
    </w:p>
    <w:p w14:paraId="7D9B5C8D" w14:textId="77777777" w:rsidR="00132E50" w:rsidRPr="00785E1A" w:rsidRDefault="00132E50" w:rsidP="00132E50">
      <w:pPr>
        <w:jc w:val="both"/>
        <w:rPr>
          <w:rFonts w:ascii="Arial" w:hAnsi="Arial" w:cs="Arial"/>
          <w:color w:val="000000"/>
          <w:sz w:val="20"/>
        </w:rPr>
      </w:pPr>
      <w:r w:rsidRPr="00785E1A">
        <w:rPr>
          <w:rFonts w:ascii="Arial" w:hAnsi="Arial" w:cs="Arial"/>
          <w:color w:val="000000"/>
          <w:sz w:val="20"/>
        </w:rPr>
        <w:t xml:space="preserve">Section 227(5) provides that a convenor is not, in respect of the office of convenor, subject to the </w:t>
      </w:r>
      <w:r w:rsidRPr="00785E1A">
        <w:rPr>
          <w:rFonts w:ascii="Arial" w:hAnsi="Arial" w:cs="Arial"/>
          <w:color w:val="000000"/>
          <w:sz w:val="20"/>
          <w:u w:val="single"/>
        </w:rPr>
        <w:t>Public Administration Act 2004 (Vic)</w:t>
      </w:r>
      <w:r w:rsidRPr="00785E1A">
        <w:rPr>
          <w:rFonts w:ascii="Arial" w:hAnsi="Arial" w:cs="Arial"/>
          <w:color w:val="000000"/>
          <w:sz w:val="20"/>
        </w:rPr>
        <w:t>.</w:t>
      </w:r>
    </w:p>
    <w:p w14:paraId="4C3A8016" w14:textId="77777777" w:rsidR="00132E50" w:rsidRDefault="00132E50" w:rsidP="00132E50">
      <w:pPr>
        <w:jc w:val="both"/>
        <w:rPr>
          <w:rFonts w:ascii="Arial" w:hAnsi="Arial" w:cs="Arial"/>
          <w:color w:val="000000"/>
          <w:sz w:val="20"/>
        </w:rPr>
      </w:pPr>
    </w:p>
    <w:p w14:paraId="7B50B75C" w14:textId="77777777" w:rsidR="00132E50" w:rsidRPr="00785E1A" w:rsidRDefault="00132E50" w:rsidP="00132E50">
      <w:pPr>
        <w:jc w:val="both"/>
        <w:rPr>
          <w:rFonts w:ascii="Arial" w:hAnsi="Arial" w:cs="Arial"/>
          <w:color w:val="000000"/>
          <w:sz w:val="20"/>
        </w:rPr>
      </w:pPr>
      <w:r>
        <w:rPr>
          <w:rFonts w:ascii="Arial" w:hAnsi="Arial" w:cs="Arial"/>
          <w:color w:val="000000"/>
          <w:sz w:val="20"/>
        </w:rPr>
        <w:t>Section 218(2) provides that t</w:t>
      </w:r>
      <w:r w:rsidRPr="00785E1A">
        <w:rPr>
          <w:rFonts w:ascii="Arial" w:hAnsi="Arial" w:cs="Arial"/>
          <w:color w:val="000000"/>
          <w:sz w:val="20"/>
        </w:rPr>
        <w:t>he role of the convenor(s) at a</w:t>
      </w:r>
      <w:r w:rsidRPr="0090541F">
        <w:rPr>
          <w:rFonts w:ascii="Arial" w:hAnsi="Arial" w:cs="Arial"/>
          <w:color w:val="000000"/>
          <w:sz w:val="20"/>
        </w:rPr>
        <w:t xml:space="preserve"> CC </w:t>
      </w:r>
      <w:r w:rsidRPr="00785E1A">
        <w:rPr>
          <w:rFonts w:ascii="Arial" w:hAnsi="Arial" w:cs="Arial"/>
          <w:color w:val="000000"/>
          <w:sz w:val="20"/>
        </w:rPr>
        <w:t>is-</w:t>
      </w:r>
    </w:p>
    <w:p w14:paraId="62974FC9"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(a)</w:t>
      </w:r>
      <w:r w:rsidRPr="00785E1A">
        <w:rPr>
          <w:rFonts w:ascii="Arial" w:hAnsi="Arial" w:cs="Arial"/>
          <w:color w:val="000000"/>
          <w:sz w:val="20"/>
        </w:rPr>
        <w:tab/>
        <w:t>to chair the conference; and</w:t>
      </w:r>
    </w:p>
    <w:p w14:paraId="61DCCC87"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(b)</w:t>
      </w:r>
      <w:r w:rsidRPr="00785E1A">
        <w:rPr>
          <w:rFonts w:ascii="Arial" w:hAnsi="Arial" w:cs="Arial"/>
          <w:color w:val="000000"/>
          <w:sz w:val="20"/>
        </w:rPr>
        <w:tab/>
        <w:t>to advise on and determine the process to be followed for the conference; and</w:t>
      </w:r>
    </w:p>
    <w:p w14:paraId="6E9F3035" w14:textId="77777777" w:rsidR="00132E50" w:rsidRPr="00785E1A" w:rsidRDefault="00132E50" w:rsidP="00132E50">
      <w:pPr>
        <w:tabs>
          <w:tab w:val="left" w:pos="363"/>
        </w:tabs>
        <w:jc w:val="both"/>
        <w:rPr>
          <w:rFonts w:ascii="Arial" w:hAnsi="Arial" w:cs="Arial"/>
          <w:color w:val="000000"/>
          <w:sz w:val="20"/>
        </w:rPr>
      </w:pPr>
      <w:r w:rsidRPr="00785E1A">
        <w:rPr>
          <w:rFonts w:ascii="Arial" w:hAnsi="Arial" w:cs="Arial"/>
          <w:color w:val="000000"/>
          <w:sz w:val="20"/>
        </w:rPr>
        <w:t>(c)</w:t>
      </w:r>
      <w:r w:rsidRPr="00785E1A">
        <w:rPr>
          <w:rFonts w:ascii="Arial" w:hAnsi="Arial" w:cs="Arial"/>
          <w:color w:val="000000"/>
          <w:sz w:val="20"/>
        </w:rPr>
        <w:tab/>
        <w:t>to provide to the Court a written report of the conclusions reached at the conference.</w:t>
      </w:r>
    </w:p>
    <w:p w14:paraId="6C0940EF" w14:textId="77777777" w:rsidR="00132E50" w:rsidRPr="00785E1A" w:rsidRDefault="00132E50" w:rsidP="00132E50">
      <w:pPr>
        <w:jc w:val="both"/>
        <w:rPr>
          <w:rFonts w:ascii="Arial" w:hAnsi="Arial" w:cs="Arial"/>
          <w:color w:val="000000"/>
          <w:sz w:val="20"/>
        </w:rPr>
      </w:pPr>
    </w:p>
    <w:p w14:paraId="3A0D0F61" w14:textId="77777777" w:rsidR="00132E50" w:rsidRPr="001544BF" w:rsidRDefault="00132E50" w:rsidP="00132E50">
      <w:pPr>
        <w:pStyle w:val="Heading3"/>
        <w:keepNext/>
        <w:spacing w:after="120" w:line="240" w:lineRule="auto"/>
        <w:rPr>
          <w:rFonts w:ascii="Arial" w:hAnsi="Arial" w:cs="Arial"/>
          <w:color w:val="000000"/>
          <w:sz w:val="20"/>
        </w:rPr>
      </w:pPr>
      <w:bookmarkStart w:id="1446" w:name="_4.10.4_Repeal_of"/>
      <w:bookmarkStart w:id="1447" w:name="B4104"/>
      <w:bookmarkEnd w:id="1446"/>
      <w:bookmarkEnd w:id="1447"/>
      <w:r w:rsidRPr="001544BF">
        <w:rPr>
          <w:rFonts w:ascii="Arial" w:hAnsi="Arial" w:cs="Arial"/>
          <w:b/>
          <w:bCs/>
          <w:color w:val="000000"/>
          <w:sz w:val="20"/>
        </w:rPr>
        <w:t>4.10.4</w:t>
      </w:r>
      <w:r w:rsidRPr="001544BF">
        <w:rPr>
          <w:rFonts w:ascii="Arial" w:hAnsi="Arial" w:cs="Arial"/>
          <w:b/>
          <w:bCs/>
          <w:color w:val="000000"/>
          <w:sz w:val="20"/>
        </w:rPr>
        <w:tab/>
        <w:t>Repeal of advisory conference provisions</w:t>
      </w:r>
    </w:p>
    <w:p w14:paraId="2213CE23"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Prior to 01/12/2013, s.217(3) of the CYFA had allowed the convenor to determine whether a conference was to be:</w:t>
      </w:r>
    </w:p>
    <w:p w14:paraId="6CD7DCA5"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 facilitative conference” whose primary purpose was to try to reach an agreement as to the action to be taken in the best interests of the child [s.218(1)(c)]; or</w:t>
      </w:r>
    </w:p>
    <w:p w14:paraId="30388E2B" w14:textId="77777777" w:rsidR="00132E50" w:rsidRPr="001544BF" w:rsidRDefault="00132E50">
      <w:pPr>
        <w:numPr>
          <w:ilvl w:val="0"/>
          <w:numId w:val="35"/>
        </w:numPr>
        <w:tabs>
          <w:tab w:val="clear" w:pos="1634"/>
        </w:tabs>
        <w:ind w:left="289" w:hanging="289"/>
        <w:jc w:val="both"/>
        <w:rPr>
          <w:rFonts w:ascii="Arial" w:hAnsi="Arial" w:cs="Arial"/>
          <w:color w:val="000000"/>
          <w:sz w:val="20"/>
        </w:rPr>
      </w:pPr>
      <w:r w:rsidRPr="001544BF">
        <w:rPr>
          <w:rFonts w:ascii="Arial" w:hAnsi="Arial" w:cs="Arial"/>
          <w:color w:val="000000"/>
          <w:sz w:val="20"/>
        </w:rPr>
        <w:t>“an advisory conference” whose primary purpose was to provide to the Court a written report as to the facts of the dispute and the possible outcomes of the dispute and how these outcomes might be achieved [s.219(2)(c)].</w:t>
      </w:r>
    </w:p>
    <w:p w14:paraId="04B2D494" w14:textId="77777777" w:rsidR="00132E50" w:rsidRPr="001544BF" w:rsidRDefault="00132E50" w:rsidP="00132E50">
      <w:pPr>
        <w:jc w:val="both"/>
        <w:rPr>
          <w:rFonts w:ascii="Arial" w:hAnsi="Arial" w:cs="Arial"/>
          <w:color w:val="000000"/>
          <w:sz w:val="20"/>
        </w:rPr>
      </w:pPr>
    </w:p>
    <w:p w14:paraId="5B91D3C8" w14:textId="77777777" w:rsidR="00132E50" w:rsidRPr="001544BF" w:rsidRDefault="00132E50" w:rsidP="00132E50">
      <w:pPr>
        <w:jc w:val="both"/>
        <w:rPr>
          <w:rFonts w:ascii="Arial" w:hAnsi="Arial" w:cs="Arial"/>
          <w:color w:val="000000"/>
          <w:sz w:val="20"/>
        </w:rPr>
      </w:pPr>
      <w:r w:rsidRPr="001544BF">
        <w:rPr>
          <w:rFonts w:ascii="Arial" w:hAnsi="Arial" w:cs="Arial"/>
          <w:color w:val="000000"/>
          <w:sz w:val="20"/>
        </w:rPr>
        <w:t>In practice there ha</w:t>
      </w:r>
      <w:r w:rsidR="003B4C54">
        <w:rPr>
          <w:rFonts w:ascii="Arial" w:hAnsi="Arial" w:cs="Arial"/>
          <w:color w:val="000000"/>
          <w:sz w:val="20"/>
        </w:rPr>
        <w:t>d</w:t>
      </w:r>
      <w:r w:rsidRPr="001544BF">
        <w:rPr>
          <w:rFonts w:ascii="Arial" w:hAnsi="Arial" w:cs="Arial"/>
          <w:color w:val="000000"/>
          <w:sz w:val="20"/>
        </w:rPr>
        <w:t xml:space="preserve"> been very few advisory conferences.  On 01/12/2013 the “advisory conference” provisions in ss.217(3), 219 &amp; 223(2) were repealed and the word “facilitative” was replaced by the word “conciliation” in ss.218 &amp; 223(1).</w:t>
      </w:r>
    </w:p>
    <w:p w14:paraId="04768B55" w14:textId="77777777" w:rsidR="00132E50" w:rsidRPr="00785E1A" w:rsidRDefault="00132E50" w:rsidP="00132E50">
      <w:pPr>
        <w:jc w:val="both"/>
        <w:rPr>
          <w:rFonts w:ascii="Arial" w:hAnsi="Arial" w:cs="Arial"/>
          <w:color w:val="000000"/>
          <w:sz w:val="20"/>
        </w:rPr>
      </w:pPr>
    </w:p>
    <w:p w14:paraId="52CBF007" w14:textId="77777777" w:rsidR="00132E50" w:rsidRPr="00677920" w:rsidRDefault="00132E50" w:rsidP="00132E50">
      <w:pPr>
        <w:pStyle w:val="Heading3"/>
        <w:keepNext/>
        <w:spacing w:after="120" w:line="240" w:lineRule="auto"/>
        <w:rPr>
          <w:rFonts w:ascii="Arial" w:hAnsi="Arial" w:cs="Arial"/>
          <w:color w:val="000000"/>
          <w:sz w:val="20"/>
        </w:rPr>
      </w:pPr>
      <w:bookmarkStart w:id="1448" w:name="_4.10.5_Attendance_at"/>
      <w:bookmarkStart w:id="1449" w:name="B4105"/>
      <w:bookmarkEnd w:id="1448"/>
      <w:bookmarkEnd w:id="1449"/>
      <w:r w:rsidRPr="00677920">
        <w:rPr>
          <w:rFonts w:ascii="Arial" w:hAnsi="Arial" w:cs="Arial"/>
          <w:b/>
          <w:bCs/>
          <w:color w:val="000000"/>
          <w:sz w:val="20"/>
        </w:rPr>
        <w:t>4.10.5</w:t>
      </w:r>
      <w:r w:rsidRPr="00677920">
        <w:rPr>
          <w:rFonts w:ascii="Arial" w:hAnsi="Arial" w:cs="Arial"/>
          <w:b/>
          <w:bCs/>
          <w:color w:val="000000"/>
          <w:sz w:val="20"/>
        </w:rPr>
        <w:tab/>
        <w:t>Attendance at</w:t>
      </w:r>
      <w:r w:rsidRPr="00677920">
        <w:rPr>
          <w:rFonts w:ascii="Arial" w:hAnsi="Arial" w:cs="Arial"/>
          <w:b/>
          <w:color w:val="000000"/>
          <w:sz w:val="20"/>
        </w:rPr>
        <w:t xml:space="preserve"> CC</w:t>
      </w:r>
    </w:p>
    <w:p w14:paraId="74C42690"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 conciliation conference is attended by the child's parents and a nominee of the Secretary: s.222(1).</w:t>
      </w:r>
    </w:p>
    <w:p w14:paraId="24086357" w14:textId="77777777" w:rsidR="00132E50" w:rsidRPr="00677920" w:rsidRDefault="00132E50" w:rsidP="00132E50">
      <w:pPr>
        <w:jc w:val="both"/>
        <w:rPr>
          <w:rFonts w:ascii="Arial" w:hAnsi="Arial" w:cs="Arial"/>
          <w:color w:val="000000"/>
          <w:sz w:val="20"/>
        </w:rPr>
      </w:pPr>
    </w:p>
    <w:p w14:paraId="70D7D259" w14:textId="7C4550FD" w:rsidR="00132E50" w:rsidRPr="00677920" w:rsidRDefault="003A03DB" w:rsidP="00132E50">
      <w:pPr>
        <w:jc w:val="both"/>
        <w:rPr>
          <w:rFonts w:ascii="Arial" w:hAnsi="Arial" w:cs="Arial"/>
          <w:color w:val="000000"/>
          <w:sz w:val="20"/>
        </w:rPr>
      </w:pPr>
      <w:r>
        <w:rPr>
          <w:rFonts w:ascii="Arial" w:hAnsi="Arial" w:cs="Arial"/>
          <w:color w:val="000000"/>
          <w:sz w:val="20"/>
        </w:rPr>
        <w:t xml:space="preserve">Originally </w:t>
      </w:r>
      <w:r w:rsidR="00132E50" w:rsidRPr="00677920">
        <w:rPr>
          <w:rFonts w:ascii="Arial" w:hAnsi="Arial" w:cs="Arial"/>
          <w:color w:val="000000"/>
          <w:sz w:val="20"/>
        </w:rPr>
        <w:t>the Secretary ha</w:t>
      </w:r>
      <w:r w:rsidR="003B4C54">
        <w:rPr>
          <w:rFonts w:ascii="Arial" w:hAnsi="Arial" w:cs="Arial"/>
          <w:color w:val="000000"/>
          <w:sz w:val="20"/>
        </w:rPr>
        <w:t>d</w:t>
      </w:r>
      <w:r w:rsidR="00132E50" w:rsidRPr="00677920">
        <w:rPr>
          <w:rFonts w:ascii="Arial" w:hAnsi="Arial" w:cs="Arial"/>
          <w:color w:val="000000"/>
          <w:sz w:val="20"/>
        </w:rPr>
        <w:t xml:space="preserve"> generally not been legally represented, though that </w:t>
      </w:r>
      <w:r w:rsidR="003B4C54">
        <w:rPr>
          <w:rFonts w:ascii="Arial" w:hAnsi="Arial" w:cs="Arial"/>
          <w:color w:val="000000"/>
          <w:sz w:val="20"/>
        </w:rPr>
        <w:t>wa</w:t>
      </w:r>
      <w:r w:rsidR="00132E50" w:rsidRPr="00677920">
        <w:rPr>
          <w:rFonts w:ascii="Arial" w:hAnsi="Arial" w:cs="Arial"/>
          <w:color w:val="000000"/>
          <w:sz w:val="20"/>
        </w:rPr>
        <w:t>s a decision of the Secretary, not a legislative bar or something desired by the Court.  The</w:t>
      </w:r>
      <w:r>
        <w:rPr>
          <w:rFonts w:ascii="Arial" w:hAnsi="Arial" w:cs="Arial"/>
          <w:color w:val="000000"/>
          <w:sz w:val="20"/>
        </w:rPr>
        <w:t xml:space="preserve"> </w:t>
      </w:r>
      <w:r w:rsidR="00677920">
        <w:rPr>
          <w:rFonts w:ascii="Arial" w:hAnsi="Arial" w:cs="Arial"/>
          <w:color w:val="000000"/>
          <w:sz w:val="20"/>
        </w:rPr>
        <w:t xml:space="preserve">guidelines for the </w:t>
      </w:r>
      <w:r>
        <w:rPr>
          <w:rFonts w:ascii="Arial" w:hAnsi="Arial" w:cs="Arial"/>
          <w:color w:val="000000"/>
          <w:sz w:val="20"/>
        </w:rPr>
        <w:t>most recent</w:t>
      </w:r>
      <w:r w:rsidR="00132E50" w:rsidRPr="00677920">
        <w:rPr>
          <w:rFonts w:ascii="Arial" w:hAnsi="Arial" w:cs="Arial"/>
          <w:color w:val="000000"/>
          <w:sz w:val="20"/>
        </w:rPr>
        <w:t xml:space="preserve"> </w:t>
      </w:r>
      <w:r w:rsidR="00862BCE">
        <w:rPr>
          <w:rFonts w:ascii="Arial" w:hAnsi="Arial" w:cs="Arial"/>
          <w:color w:val="000000"/>
          <w:sz w:val="20"/>
        </w:rPr>
        <w:t>model</w:t>
      </w:r>
      <w:r w:rsidR="00677920">
        <w:rPr>
          <w:rFonts w:ascii="Arial" w:hAnsi="Arial" w:cs="Arial"/>
          <w:color w:val="000000"/>
          <w:sz w:val="20"/>
        </w:rPr>
        <w:t xml:space="preserve"> of </w:t>
      </w:r>
      <w:r w:rsidR="00132E50" w:rsidRPr="00677920">
        <w:rPr>
          <w:rFonts w:ascii="Arial" w:hAnsi="Arial" w:cs="Arial"/>
          <w:color w:val="000000"/>
          <w:sz w:val="20"/>
        </w:rPr>
        <w:t>conference</w:t>
      </w:r>
      <w:r w:rsidR="00677920">
        <w:rPr>
          <w:rFonts w:ascii="Arial" w:hAnsi="Arial" w:cs="Arial"/>
          <w:color w:val="000000"/>
          <w:sz w:val="20"/>
        </w:rPr>
        <w:t xml:space="preserve"> </w:t>
      </w:r>
      <w:r w:rsidR="00132E50" w:rsidRPr="00677920">
        <w:rPr>
          <w:rFonts w:ascii="Arial" w:hAnsi="Arial" w:cs="Arial"/>
          <w:color w:val="000000"/>
          <w:sz w:val="20"/>
        </w:rPr>
        <w:t>state</w:t>
      </w:r>
      <w:r w:rsidR="00CE0AB5">
        <w:rPr>
          <w:rFonts w:ascii="Arial" w:hAnsi="Arial" w:cs="Arial"/>
          <w:color w:val="000000"/>
          <w:sz w:val="20"/>
        </w:rPr>
        <w:t>d</w:t>
      </w:r>
      <w:r w:rsidR="00132E50" w:rsidRPr="00677920">
        <w:rPr>
          <w:rFonts w:ascii="Arial" w:hAnsi="Arial" w:cs="Arial"/>
          <w:color w:val="000000"/>
          <w:sz w:val="20"/>
        </w:rPr>
        <w:t xml:space="preserve"> [at p.8]: “DHS at [a conference] must be legally represented or have legal representation during the final phase of the conference to assist with negotiation and drafting of minutes.  In all circumstances DHS must have a person present at [a conference] with the necessary authority to negotiate a range of possible outcomes and make decisions that may lead to settlement.”</w:t>
      </w:r>
    </w:p>
    <w:p w14:paraId="22ADA70E" w14:textId="77777777" w:rsidR="00132E50" w:rsidRPr="00785E1A" w:rsidRDefault="00132E50" w:rsidP="00132E50">
      <w:pPr>
        <w:jc w:val="both"/>
        <w:rPr>
          <w:rFonts w:ascii="Arial" w:hAnsi="Arial" w:cs="Arial"/>
          <w:color w:val="000000"/>
          <w:sz w:val="20"/>
        </w:rPr>
      </w:pPr>
    </w:p>
    <w:p w14:paraId="7AEE8E56" w14:textId="77777777" w:rsidR="00132E50" w:rsidRPr="00677920" w:rsidRDefault="00132E50" w:rsidP="00132E50">
      <w:pPr>
        <w:jc w:val="both"/>
        <w:rPr>
          <w:rFonts w:ascii="Arial" w:hAnsi="Arial" w:cs="Arial"/>
          <w:color w:val="000000"/>
          <w:sz w:val="20"/>
        </w:rPr>
      </w:pPr>
      <w:r w:rsidRPr="00785E1A">
        <w:rPr>
          <w:rFonts w:ascii="Arial" w:hAnsi="Arial" w:cs="Arial"/>
          <w:color w:val="000000"/>
          <w:sz w:val="20"/>
        </w:rPr>
        <w:t xml:space="preserve">A legal representative of the parent may attend: s.222(3).  If the child is mature enough to give instructions, a separate legal representative of the child may attend: s.222(4).  If, in exceptional circumstances, the Court determines that it is in the best interests of a child who, in the opinion </w:t>
      </w:r>
      <w:r w:rsidRPr="00785E1A">
        <w:rPr>
          <w:rFonts w:ascii="Arial" w:hAnsi="Arial" w:cs="Arial"/>
          <w:color w:val="000000"/>
          <w:sz w:val="20"/>
        </w:rPr>
        <w:lastRenderedPageBreak/>
        <w:t xml:space="preserve">of the Court is not mature enough to give instructions, for the child to be legally </w:t>
      </w:r>
      <w:r w:rsidRPr="00677920">
        <w:rPr>
          <w:rFonts w:ascii="Arial" w:hAnsi="Arial" w:cs="Arial"/>
          <w:color w:val="000000"/>
          <w:sz w:val="20"/>
        </w:rPr>
        <w:t>represented at a conference, such legal representative may attend: s.222(5).</w:t>
      </w:r>
    </w:p>
    <w:p w14:paraId="2CD779AC" w14:textId="77777777" w:rsidR="00132E50" w:rsidRPr="00C2247C" w:rsidRDefault="00132E50" w:rsidP="00132E50">
      <w:pPr>
        <w:jc w:val="both"/>
        <w:rPr>
          <w:rFonts w:ascii="Arial" w:hAnsi="Arial" w:cs="Arial"/>
          <w:color w:val="000000"/>
          <w:sz w:val="18"/>
          <w:szCs w:val="22"/>
        </w:rPr>
      </w:pPr>
    </w:p>
    <w:p w14:paraId="61637BD9" w14:textId="70D55107" w:rsidR="00132E50" w:rsidRPr="00785E1A" w:rsidRDefault="00132E50" w:rsidP="00132E50">
      <w:pPr>
        <w:jc w:val="both"/>
        <w:rPr>
          <w:rFonts w:ascii="Arial" w:hAnsi="Arial" w:cs="Arial"/>
          <w:color w:val="000000"/>
          <w:sz w:val="20"/>
        </w:rPr>
      </w:pPr>
      <w:r w:rsidRPr="00785E1A">
        <w:rPr>
          <w:rFonts w:ascii="Arial" w:hAnsi="Arial" w:cs="Arial"/>
          <w:color w:val="000000"/>
          <w:sz w:val="20"/>
        </w:rPr>
        <w:t>In addition, under s.222(2), the Court may order the attendance of</w:t>
      </w:r>
      <w:r w:rsidR="00CE0AB5">
        <w:rPr>
          <w:rFonts w:ascii="Arial" w:hAnsi="Arial" w:cs="Arial"/>
          <w:color w:val="000000"/>
          <w:sz w:val="20"/>
        </w:rPr>
        <w:t>–</w:t>
      </w:r>
    </w:p>
    <w:p w14:paraId="40930ECC"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the child;</w:t>
      </w:r>
    </w:p>
    <w:p w14:paraId="64AB6F37" w14:textId="77777777" w:rsidR="00132E50" w:rsidRPr="00785E1A" w:rsidRDefault="00132E50" w:rsidP="00BA6FBE">
      <w:pPr>
        <w:numPr>
          <w:ilvl w:val="0"/>
          <w:numId w:val="12"/>
        </w:numPr>
        <w:tabs>
          <w:tab w:val="clear" w:pos="420"/>
          <w:tab w:val="num" w:pos="363"/>
        </w:tabs>
        <w:ind w:left="0"/>
        <w:jc w:val="both"/>
        <w:rPr>
          <w:rFonts w:ascii="Arial" w:hAnsi="Arial" w:cs="Arial"/>
          <w:color w:val="000000"/>
          <w:sz w:val="20"/>
        </w:rPr>
      </w:pPr>
      <w:r w:rsidRPr="00785E1A">
        <w:rPr>
          <w:rFonts w:ascii="Arial" w:hAnsi="Arial" w:cs="Arial"/>
          <w:color w:val="000000"/>
          <w:sz w:val="20"/>
        </w:rPr>
        <w:t>his or her relative(s);</w:t>
      </w:r>
    </w:p>
    <w:p w14:paraId="1FD6794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an Aboriginal child, a member of the child’s Aboriginal community as agreed to by the child;</w:t>
      </w:r>
    </w:p>
    <w:p w14:paraId="01F79301"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child’s parent is an Aboriginal person, a member of the parent’s Aboriginal community as agreed to by the parent;</w:t>
      </w:r>
    </w:p>
    <w:p w14:paraId="11CF4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in the case of a child from an ethnic background, a member of the appropriate ethnic community who is chosen or agreed to by the child or by his or her parent;</w:t>
      </w:r>
    </w:p>
    <w:p w14:paraId="586FD8D6"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child has a disability, an advocate for the child;</w:t>
      </w:r>
    </w:p>
    <w:p w14:paraId="55DE775C"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if the parent has a disability, an advocate for the parent;</w:t>
      </w:r>
    </w:p>
    <w:p w14:paraId="5295FAA8" w14:textId="77777777" w:rsidR="00132E50" w:rsidRPr="00785E1A" w:rsidRDefault="00132E50" w:rsidP="00BA6FBE">
      <w:pPr>
        <w:numPr>
          <w:ilvl w:val="0"/>
          <w:numId w:val="12"/>
        </w:numPr>
        <w:tabs>
          <w:tab w:val="clear" w:pos="420"/>
          <w:tab w:val="num" w:pos="363"/>
        </w:tabs>
        <w:ind w:left="363" w:hanging="363"/>
        <w:jc w:val="both"/>
        <w:rPr>
          <w:rFonts w:ascii="Arial" w:hAnsi="Arial" w:cs="Arial"/>
          <w:color w:val="000000"/>
          <w:sz w:val="20"/>
        </w:rPr>
      </w:pPr>
      <w:r w:rsidRPr="00785E1A">
        <w:rPr>
          <w:rFonts w:ascii="Arial" w:hAnsi="Arial" w:cs="Arial"/>
          <w:color w:val="000000"/>
          <w:sz w:val="20"/>
        </w:rPr>
        <w:t>any other support person for the child requested by the child.</w:t>
      </w:r>
    </w:p>
    <w:p w14:paraId="5EBDF0FF" w14:textId="77777777" w:rsidR="00132E50" w:rsidRPr="00C2247C" w:rsidRDefault="00132E50" w:rsidP="00132E50">
      <w:pPr>
        <w:jc w:val="both"/>
        <w:rPr>
          <w:rFonts w:ascii="Arial" w:hAnsi="Arial" w:cs="Arial"/>
          <w:color w:val="000000"/>
          <w:sz w:val="18"/>
          <w:szCs w:val="22"/>
        </w:rPr>
      </w:pPr>
    </w:p>
    <w:p w14:paraId="37D34B0B" w14:textId="7EC6FED8" w:rsidR="00132E50" w:rsidRPr="00677920" w:rsidRDefault="0090541F" w:rsidP="00132E50">
      <w:pPr>
        <w:jc w:val="both"/>
        <w:rPr>
          <w:rFonts w:ascii="Arial" w:hAnsi="Arial" w:cs="Arial"/>
          <w:color w:val="000000"/>
          <w:sz w:val="20"/>
        </w:rPr>
      </w:pPr>
      <w:r>
        <w:rPr>
          <w:rFonts w:ascii="Arial" w:hAnsi="Arial" w:cs="Arial"/>
          <w:color w:val="000000"/>
          <w:sz w:val="20"/>
        </w:rPr>
        <w:t xml:space="preserve">Section </w:t>
      </w:r>
      <w:r w:rsidR="00132E50" w:rsidRPr="00677920">
        <w:rPr>
          <w:rFonts w:ascii="Arial" w:hAnsi="Arial" w:cs="Arial"/>
          <w:color w:val="000000"/>
          <w:sz w:val="20"/>
        </w:rPr>
        <w:t>226(7) of the CYFA gives the convenor(s) of a CC power to</w:t>
      </w:r>
      <w:r w:rsidR="00CE0AB5">
        <w:rPr>
          <w:rFonts w:ascii="Arial" w:hAnsi="Arial" w:cs="Arial"/>
          <w:color w:val="000000"/>
          <w:sz w:val="20"/>
        </w:rPr>
        <w:t>–</w:t>
      </w:r>
    </w:p>
    <w:p w14:paraId="3FF2A7C2"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(a)</w:t>
      </w:r>
      <w:r w:rsidRPr="00677920">
        <w:rPr>
          <w:rFonts w:ascii="Arial" w:hAnsi="Arial" w:cs="Arial"/>
          <w:color w:val="000000"/>
          <w:sz w:val="20"/>
        </w:rPr>
        <w:tab/>
        <w:t>permit any other person to attend the conference;</w:t>
      </w:r>
    </w:p>
    <w:p w14:paraId="5B1A913F"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(b)</w:t>
      </w:r>
      <w:r w:rsidRPr="00677920">
        <w:rPr>
          <w:rFonts w:ascii="Arial" w:hAnsi="Arial" w:cs="Arial"/>
          <w:color w:val="000000"/>
          <w:sz w:val="20"/>
        </w:rPr>
        <w:tab/>
        <w:t>specify whether, or in what manner, the person may participate in the conference;</w:t>
      </w:r>
    </w:p>
    <w:p w14:paraId="2542FA93"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(c)</w:t>
      </w:r>
      <w:r w:rsidRPr="00677920">
        <w:rPr>
          <w:rFonts w:ascii="Arial" w:hAnsi="Arial" w:cs="Arial"/>
          <w:color w:val="000000"/>
          <w:sz w:val="20"/>
        </w:rPr>
        <w:tab/>
        <w:t>require the person to leave the conference at any time; and</w:t>
      </w:r>
    </w:p>
    <w:p w14:paraId="1593A755" w14:textId="77777777" w:rsidR="00132E50" w:rsidRPr="00677920" w:rsidRDefault="00132E50" w:rsidP="00132E50">
      <w:pPr>
        <w:jc w:val="both"/>
        <w:rPr>
          <w:rFonts w:ascii="Arial" w:hAnsi="Arial" w:cs="Arial"/>
          <w:color w:val="000000"/>
          <w:sz w:val="20"/>
        </w:rPr>
      </w:pPr>
      <w:r w:rsidRPr="00677920">
        <w:rPr>
          <w:rFonts w:ascii="Arial" w:hAnsi="Arial" w:cs="Arial"/>
          <w:color w:val="000000"/>
          <w:sz w:val="20"/>
        </w:rPr>
        <w:t>(d)</w:t>
      </w:r>
      <w:r w:rsidRPr="00677920">
        <w:rPr>
          <w:rFonts w:ascii="Arial" w:hAnsi="Arial" w:cs="Arial"/>
          <w:color w:val="000000"/>
          <w:sz w:val="20"/>
        </w:rPr>
        <w:tab/>
        <w:t>require that any other specified person not attend the conference.</w:t>
      </w:r>
    </w:p>
    <w:p w14:paraId="5C8717C2" w14:textId="77777777" w:rsidR="00132E50" w:rsidRPr="00C2247C" w:rsidRDefault="00132E50" w:rsidP="00132E50">
      <w:pPr>
        <w:jc w:val="both"/>
        <w:rPr>
          <w:rFonts w:ascii="Arial" w:hAnsi="Arial" w:cs="Arial"/>
          <w:color w:val="000000"/>
          <w:sz w:val="18"/>
          <w:szCs w:val="22"/>
        </w:rPr>
      </w:pPr>
    </w:p>
    <w:p w14:paraId="45A749F0" w14:textId="77777777" w:rsidR="00132E50" w:rsidRPr="00785E1A" w:rsidRDefault="00132E50" w:rsidP="00132E50">
      <w:pPr>
        <w:pStyle w:val="Heading3"/>
        <w:keepNext/>
        <w:spacing w:after="120" w:line="240" w:lineRule="auto"/>
        <w:rPr>
          <w:rFonts w:ascii="Arial" w:hAnsi="Arial" w:cs="Arial"/>
          <w:color w:val="000000"/>
          <w:sz w:val="20"/>
        </w:rPr>
      </w:pPr>
      <w:bookmarkStart w:id="1450" w:name="_4.10.6_Guidelines_&amp;"/>
      <w:bookmarkStart w:id="1451" w:name="B4106"/>
      <w:bookmarkEnd w:id="1450"/>
      <w:bookmarkEnd w:id="1451"/>
      <w:r w:rsidRPr="00785E1A">
        <w:rPr>
          <w:rFonts w:ascii="Arial" w:hAnsi="Arial" w:cs="Arial"/>
          <w:b/>
          <w:bCs/>
          <w:color w:val="000000"/>
          <w:sz w:val="20"/>
        </w:rPr>
        <w:t>4.10.6</w:t>
      </w:r>
      <w:r w:rsidRPr="00785E1A">
        <w:rPr>
          <w:rFonts w:ascii="Arial" w:hAnsi="Arial" w:cs="Arial"/>
          <w:b/>
          <w:bCs/>
          <w:color w:val="000000"/>
          <w:sz w:val="20"/>
        </w:rPr>
        <w:tab/>
        <w:t>Guidelines &amp; procedure</w:t>
      </w:r>
    </w:p>
    <w:p w14:paraId="4D4AFAA9" w14:textId="298D0BA6" w:rsidR="00384718" w:rsidRDefault="00132E50" w:rsidP="00384718">
      <w:pPr>
        <w:jc w:val="both"/>
        <w:rPr>
          <w:rFonts w:ascii="Arial" w:hAnsi="Arial" w:cs="Arial"/>
          <w:color w:val="000000"/>
          <w:sz w:val="20"/>
        </w:rPr>
      </w:pPr>
      <w:r w:rsidRPr="00785E1A">
        <w:rPr>
          <w:rFonts w:ascii="Arial" w:hAnsi="Arial" w:cs="Arial"/>
          <w:color w:val="000000"/>
          <w:sz w:val="20"/>
        </w:rPr>
        <w:t xml:space="preserve">Section 220 of the CYFA requires a </w:t>
      </w:r>
      <w:r w:rsidRPr="00677920">
        <w:rPr>
          <w:rFonts w:ascii="Arial" w:hAnsi="Arial" w:cs="Arial"/>
          <w:color w:val="000000"/>
          <w:sz w:val="20"/>
        </w:rPr>
        <w:t>conciliation conference</w:t>
      </w:r>
      <w:r w:rsidRPr="00785E1A">
        <w:rPr>
          <w:rFonts w:ascii="Arial" w:hAnsi="Arial" w:cs="Arial"/>
          <w:color w:val="000000"/>
          <w:sz w:val="20"/>
        </w:rPr>
        <w:t xml:space="preserve"> to be conducted in accordance with any guidelines issued from time to time by the Court.</w:t>
      </w:r>
      <w:r w:rsidR="00AB3180">
        <w:rPr>
          <w:rFonts w:ascii="Arial" w:hAnsi="Arial" w:cs="Arial"/>
          <w:color w:val="000000"/>
          <w:sz w:val="20"/>
        </w:rPr>
        <w:t xml:space="preserve">  </w:t>
      </w:r>
      <w:r w:rsidR="00862BCE" w:rsidRPr="00862BCE">
        <w:rPr>
          <w:rFonts w:ascii="Arial" w:hAnsi="Arial" w:cs="Arial"/>
          <w:color w:val="000000"/>
          <w:sz w:val="20"/>
        </w:rPr>
        <w:t xml:space="preserve">The </w:t>
      </w:r>
      <w:hyperlink r:id="rId38" w:history="1">
        <w:r w:rsidR="00D70BBE" w:rsidRPr="009F7A69">
          <w:rPr>
            <w:rStyle w:val="Hyperlink"/>
            <w:rFonts w:ascii="Arial" w:hAnsi="Arial" w:cs="Arial"/>
            <w:b/>
            <w:sz w:val="20"/>
          </w:rPr>
          <w:t>GUIDELINES FOR CONCILIATION CONFERENCES</w:t>
        </w:r>
      </w:hyperlink>
      <w:r w:rsidR="00D70BBE">
        <w:rPr>
          <w:rFonts w:ascii="Arial" w:hAnsi="Arial" w:cs="Arial"/>
          <w:color w:val="000000"/>
          <w:sz w:val="20"/>
        </w:rPr>
        <w:t xml:space="preserve"> </w:t>
      </w:r>
      <w:r w:rsidRPr="00862BCE">
        <w:rPr>
          <w:rFonts w:ascii="Arial" w:hAnsi="Arial" w:cs="Arial"/>
          <w:color w:val="000000"/>
          <w:sz w:val="20"/>
        </w:rPr>
        <w:t xml:space="preserve">issued by the Court and </w:t>
      </w:r>
      <w:r w:rsidR="00731A43">
        <w:rPr>
          <w:rFonts w:ascii="Arial" w:hAnsi="Arial" w:cs="Arial"/>
          <w:color w:val="000000"/>
          <w:sz w:val="20"/>
        </w:rPr>
        <w:t xml:space="preserve">dated </w:t>
      </w:r>
      <w:r w:rsidRPr="00862BCE">
        <w:rPr>
          <w:rFonts w:ascii="Arial" w:hAnsi="Arial" w:cs="Arial"/>
          <w:color w:val="000000"/>
          <w:sz w:val="20"/>
        </w:rPr>
        <w:t>0</w:t>
      </w:r>
      <w:r w:rsidR="00D70BBE">
        <w:rPr>
          <w:rFonts w:ascii="Arial" w:hAnsi="Arial" w:cs="Arial"/>
          <w:color w:val="000000"/>
          <w:sz w:val="20"/>
        </w:rPr>
        <w:t>1</w:t>
      </w:r>
      <w:r w:rsidRPr="00862BCE">
        <w:rPr>
          <w:rFonts w:ascii="Arial" w:hAnsi="Arial" w:cs="Arial"/>
          <w:color w:val="000000"/>
          <w:sz w:val="20"/>
        </w:rPr>
        <w:t>/0</w:t>
      </w:r>
      <w:r w:rsidR="00D70BBE">
        <w:rPr>
          <w:rFonts w:ascii="Arial" w:hAnsi="Arial" w:cs="Arial"/>
          <w:color w:val="000000"/>
          <w:sz w:val="20"/>
        </w:rPr>
        <w:t>3</w:t>
      </w:r>
      <w:r w:rsidRPr="00862BCE">
        <w:rPr>
          <w:rFonts w:ascii="Arial" w:hAnsi="Arial" w:cs="Arial"/>
          <w:color w:val="000000"/>
          <w:sz w:val="20"/>
        </w:rPr>
        <w:t>/201</w:t>
      </w:r>
      <w:r w:rsidR="00D70BBE">
        <w:rPr>
          <w:rFonts w:ascii="Arial" w:hAnsi="Arial" w:cs="Arial"/>
          <w:color w:val="000000"/>
          <w:sz w:val="20"/>
        </w:rPr>
        <w:t>6</w:t>
      </w:r>
      <w:r w:rsidRPr="00862BCE">
        <w:rPr>
          <w:rFonts w:ascii="Arial" w:hAnsi="Arial" w:cs="Arial"/>
          <w:color w:val="000000"/>
          <w:sz w:val="20"/>
        </w:rPr>
        <w:t xml:space="preserve"> </w:t>
      </w:r>
      <w:r w:rsidR="00384718">
        <w:rPr>
          <w:rFonts w:ascii="Arial" w:hAnsi="Arial" w:cs="Arial"/>
          <w:color w:val="000000"/>
          <w:sz w:val="20"/>
        </w:rPr>
        <w:t xml:space="preserve">are structured </w:t>
      </w:r>
      <w:r w:rsidR="00CF1C41">
        <w:rPr>
          <w:rFonts w:ascii="Arial" w:hAnsi="Arial" w:cs="Arial"/>
          <w:color w:val="000000"/>
          <w:sz w:val="20"/>
        </w:rPr>
        <w:t>in the following way</w:t>
      </w:r>
      <w:r w:rsidR="00384718">
        <w:rPr>
          <w:rFonts w:ascii="Arial" w:hAnsi="Arial" w:cs="Arial"/>
          <w:color w:val="000000"/>
          <w:sz w:val="20"/>
        </w:rPr>
        <w:t>:</w:t>
      </w:r>
    </w:p>
    <w:p w14:paraId="507EF0D9" w14:textId="5F3C8B75"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INTRODUCTION AND PURPOSE</w:t>
      </w:r>
    </w:p>
    <w:p w14:paraId="30BEDFB2" w14:textId="1E1057B4" w:rsidR="00384718" w:rsidRPr="00384718" w:rsidRDefault="00384718" w:rsidP="00384718">
      <w:pPr>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sidRPr="00384718">
        <w:rPr>
          <w:rFonts w:ascii="Arial" w:hAnsi="Arial" w:cs="Arial"/>
          <w:color w:val="000000"/>
          <w:sz w:val="20"/>
        </w:rPr>
        <w:t>A CC is intended to facilitate the early resolution of applications through a non-adversarial process.</w:t>
      </w:r>
    </w:p>
    <w:p w14:paraId="30EA8B4D" w14:textId="4383A6F6" w:rsidR="00384718"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PROCEDURAL MATTERS</w:t>
      </w:r>
    </w:p>
    <w:p w14:paraId="2CA90C7A" w14:textId="51345FBB" w:rsidR="00384718" w:rsidRDefault="00384718">
      <w:pPr>
        <w:pStyle w:val="ListParagraph"/>
        <w:numPr>
          <w:ilvl w:val="1"/>
          <w:numId w:val="90"/>
        </w:numPr>
        <w:spacing w:before="60"/>
        <w:jc w:val="both"/>
        <w:rPr>
          <w:rFonts w:ascii="Arial" w:hAnsi="Arial" w:cs="Arial"/>
          <w:b/>
          <w:bCs/>
          <w:i/>
          <w:iCs/>
          <w:color w:val="000000"/>
          <w:sz w:val="20"/>
        </w:rPr>
      </w:pPr>
      <w:r w:rsidRPr="00384718">
        <w:rPr>
          <w:rFonts w:ascii="Arial" w:hAnsi="Arial" w:cs="Arial"/>
          <w:b/>
          <w:bCs/>
          <w:i/>
          <w:iCs/>
          <w:color w:val="000000"/>
          <w:sz w:val="20"/>
        </w:rPr>
        <w:t>When a case will be listed for CC</w:t>
      </w:r>
    </w:p>
    <w:p w14:paraId="5227640D" w14:textId="2DB9E67E"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Court will not order a CC in a case that appears likely to resolve expeditiously.  As a general principle, a CC should be held as early as possible in the proceedings in order to facilitate the early resolution of applications.</w:t>
      </w:r>
    </w:p>
    <w:p w14:paraId="6A9E23F3" w14:textId="129C3357" w:rsidR="00384718" w:rsidRDefault="00384718">
      <w:pPr>
        <w:pStyle w:val="ListParagraph"/>
        <w:numPr>
          <w:ilvl w:val="1"/>
          <w:numId w:val="90"/>
        </w:numPr>
        <w:spacing w:before="60"/>
        <w:ind w:left="714" w:hanging="357"/>
        <w:jc w:val="both"/>
        <w:rPr>
          <w:rFonts w:ascii="Arial" w:hAnsi="Arial" w:cs="Arial"/>
          <w:b/>
          <w:bCs/>
          <w:i/>
          <w:iCs/>
          <w:color w:val="000000"/>
          <w:sz w:val="20"/>
        </w:rPr>
      </w:pPr>
      <w:r>
        <w:rPr>
          <w:rFonts w:ascii="Arial" w:hAnsi="Arial" w:cs="Arial"/>
          <w:b/>
          <w:bCs/>
          <w:i/>
          <w:iCs/>
          <w:color w:val="000000"/>
          <w:sz w:val="20"/>
        </w:rPr>
        <w:t>Preliminary process and the role of the Conference Intake Officer</w:t>
      </w:r>
    </w:p>
    <w:p w14:paraId="0D6A4D87" w14:textId="2502D2BA"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Risk Assessment</w:t>
      </w:r>
    </w:p>
    <w:p w14:paraId="785AE4E9" w14:textId="3211FBF3" w:rsid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Information Exchange</w:t>
      </w:r>
    </w:p>
    <w:p w14:paraId="76FB5ECF" w14:textId="3719436D" w:rsidR="00384718" w:rsidRPr="00384718" w:rsidRDefault="00384718">
      <w:pPr>
        <w:pStyle w:val="ListParagraph"/>
        <w:numPr>
          <w:ilvl w:val="1"/>
          <w:numId w:val="90"/>
        </w:numPr>
        <w:ind w:left="714" w:hanging="357"/>
        <w:jc w:val="both"/>
        <w:rPr>
          <w:rFonts w:ascii="Arial" w:hAnsi="Arial" w:cs="Arial"/>
          <w:b/>
          <w:bCs/>
          <w:i/>
          <w:iCs/>
          <w:color w:val="000000"/>
          <w:sz w:val="20"/>
        </w:rPr>
      </w:pPr>
      <w:r>
        <w:rPr>
          <w:rFonts w:ascii="Arial" w:hAnsi="Arial" w:cs="Arial"/>
          <w:b/>
          <w:bCs/>
          <w:i/>
          <w:iCs/>
          <w:color w:val="000000"/>
          <w:sz w:val="20"/>
        </w:rPr>
        <w:t>Some general matters</w:t>
      </w:r>
    </w:p>
    <w:p w14:paraId="30EED3FA" w14:textId="77777777" w:rsidR="00384718" w:rsidRPr="00FA0894" w:rsidRDefault="0038471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ROLE OF CONVENOR</w:t>
      </w:r>
    </w:p>
    <w:p w14:paraId="258B0010" w14:textId="0773EFC0" w:rsidR="004C495A" w:rsidRP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The convenor is an independent chairperson acting with the authority of the Court and is responsible for controlling the proceedings and ensuring that each participant has the opportunity to participate fully.</w:t>
      </w:r>
    </w:p>
    <w:p w14:paraId="24887860" w14:textId="323A1E39"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ALL PARTICIPANTS</w:t>
      </w:r>
    </w:p>
    <w:p w14:paraId="227EBA31" w14:textId="2C72E986"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All participants must-</w:t>
      </w:r>
    </w:p>
    <w:p w14:paraId="4F759039" w14:textId="05A8A00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authority of the convenor;</w:t>
      </w:r>
    </w:p>
    <w:p w14:paraId="7B37D7EB" w14:textId="54A9B3CD" w:rsid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respect the roles and responsibilities of all other participants;</w:t>
      </w:r>
    </w:p>
    <w:p w14:paraId="0D6393FF" w14:textId="2A8C1576" w:rsidR="004C495A" w:rsidRPr="004C495A" w:rsidRDefault="004C495A">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consider the options for resolving the protective concerns.</w:t>
      </w:r>
    </w:p>
    <w:p w14:paraId="1516A4FD" w14:textId="27AADB3E" w:rsidR="004C495A" w:rsidRPr="00FA0894" w:rsidRDefault="004C495A">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ESPONSIBILIES OF LAWYERS</w:t>
      </w:r>
    </w:p>
    <w:p w14:paraId="723DE9D3" w14:textId="045B0799"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lawyers adopt a non-adversarial role by representing a client in facilitated negotiations that take place in a problem-solving environment.</w:t>
      </w:r>
    </w:p>
    <w:p w14:paraId="333F3B7E" w14:textId="365E5E27" w:rsidR="004C495A" w:rsidRDefault="004C495A" w:rsidP="004C495A">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lawyer must</w:t>
      </w:r>
      <w:r w:rsidR="00C2247C">
        <w:rPr>
          <w:rFonts w:ascii="Arial" w:hAnsi="Arial" w:cs="Arial"/>
          <w:color w:val="000000"/>
          <w:sz w:val="20"/>
        </w:rPr>
        <w:t>-</w:t>
      </w:r>
    </w:p>
    <w:p w14:paraId="4C40352B" w14:textId="234D265F"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r w:rsidR="004C495A">
        <w:rPr>
          <w:rFonts w:ascii="Arial" w:hAnsi="Arial" w:cs="Arial"/>
          <w:color w:val="000000"/>
          <w:sz w:val="20"/>
        </w:rPr>
        <w:t>;</w:t>
      </w:r>
    </w:p>
    <w:p w14:paraId="564493A7" w14:textId="5838DD65"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available for the CC at the time arranged and for the whole of the conference</w:t>
      </w:r>
      <w:r w:rsidR="004C495A">
        <w:rPr>
          <w:rFonts w:ascii="Arial" w:hAnsi="Arial" w:cs="Arial"/>
          <w:color w:val="000000"/>
          <w:sz w:val="20"/>
        </w:rPr>
        <w:t>;</w:t>
      </w:r>
    </w:p>
    <w:p w14:paraId="1FE15020" w14:textId="18B2F1CB" w:rsid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encourage the client to participate directly and contribute to the process;</w:t>
      </w:r>
    </w:p>
    <w:p w14:paraId="23F2B225" w14:textId="4D673B1E"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endeavour to manage the behaviour of the client if required;</w:t>
      </w:r>
    </w:p>
    <w:p w14:paraId="0C53C32C" w14:textId="51A07889"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reality test any proposals and provide realistic advice on settlement options.</w:t>
      </w:r>
    </w:p>
    <w:p w14:paraId="2903250A" w14:textId="0215E441" w:rsidR="00CF1C41" w:rsidRPr="00FA0894" w:rsidRDefault="00CF1C41">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lastRenderedPageBreak/>
        <w:t>R</w:t>
      </w:r>
      <w:r>
        <w:rPr>
          <w:rFonts w:ascii="Arial" w:hAnsi="Arial" w:cs="Arial"/>
          <w:b/>
          <w:bCs/>
          <w:color w:val="000000"/>
          <w:sz w:val="20"/>
        </w:rPr>
        <w:t>OLE OF CHILD PROTECTION PRACTITIONERS &amp; RESPONSIBILITIES OF DFFH</w:t>
      </w:r>
    </w:p>
    <w:p w14:paraId="1A59A952" w14:textId="6225A106"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 CC child protection practitioners adopt a non-adversarial role which is to promote the child’s safety and best interests through facilitate negotiations that take place in a problem-solving environment.</w:t>
      </w:r>
    </w:p>
    <w:p w14:paraId="7CC175E5" w14:textId="2F6DF900"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In addition to the responsibilities listed in section 4 of these Guidelines, a child protection practitioner must-</w:t>
      </w:r>
    </w:p>
    <w:p w14:paraId="24D4C5FF" w14:textId="7777777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regard to these Guidelines;</w:t>
      </w:r>
    </w:p>
    <w:p w14:paraId="11BC83CF" w14:textId="03679C13"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attend the CC well prepared and clear about the matters that need to be discussed;</w:t>
      </w:r>
    </w:p>
    <w:p w14:paraId="08194A35" w14:textId="7ADC4094"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maintain flexibility in decision-making in response to proposals put by or on behalf of family members.</w:t>
      </w:r>
    </w:p>
    <w:p w14:paraId="78B0A90D" w14:textId="651BF4AF" w:rsidR="00CF1C41" w:rsidRDefault="00CF1C41" w:rsidP="00CF1C4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DFFH must-</w:t>
      </w:r>
    </w:p>
    <w:p w14:paraId="2C524F4F" w14:textId="0E5A8C47" w:rsidR="00CF1C41"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be represented by a lawyer or a person authorised in writing by the President to appear on behalf of DFFH;</w:t>
      </w:r>
    </w:p>
    <w:p w14:paraId="1E96FD88" w14:textId="440B5CD8" w:rsidR="00CF1C41" w:rsidRPr="004C495A" w:rsidRDefault="00CF1C41">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EAEAEA"/>
        <w:ind w:left="714" w:hanging="357"/>
        <w:jc w:val="both"/>
        <w:rPr>
          <w:rFonts w:ascii="Arial" w:hAnsi="Arial" w:cs="Arial"/>
          <w:color w:val="000000"/>
          <w:sz w:val="20"/>
        </w:rPr>
      </w:pPr>
      <w:r>
        <w:rPr>
          <w:rFonts w:ascii="Arial" w:hAnsi="Arial" w:cs="Arial"/>
          <w:color w:val="000000"/>
          <w:sz w:val="20"/>
        </w:rPr>
        <w:t>have a person present at the CC who has personal knowledge of the matter, has met family members prior to the CC and has the necessary authority to negotiate a range of possible outcomes and make decisions that may lead to settlement.</w:t>
      </w:r>
    </w:p>
    <w:p w14:paraId="1942B7C8" w14:textId="7CC4A677" w:rsidR="008A7768" w:rsidRPr="00FA0894" w:rsidRDefault="008A7768">
      <w:pPr>
        <w:numPr>
          <w:ilvl w:val="0"/>
          <w:numId w:val="90"/>
        </w:numPr>
        <w:spacing w:before="60"/>
        <w:ind w:left="357" w:hanging="357"/>
        <w:jc w:val="both"/>
        <w:rPr>
          <w:rFonts w:ascii="Arial" w:hAnsi="Arial" w:cs="Arial"/>
          <w:b/>
          <w:bCs/>
          <w:color w:val="000000"/>
          <w:sz w:val="20"/>
        </w:rPr>
      </w:pPr>
      <w:r w:rsidRPr="00FA0894">
        <w:rPr>
          <w:rFonts w:ascii="Arial" w:hAnsi="Arial" w:cs="Arial"/>
          <w:b/>
          <w:bCs/>
          <w:color w:val="000000"/>
          <w:sz w:val="20"/>
        </w:rPr>
        <w:t>R</w:t>
      </w:r>
      <w:r>
        <w:rPr>
          <w:rFonts w:ascii="Arial" w:hAnsi="Arial" w:cs="Arial"/>
          <w:b/>
          <w:bCs/>
          <w:color w:val="000000"/>
          <w:sz w:val="20"/>
        </w:rPr>
        <w:t>OLE OF FAMILY AND COMMUNITY MEMBERS</w:t>
      </w:r>
    </w:p>
    <w:p w14:paraId="2F912483" w14:textId="025A1AE0" w:rsidR="008A7768" w:rsidRDefault="001373A1" w:rsidP="008A7768">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At the discretion of the convenor, family or community members may contribute to the resolution of protective concerns or act as a support to the family.  However, they are not permitted to act as an advocate for one party against another.</w:t>
      </w:r>
    </w:p>
    <w:p w14:paraId="2CF5AA9C" w14:textId="5286E2A8" w:rsidR="001373A1" w:rsidRPr="00FA0894" w:rsidRDefault="001373A1">
      <w:pPr>
        <w:numPr>
          <w:ilvl w:val="0"/>
          <w:numId w:val="90"/>
        </w:numPr>
        <w:spacing w:before="60"/>
        <w:ind w:left="357" w:hanging="357"/>
        <w:jc w:val="both"/>
        <w:rPr>
          <w:rFonts w:ascii="Arial" w:hAnsi="Arial" w:cs="Arial"/>
          <w:b/>
          <w:bCs/>
          <w:color w:val="000000"/>
          <w:sz w:val="20"/>
        </w:rPr>
      </w:pPr>
      <w:r>
        <w:rPr>
          <w:rFonts w:ascii="Arial" w:hAnsi="Arial" w:cs="Arial"/>
          <w:b/>
          <w:bCs/>
          <w:color w:val="000000"/>
          <w:sz w:val="20"/>
        </w:rPr>
        <w:t>CC REPORT</w:t>
      </w:r>
    </w:p>
    <w:p w14:paraId="679EFAB6" w14:textId="20BCACDA" w:rsidR="001373A1" w:rsidRDefault="001373A1" w:rsidP="001373A1">
      <w:pPr>
        <w:pStyle w:val="ListParagraph"/>
        <w:pBdr>
          <w:top w:val="single" w:sz="4" w:space="1" w:color="auto"/>
          <w:left w:val="single" w:sz="4" w:space="4" w:color="auto"/>
          <w:bottom w:val="single" w:sz="4" w:space="1" w:color="auto"/>
          <w:right w:val="single" w:sz="4" w:space="4" w:color="auto"/>
        </w:pBdr>
        <w:shd w:val="clear" w:color="auto" w:fill="EAEAEA"/>
        <w:spacing w:before="60"/>
        <w:ind w:left="357"/>
        <w:jc w:val="both"/>
        <w:rPr>
          <w:rFonts w:ascii="Arial" w:hAnsi="Arial" w:cs="Arial"/>
          <w:color w:val="000000"/>
          <w:sz w:val="20"/>
        </w:rPr>
      </w:pPr>
      <w:r>
        <w:rPr>
          <w:rFonts w:ascii="Arial" w:hAnsi="Arial" w:cs="Arial"/>
          <w:color w:val="000000"/>
          <w:sz w:val="20"/>
        </w:rPr>
        <w:t xml:space="preserve">The convenor will provide to the Court a written report of the conclusion reached at the </w:t>
      </w:r>
      <w:r w:rsidR="00B36E3A">
        <w:rPr>
          <w:rFonts w:ascii="Arial" w:hAnsi="Arial" w:cs="Arial"/>
          <w:color w:val="000000"/>
          <w:sz w:val="20"/>
        </w:rPr>
        <w:t>CC together with the minutes of any proposed orders agreed to by the parties.</w:t>
      </w:r>
    </w:p>
    <w:p w14:paraId="1C97D6A0" w14:textId="77777777" w:rsidR="00132E50" w:rsidRPr="00C2247C" w:rsidRDefault="00132E50" w:rsidP="00132E50">
      <w:pPr>
        <w:jc w:val="both"/>
        <w:rPr>
          <w:rFonts w:ascii="Arial" w:hAnsi="Arial" w:cs="Arial"/>
          <w:color w:val="000000"/>
          <w:sz w:val="20"/>
        </w:rPr>
      </w:pPr>
    </w:p>
    <w:p w14:paraId="08118275" w14:textId="17CB3D32"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Annexed to these guidelines are </w:t>
      </w:r>
      <w:r w:rsidR="00C2247C">
        <w:rPr>
          <w:rFonts w:ascii="Arial" w:hAnsi="Arial" w:cs="Arial"/>
          <w:color w:val="000000"/>
          <w:sz w:val="20"/>
        </w:rPr>
        <w:t>the following proforma documents</w:t>
      </w:r>
      <w:r w:rsidRPr="00862BCE">
        <w:rPr>
          <w:rFonts w:ascii="Arial" w:hAnsi="Arial" w:cs="Arial"/>
          <w:color w:val="000000"/>
          <w:sz w:val="20"/>
        </w:rPr>
        <w:t>:</w:t>
      </w:r>
    </w:p>
    <w:p w14:paraId="33BCE371" w14:textId="275C747D" w:rsidR="00132E50" w:rsidRPr="00862BCE" w:rsidRDefault="00132E50">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CC Addendum report </w:t>
      </w:r>
      <w:r w:rsidR="00C2247C">
        <w:rPr>
          <w:rFonts w:ascii="Arial" w:hAnsi="Arial" w:cs="Arial"/>
          <w:color w:val="000000"/>
          <w:sz w:val="20"/>
        </w:rPr>
        <w:t xml:space="preserve">(in a short form) </w:t>
      </w:r>
      <w:r w:rsidRPr="00862BCE">
        <w:rPr>
          <w:rFonts w:ascii="Arial" w:hAnsi="Arial" w:cs="Arial"/>
          <w:color w:val="000000"/>
          <w:sz w:val="20"/>
        </w:rPr>
        <w:t xml:space="preserve">to be </w:t>
      </w:r>
      <w:r w:rsidR="00C2247C">
        <w:rPr>
          <w:rFonts w:ascii="Arial" w:hAnsi="Arial" w:cs="Arial"/>
          <w:color w:val="000000"/>
          <w:sz w:val="20"/>
        </w:rPr>
        <w:t>completed</w:t>
      </w:r>
      <w:r w:rsidRPr="00862BCE">
        <w:rPr>
          <w:rFonts w:ascii="Arial" w:hAnsi="Arial" w:cs="Arial"/>
          <w:color w:val="000000"/>
          <w:sz w:val="20"/>
        </w:rPr>
        <w:t xml:space="preserve"> by </w:t>
      </w:r>
      <w:r w:rsidR="00785D2D">
        <w:rPr>
          <w:rFonts w:ascii="Arial" w:hAnsi="Arial" w:cs="Arial"/>
          <w:color w:val="000000"/>
          <w:sz w:val="20"/>
        </w:rPr>
        <w:t>DFFH</w:t>
      </w:r>
    </w:p>
    <w:p w14:paraId="0F0F5D29" w14:textId="2A254F41"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 </w:t>
      </w:r>
      <w:r>
        <w:rPr>
          <w:rFonts w:ascii="Arial" w:hAnsi="Arial" w:cs="Arial"/>
          <w:color w:val="000000"/>
          <w:sz w:val="20"/>
        </w:rPr>
        <w:t>lawyers representing children, parents and other joined parties</w:t>
      </w:r>
    </w:p>
    <w:p w14:paraId="54C76B48" w14:textId="5B89ED4B" w:rsidR="00C2247C"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best interests lawyers appointed under s.524(4) CYFA</w:t>
      </w:r>
    </w:p>
    <w:p w14:paraId="6EC67D27" w14:textId="42A7217E" w:rsidR="00C2247C" w:rsidRPr="00862BCE" w:rsidRDefault="00C2247C">
      <w:pPr>
        <w:numPr>
          <w:ilvl w:val="0"/>
          <w:numId w:val="26"/>
        </w:numPr>
        <w:tabs>
          <w:tab w:val="clear" w:pos="720"/>
        </w:tabs>
        <w:ind w:left="357" w:hanging="357"/>
        <w:jc w:val="both"/>
        <w:rPr>
          <w:rFonts w:ascii="Arial" w:hAnsi="Arial" w:cs="Arial"/>
          <w:color w:val="000000"/>
          <w:sz w:val="20"/>
        </w:rPr>
      </w:pPr>
      <w:r w:rsidRPr="00862BCE">
        <w:rPr>
          <w:rFonts w:ascii="Arial" w:hAnsi="Arial" w:cs="Arial"/>
          <w:color w:val="000000"/>
          <w:sz w:val="20"/>
        </w:rPr>
        <w:t xml:space="preserve">Information Exchange Document to be </w:t>
      </w:r>
      <w:r>
        <w:rPr>
          <w:rFonts w:ascii="Arial" w:hAnsi="Arial" w:cs="Arial"/>
          <w:color w:val="000000"/>
          <w:sz w:val="20"/>
        </w:rPr>
        <w:t>completed</w:t>
      </w:r>
      <w:r w:rsidRPr="00862BCE">
        <w:rPr>
          <w:rFonts w:ascii="Arial" w:hAnsi="Arial" w:cs="Arial"/>
          <w:color w:val="000000"/>
          <w:sz w:val="20"/>
        </w:rPr>
        <w:t xml:space="preserve"> by</w:t>
      </w:r>
      <w:r>
        <w:rPr>
          <w:rFonts w:ascii="Arial" w:hAnsi="Arial" w:cs="Arial"/>
          <w:color w:val="000000"/>
          <w:sz w:val="20"/>
        </w:rPr>
        <w:t xml:space="preserve"> self-represented parties.</w:t>
      </w:r>
    </w:p>
    <w:p w14:paraId="26A47AFF" w14:textId="77777777" w:rsidR="00C2247C" w:rsidRPr="00C2247C" w:rsidRDefault="00C2247C" w:rsidP="00132E50">
      <w:pPr>
        <w:jc w:val="both"/>
        <w:rPr>
          <w:rFonts w:ascii="Arial" w:hAnsi="Arial" w:cs="Arial"/>
          <w:color w:val="000000"/>
          <w:sz w:val="20"/>
        </w:rPr>
      </w:pPr>
    </w:p>
    <w:p w14:paraId="6497A9D4" w14:textId="77777777" w:rsidR="00132E50" w:rsidRPr="00862BCE" w:rsidRDefault="00132E50" w:rsidP="00132E50">
      <w:pPr>
        <w:pStyle w:val="Heading3"/>
        <w:keepNext/>
        <w:spacing w:after="120" w:line="240" w:lineRule="auto"/>
        <w:rPr>
          <w:rFonts w:ascii="Arial" w:hAnsi="Arial" w:cs="Arial"/>
          <w:color w:val="000000"/>
          <w:sz w:val="20"/>
        </w:rPr>
      </w:pPr>
      <w:bookmarkStart w:id="1452" w:name="_4.10.7_Reports_&amp;"/>
      <w:bookmarkStart w:id="1453" w:name="B4107"/>
      <w:bookmarkEnd w:id="1452"/>
      <w:bookmarkEnd w:id="1453"/>
      <w:r w:rsidRPr="00862BCE">
        <w:rPr>
          <w:rFonts w:ascii="Arial" w:hAnsi="Arial" w:cs="Arial"/>
          <w:b/>
          <w:bCs/>
          <w:color w:val="000000"/>
          <w:sz w:val="20"/>
        </w:rPr>
        <w:t>4.10.7</w:t>
      </w:r>
      <w:r w:rsidRPr="00862BCE">
        <w:rPr>
          <w:rFonts w:ascii="Arial" w:hAnsi="Arial" w:cs="Arial"/>
          <w:b/>
          <w:bCs/>
          <w:color w:val="000000"/>
          <w:sz w:val="20"/>
        </w:rPr>
        <w:tab/>
        <w:t>Reports &amp; Confidentiality</w:t>
      </w:r>
    </w:p>
    <w:p w14:paraId="295B1264"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 xml:space="preserve">Section 223 of the CYFA provides that a written report made by a convenor under either s.218 or s.219 is admissible in the proceedings of the Family Division in respect of the child who is the subject of the </w:t>
      </w:r>
      <w:r w:rsidR="00D6777A">
        <w:rPr>
          <w:rFonts w:ascii="Arial" w:hAnsi="Arial" w:cs="Arial"/>
          <w:color w:val="000000"/>
          <w:sz w:val="20"/>
        </w:rPr>
        <w:t>CC</w:t>
      </w:r>
      <w:r w:rsidRPr="00862BCE">
        <w:rPr>
          <w:rFonts w:ascii="Arial" w:hAnsi="Arial" w:cs="Arial"/>
          <w:color w:val="000000"/>
          <w:sz w:val="20"/>
        </w:rPr>
        <w:t>.  Section 224 empowers the Court to consider such report in determining what order or finding to make in respect of the application.</w:t>
      </w:r>
    </w:p>
    <w:p w14:paraId="25DD6125" w14:textId="77777777" w:rsidR="00132E50" w:rsidRPr="00C2247C" w:rsidRDefault="00132E50" w:rsidP="00132E50">
      <w:pPr>
        <w:jc w:val="both"/>
        <w:rPr>
          <w:rFonts w:ascii="Arial" w:hAnsi="Arial" w:cs="Arial"/>
          <w:color w:val="000000"/>
          <w:sz w:val="20"/>
        </w:rPr>
      </w:pPr>
    </w:p>
    <w:p w14:paraId="38E4819D" w14:textId="77777777" w:rsidR="00132E50" w:rsidRPr="00862BCE" w:rsidRDefault="00132E50" w:rsidP="00132E50">
      <w:pPr>
        <w:jc w:val="both"/>
        <w:rPr>
          <w:rFonts w:ascii="Arial" w:hAnsi="Arial" w:cs="Arial"/>
          <w:color w:val="000000"/>
          <w:sz w:val="20"/>
        </w:rPr>
      </w:pPr>
      <w:r w:rsidRPr="00862BCE">
        <w:rPr>
          <w:rFonts w:ascii="Arial" w:hAnsi="Arial" w:cs="Arial"/>
          <w:color w:val="000000"/>
          <w:sz w:val="20"/>
        </w:rPr>
        <w:t>Save for the report provided by the convenor(s), the proceedings of a CC are confidential.  Evidence of anything said or done or admissions made at a CC is only admissible in court proceedings if the court grants leave or all the parties to the CC consent: s.226(1).  A court may only grant such leave if satisfied that it is necessary to do so to ensure the safety and well-being of the child: s.226(2).  This rarely happens.</w:t>
      </w:r>
    </w:p>
    <w:p w14:paraId="314D2E37" w14:textId="77777777" w:rsidR="00132E50" w:rsidRPr="00C2247C" w:rsidRDefault="00132E50" w:rsidP="00132E50">
      <w:pPr>
        <w:jc w:val="both"/>
        <w:rPr>
          <w:rFonts w:ascii="Arial" w:hAnsi="Arial" w:cs="Arial"/>
          <w:color w:val="000000"/>
          <w:sz w:val="20"/>
        </w:rPr>
      </w:pPr>
    </w:p>
    <w:p w14:paraId="78F2C713" w14:textId="77777777" w:rsidR="00132E50" w:rsidRPr="00785E1A" w:rsidRDefault="00132E50" w:rsidP="00132E50">
      <w:pPr>
        <w:pStyle w:val="Heading3"/>
        <w:keepNext/>
        <w:keepLines/>
        <w:spacing w:after="120" w:line="240" w:lineRule="auto"/>
        <w:rPr>
          <w:rFonts w:ascii="Arial" w:hAnsi="Arial" w:cs="Arial"/>
          <w:color w:val="000000"/>
          <w:sz w:val="20"/>
        </w:rPr>
      </w:pPr>
      <w:bookmarkStart w:id="1454" w:name="_4.10.8_Court_orders"/>
      <w:bookmarkStart w:id="1455" w:name="B4108"/>
      <w:bookmarkEnd w:id="1454"/>
      <w:bookmarkEnd w:id="1455"/>
      <w:r w:rsidRPr="00785E1A">
        <w:rPr>
          <w:rFonts w:ascii="Arial" w:hAnsi="Arial" w:cs="Arial"/>
          <w:b/>
          <w:bCs/>
          <w:color w:val="000000"/>
          <w:sz w:val="20"/>
        </w:rPr>
        <w:t>4.10.8</w:t>
      </w:r>
      <w:r w:rsidRPr="00785E1A">
        <w:rPr>
          <w:rFonts w:ascii="Arial" w:hAnsi="Arial" w:cs="Arial"/>
          <w:b/>
          <w:bCs/>
          <w:color w:val="000000"/>
          <w:sz w:val="20"/>
        </w:rPr>
        <w:tab/>
        <w:t>Court orders</w:t>
      </w:r>
    </w:p>
    <w:p w14:paraId="14CC0E9A" w14:textId="56CE8BF7" w:rsidR="00132E50" w:rsidRPr="00785E1A" w:rsidRDefault="00132E50" w:rsidP="00132E50">
      <w:pPr>
        <w:jc w:val="both"/>
        <w:rPr>
          <w:rFonts w:ascii="Arial" w:hAnsi="Arial" w:cs="Arial"/>
          <w:color w:val="000000"/>
          <w:sz w:val="20"/>
        </w:rPr>
      </w:pPr>
      <w:r w:rsidRPr="00785E1A">
        <w:rPr>
          <w:rFonts w:ascii="Arial" w:hAnsi="Arial" w:cs="Arial"/>
          <w:color w:val="000000"/>
          <w:sz w:val="20"/>
        </w:rPr>
        <w:t>A convenor has no power to make Family Division orders.  A</w:t>
      </w:r>
      <w:r w:rsidR="00D6777A">
        <w:rPr>
          <w:rFonts w:ascii="Arial" w:hAnsi="Arial" w:cs="Arial"/>
          <w:color w:val="000000"/>
          <w:sz w:val="20"/>
        </w:rPr>
        <w:t>t the end of the conference</w:t>
      </w:r>
      <w:r w:rsidRPr="00785E1A">
        <w:rPr>
          <w:rFonts w:ascii="Arial" w:hAnsi="Arial" w:cs="Arial"/>
          <w:color w:val="000000"/>
          <w:sz w:val="20"/>
        </w:rPr>
        <w:t xml:space="preserve"> the case </w:t>
      </w:r>
      <w:r w:rsidR="00CE0AB5">
        <w:rPr>
          <w:rFonts w:ascii="Arial" w:hAnsi="Arial" w:cs="Arial"/>
          <w:color w:val="000000"/>
          <w:sz w:val="20"/>
        </w:rPr>
        <w:t>r</w:t>
      </w:r>
      <w:r w:rsidRPr="00785E1A">
        <w:rPr>
          <w:rFonts w:ascii="Arial" w:hAnsi="Arial" w:cs="Arial"/>
          <w:color w:val="000000"/>
          <w:sz w:val="20"/>
        </w:rPr>
        <w:t>eturned to co</w:t>
      </w:r>
      <w:r w:rsidR="00D6777A">
        <w:rPr>
          <w:rFonts w:ascii="Arial" w:hAnsi="Arial" w:cs="Arial"/>
          <w:color w:val="000000"/>
          <w:sz w:val="20"/>
        </w:rPr>
        <w:t xml:space="preserve">urt and a judicial officer </w:t>
      </w:r>
      <w:r w:rsidRPr="00785E1A">
        <w:rPr>
          <w:rFonts w:ascii="Arial" w:hAnsi="Arial" w:cs="Arial"/>
          <w:color w:val="000000"/>
          <w:sz w:val="20"/>
        </w:rPr>
        <w:t>ma</w:t>
      </w:r>
      <w:r w:rsidR="00CE0AB5">
        <w:rPr>
          <w:rFonts w:ascii="Arial" w:hAnsi="Arial" w:cs="Arial"/>
          <w:color w:val="000000"/>
          <w:sz w:val="20"/>
        </w:rPr>
        <w:t>de</w:t>
      </w:r>
      <w:r w:rsidRPr="00785E1A">
        <w:rPr>
          <w:rFonts w:ascii="Arial" w:hAnsi="Arial" w:cs="Arial"/>
          <w:color w:val="000000"/>
          <w:sz w:val="20"/>
        </w:rPr>
        <w:t xml:space="preserve"> the appropriate orders.  These </w:t>
      </w:r>
      <w:r w:rsidR="00CE0AB5">
        <w:rPr>
          <w:rFonts w:ascii="Arial" w:hAnsi="Arial" w:cs="Arial"/>
          <w:color w:val="000000"/>
          <w:sz w:val="20"/>
        </w:rPr>
        <w:t>were</w:t>
      </w:r>
      <w:r w:rsidRPr="00785E1A">
        <w:rPr>
          <w:rFonts w:ascii="Arial" w:hAnsi="Arial" w:cs="Arial"/>
          <w:color w:val="000000"/>
          <w:sz w:val="20"/>
        </w:rPr>
        <w:t xml:space="preserve"> usually, though not always, the orders to which all of the parties at the conference ha</w:t>
      </w:r>
      <w:r w:rsidR="00CE0AB5">
        <w:rPr>
          <w:rFonts w:ascii="Arial" w:hAnsi="Arial" w:cs="Arial"/>
          <w:color w:val="000000"/>
          <w:sz w:val="20"/>
        </w:rPr>
        <w:t>d</w:t>
      </w:r>
      <w:r w:rsidRPr="00785E1A">
        <w:rPr>
          <w:rFonts w:ascii="Arial" w:hAnsi="Arial" w:cs="Arial"/>
          <w:color w:val="000000"/>
          <w:sz w:val="20"/>
        </w:rPr>
        <w:t xml:space="preserve"> agreed </w:t>
      </w:r>
      <w:r w:rsidR="00C2247C">
        <w:rPr>
          <w:rFonts w:ascii="Arial" w:hAnsi="Arial" w:cs="Arial"/>
          <w:color w:val="000000"/>
          <w:sz w:val="20"/>
        </w:rPr>
        <w:t>–</w:t>
      </w:r>
      <w:r w:rsidRPr="00785E1A">
        <w:rPr>
          <w:rFonts w:ascii="Arial" w:hAnsi="Arial" w:cs="Arial"/>
          <w:color w:val="000000"/>
          <w:sz w:val="20"/>
        </w:rPr>
        <w:t xml:space="preserve"> or</w:t>
      </w:r>
      <w:r w:rsidR="00C2247C">
        <w:rPr>
          <w:rFonts w:ascii="Arial" w:hAnsi="Arial" w:cs="Arial"/>
          <w:color w:val="000000"/>
          <w:sz w:val="20"/>
        </w:rPr>
        <w:t xml:space="preserve"> </w:t>
      </w:r>
      <w:r w:rsidRPr="00785E1A">
        <w:rPr>
          <w:rFonts w:ascii="Arial" w:hAnsi="Arial" w:cs="Arial"/>
          <w:color w:val="000000"/>
          <w:sz w:val="20"/>
        </w:rPr>
        <w:t>at least ha</w:t>
      </w:r>
      <w:r w:rsidR="00CE0AB5">
        <w:rPr>
          <w:rFonts w:ascii="Arial" w:hAnsi="Arial" w:cs="Arial"/>
          <w:color w:val="000000"/>
          <w:sz w:val="20"/>
        </w:rPr>
        <w:t>d</w:t>
      </w:r>
      <w:r w:rsidRPr="00785E1A">
        <w:rPr>
          <w:rFonts w:ascii="Arial" w:hAnsi="Arial" w:cs="Arial"/>
          <w:color w:val="000000"/>
          <w:sz w:val="20"/>
        </w:rPr>
        <w:t xml:space="preserve"> agreed not to oppose.  Sometimes, but rarely, the Court </w:t>
      </w:r>
      <w:r w:rsidR="00CE0AB5">
        <w:rPr>
          <w:rFonts w:ascii="Arial" w:hAnsi="Arial" w:cs="Arial"/>
          <w:color w:val="000000"/>
          <w:sz w:val="20"/>
        </w:rPr>
        <w:t>wa</w:t>
      </w:r>
      <w:r w:rsidRPr="00785E1A">
        <w:rPr>
          <w:rFonts w:ascii="Arial" w:hAnsi="Arial" w:cs="Arial"/>
          <w:color w:val="000000"/>
          <w:sz w:val="20"/>
        </w:rPr>
        <w:t xml:space="preserve">s not prepared to endorse the parties' agreement. Occasionally this </w:t>
      </w:r>
      <w:r w:rsidR="00CE0AB5">
        <w:rPr>
          <w:rFonts w:ascii="Arial" w:hAnsi="Arial" w:cs="Arial"/>
          <w:color w:val="000000"/>
          <w:sz w:val="20"/>
        </w:rPr>
        <w:t>was</w:t>
      </w:r>
      <w:r w:rsidRPr="00785E1A">
        <w:rPr>
          <w:rFonts w:ascii="Arial" w:hAnsi="Arial" w:cs="Arial"/>
          <w:color w:val="000000"/>
          <w:sz w:val="20"/>
        </w:rPr>
        <w:t xml:space="preserve"> because the Court consider</w:t>
      </w:r>
      <w:r w:rsidR="00CE0AB5">
        <w:rPr>
          <w:rFonts w:ascii="Arial" w:hAnsi="Arial" w:cs="Arial"/>
          <w:color w:val="000000"/>
          <w:sz w:val="20"/>
        </w:rPr>
        <w:t>ed</w:t>
      </w:r>
      <w:r w:rsidRPr="00785E1A">
        <w:rPr>
          <w:rFonts w:ascii="Arial" w:hAnsi="Arial" w:cs="Arial"/>
          <w:color w:val="000000"/>
          <w:sz w:val="20"/>
        </w:rPr>
        <w:t xml:space="preserve"> it has no power in law to make the orders sought or because the Court consider</w:t>
      </w:r>
      <w:r w:rsidR="00CE0AB5">
        <w:rPr>
          <w:rFonts w:ascii="Arial" w:hAnsi="Arial" w:cs="Arial"/>
          <w:color w:val="000000"/>
          <w:sz w:val="20"/>
        </w:rPr>
        <w:t>ed</w:t>
      </w:r>
      <w:r w:rsidRPr="00785E1A">
        <w:rPr>
          <w:rFonts w:ascii="Arial" w:hAnsi="Arial" w:cs="Arial"/>
          <w:color w:val="000000"/>
          <w:sz w:val="20"/>
        </w:rPr>
        <w:t xml:space="preserve"> that the orders sought </w:t>
      </w:r>
      <w:r w:rsidR="00CE0AB5">
        <w:rPr>
          <w:rFonts w:ascii="Arial" w:hAnsi="Arial" w:cs="Arial"/>
          <w:color w:val="000000"/>
          <w:sz w:val="20"/>
        </w:rPr>
        <w:t>we</w:t>
      </w:r>
      <w:r w:rsidRPr="00785E1A">
        <w:rPr>
          <w:rFonts w:ascii="Arial" w:hAnsi="Arial" w:cs="Arial"/>
          <w:color w:val="000000"/>
          <w:sz w:val="20"/>
        </w:rPr>
        <w:t>re not in the best interests of an absent party, usually a child.</w:t>
      </w:r>
    </w:p>
    <w:p w14:paraId="7358F698" w14:textId="77777777" w:rsidR="00132E50" w:rsidRPr="00785E1A" w:rsidRDefault="00132E50" w:rsidP="00132E50">
      <w:pPr>
        <w:jc w:val="both"/>
        <w:rPr>
          <w:rFonts w:ascii="Arial" w:hAnsi="Arial" w:cs="Arial"/>
          <w:b/>
          <w:bCs/>
          <w:color w:val="000000"/>
          <w:sz w:val="20"/>
        </w:rPr>
      </w:pPr>
    </w:p>
    <w:p w14:paraId="36F91E74" w14:textId="77777777" w:rsidR="00132E50" w:rsidRPr="00785E1A" w:rsidRDefault="00132E50" w:rsidP="00111111">
      <w:pPr>
        <w:pStyle w:val="Heading3"/>
        <w:keepNext/>
        <w:keepLines/>
        <w:widowControl/>
        <w:spacing w:after="120" w:line="240" w:lineRule="auto"/>
        <w:rPr>
          <w:rFonts w:ascii="Arial" w:hAnsi="Arial" w:cs="Arial"/>
          <w:color w:val="000000"/>
          <w:sz w:val="20"/>
        </w:rPr>
      </w:pPr>
      <w:bookmarkStart w:id="1456" w:name="_4.10.9_Statistics"/>
      <w:bookmarkStart w:id="1457" w:name="B4109"/>
      <w:bookmarkEnd w:id="1456"/>
      <w:bookmarkEnd w:id="1457"/>
      <w:r w:rsidRPr="00785E1A">
        <w:rPr>
          <w:rFonts w:ascii="Arial" w:hAnsi="Arial" w:cs="Arial"/>
          <w:b/>
          <w:bCs/>
          <w:color w:val="000000"/>
          <w:sz w:val="20"/>
        </w:rPr>
        <w:t>4.10.9</w:t>
      </w:r>
      <w:r w:rsidRPr="00785E1A">
        <w:rPr>
          <w:rFonts w:ascii="Arial" w:hAnsi="Arial" w:cs="Arial"/>
          <w:b/>
          <w:bCs/>
          <w:color w:val="000000"/>
          <w:sz w:val="20"/>
        </w:rPr>
        <w:tab/>
        <w:t>Statistics</w:t>
      </w:r>
    </w:p>
    <w:p w14:paraId="0E121E16" w14:textId="77777777" w:rsidR="00132E50" w:rsidRDefault="00132E50" w:rsidP="00132E50">
      <w:pPr>
        <w:jc w:val="both"/>
        <w:rPr>
          <w:rFonts w:ascii="Arial" w:hAnsi="Arial" w:cs="Arial"/>
          <w:color w:val="000000"/>
          <w:sz w:val="20"/>
        </w:rPr>
      </w:pPr>
      <w:r w:rsidRPr="00785E1A">
        <w:rPr>
          <w:rFonts w:ascii="Arial" w:hAnsi="Arial" w:cs="Arial"/>
          <w:color w:val="000000"/>
          <w:sz w:val="20"/>
        </w:rPr>
        <w:t xml:space="preserve">Between 1999-2000 &amp; 2009-2010 the settlement rate </w:t>
      </w:r>
      <w:r w:rsidR="00FC191C">
        <w:rPr>
          <w:rFonts w:ascii="Arial" w:hAnsi="Arial" w:cs="Arial"/>
          <w:color w:val="000000"/>
          <w:sz w:val="20"/>
        </w:rPr>
        <w:t xml:space="preserve">for conferences based on </w:t>
      </w:r>
      <w:r w:rsidR="003B4C54">
        <w:rPr>
          <w:rFonts w:ascii="Arial" w:hAnsi="Arial" w:cs="Arial"/>
          <w:color w:val="000000"/>
          <w:sz w:val="20"/>
        </w:rPr>
        <w:t>earlier model</w:t>
      </w:r>
      <w:r w:rsidR="00FC191C">
        <w:rPr>
          <w:rFonts w:ascii="Arial" w:hAnsi="Arial" w:cs="Arial"/>
          <w:color w:val="000000"/>
          <w:sz w:val="20"/>
        </w:rPr>
        <w:t>s</w:t>
      </w:r>
      <w:r w:rsidR="003B4C54">
        <w:rPr>
          <w:rFonts w:ascii="Arial" w:hAnsi="Arial" w:cs="Arial"/>
          <w:color w:val="000000"/>
          <w:sz w:val="20"/>
        </w:rPr>
        <w:t xml:space="preserve"> </w:t>
      </w:r>
      <w:r w:rsidRPr="00785E1A">
        <w:rPr>
          <w:rFonts w:ascii="Arial" w:hAnsi="Arial" w:cs="Arial"/>
          <w:color w:val="000000"/>
          <w:sz w:val="20"/>
        </w:rPr>
        <w:t>ha</w:t>
      </w:r>
      <w:r w:rsidR="00D6777A">
        <w:rPr>
          <w:rFonts w:ascii="Arial" w:hAnsi="Arial" w:cs="Arial"/>
          <w:color w:val="000000"/>
          <w:sz w:val="20"/>
        </w:rPr>
        <w:t>d</w:t>
      </w:r>
      <w:r w:rsidRPr="00785E1A">
        <w:rPr>
          <w:rFonts w:ascii="Arial" w:hAnsi="Arial" w:cs="Arial"/>
          <w:color w:val="000000"/>
          <w:sz w:val="20"/>
        </w:rPr>
        <w:t xml:space="preserve"> varied between 28% &amp; 36%.  There appears to </w:t>
      </w:r>
      <w:r w:rsidR="003B4C54">
        <w:rPr>
          <w:rFonts w:ascii="Arial" w:hAnsi="Arial" w:cs="Arial"/>
          <w:color w:val="000000"/>
          <w:sz w:val="20"/>
        </w:rPr>
        <w:t xml:space="preserve">have </w:t>
      </w:r>
      <w:r w:rsidRPr="00785E1A">
        <w:rPr>
          <w:rFonts w:ascii="Arial" w:hAnsi="Arial" w:cs="Arial"/>
          <w:color w:val="000000"/>
          <w:sz w:val="20"/>
        </w:rPr>
        <w:t>be</w:t>
      </w:r>
      <w:r w:rsidR="003B4C54">
        <w:rPr>
          <w:rFonts w:ascii="Arial" w:hAnsi="Arial" w:cs="Arial"/>
          <w:color w:val="000000"/>
          <w:sz w:val="20"/>
        </w:rPr>
        <w:t>en</w:t>
      </w:r>
      <w:r w:rsidRPr="00785E1A">
        <w:rPr>
          <w:rFonts w:ascii="Arial" w:hAnsi="Arial" w:cs="Arial"/>
          <w:color w:val="000000"/>
          <w:sz w:val="20"/>
        </w:rPr>
        <w:t xml:space="preserve"> little difference between the settlement rates in Melbourne and in country regions.</w:t>
      </w:r>
    </w:p>
    <w:p w14:paraId="6818F294" w14:textId="77777777" w:rsidR="003B4C54" w:rsidRPr="00D6777A" w:rsidRDefault="003B4C54" w:rsidP="00132E50">
      <w:pPr>
        <w:jc w:val="both"/>
        <w:rPr>
          <w:rFonts w:ascii="Arial" w:hAnsi="Arial" w:cs="Arial"/>
          <w:b/>
          <w:bCs/>
          <w:color w:val="000000"/>
          <w:sz w:val="20"/>
        </w:rPr>
      </w:pPr>
    </w:p>
    <w:p w14:paraId="201F07A3" w14:textId="1EBCCB1A" w:rsidR="003B4C54" w:rsidRDefault="00132E50" w:rsidP="00132E50">
      <w:pPr>
        <w:jc w:val="both"/>
        <w:rPr>
          <w:rFonts w:ascii="Arial" w:hAnsi="Arial" w:cs="Arial"/>
          <w:color w:val="000000"/>
          <w:sz w:val="20"/>
        </w:rPr>
      </w:pPr>
      <w:r w:rsidRPr="00D6777A">
        <w:rPr>
          <w:rFonts w:ascii="Arial" w:hAnsi="Arial" w:cs="Arial"/>
          <w:color w:val="000000"/>
          <w:sz w:val="20"/>
        </w:rPr>
        <w:t xml:space="preserve">The </w:t>
      </w:r>
      <w:r w:rsidR="00111111">
        <w:rPr>
          <w:rFonts w:ascii="Arial" w:hAnsi="Arial" w:cs="Arial"/>
          <w:color w:val="000000"/>
          <w:sz w:val="20"/>
        </w:rPr>
        <w:t xml:space="preserve">latest </w:t>
      </w:r>
      <w:r w:rsidRPr="00D6777A">
        <w:rPr>
          <w:rFonts w:ascii="Arial" w:hAnsi="Arial" w:cs="Arial"/>
          <w:color w:val="000000"/>
          <w:sz w:val="20"/>
        </w:rPr>
        <w:t xml:space="preserve">conciliation conference </w:t>
      </w:r>
      <w:r w:rsidR="00D6777A">
        <w:rPr>
          <w:rFonts w:ascii="Arial" w:hAnsi="Arial" w:cs="Arial"/>
          <w:color w:val="000000"/>
          <w:sz w:val="20"/>
        </w:rPr>
        <w:t xml:space="preserve">model </w:t>
      </w:r>
      <w:r w:rsidRPr="00D6777A">
        <w:rPr>
          <w:rFonts w:ascii="Arial" w:hAnsi="Arial" w:cs="Arial"/>
          <w:color w:val="000000"/>
          <w:sz w:val="20"/>
        </w:rPr>
        <w:t>project was subject to evaluation for the first 18</w:t>
      </w:r>
      <w:r w:rsidR="003B4C54">
        <w:rPr>
          <w:rFonts w:ascii="Arial" w:hAnsi="Arial" w:cs="Arial"/>
          <w:color w:val="000000"/>
          <w:sz w:val="20"/>
        </w:rPr>
        <w:t> </w:t>
      </w:r>
      <w:r w:rsidRPr="00D6777A">
        <w:rPr>
          <w:rFonts w:ascii="Arial" w:hAnsi="Arial" w:cs="Arial"/>
          <w:color w:val="000000"/>
          <w:sz w:val="20"/>
        </w:rPr>
        <w:t xml:space="preserve">months.  Feedback from family members and professional participants was </w:t>
      </w:r>
      <w:r w:rsidR="00522630">
        <w:rPr>
          <w:rFonts w:ascii="Arial" w:hAnsi="Arial" w:cs="Arial"/>
          <w:color w:val="000000"/>
          <w:sz w:val="20"/>
        </w:rPr>
        <w:t>very</w:t>
      </w:r>
      <w:r w:rsidRPr="00D6777A">
        <w:rPr>
          <w:rFonts w:ascii="Arial" w:hAnsi="Arial" w:cs="Arial"/>
          <w:color w:val="000000"/>
          <w:sz w:val="20"/>
        </w:rPr>
        <w:t xml:space="preserve"> positive. The first CC involving the </w:t>
      </w:r>
      <w:r w:rsidR="003A03DB">
        <w:rPr>
          <w:rFonts w:ascii="Arial" w:hAnsi="Arial" w:cs="Arial"/>
          <w:color w:val="000000"/>
          <w:sz w:val="20"/>
        </w:rPr>
        <w:t>latest</w:t>
      </w:r>
      <w:r w:rsidRPr="00D6777A">
        <w:rPr>
          <w:rFonts w:ascii="Arial" w:hAnsi="Arial" w:cs="Arial"/>
          <w:color w:val="000000"/>
          <w:sz w:val="20"/>
        </w:rPr>
        <w:t xml:space="preserve"> m</w:t>
      </w:r>
      <w:r w:rsidR="003B4C54">
        <w:rPr>
          <w:rFonts w:ascii="Arial" w:hAnsi="Arial" w:cs="Arial"/>
          <w:color w:val="000000"/>
          <w:sz w:val="20"/>
        </w:rPr>
        <w:t>odel was conducted on 24/08/</w:t>
      </w:r>
      <w:r w:rsidRPr="00D6777A">
        <w:rPr>
          <w:rFonts w:ascii="Arial" w:hAnsi="Arial" w:cs="Arial"/>
          <w:color w:val="000000"/>
          <w:sz w:val="20"/>
        </w:rPr>
        <w:t xml:space="preserve">2010 and </w:t>
      </w:r>
      <w:r w:rsidR="003B4C54">
        <w:rPr>
          <w:rFonts w:ascii="Arial" w:hAnsi="Arial" w:cs="Arial"/>
          <w:color w:val="000000"/>
          <w:sz w:val="20"/>
        </w:rPr>
        <w:t>6804</w:t>
      </w:r>
      <w:r w:rsidR="009970EC">
        <w:rPr>
          <w:rFonts w:ascii="Arial" w:hAnsi="Arial" w:cs="Arial"/>
          <w:color w:val="000000"/>
          <w:sz w:val="20"/>
        </w:rPr>
        <w:t> </w:t>
      </w:r>
      <w:r w:rsidR="003B4C54">
        <w:rPr>
          <w:rFonts w:ascii="Arial" w:hAnsi="Arial" w:cs="Arial"/>
          <w:color w:val="000000"/>
          <w:sz w:val="20"/>
        </w:rPr>
        <w:t xml:space="preserve">CCs have been conducted state-wide up to 15/02/2016.  Between </w:t>
      </w:r>
      <w:r w:rsidR="00FC191C">
        <w:rPr>
          <w:rFonts w:ascii="Arial" w:hAnsi="Arial" w:cs="Arial"/>
          <w:color w:val="000000"/>
          <w:sz w:val="20"/>
        </w:rPr>
        <w:t>01/11/2013 &amp; 31/01/2016 a total of 4774 CCs have been run state-wide.  Of these:</w:t>
      </w:r>
    </w:p>
    <w:p w14:paraId="6174B2F5" w14:textId="77777777" w:rsid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46</w:t>
      </w:r>
      <w:r w:rsidR="00132E50" w:rsidRPr="00D6777A">
        <w:rPr>
          <w:rFonts w:ascii="Arial" w:hAnsi="Arial" w:cs="Arial"/>
          <w:color w:val="000000"/>
          <w:sz w:val="20"/>
        </w:rPr>
        <w:t xml:space="preserve">% have resulted in </w:t>
      </w:r>
      <w:r>
        <w:rPr>
          <w:rFonts w:ascii="Arial" w:hAnsi="Arial" w:cs="Arial"/>
          <w:color w:val="000000"/>
          <w:sz w:val="20"/>
        </w:rPr>
        <w:t xml:space="preserve">full </w:t>
      </w:r>
      <w:r w:rsidR="00132E50" w:rsidRPr="00D6777A">
        <w:rPr>
          <w:rFonts w:ascii="Arial" w:hAnsi="Arial" w:cs="Arial"/>
          <w:color w:val="000000"/>
          <w:sz w:val="20"/>
        </w:rPr>
        <w:t>settlement</w:t>
      </w:r>
      <w:r w:rsidR="00D6777A">
        <w:rPr>
          <w:rFonts w:ascii="Arial" w:hAnsi="Arial" w:cs="Arial"/>
          <w:color w:val="000000"/>
          <w:sz w:val="20"/>
        </w:rPr>
        <w:t>;</w:t>
      </w:r>
    </w:p>
    <w:p w14:paraId="55024A6D" w14:textId="77777777" w:rsidR="00FC191C"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36% have been partially settled and have resulted in interim protection orders, further CCs or mentions; and</w:t>
      </w:r>
    </w:p>
    <w:p w14:paraId="53EE273D" w14:textId="77777777" w:rsidR="00132E50" w:rsidRPr="00D6777A" w:rsidRDefault="00FC191C">
      <w:pPr>
        <w:numPr>
          <w:ilvl w:val="0"/>
          <w:numId w:val="36"/>
        </w:numPr>
        <w:tabs>
          <w:tab w:val="clear" w:pos="1574"/>
        </w:tabs>
        <w:ind w:left="289" w:hanging="289"/>
        <w:jc w:val="both"/>
        <w:rPr>
          <w:rFonts w:ascii="Arial" w:hAnsi="Arial" w:cs="Arial"/>
          <w:color w:val="000000"/>
          <w:sz w:val="20"/>
        </w:rPr>
      </w:pPr>
      <w:r>
        <w:rPr>
          <w:rFonts w:ascii="Arial" w:hAnsi="Arial" w:cs="Arial"/>
          <w:color w:val="000000"/>
          <w:sz w:val="20"/>
        </w:rPr>
        <w:t>18</w:t>
      </w:r>
      <w:r w:rsidR="00132E50" w:rsidRPr="00D6777A">
        <w:rPr>
          <w:rFonts w:ascii="Arial" w:hAnsi="Arial" w:cs="Arial"/>
          <w:color w:val="000000"/>
          <w:sz w:val="20"/>
        </w:rPr>
        <w:t xml:space="preserve">% have been adjourned for </w:t>
      </w:r>
      <w:r>
        <w:rPr>
          <w:rFonts w:ascii="Arial" w:hAnsi="Arial" w:cs="Arial"/>
          <w:color w:val="000000"/>
          <w:sz w:val="20"/>
        </w:rPr>
        <w:t>f</w:t>
      </w:r>
      <w:r w:rsidR="00D6777A">
        <w:rPr>
          <w:rFonts w:ascii="Arial" w:hAnsi="Arial" w:cs="Arial"/>
          <w:color w:val="000000"/>
          <w:sz w:val="20"/>
        </w:rPr>
        <w:t>irst d</w:t>
      </w:r>
      <w:r w:rsidR="00132E50" w:rsidRPr="00D6777A">
        <w:rPr>
          <w:rFonts w:ascii="Arial" w:hAnsi="Arial" w:cs="Arial"/>
          <w:color w:val="000000"/>
          <w:sz w:val="20"/>
        </w:rPr>
        <w:t xml:space="preserve">irections </w:t>
      </w:r>
      <w:r w:rsidR="00D6777A">
        <w:rPr>
          <w:rFonts w:ascii="Arial" w:hAnsi="Arial" w:cs="Arial"/>
          <w:color w:val="000000"/>
          <w:sz w:val="20"/>
        </w:rPr>
        <w:t>h</w:t>
      </w:r>
      <w:r w:rsidR="00132E50" w:rsidRPr="00D6777A">
        <w:rPr>
          <w:rFonts w:ascii="Arial" w:hAnsi="Arial" w:cs="Arial"/>
          <w:color w:val="000000"/>
          <w:sz w:val="20"/>
        </w:rPr>
        <w:t xml:space="preserve">earing or </w:t>
      </w:r>
      <w:r>
        <w:rPr>
          <w:rFonts w:ascii="Arial" w:hAnsi="Arial" w:cs="Arial"/>
          <w:color w:val="000000"/>
          <w:sz w:val="20"/>
        </w:rPr>
        <w:t>d</w:t>
      </w:r>
      <w:r w:rsidR="00D6777A">
        <w:rPr>
          <w:rFonts w:ascii="Arial" w:hAnsi="Arial" w:cs="Arial"/>
          <w:color w:val="000000"/>
          <w:sz w:val="20"/>
        </w:rPr>
        <w:t xml:space="preserve">irections hearing &amp; </w:t>
      </w:r>
      <w:r w:rsidR="00132E50" w:rsidRPr="00D6777A">
        <w:rPr>
          <w:rFonts w:ascii="Arial" w:hAnsi="Arial" w:cs="Arial"/>
          <w:color w:val="000000"/>
          <w:sz w:val="20"/>
        </w:rPr>
        <w:t>contest.</w:t>
      </w:r>
    </w:p>
    <w:p w14:paraId="56823DCB" w14:textId="77777777" w:rsidR="003B4C54" w:rsidRDefault="003B4C54">
      <w:pPr>
        <w:jc w:val="both"/>
        <w:rPr>
          <w:rFonts w:ascii="Arial" w:hAnsi="Arial" w:cs="Arial"/>
          <w:color w:val="000000"/>
          <w:sz w:val="20"/>
        </w:rPr>
      </w:pPr>
    </w:p>
    <w:p w14:paraId="5D896B83" w14:textId="02D15725" w:rsidR="00DD004D" w:rsidRDefault="00DD004D">
      <w:pPr>
        <w:jc w:val="both"/>
        <w:rPr>
          <w:rFonts w:ascii="Arial" w:hAnsi="Arial" w:cs="Arial"/>
          <w:color w:val="000000"/>
          <w:sz w:val="20"/>
        </w:rPr>
      </w:pPr>
      <w:r>
        <w:rPr>
          <w:rFonts w:ascii="Arial" w:hAnsi="Arial" w:cs="Arial"/>
          <w:color w:val="000000"/>
          <w:sz w:val="20"/>
        </w:rPr>
        <w:t xml:space="preserve">The CC statistics for </w:t>
      </w:r>
      <w:r w:rsidR="00522630">
        <w:rPr>
          <w:rFonts w:ascii="Arial" w:hAnsi="Arial" w:cs="Arial"/>
          <w:color w:val="000000"/>
          <w:sz w:val="20"/>
        </w:rPr>
        <w:t>2018/19, 2019/20 &amp; 2020/21</w:t>
      </w:r>
      <w:r>
        <w:rPr>
          <w:rFonts w:ascii="Arial" w:hAnsi="Arial" w:cs="Arial"/>
          <w:color w:val="000000"/>
          <w:sz w:val="20"/>
        </w:rPr>
        <w:t xml:space="preserve"> are </w:t>
      </w:r>
      <w:r w:rsidR="009E6FE8">
        <w:rPr>
          <w:rFonts w:ascii="Arial" w:hAnsi="Arial" w:cs="Arial"/>
          <w:color w:val="000000"/>
          <w:sz w:val="20"/>
        </w:rPr>
        <w:t>in the following tables.  The METROPOLITAN figures are from Melbourne, Moorabbin &amp; Broadmeadows Children’s Courts.</w:t>
      </w:r>
    </w:p>
    <w:p w14:paraId="7BEE6777" w14:textId="77777777" w:rsidR="00DD004D" w:rsidRDefault="00DD004D">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DD004D" w:rsidRPr="00870270" w14:paraId="3AD3D7DD" w14:textId="77777777" w:rsidTr="00870270">
        <w:tc>
          <w:tcPr>
            <w:tcW w:w="1705" w:type="dxa"/>
            <w:shd w:val="clear" w:color="auto" w:fill="000000"/>
          </w:tcPr>
          <w:p w14:paraId="04042922" w14:textId="77777777" w:rsidR="00DD004D" w:rsidRPr="00870270" w:rsidRDefault="00DD004D" w:rsidP="00870270">
            <w:pPr>
              <w:spacing w:before="120"/>
              <w:jc w:val="center"/>
              <w:rPr>
                <w:rFonts w:ascii="Arial" w:hAnsi="Arial" w:cs="Arial"/>
                <w:b/>
                <w:bCs/>
                <w:color w:val="FFFFFF"/>
                <w:szCs w:val="32"/>
              </w:rPr>
            </w:pPr>
            <w:r w:rsidRPr="00870270">
              <w:rPr>
                <w:rFonts w:ascii="Arial" w:hAnsi="Arial" w:cs="Arial"/>
                <w:b/>
                <w:bCs/>
                <w:color w:val="FFFFFF"/>
                <w:szCs w:val="32"/>
              </w:rPr>
              <w:t>2018/19</w:t>
            </w:r>
          </w:p>
        </w:tc>
        <w:tc>
          <w:tcPr>
            <w:tcW w:w="1705" w:type="dxa"/>
            <w:shd w:val="clear" w:color="auto" w:fill="auto"/>
          </w:tcPr>
          <w:p w14:paraId="2EAABC38"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67037307" w14:textId="77777777" w:rsidR="00DD004D"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0A60C6B6" w14:textId="77777777" w:rsidR="00DD004D"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3DB3EE90" w14:textId="77777777" w:rsidR="00DD004D"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DD004D" w:rsidRPr="00870270" w14:paraId="5A2836ED" w14:textId="77777777" w:rsidTr="00870270">
        <w:tc>
          <w:tcPr>
            <w:tcW w:w="1705" w:type="dxa"/>
            <w:shd w:val="clear" w:color="auto" w:fill="auto"/>
          </w:tcPr>
          <w:p w14:paraId="6C0D130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ME</w:t>
            </w:r>
            <w:r w:rsidR="009E6FE8" w:rsidRPr="00870270">
              <w:rPr>
                <w:rFonts w:ascii="Arial" w:hAnsi="Arial" w:cs="Arial"/>
                <w:b/>
                <w:bCs/>
                <w:color w:val="000000"/>
                <w:sz w:val="20"/>
              </w:rPr>
              <w:t>TROPOLITAN</w:t>
            </w:r>
          </w:p>
        </w:tc>
        <w:tc>
          <w:tcPr>
            <w:tcW w:w="1705" w:type="dxa"/>
            <w:shd w:val="clear" w:color="auto" w:fill="auto"/>
          </w:tcPr>
          <w:p w14:paraId="4CA0A46D"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49D0C72F"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612</w:t>
            </w:r>
          </w:p>
        </w:tc>
        <w:tc>
          <w:tcPr>
            <w:tcW w:w="1706" w:type="dxa"/>
            <w:shd w:val="clear" w:color="auto" w:fill="auto"/>
          </w:tcPr>
          <w:p w14:paraId="69762AE4"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655</w:t>
            </w:r>
          </w:p>
        </w:tc>
        <w:tc>
          <w:tcPr>
            <w:tcW w:w="1706" w:type="dxa"/>
            <w:shd w:val="clear" w:color="auto" w:fill="auto"/>
          </w:tcPr>
          <w:p w14:paraId="75585E57"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559</w:t>
            </w:r>
          </w:p>
        </w:tc>
      </w:tr>
      <w:tr w:rsidR="00DD004D" w:rsidRPr="00870270" w14:paraId="16E921D7" w14:textId="77777777" w:rsidTr="00870270">
        <w:tc>
          <w:tcPr>
            <w:tcW w:w="1705" w:type="dxa"/>
            <w:shd w:val="clear" w:color="auto" w:fill="auto"/>
          </w:tcPr>
          <w:p w14:paraId="53CFFDBC" w14:textId="77777777" w:rsidR="00DD004D" w:rsidRPr="00870270" w:rsidRDefault="00DD004D"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6D45F4C1"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1449</w:t>
            </w:r>
          </w:p>
        </w:tc>
        <w:tc>
          <w:tcPr>
            <w:tcW w:w="1706" w:type="dxa"/>
            <w:shd w:val="clear" w:color="auto" w:fill="auto"/>
          </w:tcPr>
          <w:p w14:paraId="2FCB79B0"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674</w:t>
            </w:r>
          </w:p>
        </w:tc>
        <w:tc>
          <w:tcPr>
            <w:tcW w:w="1706" w:type="dxa"/>
            <w:shd w:val="clear" w:color="auto" w:fill="auto"/>
          </w:tcPr>
          <w:p w14:paraId="2C082C3B"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536</w:t>
            </w:r>
          </w:p>
        </w:tc>
        <w:tc>
          <w:tcPr>
            <w:tcW w:w="1706" w:type="dxa"/>
            <w:shd w:val="clear" w:color="auto" w:fill="auto"/>
          </w:tcPr>
          <w:p w14:paraId="50959E5C" w14:textId="77777777" w:rsidR="00DD004D" w:rsidRPr="00870270" w:rsidRDefault="0011018E" w:rsidP="00870270">
            <w:pPr>
              <w:jc w:val="center"/>
              <w:rPr>
                <w:rFonts w:ascii="Arial" w:hAnsi="Arial" w:cs="Arial"/>
                <w:color w:val="000000"/>
                <w:sz w:val="20"/>
              </w:rPr>
            </w:pPr>
            <w:r w:rsidRPr="00870270">
              <w:rPr>
                <w:rFonts w:ascii="Arial" w:hAnsi="Arial" w:cs="Arial"/>
                <w:color w:val="000000"/>
                <w:sz w:val="20"/>
              </w:rPr>
              <w:t>239</w:t>
            </w:r>
          </w:p>
        </w:tc>
      </w:tr>
      <w:tr w:rsidR="0011018E" w:rsidRPr="00870270" w14:paraId="26809274" w14:textId="77777777" w:rsidTr="00870270">
        <w:tc>
          <w:tcPr>
            <w:tcW w:w="1705" w:type="dxa"/>
            <w:shd w:val="clear" w:color="auto" w:fill="000000"/>
          </w:tcPr>
          <w:p w14:paraId="08C3F699" w14:textId="77777777" w:rsidR="00DD004D" w:rsidRPr="00870270" w:rsidRDefault="00DD004D"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60D7F59D"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3275</w:t>
            </w:r>
          </w:p>
        </w:tc>
        <w:tc>
          <w:tcPr>
            <w:tcW w:w="1706" w:type="dxa"/>
            <w:shd w:val="clear" w:color="auto" w:fill="000000"/>
          </w:tcPr>
          <w:p w14:paraId="57F6846A"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1286</w:t>
            </w:r>
          </w:p>
        </w:tc>
        <w:tc>
          <w:tcPr>
            <w:tcW w:w="1706" w:type="dxa"/>
            <w:shd w:val="clear" w:color="auto" w:fill="000000"/>
          </w:tcPr>
          <w:p w14:paraId="2742C46E"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1191</w:t>
            </w:r>
          </w:p>
        </w:tc>
        <w:tc>
          <w:tcPr>
            <w:tcW w:w="1706" w:type="dxa"/>
            <w:shd w:val="clear" w:color="auto" w:fill="000000"/>
          </w:tcPr>
          <w:p w14:paraId="47767558" w14:textId="77777777" w:rsidR="00DD004D" w:rsidRPr="00870270" w:rsidRDefault="0011018E" w:rsidP="00870270">
            <w:pPr>
              <w:jc w:val="center"/>
              <w:rPr>
                <w:rFonts w:ascii="Arial" w:hAnsi="Arial" w:cs="Arial"/>
                <w:b/>
                <w:bCs/>
                <w:color w:val="FFFFFF"/>
                <w:sz w:val="20"/>
              </w:rPr>
            </w:pPr>
            <w:r w:rsidRPr="00870270">
              <w:rPr>
                <w:rFonts w:ascii="Arial" w:hAnsi="Arial" w:cs="Arial"/>
                <w:b/>
                <w:bCs/>
                <w:color w:val="FFFFFF"/>
                <w:sz w:val="20"/>
              </w:rPr>
              <w:t>798</w:t>
            </w:r>
          </w:p>
        </w:tc>
      </w:tr>
    </w:tbl>
    <w:p w14:paraId="2D7F2BAE"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1"/>
        <w:gridCol w:w="1696"/>
        <w:gridCol w:w="1696"/>
        <w:gridCol w:w="1483"/>
      </w:tblGrid>
      <w:tr w:rsidR="0011018E" w:rsidRPr="00870270" w14:paraId="628153FA" w14:textId="77777777" w:rsidTr="00870270">
        <w:tc>
          <w:tcPr>
            <w:tcW w:w="1705" w:type="dxa"/>
            <w:shd w:val="clear" w:color="auto" w:fill="000000"/>
          </w:tcPr>
          <w:p w14:paraId="02BB8D41" w14:textId="77777777" w:rsidR="0011018E" w:rsidRPr="00870270" w:rsidRDefault="0011018E" w:rsidP="00870270">
            <w:pPr>
              <w:spacing w:before="120"/>
              <w:jc w:val="center"/>
              <w:rPr>
                <w:rFonts w:ascii="Arial" w:hAnsi="Arial" w:cs="Arial"/>
                <w:b/>
                <w:bCs/>
                <w:color w:val="FFFFFF"/>
                <w:szCs w:val="32"/>
              </w:rPr>
            </w:pPr>
            <w:r w:rsidRPr="00870270">
              <w:rPr>
                <w:rFonts w:ascii="Arial" w:hAnsi="Arial" w:cs="Arial"/>
                <w:b/>
                <w:bCs/>
                <w:color w:val="FFFFFF"/>
                <w:szCs w:val="32"/>
              </w:rPr>
              <w:t>2019/20</w:t>
            </w:r>
          </w:p>
        </w:tc>
        <w:tc>
          <w:tcPr>
            <w:tcW w:w="1705" w:type="dxa"/>
            <w:shd w:val="clear" w:color="auto" w:fill="auto"/>
          </w:tcPr>
          <w:p w14:paraId="70269E53"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6" w:type="dxa"/>
            <w:shd w:val="clear" w:color="auto" w:fill="auto"/>
          </w:tcPr>
          <w:p w14:paraId="1494BA56"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6" w:type="dxa"/>
            <w:shd w:val="clear" w:color="auto" w:fill="auto"/>
          </w:tcPr>
          <w:p w14:paraId="28BD3A1A"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706" w:type="dxa"/>
            <w:shd w:val="clear" w:color="auto" w:fill="auto"/>
          </w:tcPr>
          <w:p w14:paraId="7E6ACE82"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CCs LEADING TO DIRECTIONS HEARINGS</w:t>
            </w:r>
          </w:p>
        </w:tc>
      </w:tr>
      <w:tr w:rsidR="0011018E" w:rsidRPr="00870270" w14:paraId="73F0E3E2" w14:textId="77777777" w:rsidTr="00870270">
        <w:tc>
          <w:tcPr>
            <w:tcW w:w="1705" w:type="dxa"/>
            <w:shd w:val="clear" w:color="auto" w:fill="auto"/>
          </w:tcPr>
          <w:p w14:paraId="167F7650"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705" w:type="dxa"/>
            <w:shd w:val="clear" w:color="auto" w:fill="auto"/>
          </w:tcPr>
          <w:p w14:paraId="32EAA26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1826</w:t>
            </w:r>
          </w:p>
        </w:tc>
        <w:tc>
          <w:tcPr>
            <w:tcW w:w="1706" w:type="dxa"/>
            <w:shd w:val="clear" w:color="auto" w:fill="auto"/>
          </w:tcPr>
          <w:p w14:paraId="6E64D388"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2D13F64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617</w:t>
            </w:r>
          </w:p>
        </w:tc>
        <w:tc>
          <w:tcPr>
            <w:tcW w:w="1706" w:type="dxa"/>
            <w:shd w:val="clear" w:color="auto" w:fill="auto"/>
          </w:tcPr>
          <w:p w14:paraId="71DADA2D"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582</w:t>
            </w:r>
          </w:p>
        </w:tc>
      </w:tr>
      <w:tr w:rsidR="0011018E" w:rsidRPr="00870270" w14:paraId="7114E94B" w14:textId="77777777" w:rsidTr="00870270">
        <w:tc>
          <w:tcPr>
            <w:tcW w:w="1705" w:type="dxa"/>
            <w:shd w:val="clear" w:color="auto" w:fill="auto"/>
          </w:tcPr>
          <w:p w14:paraId="7B6358E6"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705" w:type="dxa"/>
            <w:shd w:val="clear" w:color="auto" w:fill="auto"/>
          </w:tcPr>
          <w:p w14:paraId="2D565CE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1444</w:t>
            </w:r>
          </w:p>
        </w:tc>
        <w:tc>
          <w:tcPr>
            <w:tcW w:w="1706" w:type="dxa"/>
            <w:shd w:val="clear" w:color="auto" w:fill="auto"/>
          </w:tcPr>
          <w:p w14:paraId="6535D7D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659</w:t>
            </w:r>
          </w:p>
        </w:tc>
        <w:tc>
          <w:tcPr>
            <w:tcW w:w="1706" w:type="dxa"/>
            <w:shd w:val="clear" w:color="auto" w:fill="auto"/>
          </w:tcPr>
          <w:p w14:paraId="5DA5299E"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515</w:t>
            </w:r>
          </w:p>
        </w:tc>
        <w:tc>
          <w:tcPr>
            <w:tcW w:w="1706" w:type="dxa"/>
            <w:shd w:val="clear" w:color="auto" w:fill="auto"/>
          </w:tcPr>
          <w:p w14:paraId="243A712F"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270</w:t>
            </w:r>
          </w:p>
        </w:tc>
      </w:tr>
      <w:tr w:rsidR="009E6FE8" w:rsidRPr="00870270" w14:paraId="1E4D4DB5" w14:textId="77777777" w:rsidTr="00870270">
        <w:tc>
          <w:tcPr>
            <w:tcW w:w="1705" w:type="dxa"/>
            <w:shd w:val="clear" w:color="auto" w:fill="000000"/>
          </w:tcPr>
          <w:p w14:paraId="4A46DE8D"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705" w:type="dxa"/>
            <w:shd w:val="clear" w:color="auto" w:fill="000000"/>
          </w:tcPr>
          <w:p w14:paraId="1BD4AE40"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3260</w:t>
            </w:r>
          </w:p>
        </w:tc>
        <w:tc>
          <w:tcPr>
            <w:tcW w:w="1706" w:type="dxa"/>
            <w:shd w:val="clear" w:color="auto" w:fill="000000"/>
          </w:tcPr>
          <w:p w14:paraId="492D9DB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1276</w:t>
            </w:r>
          </w:p>
        </w:tc>
        <w:tc>
          <w:tcPr>
            <w:tcW w:w="1706" w:type="dxa"/>
            <w:shd w:val="clear" w:color="auto" w:fill="000000"/>
          </w:tcPr>
          <w:p w14:paraId="76089F31"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1132</w:t>
            </w:r>
          </w:p>
        </w:tc>
        <w:tc>
          <w:tcPr>
            <w:tcW w:w="1706" w:type="dxa"/>
            <w:shd w:val="clear" w:color="auto" w:fill="000000"/>
          </w:tcPr>
          <w:p w14:paraId="43D0049A"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852</w:t>
            </w:r>
          </w:p>
        </w:tc>
      </w:tr>
    </w:tbl>
    <w:p w14:paraId="16AAD05B" w14:textId="77777777" w:rsidR="0011018E" w:rsidRDefault="0011018E" w:rsidP="0011018E">
      <w:pPr>
        <w:jc w:val="both"/>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617"/>
        <w:gridCol w:w="1697"/>
        <w:gridCol w:w="1697"/>
        <w:gridCol w:w="1475"/>
      </w:tblGrid>
      <w:tr w:rsidR="0011018E" w:rsidRPr="00870270" w14:paraId="26D39C8B" w14:textId="77777777" w:rsidTr="00870270">
        <w:tc>
          <w:tcPr>
            <w:tcW w:w="1816" w:type="dxa"/>
            <w:shd w:val="clear" w:color="auto" w:fill="000000"/>
          </w:tcPr>
          <w:p w14:paraId="3207DDFE" w14:textId="77777777" w:rsidR="0011018E" w:rsidRPr="00870270" w:rsidRDefault="009E6FE8" w:rsidP="00870270">
            <w:pPr>
              <w:spacing w:before="120"/>
              <w:jc w:val="center"/>
              <w:rPr>
                <w:rFonts w:ascii="Arial" w:hAnsi="Arial" w:cs="Arial"/>
                <w:b/>
                <w:bCs/>
                <w:color w:val="FFFFFF"/>
                <w:szCs w:val="32"/>
              </w:rPr>
            </w:pPr>
            <w:r w:rsidRPr="00870270">
              <w:rPr>
                <w:rFonts w:ascii="Arial" w:hAnsi="Arial" w:cs="Arial"/>
                <w:b/>
                <w:bCs/>
                <w:color w:val="FFFFFF"/>
                <w:szCs w:val="32"/>
              </w:rPr>
              <w:t>2020/21</w:t>
            </w:r>
          </w:p>
        </w:tc>
        <w:tc>
          <w:tcPr>
            <w:tcW w:w="1676" w:type="dxa"/>
            <w:shd w:val="clear" w:color="auto" w:fill="auto"/>
          </w:tcPr>
          <w:p w14:paraId="72DC362F"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CCs CONDUCTED</w:t>
            </w:r>
          </w:p>
        </w:tc>
        <w:tc>
          <w:tcPr>
            <w:tcW w:w="1703" w:type="dxa"/>
            <w:shd w:val="clear" w:color="auto" w:fill="auto"/>
          </w:tcPr>
          <w:p w14:paraId="05178BE9" w14:textId="77777777" w:rsidR="0011018E" w:rsidRPr="00870270" w:rsidRDefault="0011018E" w:rsidP="00870270">
            <w:pPr>
              <w:spacing w:before="120"/>
              <w:jc w:val="both"/>
              <w:rPr>
                <w:rFonts w:ascii="Arial" w:hAnsi="Arial" w:cs="Arial"/>
                <w:b/>
                <w:bCs/>
                <w:color w:val="000000"/>
                <w:sz w:val="20"/>
              </w:rPr>
            </w:pPr>
            <w:r w:rsidRPr="00870270">
              <w:rPr>
                <w:rFonts w:ascii="Arial" w:hAnsi="Arial" w:cs="Arial"/>
                <w:b/>
                <w:bCs/>
                <w:color w:val="000000"/>
                <w:sz w:val="20"/>
              </w:rPr>
              <w:t>SETTLEMENTS</w:t>
            </w:r>
          </w:p>
        </w:tc>
        <w:tc>
          <w:tcPr>
            <w:tcW w:w="1703" w:type="dxa"/>
            <w:shd w:val="clear" w:color="auto" w:fill="auto"/>
          </w:tcPr>
          <w:p w14:paraId="735F0D3C" w14:textId="77777777" w:rsidR="0011018E" w:rsidRPr="00870270" w:rsidRDefault="0011018E" w:rsidP="00870270">
            <w:pPr>
              <w:spacing w:before="40"/>
              <w:jc w:val="center"/>
              <w:rPr>
                <w:rFonts w:ascii="Arial" w:hAnsi="Arial" w:cs="Arial"/>
                <w:b/>
                <w:bCs/>
                <w:color w:val="000000"/>
                <w:sz w:val="20"/>
              </w:rPr>
            </w:pPr>
            <w:r w:rsidRPr="00870270">
              <w:rPr>
                <w:rFonts w:ascii="Arial" w:hAnsi="Arial" w:cs="Arial"/>
                <w:b/>
                <w:bCs/>
                <w:color w:val="000000"/>
                <w:sz w:val="20"/>
              </w:rPr>
              <w:t>PARTIAL SETTLEMENTS</w:t>
            </w:r>
          </w:p>
        </w:tc>
        <w:tc>
          <w:tcPr>
            <w:tcW w:w="1630" w:type="dxa"/>
            <w:shd w:val="clear" w:color="auto" w:fill="auto"/>
          </w:tcPr>
          <w:p w14:paraId="208B9B5A" w14:textId="77777777" w:rsidR="0011018E" w:rsidRPr="00870270" w:rsidRDefault="0011018E" w:rsidP="00870270">
            <w:pPr>
              <w:jc w:val="center"/>
              <w:rPr>
                <w:rFonts w:ascii="Arial" w:hAnsi="Arial" w:cs="Arial"/>
                <w:b/>
                <w:bCs/>
                <w:color w:val="000000"/>
                <w:sz w:val="16"/>
                <w:szCs w:val="20"/>
              </w:rPr>
            </w:pPr>
            <w:r w:rsidRPr="00870270">
              <w:rPr>
                <w:rFonts w:ascii="Arial" w:hAnsi="Arial" w:cs="Arial"/>
                <w:b/>
                <w:bCs/>
                <w:color w:val="000000"/>
                <w:sz w:val="16"/>
                <w:szCs w:val="20"/>
              </w:rPr>
              <w:t xml:space="preserve">CCs LEADING TO </w:t>
            </w:r>
            <w:r w:rsidR="009E6FE8" w:rsidRPr="00870270">
              <w:rPr>
                <w:rFonts w:ascii="Arial" w:hAnsi="Arial" w:cs="Arial"/>
                <w:b/>
                <w:bCs/>
                <w:color w:val="000000"/>
                <w:sz w:val="16"/>
                <w:szCs w:val="20"/>
              </w:rPr>
              <w:t>READINESS</w:t>
            </w:r>
            <w:r w:rsidRPr="00870270">
              <w:rPr>
                <w:rFonts w:ascii="Arial" w:hAnsi="Arial" w:cs="Arial"/>
                <w:b/>
                <w:bCs/>
                <w:color w:val="000000"/>
                <w:sz w:val="16"/>
                <w:szCs w:val="20"/>
              </w:rPr>
              <w:t xml:space="preserve"> HEARINGS</w:t>
            </w:r>
          </w:p>
        </w:tc>
      </w:tr>
      <w:tr w:rsidR="0011018E" w:rsidRPr="00870270" w14:paraId="67707016" w14:textId="77777777" w:rsidTr="00870270">
        <w:tc>
          <w:tcPr>
            <w:tcW w:w="1816" w:type="dxa"/>
            <w:shd w:val="clear" w:color="auto" w:fill="auto"/>
          </w:tcPr>
          <w:p w14:paraId="1F2959F6" w14:textId="77777777" w:rsidR="0011018E" w:rsidRPr="00870270" w:rsidRDefault="009E6FE8" w:rsidP="00870270">
            <w:pPr>
              <w:jc w:val="center"/>
              <w:rPr>
                <w:rFonts w:ascii="Arial" w:hAnsi="Arial" w:cs="Arial"/>
                <w:b/>
                <w:bCs/>
                <w:color w:val="000000"/>
                <w:sz w:val="20"/>
              </w:rPr>
            </w:pPr>
            <w:r w:rsidRPr="00870270">
              <w:rPr>
                <w:rFonts w:ascii="Arial" w:hAnsi="Arial" w:cs="Arial"/>
                <w:b/>
                <w:bCs/>
                <w:color w:val="000000"/>
                <w:sz w:val="20"/>
              </w:rPr>
              <w:t>METROPOLITAN</w:t>
            </w:r>
          </w:p>
        </w:tc>
        <w:tc>
          <w:tcPr>
            <w:tcW w:w="1676" w:type="dxa"/>
            <w:shd w:val="clear" w:color="auto" w:fill="auto"/>
          </w:tcPr>
          <w:p w14:paraId="106D0790"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1628</w:t>
            </w:r>
          </w:p>
        </w:tc>
        <w:tc>
          <w:tcPr>
            <w:tcW w:w="1703" w:type="dxa"/>
            <w:shd w:val="clear" w:color="auto" w:fill="auto"/>
          </w:tcPr>
          <w:p w14:paraId="41C7E6F2"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c>
          <w:tcPr>
            <w:tcW w:w="1703" w:type="dxa"/>
            <w:shd w:val="clear" w:color="auto" w:fill="auto"/>
          </w:tcPr>
          <w:p w14:paraId="2CF39E4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554</w:t>
            </w:r>
          </w:p>
        </w:tc>
        <w:tc>
          <w:tcPr>
            <w:tcW w:w="1630" w:type="dxa"/>
            <w:shd w:val="clear" w:color="auto" w:fill="auto"/>
          </w:tcPr>
          <w:p w14:paraId="190B7411"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537</w:t>
            </w:r>
          </w:p>
        </w:tc>
      </w:tr>
      <w:tr w:rsidR="0011018E" w:rsidRPr="00870270" w14:paraId="3FFC0D32" w14:textId="77777777" w:rsidTr="00870270">
        <w:tc>
          <w:tcPr>
            <w:tcW w:w="1816" w:type="dxa"/>
            <w:shd w:val="clear" w:color="auto" w:fill="auto"/>
          </w:tcPr>
          <w:p w14:paraId="5F88F9DF" w14:textId="77777777" w:rsidR="0011018E" w:rsidRPr="00870270" w:rsidRDefault="0011018E" w:rsidP="00870270">
            <w:pPr>
              <w:jc w:val="center"/>
              <w:rPr>
                <w:rFonts w:ascii="Arial" w:hAnsi="Arial" w:cs="Arial"/>
                <w:b/>
                <w:bCs/>
                <w:color w:val="000000"/>
                <w:sz w:val="20"/>
              </w:rPr>
            </w:pPr>
            <w:r w:rsidRPr="00870270">
              <w:rPr>
                <w:rFonts w:ascii="Arial" w:hAnsi="Arial" w:cs="Arial"/>
                <w:b/>
                <w:bCs/>
                <w:color w:val="000000"/>
                <w:sz w:val="20"/>
              </w:rPr>
              <w:t>REGIONAL</w:t>
            </w:r>
          </w:p>
        </w:tc>
        <w:tc>
          <w:tcPr>
            <w:tcW w:w="1676" w:type="dxa"/>
            <w:shd w:val="clear" w:color="auto" w:fill="auto"/>
          </w:tcPr>
          <w:p w14:paraId="24E6BFD9"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1360</w:t>
            </w:r>
          </w:p>
        </w:tc>
        <w:tc>
          <w:tcPr>
            <w:tcW w:w="1703" w:type="dxa"/>
            <w:shd w:val="clear" w:color="auto" w:fill="auto"/>
          </w:tcPr>
          <w:p w14:paraId="435AA785"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653</w:t>
            </w:r>
          </w:p>
        </w:tc>
        <w:tc>
          <w:tcPr>
            <w:tcW w:w="1703" w:type="dxa"/>
            <w:shd w:val="clear" w:color="auto" w:fill="auto"/>
          </w:tcPr>
          <w:p w14:paraId="07D9824B"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394</w:t>
            </w:r>
          </w:p>
        </w:tc>
        <w:tc>
          <w:tcPr>
            <w:tcW w:w="1630" w:type="dxa"/>
            <w:shd w:val="clear" w:color="auto" w:fill="auto"/>
          </w:tcPr>
          <w:p w14:paraId="3E683D14" w14:textId="77777777" w:rsidR="0011018E" w:rsidRPr="00870270" w:rsidRDefault="009E6FE8" w:rsidP="00870270">
            <w:pPr>
              <w:jc w:val="center"/>
              <w:rPr>
                <w:rFonts w:ascii="Arial" w:hAnsi="Arial" w:cs="Arial"/>
                <w:color w:val="000000"/>
                <w:sz w:val="20"/>
              </w:rPr>
            </w:pPr>
            <w:r w:rsidRPr="00870270">
              <w:rPr>
                <w:rFonts w:ascii="Arial" w:hAnsi="Arial" w:cs="Arial"/>
                <w:color w:val="000000"/>
                <w:sz w:val="20"/>
              </w:rPr>
              <w:t>313</w:t>
            </w:r>
          </w:p>
        </w:tc>
      </w:tr>
      <w:tr w:rsidR="009E6FE8" w:rsidRPr="00870270" w14:paraId="712B43E4" w14:textId="77777777" w:rsidTr="00870270">
        <w:tc>
          <w:tcPr>
            <w:tcW w:w="1816" w:type="dxa"/>
            <w:shd w:val="clear" w:color="auto" w:fill="000000"/>
          </w:tcPr>
          <w:p w14:paraId="43930457"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TOTAL</w:t>
            </w:r>
          </w:p>
        </w:tc>
        <w:tc>
          <w:tcPr>
            <w:tcW w:w="1676" w:type="dxa"/>
            <w:shd w:val="clear" w:color="auto" w:fill="000000"/>
          </w:tcPr>
          <w:p w14:paraId="7A1A5AE3"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2988</w:t>
            </w:r>
          </w:p>
        </w:tc>
        <w:tc>
          <w:tcPr>
            <w:tcW w:w="1703" w:type="dxa"/>
            <w:shd w:val="clear" w:color="auto" w:fill="000000"/>
          </w:tcPr>
          <w:p w14:paraId="601DBC23" w14:textId="77777777" w:rsidR="0011018E" w:rsidRPr="00870270" w:rsidRDefault="0011018E" w:rsidP="00870270">
            <w:pPr>
              <w:jc w:val="center"/>
              <w:rPr>
                <w:rFonts w:ascii="Arial" w:hAnsi="Arial" w:cs="Arial"/>
                <w:b/>
                <w:bCs/>
                <w:color w:val="FFFFFF"/>
                <w:sz w:val="20"/>
              </w:rPr>
            </w:pPr>
            <w:r w:rsidRPr="00870270">
              <w:rPr>
                <w:rFonts w:ascii="Arial" w:hAnsi="Arial" w:cs="Arial"/>
                <w:b/>
                <w:bCs/>
                <w:color w:val="FFFFFF"/>
                <w:sz w:val="20"/>
              </w:rPr>
              <w:t>1</w:t>
            </w:r>
            <w:r w:rsidR="009E6FE8" w:rsidRPr="00870270">
              <w:rPr>
                <w:rFonts w:ascii="Arial" w:hAnsi="Arial" w:cs="Arial"/>
                <w:b/>
                <w:bCs/>
                <w:color w:val="FFFFFF"/>
                <w:sz w:val="20"/>
              </w:rPr>
              <w:t>190</w:t>
            </w:r>
          </w:p>
        </w:tc>
        <w:tc>
          <w:tcPr>
            <w:tcW w:w="1703" w:type="dxa"/>
            <w:shd w:val="clear" w:color="auto" w:fill="000000"/>
          </w:tcPr>
          <w:p w14:paraId="6FC76659"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948</w:t>
            </w:r>
          </w:p>
        </w:tc>
        <w:tc>
          <w:tcPr>
            <w:tcW w:w="1630" w:type="dxa"/>
            <w:shd w:val="clear" w:color="auto" w:fill="000000"/>
          </w:tcPr>
          <w:p w14:paraId="4FAE6A27" w14:textId="77777777" w:rsidR="0011018E" w:rsidRPr="00870270" w:rsidRDefault="009E6FE8" w:rsidP="00870270">
            <w:pPr>
              <w:jc w:val="center"/>
              <w:rPr>
                <w:rFonts w:ascii="Arial" w:hAnsi="Arial" w:cs="Arial"/>
                <w:b/>
                <w:bCs/>
                <w:color w:val="FFFFFF"/>
                <w:sz w:val="20"/>
              </w:rPr>
            </w:pPr>
            <w:r w:rsidRPr="00870270">
              <w:rPr>
                <w:rFonts w:ascii="Arial" w:hAnsi="Arial" w:cs="Arial"/>
                <w:b/>
                <w:bCs/>
                <w:color w:val="FFFFFF"/>
                <w:sz w:val="20"/>
              </w:rPr>
              <w:t>850</w:t>
            </w:r>
          </w:p>
        </w:tc>
      </w:tr>
    </w:tbl>
    <w:p w14:paraId="4988D952" w14:textId="3E4EC54C" w:rsidR="00CF31FB" w:rsidRDefault="00CF31FB" w:rsidP="00CF31FB">
      <w:pPr>
        <w:jc w:val="both"/>
        <w:rPr>
          <w:rFonts w:ascii="Arial" w:hAnsi="Arial" w:cs="Arial"/>
          <w:color w:val="000000"/>
          <w:sz w:val="20"/>
        </w:rPr>
      </w:pPr>
    </w:p>
    <w:p w14:paraId="6EF3D437" w14:textId="56CF3305" w:rsidR="00CF31FB" w:rsidRDefault="00CF31FB" w:rsidP="00CF31FB">
      <w:pPr>
        <w:spacing w:after="120"/>
        <w:jc w:val="both"/>
        <w:rPr>
          <w:rFonts w:ascii="Arial" w:hAnsi="Arial" w:cs="Arial"/>
          <w:color w:val="000000"/>
          <w:sz w:val="20"/>
        </w:rPr>
      </w:pPr>
      <w:r>
        <w:rPr>
          <w:rFonts w:ascii="Arial" w:hAnsi="Arial" w:cs="Arial"/>
          <w:color w:val="000000"/>
          <w:sz w:val="20"/>
        </w:rPr>
        <w:t xml:space="preserve">State-wide conciliation conferences outcomes </w:t>
      </w:r>
      <w:r w:rsidR="00522630">
        <w:rPr>
          <w:rFonts w:ascii="Arial" w:hAnsi="Arial" w:cs="Arial"/>
          <w:color w:val="000000"/>
          <w:sz w:val="20"/>
        </w:rPr>
        <w:t>we</w:t>
      </w:r>
      <w:r>
        <w:rPr>
          <w:rFonts w:ascii="Arial" w:hAnsi="Arial" w:cs="Arial"/>
          <w:color w:val="000000"/>
          <w:sz w:val="20"/>
        </w:rPr>
        <w:t>re as follows:</w:t>
      </w:r>
    </w:p>
    <w:tbl>
      <w:tblPr>
        <w:tblStyle w:val="TableGrid"/>
        <w:tblW w:w="0" w:type="auto"/>
        <w:tblLook w:val="04A0" w:firstRow="1" w:lastRow="0" w:firstColumn="1" w:lastColumn="0" w:noHBand="0" w:noVBand="1"/>
      </w:tblPr>
      <w:tblGrid>
        <w:gridCol w:w="2034"/>
        <w:gridCol w:w="2100"/>
        <w:gridCol w:w="2084"/>
        <w:gridCol w:w="2084"/>
      </w:tblGrid>
      <w:tr w:rsidR="00CF31FB" w14:paraId="5F4B336E" w14:textId="77777777" w:rsidTr="000142BA">
        <w:tc>
          <w:tcPr>
            <w:tcW w:w="2132" w:type="dxa"/>
            <w:tcBorders>
              <w:bottom w:val="single" w:sz="4" w:space="0" w:color="FFFFFF" w:themeColor="background1"/>
            </w:tcBorders>
            <w:shd w:val="clear" w:color="auto" w:fill="000000" w:themeFill="text1"/>
          </w:tcPr>
          <w:p w14:paraId="6BCCC084" w14:textId="77777777" w:rsidR="00CF31FB" w:rsidRDefault="00CF31FB" w:rsidP="00CF31FB">
            <w:pPr>
              <w:jc w:val="center"/>
              <w:rPr>
                <w:rFonts w:ascii="Arial" w:hAnsi="Arial" w:cs="Arial"/>
                <w:color w:val="000000"/>
                <w:sz w:val="20"/>
              </w:rPr>
            </w:pPr>
          </w:p>
        </w:tc>
        <w:tc>
          <w:tcPr>
            <w:tcW w:w="2132" w:type="dxa"/>
            <w:shd w:val="clear" w:color="auto" w:fill="000000" w:themeFill="text1"/>
          </w:tcPr>
          <w:p w14:paraId="29026697" w14:textId="184CBE2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CONFERENCES CONDUCTED</w:t>
            </w:r>
          </w:p>
        </w:tc>
        <w:tc>
          <w:tcPr>
            <w:tcW w:w="2132" w:type="dxa"/>
            <w:shd w:val="clear" w:color="auto" w:fill="000000" w:themeFill="text1"/>
          </w:tcPr>
          <w:p w14:paraId="5401F1CD" w14:textId="77777777"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FULL SETTLEMENT</w:t>
            </w:r>
          </w:p>
          <w:p w14:paraId="5C267237" w14:textId="7DDC616D" w:rsidR="000142BA"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ACHIEVED</w:t>
            </w:r>
          </w:p>
        </w:tc>
        <w:tc>
          <w:tcPr>
            <w:tcW w:w="2132" w:type="dxa"/>
            <w:shd w:val="clear" w:color="auto" w:fill="000000" w:themeFill="text1"/>
          </w:tcPr>
          <w:p w14:paraId="49F88D22" w14:textId="7B6B81BE" w:rsidR="00CF31FB" w:rsidRPr="000142BA" w:rsidRDefault="000142BA" w:rsidP="000142BA">
            <w:pPr>
              <w:jc w:val="center"/>
              <w:rPr>
                <w:rFonts w:ascii="Arial" w:hAnsi="Arial" w:cs="Arial"/>
                <w:b/>
                <w:bCs/>
                <w:color w:val="FFFFFF" w:themeColor="background1"/>
                <w:sz w:val="20"/>
              </w:rPr>
            </w:pPr>
            <w:r w:rsidRPr="000142BA">
              <w:rPr>
                <w:rFonts w:ascii="Arial" w:hAnsi="Arial" w:cs="Arial"/>
                <w:b/>
                <w:bCs/>
                <w:color w:val="FFFFFF" w:themeColor="background1"/>
                <w:sz w:val="20"/>
              </w:rPr>
              <w:t>SETTLEMENT RATE</w:t>
            </w:r>
          </w:p>
        </w:tc>
      </w:tr>
      <w:tr w:rsidR="00CF31FB" w14:paraId="31E9AD14" w14:textId="77777777" w:rsidTr="000142BA">
        <w:tc>
          <w:tcPr>
            <w:tcW w:w="21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6300FA3F" w14:textId="3151D556" w:rsidR="00CF31FB" w:rsidRPr="00CF31FB" w:rsidRDefault="00CF31FB" w:rsidP="00CF31FB">
            <w:pPr>
              <w:jc w:val="center"/>
              <w:rPr>
                <w:rFonts w:ascii="Arial" w:hAnsi="Arial" w:cs="Arial"/>
                <w:b/>
                <w:bCs/>
                <w:color w:val="FFFFFF" w:themeColor="background1"/>
                <w:sz w:val="20"/>
              </w:rPr>
            </w:pPr>
            <w:r w:rsidRPr="00CF31FB">
              <w:rPr>
                <w:rFonts w:ascii="Arial" w:hAnsi="Arial" w:cs="Arial"/>
                <w:b/>
                <w:bCs/>
                <w:color w:val="FFFFFF" w:themeColor="background1"/>
                <w:sz w:val="20"/>
              </w:rPr>
              <w:t>2019/20</w:t>
            </w:r>
          </w:p>
        </w:tc>
        <w:tc>
          <w:tcPr>
            <w:tcW w:w="2132" w:type="dxa"/>
            <w:tcBorders>
              <w:left w:val="single" w:sz="4" w:space="0" w:color="FFFFFF" w:themeColor="background1"/>
            </w:tcBorders>
          </w:tcPr>
          <w:p w14:paraId="378D2352" w14:textId="094FB79F" w:rsidR="00CF31FB" w:rsidRDefault="000142BA" w:rsidP="000142BA">
            <w:pPr>
              <w:jc w:val="center"/>
              <w:rPr>
                <w:rFonts w:ascii="Arial" w:hAnsi="Arial" w:cs="Arial"/>
                <w:color w:val="000000"/>
                <w:sz w:val="20"/>
              </w:rPr>
            </w:pPr>
            <w:r>
              <w:rPr>
                <w:rFonts w:ascii="Arial" w:hAnsi="Arial" w:cs="Arial"/>
                <w:color w:val="000000"/>
                <w:sz w:val="20"/>
              </w:rPr>
              <w:t>3260</w:t>
            </w:r>
          </w:p>
        </w:tc>
        <w:tc>
          <w:tcPr>
            <w:tcW w:w="2132" w:type="dxa"/>
          </w:tcPr>
          <w:p w14:paraId="3C90D1DD" w14:textId="61209CFE" w:rsidR="00CF31FB" w:rsidRDefault="000142BA" w:rsidP="000142BA">
            <w:pPr>
              <w:jc w:val="center"/>
              <w:rPr>
                <w:rFonts w:ascii="Arial" w:hAnsi="Arial" w:cs="Arial"/>
                <w:color w:val="000000"/>
                <w:sz w:val="20"/>
              </w:rPr>
            </w:pPr>
            <w:r>
              <w:rPr>
                <w:rFonts w:ascii="Arial" w:hAnsi="Arial" w:cs="Arial"/>
                <w:color w:val="000000"/>
                <w:sz w:val="20"/>
              </w:rPr>
              <w:t>1276</w:t>
            </w:r>
          </w:p>
        </w:tc>
        <w:tc>
          <w:tcPr>
            <w:tcW w:w="2132" w:type="dxa"/>
          </w:tcPr>
          <w:p w14:paraId="1ACFD34B" w14:textId="096AD639" w:rsidR="00CF31FB" w:rsidRDefault="000142BA" w:rsidP="000142BA">
            <w:pPr>
              <w:jc w:val="center"/>
              <w:rPr>
                <w:rFonts w:ascii="Arial" w:hAnsi="Arial" w:cs="Arial"/>
                <w:color w:val="000000"/>
                <w:sz w:val="20"/>
              </w:rPr>
            </w:pPr>
            <w:r>
              <w:rPr>
                <w:rFonts w:ascii="Arial" w:hAnsi="Arial" w:cs="Arial"/>
                <w:color w:val="000000"/>
                <w:sz w:val="20"/>
              </w:rPr>
              <w:t>39%</w:t>
            </w:r>
          </w:p>
        </w:tc>
      </w:tr>
      <w:tr w:rsidR="000142BA" w14:paraId="2D2C9764" w14:textId="77777777" w:rsidTr="000142BA">
        <w:tc>
          <w:tcPr>
            <w:tcW w:w="2132" w:type="dxa"/>
            <w:vMerge w:val="restart"/>
            <w:tcBorders>
              <w:top w:val="nil"/>
            </w:tcBorders>
            <w:shd w:val="clear" w:color="auto" w:fill="000000" w:themeFill="text1"/>
          </w:tcPr>
          <w:p w14:paraId="6CA1A105" w14:textId="61CE893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2020/21</w:t>
            </w:r>
          </w:p>
        </w:tc>
        <w:tc>
          <w:tcPr>
            <w:tcW w:w="2132" w:type="dxa"/>
          </w:tcPr>
          <w:p w14:paraId="0FAB24F8" w14:textId="7E58D26B" w:rsidR="000142BA" w:rsidRDefault="000142BA" w:rsidP="000142BA">
            <w:pPr>
              <w:jc w:val="center"/>
              <w:rPr>
                <w:rFonts w:ascii="Arial" w:hAnsi="Arial" w:cs="Arial"/>
                <w:color w:val="000000"/>
                <w:sz w:val="20"/>
              </w:rPr>
            </w:pPr>
            <w:r>
              <w:rPr>
                <w:rFonts w:ascii="Arial" w:hAnsi="Arial" w:cs="Arial"/>
                <w:color w:val="000000"/>
                <w:sz w:val="20"/>
              </w:rPr>
              <w:t>2988</w:t>
            </w:r>
          </w:p>
        </w:tc>
        <w:tc>
          <w:tcPr>
            <w:tcW w:w="2132" w:type="dxa"/>
          </w:tcPr>
          <w:p w14:paraId="33B60427" w14:textId="42E28FC5" w:rsidR="000142BA" w:rsidRDefault="000142BA" w:rsidP="000142BA">
            <w:pPr>
              <w:jc w:val="center"/>
              <w:rPr>
                <w:rFonts w:ascii="Arial" w:hAnsi="Arial" w:cs="Arial"/>
                <w:color w:val="000000"/>
                <w:sz w:val="20"/>
              </w:rPr>
            </w:pPr>
            <w:r>
              <w:rPr>
                <w:rFonts w:ascii="Arial" w:hAnsi="Arial" w:cs="Arial"/>
                <w:color w:val="000000"/>
                <w:sz w:val="20"/>
              </w:rPr>
              <w:t>1190</w:t>
            </w:r>
          </w:p>
        </w:tc>
        <w:tc>
          <w:tcPr>
            <w:tcW w:w="2132" w:type="dxa"/>
          </w:tcPr>
          <w:p w14:paraId="68CA1FA3" w14:textId="0D6000D2" w:rsidR="000142BA" w:rsidRDefault="000142BA" w:rsidP="000142BA">
            <w:pPr>
              <w:jc w:val="center"/>
              <w:rPr>
                <w:rFonts w:ascii="Arial" w:hAnsi="Arial" w:cs="Arial"/>
                <w:color w:val="000000"/>
                <w:sz w:val="20"/>
              </w:rPr>
            </w:pPr>
            <w:r>
              <w:rPr>
                <w:rFonts w:ascii="Arial" w:hAnsi="Arial" w:cs="Arial"/>
                <w:color w:val="000000"/>
                <w:sz w:val="20"/>
              </w:rPr>
              <w:t>40%</w:t>
            </w:r>
          </w:p>
        </w:tc>
      </w:tr>
      <w:tr w:rsidR="000142BA" w14:paraId="57B50412" w14:textId="77777777" w:rsidTr="000142BA">
        <w:tc>
          <w:tcPr>
            <w:tcW w:w="2132" w:type="dxa"/>
            <w:vMerge/>
            <w:shd w:val="clear" w:color="auto" w:fill="000000" w:themeFill="text1"/>
          </w:tcPr>
          <w:p w14:paraId="4D34B7A9"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BF4C1A0" w14:textId="41E64BF4"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All CCs in this reporting period were conducted online with families being supported by the Court to participate using online hearing software.  Over 20,000 people participated in 2,988 CCs state-wide.</w:t>
            </w:r>
          </w:p>
        </w:tc>
      </w:tr>
      <w:tr w:rsidR="000142BA" w14:paraId="49742EF1" w14:textId="77777777" w:rsidTr="00CF31FB">
        <w:tc>
          <w:tcPr>
            <w:tcW w:w="2132" w:type="dxa"/>
            <w:vMerge w:val="restart"/>
            <w:shd w:val="clear" w:color="auto" w:fill="000000" w:themeFill="text1"/>
          </w:tcPr>
          <w:p w14:paraId="74B378FA" w14:textId="4FF2D5E9" w:rsidR="000142BA" w:rsidRPr="000142BA" w:rsidRDefault="000142BA" w:rsidP="00CF31FB">
            <w:pPr>
              <w:jc w:val="center"/>
              <w:rPr>
                <w:rFonts w:ascii="Arial" w:hAnsi="Arial" w:cs="Arial"/>
                <w:b/>
                <w:bCs/>
                <w:color w:val="FFFFFF" w:themeColor="background1"/>
                <w:sz w:val="20"/>
              </w:rPr>
            </w:pPr>
            <w:r w:rsidRPr="000142BA">
              <w:rPr>
                <w:rFonts w:ascii="Arial" w:hAnsi="Arial" w:cs="Arial"/>
                <w:b/>
                <w:bCs/>
                <w:color w:val="FFFFFF" w:themeColor="background1"/>
                <w:sz w:val="20"/>
              </w:rPr>
              <w:t>2021/22</w:t>
            </w:r>
          </w:p>
        </w:tc>
        <w:tc>
          <w:tcPr>
            <w:tcW w:w="2132" w:type="dxa"/>
          </w:tcPr>
          <w:p w14:paraId="24350AC1" w14:textId="7385CEE1" w:rsidR="000142BA" w:rsidRDefault="000142BA" w:rsidP="000142BA">
            <w:pPr>
              <w:jc w:val="center"/>
              <w:rPr>
                <w:rFonts w:ascii="Arial" w:hAnsi="Arial" w:cs="Arial"/>
                <w:color w:val="000000"/>
                <w:sz w:val="20"/>
              </w:rPr>
            </w:pPr>
            <w:r>
              <w:rPr>
                <w:rFonts w:ascii="Arial" w:hAnsi="Arial" w:cs="Arial"/>
                <w:color w:val="000000"/>
                <w:sz w:val="20"/>
              </w:rPr>
              <w:t>3170</w:t>
            </w:r>
          </w:p>
        </w:tc>
        <w:tc>
          <w:tcPr>
            <w:tcW w:w="2132" w:type="dxa"/>
          </w:tcPr>
          <w:p w14:paraId="21EA5260" w14:textId="22EF0F8F" w:rsidR="000142BA" w:rsidRDefault="000142BA" w:rsidP="000142BA">
            <w:pPr>
              <w:jc w:val="center"/>
              <w:rPr>
                <w:rFonts w:ascii="Arial" w:hAnsi="Arial" w:cs="Arial"/>
                <w:color w:val="000000"/>
                <w:sz w:val="20"/>
              </w:rPr>
            </w:pPr>
            <w:r>
              <w:rPr>
                <w:rFonts w:ascii="Arial" w:hAnsi="Arial" w:cs="Arial"/>
                <w:color w:val="000000"/>
                <w:sz w:val="20"/>
              </w:rPr>
              <w:t>1332</w:t>
            </w:r>
          </w:p>
        </w:tc>
        <w:tc>
          <w:tcPr>
            <w:tcW w:w="2132" w:type="dxa"/>
          </w:tcPr>
          <w:p w14:paraId="3566F28F" w14:textId="7A08D0F3" w:rsidR="000142BA" w:rsidRDefault="000142BA" w:rsidP="000142BA">
            <w:pPr>
              <w:jc w:val="center"/>
              <w:rPr>
                <w:rFonts w:ascii="Arial" w:hAnsi="Arial" w:cs="Arial"/>
                <w:color w:val="000000"/>
                <w:sz w:val="20"/>
              </w:rPr>
            </w:pPr>
            <w:r>
              <w:rPr>
                <w:rFonts w:ascii="Arial" w:hAnsi="Arial" w:cs="Arial"/>
                <w:color w:val="000000"/>
                <w:sz w:val="20"/>
              </w:rPr>
              <w:t>42%</w:t>
            </w:r>
          </w:p>
        </w:tc>
      </w:tr>
      <w:tr w:rsidR="000142BA" w14:paraId="15232C62" w14:textId="77777777" w:rsidTr="000142BA">
        <w:tc>
          <w:tcPr>
            <w:tcW w:w="2132" w:type="dxa"/>
            <w:vMerge/>
            <w:shd w:val="clear" w:color="auto" w:fill="000000" w:themeFill="text1"/>
          </w:tcPr>
          <w:p w14:paraId="4C22F91A" w14:textId="77777777" w:rsidR="000142BA" w:rsidRPr="000142BA" w:rsidRDefault="000142BA" w:rsidP="00CF31FB">
            <w:pPr>
              <w:jc w:val="center"/>
              <w:rPr>
                <w:rFonts w:ascii="Arial" w:hAnsi="Arial" w:cs="Arial"/>
                <w:b/>
                <w:bCs/>
                <w:color w:val="FFFFFF" w:themeColor="background1"/>
                <w:sz w:val="20"/>
              </w:rPr>
            </w:pPr>
          </w:p>
        </w:tc>
        <w:tc>
          <w:tcPr>
            <w:tcW w:w="6396" w:type="dxa"/>
            <w:gridSpan w:val="3"/>
            <w:shd w:val="clear" w:color="auto" w:fill="000000" w:themeFill="text1"/>
          </w:tcPr>
          <w:p w14:paraId="535F96A5" w14:textId="5F07A435" w:rsidR="000142BA" w:rsidRPr="000142BA" w:rsidRDefault="000142BA" w:rsidP="000142BA">
            <w:pPr>
              <w:jc w:val="both"/>
              <w:rPr>
                <w:rFonts w:ascii="Arial" w:hAnsi="Arial" w:cs="Arial"/>
                <w:color w:val="FFFFFF" w:themeColor="background1"/>
                <w:sz w:val="20"/>
              </w:rPr>
            </w:pPr>
            <w:r w:rsidRPr="000142BA">
              <w:rPr>
                <w:rFonts w:ascii="Arial" w:hAnsi="Arial" w:cs="Arial"/>
                <w:color w:val="FFFFFF" w:themeColor="background1"/>
                <w:sz w:val="20"/>
              </w:rPr>
              <w:t>Over 21,000 people participated in 3,170 CCs state-wide.  On average, 7 people participated in each conference.</w:t>
            </w:r>
          </w:p>
        </w:tc>
      </w:tr>
    </w:tbl>
    <w:p w14:paraId="16F84284" w14:textId="77777777" w:rsidR="00AC3236" w:rsidRPr="002F7CE3" w:rsidRDefault="00AC3236" w:rsidP="00AC3236">
      <w:pPr>
        <w:jc w:val="both"/>
        <w:rPr>
          <w:rFonts w:ascii="Arial" w:hAnsi="Arial" w:cs="Arial"/>
          <w:color w:val="000000"/>
          <w:sz w:val="18"/>
          <w:szCs w:val="22"/>
        </w:rPr>
      </w:pPr>
    </w:p>
    <w:tbl>
      <w:tblPr>
        <w:tblStyle w:val="TableGrid"/>
        <w:tblW w:w="0" w:type="auto"/>
        <w:tblLook w:val="04A0" w:firstRow="1" w:lastRow="0" w:firstColumn="1" w:lastColumn="0" w:noHBand="0" w:noVBand="1"/>
      </w:tblPr>
      <w:tblGrid>
        <w:gridCol w:w="1054"/>
        <w:gridCol w:w="2415"/>
        <w:gridCol w:w="2415"/>
        <w:gridCol w:w="2418"/>
      </w:tblGrid>
      <w:tr w:rsidR="00AC3236" w:rsidRPr="00826542" w14:paraId="5B6F64FD" w14:textId="77777777" w:rsidTr="000F573F">
        <w:tc>
          <w:tcPr>
            <w:tcW w:w="8302" w:type="dxa"/>
            <w:gridSpan w:val="4"/>
            <w:shd w:val="clear" w:color="auto" w:fill="000000" w:themeFill="text1"/>
          </w:tcPr>
          <w:p w14:paraId="4D1C8D8E" w14:textId="77777777" w:rsidR="00AC3236" w:rsidRPr="00826542" w:rsidRDefault="00AC3236" w:rsidP="000F573F">
            <w:pPr>
              <w:jc w:val="center"/>
              <w:rPr>
                <w:rFonts w:ascii="Arial" w:hAnsi="Arial" w:cs="Arial"/>
                <w:b/>
                <w:bCs/>
                <w:color w:val="FFFFFF" w:themeColor="background1"/>
                <w:sz w:val="20"/>
              </w:rPr>
            </w:pPr>
            <w:r w:rsidRPr="00826542">
              <w:rPr>
                <w:rFonts w:ascii="Arial" w:hAnsi="Arial" w:cs="Arial"/>
                <w:b/>
                <w:bCs/>
                <w:color w:val="FFFFFF" w:themeColor="background1"/>
                <w:sz w:val="20"/>
              </w:rPr>
              <w:t>STATE-WIDE CONCILIATION CONFERENCES</w:t>
            </w:r>
          </w:p>
        </w:tc>
      </w:tr>
      <w:tr w:rsidR="00AC3236" w14:paraId="4D4391B9" w14:textId="77777777" w:rsidTr="00AC3236">
        <w:tc>
          <w:tcPr>
            <w:tcW w:w="1054" w:type="dxa"/>
            <w:shd w:val="clear" w:color="auto" w:fill="DDDDDD"/>
          </w:tcPr>
          <w:p w14:paraId="5B822708" w14:textId="77777777" w:rsidR="00AC3236" w:rsidRDefault="00AC3236" w:rsidP="000F573F">
            <w:pPr>
              <w:jc w:val="center"/>
              <w:rPr>
                <w:rFonts w:ascii="Arial" w:hAnsi="Arial" w:cs="Arial"/>
                <w:color w:val="000000"/>
                <w:sz w:val="20"/>
              </w:rPr>
            </w:pPr>
          </w:p>
        </w:tc>
        <w:tc>
          <w:tcPr>
            <w:tcW w:w="2415" w:type="dxa"/>
            <w:shd w:val="clear" w:color="auto" w:fill="DDDDDD"/>
          </w:tcPr>
          <w:p w14:paraId="2B20580A"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conducted</w:t>
            </w:r>
          </w:p>
        </w:tc>
        <w:tc>
          <w:tcPr>
            <w:tcW w:w="2415" w:type="dxa"/>
            <w:shd w:val="clear" w:color="auto" w:fill="DDDDDD"/>
          </w:tcPr>
          <w:p w14:paraId="12DE5452"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Conferences achieving full settlement</w:t>
            </w:r>
          </w:p>
        </w:tc>
        <w:tc>
          <w:tcPr>
            <w:tcW w:w="2418" w:type="dxa"/>
            <w:shd w:val="clear" w:color="auto" w:fill="DDDDDD"/>
          </w:tcPr>
          <w:p w14:paraId="76559BB6" w14:textId="77777777" w:rsidR="00AC3236" w:rsidRPr="00FC237B" w:rsidRDefault="00AC3236" w:rsidP="000F573F">
            <w:pPr>
              <w:jc w:val="center"/>
              <w:rPr>
                <w:rFonts w:ascii="Arial" w:hAnsi="Arial" w:cs="Arial"/>
                <w:b/>
                <w:bCs/>
                <w:color w:val="000000"/>
                <w:sz w:val="20"/>
              </w:rPr>
            </w:pPr>
            <w:r w:rsidRPr="00FC237B">
              <w:rPr>
                <w:rFonts w:ascii="Arial" w:hAnsi="Arial" w:cs="Arial"/>
                <w:b/>
                <w:bCs/>
                <w:color w:val="000000"/>
                <w:sz w:val="20"/>
              </w:rPr>
              <w:t>Full settlement rate</w:t>
            </w:r>
          </w:p>
        </w:tc>
      </w:tr>
      <w:tr w:rsidR="00AC3236" w14:paraId="49C5B5C7" w14:textId="77777777" w:rsidTr="00AC3236">
        <w:tc>
          <w:tcPr>
            <w:tcW w:w="1054" w:type="dxa"/>
          </w:tcPr>
          <w:p w14:paraId="343A42BF" w14:textId="77777777" w:rsidR="00AC3236" w:rsidRDefault="00AC3236" w:rsidP="000F573F">
            <w:pPr>
              <w:jc w:val="both"/>
              <w:rPr>
                <w:rFonts w:ascii="Arial" w:hAnsi="Arial" w:cs="Arial"/>
                <w:color w:val="000000"/>
                <w:sz w:val="20"/>
              </w:rPr>
            </w:pPr>
            <w:r>
              <w:rPr>
                <w:rFonts w:ascii="Arial" w:hAnsi="Arial" w:cs="Arial"/>
                <w:color w:val="000000"/>
                <w:sz w:val="20"/>
              </w:rPr>
              <w:t>2020/21</w:t>
            </w:r>
          </w:p>
        </w:tc>
        <w:tc>
          <w:tcPr>
            <w:tcW w:w="2415" w:type="dxa"/>
          </w:tcPr>
          <w:p w14:paraId="3A1F5960" w14:textId="77777777" w:rsidR="00AC3236" w:rsidRDefault="00AC3236" w:rsidP="000F573F">
            <w:pPr>
              <w:jc w:val="center"/>
              <w:rPr>
                <w:rFonts w:ascii="Arial" w:hAnsi="Arial" w:cs="Arial"/>
                <w:color w:val="000000"/>
                <w:sz w:val="20"/>
              </w:rPr>
            </w:pPr>
            <w:r>
              <w:rPr>
                <w:rFonts w:ascii="Arial" w:hAnsi="Arial" w:cs="Arial"/>
                <w:color w:val="000000"/>
                <w:sz w:val="20"/>
              </w:rPr>
              <w:t>2988</w:t>
            </w:r>
          </w:p>
        </w:tc>
        <w:tc>
          <w:tcPr>
            <w:tcW w:w="2415" w:type="dxa"/>
          </w:tcPr>
          <w:p w14:paraId="5FB4965C" w14:textId="77777777" w:rsidR="00AC3236" w:rsidRDefault="00AC3236" w:rsidP="000F573F">
            <w:pPr>
              <w:jc w:val="center"/>
              <w:rPr>
                <w:rFonts w:ascii="Arial" w:hAnsi="Arial" w:cs="Arial"/>
                <w:color w:val="000000"/>
                <w:sz w:val="20"/>
              </w:rPr>
            </w:pPr>
            <w:r>
              <w:rPr>
                <w:rFonts w:ascii="Arial" w:hAnsi="Arial" w:cs="Arial"/>
                <w:color w:val="000000"/>
                <w:sz w:val="20"/>
              </w:rPr>
              <w:t>1190</w:t>
            </w:r>
          </w:p>
        </w:tc>
        <w:tc>
          <w:tcPr>
            <w:tcW w:w="2418" w:type="dxa"/>
          </w:tcPr>
          <w:p w14:paraId="2DF92323" w14:textId="77777777" w:rsidR="00AC3236" w:rsidRDefault="00AC3236" w:rsidP="000F573F">
            <w:pPr>
              <w:jc w:val="center"/>
              <w:rPr>
                <w:rFonts w:ascii="Arial" w:hAnsi="Arial" w:cs="Arial"/>
                <w:color w:val="000000"/>
                <w:sz w:val="20"/>
              </w:rPr>
            </w:pPr>
            <w:r>
              <w:rPr>
                <w:rFonts w:ascii="Arial" w:hAnsi="Arial" w:cs="Arial"/>
                <w:color w:val="000000"/>
                <w:sz w:val="20"/>
              </w:rPr>
              <w:t>40%</w:t>
            </w:r>
          </w:p>
        </w:tc>
      </w:tr>
      <w:tr w:rsidR="00AC3236" w14:paraId="45037BA6" w14:textId="77777777" w:rsidTr="00AC3236">
        <w:tc>
          <w:tcPr>
            <w:tcW w:w="1054" w:type="dxa"/>
          </w:tcPr>
          <w:p w14:paraId="40DB78BF" w14:textId="77777777" w:rsidR="00AC3236" w:rsidRDefault="00AC3236" w:rsidP="000F573F">
            <w:pPr>
              <w:jc w:val="both"/>
              <w:rPr>
                <w:rFonts w:ascii="Arial" w:hAnsi="Arial" w:cs="Arial"/>
                <w:color w:val="000000"/>
                <w:sz w:val="20"/>
              </w:rPr>
            </w:pPr>
            <w:r>
              <w:rPr>
                <w:rFonts w:ascii="Arial" w:hAnsi="Arial" w:cs="Arial"/>
                <w:color w:val="000000"/>
                <w:sz w:val="20"/>
              </w:rPr>
              <w:t>2021/22</w:t>
            </w:r>
          </w:p>
        </w:tc>
        <w:tc>
          <w:tcPr>
            <w:tcW w:w="2415" w:type="dxa"/>
          </w:tcPr>
          <w:p w14:paraId="3EB40EFA" w14:textId="77777777" w:rsidR="00AC3236" w:rsidRDefault="00AC3236" w:rsidP="000F573F">
            <w:pPr>
              <w:jc w:val="center"/>
              <w:rPr>
                <w:rFonts w:ascii="Arial" w:hAnsi="Arial" w:cs="Arial"/>
                <w:color w:val="000000"/>
                <w:sz w:val="20"/>
              </w:rPr>
            </w:pPr>
            <w:r>
              <w:rPr>
                <w:rFonts w:ascii="Arial" w:hAnsi="Arial" w:cs="Arial"/>
                <w:color w:val="000000"/>
                <w:sz w:val="20"/>
              </w:rPr>
              <w:t>3170</w:t>
            </w:r>
          </w:p>
        </w:tc>
        <w:tc>
          <w:tcPr>
            <w:tcW w:w="2415" w:type="dxa"/>
          </w:tcPr>
          <w:p w14:paraId="1CAF73A0" w14:textId="77777777" w:rsidR="00AC3236" w:rsidRDefault="00AC3236" w:rsidP="000F573F">
            <w:pPr>
              <w:jc w:val="center"/>
              <w:rPr>
                <w:rFonts w:ascii="Arial" w:hAnsi="Arial" w:cs="Arial"/>
                <w:color w:val="000000"/>
                <w:sz w:val="20"/>
              </w:rPr>
            </w:pPr>
            <w:r>
              <w:rPr>
                <w:rFonts w:ascii="Arial" w:hAnsi="Arial" w:cs="Arial"/>
                <w:color w:val="000000"/>
                <w:sz w:val="20"/>
              </w:rPr>
              <w:t>1332</w:t>
            </w:r>
          </w:p>
        </w:tc>
        <w:tc>
          <w:tcPr>
            <w:tcW w:w="2418" w:type="dxa"/>
          </w:tcPr>
          <w:p w14:paraId="11F37CB2"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AC3236" w14:paraId="74199BF7" w14:textId="77777777" w:rsidTr="00AC3236">
        <w:tc>
          <w:tcPr>
            <w:tcW w:w="1054" w:type="dxa"/>
          </w:tcPr>
          <w:p w14:paraId="31AB77FB" w14:textId="77777777" w:rsidR="00AC3236" w:rsidRDefault="00AC3236" w:rsidP="000F573F">
            <w:pPr>
              <w:jc w:val="both"/>
              <w:rPr>
                <w:rFonts w:ascii="Arial" w:hAnsi="Arial" w:cs="Arial"/>
                <w:color w:val="000000"/>
                <w:sz w:val="20"/>
              </w:rPr>
            </w:pPr>
            <w:r>
              <w:rPr>
                <w:rFonts w:ascii="Arial" w:hAnsi="Arial" w:cs="Arial"/>
                <w:color w:val="000000"/>
                <w:sz w:val="20"/>
              </w:rPr>
              <w:t>2022/23</w:t>
            </w:r>
          </w:p>
        </w:tc>
        <w:tc>
          <w:tcPr>
            <w:tcW w:w="2415" w:type="dxa"/>
          </w:tcPr>
          <w:p w14:paraId="1A26A882" w14:textId="77777777" w:rsidR="00AC3236" w:rsidRDefault="00AC3236" w:rsidP="000F573F">
            <w:pPr>
              <w:jc w:val="center"/>
              <w:rPr>
                <w:rFonts w:ascii="Arial" w:hAnsi="Arial" w:cs="Arial"/>
                <w:color w:val="000000"/>
                <w:sz w:val="20"/>
              </w:rPr>
            </w:pPr>
            <w:r>
              <w:rPr>
                <w:rFonts w:ascii="Arial" w:hAnsi="Arial" w:cs="Arial"/>
                <w:color w:val="000000"/>
                <w:sz w:val="20"/>
              </w:rPr>
              <w:t>2798</w:t>
            </w:r>
          </w:p>
        </w:tc>
        <w:tc>
          <w:tcPr>
            <w:tcW w:w="2415" w:type="dxa"/>
          </w:tcPr>
          <w:p w14:paraId="581B5246" w14:textId="77777777" w:rsidR="00AC3236" w:rsidRDefault="00AC3236" w:rsidP="000F573F">
            <w:pPr>
              <w:jc w:val="center"/>
              <w:rPr>
                <w:rFonts w:ascii="Arial" w:hAnsi="Arial" w:cs="Arial"/>
                <w:color w:val="000000"/>
                <w:sz w:val="20"/>
              </w:rPr>
            </w:pPr>
            <w:r>
              <w:rPr>
                <w:rFonts w:ascii="Arial" w:hAnsi="Arial" w:cs="Arial"/>
                <w:color w:val="000000"/>
                <w:sz w:val="20"/>
              </w:rPr>
              <w:t>1175</w:t>
            </w:r>
          </w:p>
        </w:tc>
        <w:tc>
          <w:tcPr>
            <w:tcW w:w="2418" w:type="dxa"/>
          </w:tcPr>
          <w:p w14:paraId="2B303979" w14:textId="77777777" w:rsidR="00AC3236" w:rsidRDefault="00AC3236" w:rsidP="000F573F">
            <w:pPr>
              <w:jc w:val="center"/>
              <w:rPr>
                <w:rFonts w:ascii="Arial" w:hAnsi="Arial" w:cs="Arial"/>
                <w:color w:val="000000"/>
                <w:sz w:val="20"/>
              </w:rPr>
            </w:pPr>
            <w:r>
              <w:rPr>
                <w:rFonts w:ascii="Arial" w:hAnsi="Arial" w:cs="Arial"/>
                <w:color w:val="000000"/>
                <w:sz w:val="20"/>
              </w:rPr>
              <w:t>42%</w:t>
            </w:r>
          </w:p>
        </w:tc>
      </w:tr>
      <w:tr w:rsidR="00D47EBD" w14:paraId="4D35297D" w14:textId="77777777" w:rsidTr="00AC3236">
        <w:tc>
          <w:tcPr>
            <w:tcW w:w="1054" w:type="dxa"/>
          </w:tcPr>
          <w:p w14:paraId="503791FB" w14:textId="7CED628F" w:rsidR="00D47EBD" w:rsidRDefault="00D47EBD" w:rsidP="000F573F">
            <w:pPr>
              <w:jc w:val="both"/>
              <w:rPr>
                <w:rFonts w:ascii="Arial" w:hAnsi="Arial" w:cs="Arial"/>
                <w:color w:val="000000"/>
                <w:sz w:val="20"/>
              </w:rPr>
            </w:pPr>
            <w:r>
              <w:rPr>
                <w:rFonts w:ascii="Arial" w:hAnsi="Arial" w:cs="Arial"/>
                <w:color w:val="000000"/>
                <w:sz w:val="20"/>
              </w:rPr>
              <w:t>2023/24</w:t>
            </w:r>
          </w:p>
        </w:tc>
        <w:tc>
          <w:tcPr>
            <w:tcW w:w="2415" w:type="dxa"/>
          </w:tcPr>
          <w:p w14:paraId="7EE83374" w14:textId="3D7EA3FF" w:rsidR="00D47EBD" w:rsidRDefault="00D47EBD" w:rsidP="000F573F">
            <w:pPr>
              <w:jc w:val="center"/>
              <w:rPr>
                <w:rFonts w:ascii="Arial" w:hAnsi="Arial" w:cs="Arial"/>
                <w:color w:val="000000"/>
                <w:sz w:val="20"/>
              </w:rPr>
            </w:pPr>
            <w:r>
              <w:rPr>
                <w:rFonts w:ascii="Arial" w:hAnsi="Arial" w:cs="Arial"/>
                <w:color w:val="000000"/>
                <w:sz w:val="20"/>
              </w:rPr>
              <w:t>2325</w:t>
            </w:r>
          </w:p>
        </w:tc>
        <w:tc>
          <w:tcPr>
            <w:tcW w:w="2415" w:type="dxa"/>
          </w:tcPr>
          <w:p w14:paraId="2D0AF136" w14:textId="4E004CCD" w:rsidR="00D47EBD" w:rsidRDefault="00D47EBD" w:rsidP="000F573F">
            <w:pPr>
              <w:jc w:val="center"/>
              <w:rPr>
                <w:rFonts w:ascii="Arial" w:hAnsi="Arial" w:cs="Arial"/>
                <w:color w:val="000000"/>
                <w:sz w:val="20"/>
              </w:rPr>
            </w:pPr>
            <w:r>
              <w:rPr>
                <w:rFonts w:ascii="Arial" w:hAnsi="Arial" w:cs="Arial"/>
                <w:color w:val="000000"/>
                <w:sz w:val="20"/>
              </w:rPr>
              <w:t>977</w:t>
            </w:r>
          </w:p>
        </w:tc>
        <w:tc>
          <w:tcPr>
            <w:tcW w:w="2418" w:type="dxa"/>
          </w:tcPr>
          <w:p w14:paraId="17D47910" w14:textId="5F3C4447" w:rsidR="00D47EBD" w:rsidRDefault="00D47EBD" w:rsidP="000F573F">
            <w:pPr>
              <w:jc w:val="center"/>
              <w:rPr>
                <w:rFonts w:ascii="Arial" w:hAnsi="Arial" w:cs="Arial"/>
                <w:color w:val="000000"/>
                <w:sz w:val="20"/>
              </w:rPr>
            </w:pPr>
            <w:r>
              <w:rPr>
                <w:rFonts w:ascii="Arial" w:hAnsi="Arial" w:cs="Arial"/>
                <w:color w:val="000000"/>
                <w:sz w:val="20"/>
              </w:rPr>
              <w:t>42%</w:t>
            </w:r>
          </w:p>
        </w:tc>
      </w:tr>
    </w:tbl>
    <w:p w14:paraId="5DEB47C2" w14:textId="77777777" w:rsidR="00AC3236" w:rsidRPr="008E4C7E" w:rsidRDefault="00AC3236" w:rsidP="00AC3236">
      <w:pPr>
        <w:ind w:left="363" w:hanging="363"/>
        <w:jc w:val="both"/>
        <w:rPr>
          <w:rFonts w:ascii="Arial" w:hAnsi="Arial" w:cs="Arial"/>
          <w:sz w:val="20"/>
        </w:rPr>
      </w:pPr>
    </w:p>
    <w:p w14:paraId="7185C056" w14:textId="77777777" w:rsidR="00EC3E40" w:rsidRPr="00785E1A" w:rsidRDefault="00EC3E40" w:rsidP="00AC3236">
      <w:pPr>
        <w:pStyle w:val="Heading3"/>
        <w:keepNext/>
        <w:keepLines/>
        <w:widowControl/>
        <w:spacing w:after="120" w:line="240" w:lineRule="auto"/>
        <w:rPr>
          <w:rFonts w:ascii="Arial" w:hAnsi="Arial" w:cs="Arial"/>
          <w:color w:val="000000"/>
          <w:sz w:val="20"/>
        </w:rPr>
      </w:pPr>
      <w:bookmarkStart w:id="1458" w:name="_4.10.10__Judicial"/>
      <w:bookmarkStart w:id="1459" w:name="B41010"/>
      <w:bookmarkEnd w:id="1458"/>
      <w:bookmarkEnd w:id="1459"/>
      <w:r w:rsidRPr="00785E1A">
        <w:rPr>
          <w:rFonts w:ascii="Arial" w:hAnsi="Arial" w:cs="Arial"/>
          <w:b/>
          <w:bCs/>
          <w:color w:val="000000"/>
          <w:sz w:val="20"/>
        </w:rPr>
        <w:t>4.10.</w:t>
      </w:r>
      <w:r w:rsidR="000E530E" w:rsidRPr="00785E1A">
        <w:rPr>
          <w:rFonts w:ascii="Arial" w:hAnsi="Arial" w:cs="Arial"/>
          <w:b/>
          <w:bCs/>
          <w:color w:val="000000"/>
          <w:sz w:val="20"/>
        </w:rPr>
        <w:t>10</w:t>
      </w:r>
      <w:r w:rsidRPr="00785E1A">
        <w:rPr>
          <w:rFonts w:ascii="Arial" w:hAnsi="Arial" w:cs="Arial"/>
          <w:b/>
          <w:bCs/>
          <w:color w:val="000000"/>
          <w:sz w:val="20"/>
        </w:rPr>
        <w:tab/>
      </w:r>
      <w:r w:rsidRPr="00785E1A">
        <w:rPr>
          <w:rFonts w:ascii="Arial" w:hAnsi="Arial" w:cs="Arial"/>
          <w:b/>
          <w:bCs/>
          <w:color w:val="000000"/>
          <w:sz w:val="20"/>
        </w:rPr>
        <w:tab/>
        <w:t>Judicial Resolution Conferences</w:t>
      </w:r>
    </w:p>
    <w:p w14:paraId="33309B81" w14:textId="74530BF3" w:rsidR="007D7E39" w:rsidRDefault="005623CD" w:rsidP="007D7E39">
      <w:pPr>
        <w:jc w:val="both"/>
        <w:rPr>
          <w:rFonts w:ascii="Arial" w:hAnsi="Arial" w:cs="Arial"/>
          <w:color w:val="000000"/>
          <w:sz w:val="20"/>
        </w:rPr>
      </w:pPr>
      <w:r w:rsidRPr="00785E1A">
        <w:rPr>
          <w:rFonts w:ascii="Arial" w:hAnsi="Arial" w:cs="Arial"/>
          <w:bCs/>
          <w:color w:val="000000"/>
          <w:sz w:val="20"/>
        </w:rPr>
        <w:t xml:space="preserve">The </w:t>
      </w:r>
      <w:r w:rsidRPr="00785E1A">
        <w:rPr>
          <w:rFonts w:ascii="Arial" w:hAnsi="Arial" w:cs="Arial"/>
          <w:bCs/>
          <w:color w:val="000000"/>
          <w:sz w:val="20"/>
          <w:u w:val="single"/>
        </w:rPr>
        <w:t xml:space="preserve">Courts Legislation Amendment (Judicial Resolution Conference) Act 2009 (Vic) </w:t>
      </w:r>
      <w:r w:rsidRPr="00785E1A">
        <w:rPr>
          <w:rFonts w:ascii="Arial" w:hAnsi="Arial" w:cs="Arial"/>
          <w:bCs/>
          <w:color w:val="000000"/>
          <w:sz w:val="20"/>
        </w:rPr>
        <w:t>[No.50/2009] came into operation on 14/09/2009.  That Act amended the CYFA by adding sections</w:t>
      </w:r>
      <w:r w:rsidR="00D47EBD">
        <w:rPr>
          <w:rFonts w:ascii="Arial" w:hAnsi="Arial" w:cs="Arial"/>
          <w:bCs/>
          <w:color w:val="000000"/>
          <w:sz w:val="20"/>
        </w:rPr>
        <w:t>:</w:t>
      </w:r>
    </w:p>
    <w:p w14:paraId="6ACA6BDE" w14:textId="77777777" w:rsidR="005623CD" w:rsidRDefault="005623CD">
      <w:pPr>
        <w:numPr>
          <w:ilvl w:val="0"/>
          <w:numId w:val="53"/>
        </w:numPr>
        <w:ind w:left="357" w:hanging="357"/>
        <w:rPr>
          <w:rFonts w:ascii="Arial" w:hAnsi="Arial" w:cs="Arial"/>
          <w:sz w:val="20"/>
          <w:szCs w:val="20"/>
        </w:rPr>
      </w:pPr>
      <w:r w:rsidRPr="007D7E39">
        <w:rPr>
          <w:rFonts w:ascii="Arial" w:hAnsi="Arial" w:cs="Arial"/>
          <w:sz w:val="20"/>
          <w:szCs w:val="20"/>
        </w:rPr>
        <w:lastRenderedPageBreak/>
        <w:t>to make provision for the conduct of judicial resolution conferences in the Family Division of the Children’s Court by the President and magistrates; and</w:t>
      </w:r>
    </w:p>
    <w:p w14:paraId="729912D7" w14:textId="77777777" w:rsidR="007D7E39" w:rsidRPr="007D7E39" w:rsidRDefault="007D7E39">
      <w:pPr>
        <w:numPr>
          <w:ilvl w:val="0"/>
          <w:numId w:val="53"/>
        </w:numPr>
        <w:ind w:left="357" w:hanging="357"/>
        <w:rPr>
          <w:rFonts w:ascii="Arial" w:hAnsi="Arial" w:cs="Arial"/>
          <w:sz w:val="20"/>
          <w:szCs w:val="20"/>
        </w:rPr>
      </w:pPr>
      <w:r w:rsidRPr="007D7E39">
        <w:rPr>
          <w:rFonts w:ascii="Arial" w:hAnsi="Arial" w:cs="Arial"/>
          <w:sz w:val="20"/>
          <w:szCs w:val="20"/>
        </w:rPr>
        <w:t>to clarify that judicial immunity applies to the President and magistrates when carrying out judicial resolution conferences.</w:t>
      </w:r>
    </w:p>
    <w:p w14:paraId="7574B139" w14:textId="77777777" w:rsidR="005623CD" w:rsidRPr="00785E1A" w:rsidRDefault="005623CD" w:rsidP="005623CD">
      <w:pPr>
        <w:pStyle w:val="Heading3"/>
        <w:spacing w:line="240" w:lineRule="auto"/>
        <w:rPr>
          <w:rFonts w:ascii="Arial" w:hAnsi="Arial" w:cs="Arial"/>
          <w:bCs/>
          <w:color w:val="000000"/>
          <w:sz w:val="20"/>
        </w:rPr>
      </w:pPr>
    </w:p>
    <w:p w14:paraId="18BFBFEF" w14:textId="68B67509" w:rsidR="007D7E39" w:rsidRDefault="005623CD" w:rsidP="007D7E39">
      <w:pPr>
        <w:jc w:val="both"/>
        <w:rPr>
          <w:rFonts w:ascii="Arial" w:hAnsi="Arial" w:cs="Arial"/>
          <w:color w:val="000000"/>
          <w:sz w:val="20"/>
        </w:rPr>
      </w:pPr>
      <w:r w:rsidRPr="00785E1A">
        <w:rPr>
          <w:rFonts w:ascii="Arial" w:hAnsi="Arial" w:cs="Arial"/>
          <w:bCs/>
          <w:color w:val="000000"/>
          <w:sz w:val="20"/>
        </w:rPr>
        <w:t>Under s.3(1) of the CYFA [as amended] “judicial resolution conference” [hereinafter ‘JRC’] means a resolution process in the Family Division of the Court  which is presided over by the President or a magistrate for the purposes of negotiating a settlement of a dispute including, but not limited to-</w:t>
      </w:r>
    </w:p>
    <w:p w14:paraId="0F3300C7" w14:textId="77777777" w:rsidR="005623CD" w:rsidRPr="007D7E39" w:rsidRDefault="005623CD" w:rsidP="007D7E39">
      <w:pPr>
        <w:rPr>
          <w:rFonts w:ascii="Arial" w:hAnsi="Arial" w:cs="Arial"/>
          <w:sz w:val="20"/>
          <w:szCs w:val="20"/>
        </w:rPr>
      </w:pPr>
      <w:r w:rsidRPr="007D7E39">
        <w:rPr>
          <w:rFonts w:ascii="Arial" w:hAnsi="Arial" w:cs="Arial"/>
          <w:sz w:val="20"/>
          <w:szCs w:val="20"/>
        </w:rPr>
        <w:t>(i)</w:t>
      </w:r>
      <w:r w:rsidRPr="007D7E39">
        <w:rPr>
          <w:rFonts w:ascii="Arial" w:hAnsi="Arial" w:cs="Arial"/>
          <w:sz w:val="20"/>
          <w:szCs w:val="20"/>
        </w:rPr>
        <w:tab/>
        <w:t>mediation; or</w:t>
      </w:r>
    </w:p>
    <w:p w14:paraId="32B19AAD"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w:t>
      </w:r>
      <w:r w:rsidRPr="00785E1A">
        <w:rPr>
          <w:rFonts w:ascii="Arial" w:hAnsi="Arial" w:cs="Arial"/>
          <w:bCs/>
          <w:color w:val="000000"/>
          <w:sz w:val="20"/>
        </w:rPr>
        <w:tab/>
        <w:t>early neutral evaluation; or</w:t>
      </w:r>
    </w:p>
    <w:p w14:paraId="6287A428"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(iii)</w:t>
      </w:r>
      <w:r w:rsidRPr="00785E1A">
        <w:rPr>
          <w:rFonts w:ascii="Arial" w:hAnsi="Arial" w:cs="Arial"/>
          <w:bCs/>
          <w:color w:val="000000"/>
          <w:sz w:val="20"/>
        </w:rPr>
        <w:tab/>
        <w:t>settlement conference; or</w:t>
      </w:r>
    </w:p>
    <w:p w14:paraId="08B16D0C" w14:textId="77777777" w:rsidR="007D7E39" w:rsidRPr="007D7E39" w:rsidRDefault="005623CD" w:rsidP="007D7E39">
      <w:pPr>
        <w:rPr>
          <w:rFonts w:ascii="Arial" w:hAnsi="Arial" w:cs="Arial"/>
          <w:sz w:val="20"/>
          <w:szCs w:val="20"/>
        </w:rPr>
      </w:pPr>
      <w:r w:rsidRPr="00785E1A">
        <w:rPr>
          <w:rFonts w:ascii="Arial" w:hAnsi="Arial" w:cs="Arial"/>
          <w:bCs/>
          <w:color w:val="000000"/>
          <w:sz w:val="20"/>
        </w:rPr>
        <w:t>(iv)</w:t>
      </w:r>
      <w:r w:rsidRPr="00785E1A">
        <w:rPr>
          <w:rFonts w:ascii="Arial" w:hAnsi="Arial" w:cs="Arial"/>
          <w:bCs/>
          <w:color w:val="000000"/>
          <w:sz w:val="20"/>
        </w:rPr>
        <w:tab/>
        <w:t>conciliation.</w:t>
      </w:r>
    </w:p>
    <w:p w14:paraId="19B12906" w14:textId="77777777" w:rsidR="005623CD" w:rsidRPr="00785E1A" w:rsidRDefault="005623CD" w:rsidP="005623CD">
      <w:pPr>
        <w:pStyle w:val="Heading3"/>
        <w:spacing w:line="240" w:lineRule="auto"/>
        <w:rPr>
          <w:rFonts w:ascii="Arial" w:hAnsi="Arial" w:cs="Arial"/>
          <w:bCs/>
          <w:color w:val="000000"/>
          <w:sz w:val="20"/>
        </w:rPr>
      </w:pPr>
    </w:p>
    <w:p w14:paraId="3C7F7F7B" w14:textId="77777777" w:rsidR="00BE5170" w:rsidRDefault="005623CD" w:rsidP="00BE5170">
      <w:pPr>
        <w:jc w:val="both"/>
        <w:rPr>
          <w:rFonts w:ascii="Arial" w:hAnsi="Arial" w:cs="Arial"/>
          <w:color w:val="000000"/>
          <w:sz w:val="20"/>
        </w:rPr>
      </w:pPr>
      <w:r w:rsidRPr="00785E1A">
        <w:rPr>
          <w:rFonts w:ascii="Arial" w:hAnsi="Arial" w:cs="Arial"/>
          <w:bCs/>
          <w:color w:val="000000"/>
          <w:sz w:val="20"/>
        </w:rPr>
        <w:t>Section 527A(1) of the CYFA provides that no evidence is admissible at the hearing of any proceeding in the Family Division of anything said or done by any person in the course of the conduct of a JRC unless the court otherwise orders, having regard to the interests of justice and fairness.  However, it is noteworthy that s.527A(1) does not provide any bar to the admissibility in any other court process of anything said or done by a person in the course of a JRC.  So, for instance, an admission made at a JRC by a parent of the use of drugs would not be privileged in a criminal prosecution in another court.  Section 527A(2) provides that the President or a magistrate is not compellable to give evidence in any proceeding of anything said or done or arising from the conduct of a JRC.  Section 527B gives the President or a magistrate conducting a JRC the same protection and immunity as a justice of the Supreme Court.</w:t>
      </w:r>
    </w:p>
    <w:p w14:paraId="085D671E" w14:textId="77777777" w:rsidR="005623CD" w:rsidRPr="00785E1A" w:rsidRDefault="005623CD" w:rsidP="005623CD">
      <w:pPr>
        <w:pStyle w:val="Heading3"/>
        <w:spacing w:line="240" w:lineRule="auto"/>
        <w:rPr>
          <w:rFonts w:ascii="Arial" w:hAnsi="Arial" w:cs="Arial"/>
          <w:bCs/>
          <w:color w:val="000000"/>
          <w:sz w:val="20"/>
        </w:rPr>
      </w:pPr>
    </w:p>
    <w:p w14:paraId="0249A5EC" w14:textId="77777777" w:rsidR="00BE5170" w:rsidRDefault="005623CD" w:rsidP="00BE5170">
      <w:pPr>
        <w:jc w:val="both"/>
        <w:rPr>
          <w:rFonts w:ascii="Arial" w:hAnsi="Arial" w:cs="Arial"/>
          <w:color w:val="000000"/>
          <w:sz w:val="20"/>
        </w:rPr>
      </w:pPr>
      <w:r w:rsidRPr="00785E1A">
        <w:rPr>
          <w:rFonts w:ascii="Arial" w:hAnsi="Arial" w:cs="Arial"/>
          <w:color w:val="000000"/>
          <w:sz w:val="20"/>
        </w:rPr>
        <w:t>Section 588(1)(b) of the CYFA empowers the President, together with two or more magistrates for the Court, jointly to make rules for or with respect to judicial resolution conferences, including but not limited to the practice and procedure of the Court in relation to judicial resolution conferences.  As yet no such rules have been made.</w:t>
      </w:r>
    </w:p>
    <w:p w14:paraId="5E6EEECD" w14:textId="77777777" w:rsidR="005623CD" w:rsidRPr="00785E1A" w:rsidRDefault="005623CD" w:rsidP="005623CD">
      <w:pPr>
        <w:pStyle w:val="Heading3"/>
        <w:spacing w:line="240" w:lineRule="auto"/>
        <w:rPr>
          <w:rFonts w:ascii="Arial" w:hAnsi="Arial" w:cs="Arial"/>
          <w:bCs/>
          <w:color w:val="000000"/>
          <w:sz w:val="20"/>
        </w:rPr>
      </w:pPr>
    </w:p>
    <w:p w14:paraId="60CC24C9" w14:textId="6B2DC96E" w:rsidR="00BE5170" w:rsidRDefault="005623CD" w:rsidP="00BE5170">
      <w:pPr>
        <w:jc w:val="both"/>
        <w:rPr>
          <w:rFonts w:ascii="Arial" w:hAnsi="Arial" w:cs="Arial"/>
          <w:color w:val="000000"/>
          <w:sz w:val="20"/>
        </w:rPr>
      </w:pPr>
      <w:r w:rsidRPr="00785E1A">
        <w:rPr>
          <w:rFonts w:ascii="Arial" w:hAnsi="Arial" w:cs="Arial"/>
          <w:bCs/>
          <w:color w:val="000000"/>
          <w:sz w:val="20"/>
        </w:rPr>
        <w:t xml:space="preserve">There is no reason why a JRC could not be conducted at any time between the commencement and the final determination of a case in the Family Division of the Court.  </w:t>
      </w:r>
      <w:r w:rsidR="00FB0C23">
        <w:rPr>
          <w:rFonts w:ascii="Arial" w:hAnsi="Arial" w:cs="Arial"/>
          <w:bCs/>
          <w:color w:val="000000"/>
          <w:sz w:val="20"/>
        </w:rPr>
        <w:t>T</w:t>
      </w:r>
      <w:r w:rsidRPr="00785E1A">
        <w:rPr>
          <w:rFonts w:ascii="Arial" w:hAnsi="Arial" w:cs="Arial"/>
          <w:bCs/>
          <w:color w:val="000000"/>
          <w:sz w:val="20"/>
        </w:rPr>
        <w:t>he</w:t>
      </w:r>
      <w:r w:rsidR="00FB0C23">
        <w:rPr>
          <w:rFonts w:ascii="Arial" w:hAnsi="Arial" w:cs="Arial"/>
          <w:bCs/>
          <w:color w:val="000000"/>
          <w:sz w:val="20"/>
        </w:rPr>
        <w:t> </w:t>
      </w:r>
      <w:r w:rsidRPr="00785E1A">
        <w:rPr>
          <w:rFonts w:ascii="Arial" w:hAnsi="Arial" w:cs="Arial"/>
          <w:bCs/>
          <w:color w:val="000000"/>
          <w:sz w:val="20"/>
        </w:rPr>
        <w:t>President has not yet issued any formal guidelines as to the preferred position of a JRC in the flow-chart of hearing types.  However it should be noted that for many years the Court has conducted Directions Hearing</w:t>
      </w:r>
      <w:r w:rsidR="008C1264">
        <w:rPr>
          <w:rFonts w:ascii="Arial" w:hAnsi="Arial" w:cs="Arial"/>
          <w:bCs/>
          <w:color w:val="000000"/>
          <w:sz w:val="20"/>
        </w:rPr>
        <w:t>s</w:t>
      </w:r>
      <w:r w:rsidRPr="00785E1A">
        <w:rPr>
          <w:rFonts w:ascii="Arial" w:hAnsi="Arial" w:cs="Arial"/>
          <w:bCs/>
          <w:color w:val="000000"/>
          <w:sz w:val="20"/>
        </w:rPr>
        <w:t xml:space="preserve"> </w:t>
      </w:r>
      <w:r w:rsidR="008C1264">
        <w:rPr>
          <w:rFonts w:ascii="Arial" w:hAnsi="Arial" w:cs="Arial"/>
          <w:bCs/>
          <w:color w:val="000000"/>
          <w:sz w:val="20"/>
        </w:rPr>
        <w:t xml:space="preserve">&amp; Readiness Hearings </w:t>
      </w:r>
      <w:r w:rsidRPr="00785E1A">
        <w:rPr>
          <w:rFonts w:ascii="Arial" w:hAnsi="Arial" w:cs="Arial"/>
          <w:bCs/>
          <w:color w:val="000000"/>
          <w:sz w:val="20"/>
        </w:rPr>
        <w:t>which are sometimes in the nature of a mini-JRC.</w:t>
      </w:r>
    </w:p>
    <w:p w14:paraId="12AC1C99" w14:textId="77777777" w:rsidR="00411866" w:rsidRPr="00785E1A" w:rsidRDefault="00411866">
      <w:pPr>
        <w:jc w:val="both"/>
        <w:rPr>
          <w:rFonts w:ascii="Arial" w:hAnsi="Arial" w:cs="Arial"/>
          <w:color w:val="000000"/>
        </w:rPr>
      </w:pPr>
    </w:p>
    <w:p w14:paraId="6FD1CA6F" w14:textId="77777777" w:rsidR="00693223" w:rsidRDefault="00693223" w:rsidP="00BB1A34">
      <w:pPr>
        <w:pStyle w:val="Heading2"/>
        <w:keepNext/>
        <w:keepLines/>
        <w:tabs>
          <w:tab w:val="left" w:pos="567"/>
        </w:tabs>
        <w:spacing w:line="240" w:lineRule="auto"/>
        <w:rPr>
          <w:rFonts w:ascii="Arial" w:hAnsi="Arial" w:cs="Arial"/>
          <w:b/>
          <w:bCs/>
        </w:rPr>
      </w:pPr>
      <w:bookmarkStart w:id="1460" w:name="_4.11_Children's_Court"/>
      <w:bookmarkStart w:id="1461" w:name="B411"/>
      <w:bookmarkStart w:id="1462" w:name="_Toc30649085"/>
      <w:bookmarkStart w:id="1463" w:name="_Toc30649161"/>
      <w:bookmarkStart w:id="1464" w:name="_Toc30649424"/>
      <w:bookmarkStart w:id="1465" w:name="_Toc30649749"/>
      <w:bookmarkStart w:id="1466" w:name="_Toc30651693"/>
      <w:bookmarkStart w:id="1467" w:name="_Toc30652683"/>
      <w:bookmarkStart w:id="1468" w:name="_Toc30652779"/>
      <w:bookmarkStart w:id="1469" w:name="_Toc30654129"/>
      <w:bookmarkStart w:id="1470" w:name="_Toc30654486"/>
      <w:bookmarkStart w:id="1471" w:name="_Toc30655105"/>
      <w:bookmarkStart w:id="1472" w:name="_Toc30655362"/>
      <w:bookmarkStart w:id="1473" w:name="_Toc30657040"/>
      <w:bookmarkStart w:id="1474" w:name="_Toc30661789"/>
      <w:bookmarkStart w:id="1475" w:name="_Toc30666477"/>
      <w:bookmarkStart w:id="1476" w:name="_Toc30666707"/>
      <w:bookmarkStart w:id="1477" w:name="_Toc30667882"/>
      <w:bookmarkStart w:id="1478" w:name="_Toc30669260"/>
      <w:bookmarkStart w:id="1479" w:name="_Toc30671476"/>
      <w:bookmarkStart w:id="1480" w:name="_Toc30674003"/>
      <w:bookmarkStart w:id="1481" w:name="_Toc30691225"/>
      <w:bookmarkStart w:id="1482" w:name="_Toc30691598"/>
      <w:bookmarkStart w:id="1483" w:name="_Toc30691978"/>
      <w:bookmarkStart w:id="1484" w:name="_Toc30692737"/>
      <w:bookmarkStart w:id="1485" w:name="_Toc30693116"/>
      <w:bookmarkStart w:id="1486" w:name="_Toc30693494"/>
      <w:bookmarkStart w:id="1487" w:name="_Toc30693872"/>
      <w:bookmarkStart w:id="1488" w:name="_Toc30694253"/>
      <w:bookmarkStart w:id="1489" w:name="_Toc30698842"/>
      <w:bookmarkStart w:id="1490" w:name="_Toc30699220"/>
      <w:bookmarkStart w:id="1491" w:name="_Toc30699605"/>
      <w:bookmarkStart w:id="1492" w:name="_Toc30700760"/>
      <w:bookmarkStart w:id="1493" w:name="_Toc30701147"/>
      <w:bookmarkStart w:id="1494" w:name="_Toc30743756"/>
      <w:bookmarkStart w:id="1495" w:name="_Toc30754579"/>
      <w:bookmarkStart w:id="1496" w:name="_Toc30757019"/>
      <w:bookmarkStart w:id="1497" w:name="_Toc30757567"/>
      <w:bookmarkStart w:id="1498" w:name="_Toc30757967"/>
      <w:bookmarkStart w:id="1499" w:name="_Toc30762728"/>
      <w:bookmarkStart w:id="1500" w:name="_Toc30767382"/>
      <w:bookmarkStart w:id="1501" w:name="_Toc34823397"/>
      <w:bookmarkEnd w:id="1460"/>
      <w:bookmarkEnd w:id="1461"/>
      <w:r>
        <w:rPr>
          <w:rFonts w:ascii="Arial" w:hAnsi="Arial" w:cs="Arial"/>
          <w:b/>
          <w:bCs/>
        </w:rPr>
        <w:t>4.1</w:t>
      </w:r>
      <w:r w:rsidR="002E5754">
        <w:rPr>
          <w:rFonts w:ascii="Arial" w:hAnsi="Arial" w:cs="Arial"/>
          <w:b/>
          <w:bCs/>
        </w:rPr>
        <w:t>1</w:t>
      </w:r>
      <w:r>
        <w:rPr>
          <w:rFonts w:ascii="Arial" w:hAnsi="Arial" w:cs="Arial"/>
          <w:b/>
          <w:bCs/>
        </w:rPr>
        <w:tab/>
        <w:t>Children's Court &amp; Family Court compared &amp; contrasted</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5E4FEEA5" w14:textId="77777777" w:rsidR="00693223" w:rsidRDefault="00693223" w:rsidP="00BB1A34">
      <w:pPr>
        <w:keepNext/>
        <w:keepLines/>
        <w:widowControl w:val="0"/>
        <w:rPr>
          <w:rFonts w:ascii="Arial" w:hAnsi="Arial" w:cs="Arial"/>
        </w:rPr>
      </w:pPr>
    </w:p>
    <w:p w14:paraId="3B83268E" w14:textId="77777777" w:rsidR="00693223" w:rsidRDefault="00693223" w:rsidP="00BB1A34">
      <w:pPr>
        <w:pStyle w:val="Heading3"/>
        <w:keepNext/>
        <w:keepLines/>
        <w:spacing w:after="120" w:line="240" w:lineRule="auto"/>
        <w:rPr>
          <w:rFonts w:ascii="Arial" w:hAnsi="Arial" w:cs="Arial"/>
          <w:sz w:val="20"/>
        </w:rPr>
      </w:pPr>
      <w:bookmarkStart w:id="1502" w:name="_4.11.1__Public"/>
      <w:bookmarkStart w:id="1503" w:name="B4111"/>
      <w:bookmarkStart w:id="1504" w:name="_Toc30743757"/>
      <w:bookmarkStart w:id="1505" w:name="_Toc30754580"/>
      <w:bookmarkStart w:id="1506" w:name="_Toc30757020"/>
      <w:bookmarkStart w:id="1507" w:name="_Toc30757568"/>
      <w:bookmarkStart w:id="1508" w:name="_Toc30757968"/>
      <w:bookmarkStart w:id="1509" w:name="_Toc30762729"/>
      <w:bookmarkStart w:id="1510" w:name="_Toc30767383"/>
      <w:bookmarkStart w:id="1511" w:name="_Toc34823398"/>
      <w:bookmarkEnd w:id="1502"/>
      <w:bookmarkEnd w:id="1503"/>
      <w:r>
        <w:rPr>
          <w:rFonts w:ascii="Arial" w:hAnsi="Arial" w:cs="Arial"/>
          <w:b/>
          <w:bCs/>
          <w:sz w:val="20"/>
        </w:rPr>
        <w:t>4.1</w:t>
      </w:r>
      <w:r w:rsidR="002E5754">
        <w:rPr>
          <w:rFonts w:ascii="Arial" w:hAnsi="Arial" w:cs="Arial"/>
          <w:b/>
          <w:bCs/>
          <w:sz w:val="20"/>
        </w:rPr>
        <w:t>1</w:t>
      </w:r>
      <w:r>
        <w:rPr>
          <w:rFonts w:ascii="Arial" w:hAnsi="Arial" w:cs="Arial"/>
          <w:b/>
          <w:bCs/>
          <w:sz w:val="20"/>
        </w:rPr>
        <w:t>.1</w:t>
      </w:r>
      <w:r w:rsidR="00D0471A">
        <w:rPr>
          <w:rFonts w:ascii="Arial" w:hAnsi="Arial" w:cs="Arial"/>
          <w:b/>
          <w:bCs/>
          <w:sz w:val="20"/>
        </w:rPr>
        <w:tab/>
      </w:r>
      <w:r>
        <w:rPr>
          <w:rFonts w:ascii="Arial" w:hAnsi="Arial" w:cs="Arial"/>
          <w:b/>
          <w:bCs/>
          <w:sz w:val="20"/>
        </w:rPr>
        <w:tab/>
        <w:t>Public law versus private law</w:t>
      </w:r>
      <w:bookmarkEnd w:id="1504"/>
      <w:bookmarkEnd w:id="1505"/>
      <w:bookmarkEnd w:id="1506"/>
      <w:bookmarkEnd w:id="1507"/>
      <w:bookmarkEnd w:id="1508"/>
      <w:bookmarkEnd w:id="1509"/>
      <w:bookmarkEnd w:id="1510"/>
      <w:bookmarkEnd w:id="1511"/>
    </w:p>
    <w:p w14:paraId="316ADDAB" w14:textId="77777777" w:rsidR="00693223" w:rsidRDefault="00693223">
      <w:pPr>
        <w:widowControl w:val="0"/>
        <w:jc w:val="both"/>
        <w:rPr>
          <w:rFonts w:ascii="Arial" w:hAnsi="Arial" w:cs="Arial"/>
          <w:sz w:val="20"/>
        </w:rPr>
      </w:pPr>
      <w:r>
        <w:rPr>
          <w:rFonts w:ascii="Arial" w:hAnsi="Arial" w:cs="Arial"/>
          <w:sz w:val="20"/>
        </w:rPr>
        <w:t xml:space="preserve">Proceedings in the Family Division of the Children's Court are essentially </w:t>
      </w:r>
      <w:r>
        <w:rPr>
          <w:rFonts w:ascii="Arial" w:hAnsi="Arial" w:cs="Arial"/>
          <w:b/>
          <w:bCs/>
          <w:sz w:val="20"/>
        </w:rPr>
        <w:t>public law</w:t>
      </w:r>
      <w:r>
        <w:rPr>
          <w:rFonts w:ascii="Arial" w:hAnsi="Arial" w:cs="Arial"/>
          <w:sz w:val="20"/>
        </w:rPr>
        <w:t xml:space="preserve"> proceedings.  Except at the commencement of an IRD application, the State, in the form of the Department of </w:t>
      </w:r>
      <w:r w:rsidR="009A1245">
        <w:rPr>
          <w:rFonts w:ascii="Arial" w:hAnsi="Arial" w:cs="Arial"/>
          <w:sz w:val="20"/>
          <w:szCs w:val="20"/>
        </w:rPr>
        <w:t>Families, Fairness and Housing</w:t>
      </w:r>
      <w:r>
        <w:rPr>
          <w:rFonts w:ascii="Arial" w:hAnsi="Arial" w:cs="Arial"/>
          <w:sz w:val="20"/>
        </w:rPr>
        <w:t>, is always a party.  The primary purpose of the Court is to provide for the protection of children.</w:t>
      </w:r>
    </w:p>
    <w:p w14:paraId="6BC6B8EB" w14:textId="77777777" w:rsidR="00693223" w:rsidRDefault="00693223">
      <w:pPr>
        <w:widowControl w:val="0"/>
        <w:jc w:val="both"/>
        <w:rPr>
          <w:rFonts w:ascii="Arial" w:hAnsi="Arial" w:cs="Arial"/>
          <w:sz w:val="20"/>
        </w:rPr>
      </w:pPr>
    </w:p>
    <w:p w14:paraId="41B0FA5E" w14:textId="77777777" w:rsidR="00693223" w:rsidRDefault="00693223">
      <w:pPr>
        <w:keepLines/>
        <w:widowControl w:val="0"/>
        <w:jc w:val="both"/>
        <w:rPr>
          <w:rFonts w:ascii="Arial" w:hAnsi="Arial" w:cs="Arial"/>
          <w:sz w:val="20"/>
        </w:rPr>
      </w:pPr>
      <w:r>
        <w:rPr>
          <w:rFonts w:ascii="Arial" w:hAnsi="Arial" w:cs="Arial"/>
          <w:sz w:val="20"/>
        </w:rPr>
        <w:t xml:space="preserve">By contrast, proceedings in the Family Court of Australia and the Federal Magistrates' Service are essentially </w:t>
      </w:r>
      <w:r>
        <w:rPr>
          <w:rFonts w:ascii="Arial" w:hAnsi="Arial" w:cs="Arial"/>
          <w:b/>
          <w:bCs/>
          <w:sz w:val="20"/>
        </w:rPr>
        <w:t>private law</w:t>
      </w:r>
      <w:r>
        <w:rPr>
          <w:rFonts w:ascii="Arial" w:hAnsi="Arial" w:cs="Arial"/>
          <w:sz w:val="20"/>
        </w:rPr>
        <w:t xml:space="preserve"> proceedings, the primary purpose of which is to resolve intra-familial disputes.  The State, in the form of the Department, may intervene in a case if there are protective concerns, but this is comparatively uncommon.</w:t>
      </w:r>
    </w:p>
    <w:p w14:paraId="3D81D0AD" w14:textId="77777777" w:rsidR="00693223" w:rsidRDefault="00693223">
      <w:pPr>
        <w:widowControl w:val="0"/>
        <w:rPr>
          <w:rFonts w:ascii="Arial" w:hAnsi="Arial" w:cs="Arial"/>
          <w:sz w:val="20"/>
        </w:rPr>
      </w:pPr>
    </w:p>
    <w:p w14:paraId="382F3F3C" w14:textId="77777777" w:rsidR="00693223" w:rsidRDefault="00693223" w:rsidP="009970EC">
      <w:pPr>
        <w:pStyle w:val="Heading3"/>
        <w:keepNext/>
        <w:keepLines/>
        <w:widowControl/>
        <w:spacing w:after="120" w:line="240" w:lineRule="auto"/>
        <w:rPr>
          <w:rFonts w:ascii="Arial" w:hAnsi="Arial" w:cs="Arial"/>
          <w:sz w:val="20"/>
        </w:rPr>
      </w:pPr>
      <w:bookmarkStart w:id="1512" w:name="_4.11.2__Responsibilities"/>
      <w:bookmarkStart w:id="1513" w:name="B4112"/>
      <w:bookmarkStart w:id="1514" w:name="_Toc30649086"/>
      <w:bookmarkStart w:id="1515" w:name="_Toc30649162"/>
      <w:bookmarkStart w:id="1516" w:name="_Toc30649425"/>
      <w:bookmarkStart w:id="1517" w:name="_Toc30649750"/>
      <w:bookmarkStart w:id="1518" w:name="_Toc30651694"/>
      <w:bookmarkStart w:id="1519" w:name="_Toc30652684"/>
      <w:bookmarkStart w:id="1520" w:name="_Toc30652780"/>
      <w:bookmarkStart w:id="1521" w:name="_Toc30654130"/>
      <w:bookmarkStart w:id="1522" w:name="_Toc30654487"/>
      <w:bookmarkStart w:id="1523" w:name="_Toc30655106"/>
      <w:bookmarkStart w:id="1524" w:name="_Toc30655363"/>
      <w:bookmarkStart w:id="1525" w:name="_Toc30657041"/>
      <w:bookmarkStart w:id="1526" w:name="_Toc30661790"/>
      <w:bookmarkStart w:id="1527" w:name="_Toc30666478"/>
      <w:bookmarkStart w:id="1528" w:name="_Toc30666708"/>
      <w:bookmarkStart w:id="1529" w:name="_Toc30667883"/>
      <w:bookmarkStart w:id="1530" w:name="_Toc30669261"/>
      <w:bookmarkStart w:id="1531" w:name="_Toc30671477"/>
      <w:bookmarkStart w:id="1532" w:name="_Toc30674004"/>
      <w:bookmarkStart w:id="1533" w:name="_Toc30691226"/>
      <w:bookmarkStart w:id="1534" w:name="_Toc30691599"/>
      <w:bookmarkStart w:id="1535" w:name="_Toc30691979"/>
      <w:bookmarkStart w:id="1536" w:name="_Toc30692738"/>
      <w:bookmarkStart w:id="1537" w:name="_Toc30693117"/>
      <w:bookmarkStart w:id="1538" w:name="_Toc30693495"/>
      <w:bookmarkStart w:id="1539" w:name="_Toc30693873"/>
      <w:bookmarkStart w:id="1540" w:name="_Toc30694254"/>
      <w:bookmarkStart w:id="1541" w:name="_Toc30698843"/>
      <w:bookmarkStart w:id="1542" w:name="_Toc30699221"/>
      <w:bookmarkStart w:id="1543" w:name="_Toc30699606"/>
      <w:bookmarkStart w:id="1544" w:name="_Toc30700761"/>
      <w:bookmarkStart w:id="1545" w:name="_Toc30701148"/>
      <w:bookmarkStart w:id="1546" w:name="_Toc30743758"/>
      <w:bookmarkStart w:id="1547" w:name="_Toc30754581"/>
      <w:bookmarkStart w:id="1548" w:name="_Toc30757021"/>
      <w:bookmarkStart w:id="1549" w:name="_Toc30757569"/>
      <w:bookmarkStart w:id="1550" w:name="_Toc30757969"/>
      <w:bookmarkStart w:id="1551" w:name="_Toc30762730"/>
      <w:bookmarkStart w:id="1552" w:name="_Toc30767384"/>
      <w:bookmarkStart w:id="1553" w:name="_Toc34823399"/>
      <w:bookmarkEnd w:id="1512"/>
      <w:bookmarkEnd w:id="1513"/>
      <w:r>
        <w:rPr>
          <w:rFonts w:ascii="Arial" w:hAnsi="Arial" w:cs="Arial"/>
          <w:b/>
          <w:bCs/>
          <w:sz w:val="20"/>
        </w:rPr>
        <w:t>4.1</w:t>
      </w:r>
      <w:r w:rsidR="002E5754">
        <w:rPr>
          <w:rFonts w:ascii="Arial" w:hAnsi="Arial" w:cs="Arial"/>
          <w:b/>
          <w:bCs/>
          <w:sz w:val="20"/>
        </w:rPr>
        <w:t>1</w:t>
      </w:r>
      <w:r>
        <w:rPr>
          <w:rFonts w:ascii="Arial" w:hAnsi="Arial" w:cs="Arial"/>
          <w:b/>
          <w:bCs/>
          <w:sz w:val="20"/>
        </w:rPr>
        <w:t>.2</w:t>
      </w:r>
      <w:r w:rsidR="00D0471A">
        <w:rPr>
          <w:rFonts w:ascii="Arial" w:hAnsi="Arial" w:cs="Arial"/>
          <w:b/>
          <w:bCs/>
          <w:sz w:val="20"/>
        </w:rPr>
        <w:tab/>
      </w:r>
      <w:r>
        <w:rPr>
          <w:rFonts w:ascii="Arial" w:hAnsi="Arial" w:cs="Arial"/>
          <w:b/>
          <w:bCs/>
          <w:sz w:val="20"/>
        </w:rPr>
        <w:tab/>
        <w:t>Responsibilities and obligations of the Family Court to children</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0799B818" w14:textId="77777777" w:rsidR="00693223" w:rsidRDefault="00693223">
      <w:pPr>
        <w:widowControl w:val="0"/>
        <w:jc w:val="both"/>
        <w:rPr>
          <w:rFonts w:ascii="Arial" w:hAnsi="Arial" w:cs="Arial"/>
          <w:sz w:val="20"/>
        </w:rPr>
      </w:pPr>
      <w:r>
        <w:rPr>
          <w:rFonts w:ascii="Arial" w:hAnsi="Arial" w:cs="Arial"/>
          <w:sz w:val="20"/>
        </w:rPr>
        <w:t xml:space="preserve">Nevertheless, the Family Court's responsibilities and obligations to children within its purview are </w:t>
      </w:r>
      <w:r w:rsidR="009E77AD">
        <w:rPr>
          <w:rFonts w:ascii="Arial" w:hAnsi="Arial" w:cs="Arial"/>
          <w:sz w:val="20"/>
        </w:rPr>
        <w:t>general</w:t>
      </w:r>
      <w:r>
        <w:rPr>
          <w:rFonts w:ascii="Arial" w:hAnsi="Arial" w:cs="Arial"/>
          <w:sz w:val="20"/>
        </w:rPr>
        <w:t>ly the same as those of the Children's Court</w:t>
      </w:r>
      <w:r w:rsidR="009E77AD">
        <w:rPr>
          <w:rFonts w:ascii="Arial" w:hAnsi="Arial" w:cs="Arial"/>
          <w:sz w:val="20"/>
        </w:rPr>
        <w:t>, namely to treat the best interests of the child as paramount</w:t>
      </w:r>
      <w:r>
        <w:rPr>
          <w:rFonts w:ascii="Arial" w:hAnsi="Arial" w:cs="Arial"/>
          <w:sz w:val="20"/>
        </w:rPr>
        <w:t xml:space="preserve">.  The </w:t>
      </w:r>
      <w:r w:rsidR="009E77AD">
        <w:rPr>
          <w:rFonts w:ascii="Arial" w:hAnsi="Arial" w:cs="Arial"/>
          <w:sz w:val="20"/>
        </w:rPr>
        <w:t>Family Court’s responsibilities and obligations were previously</w:t>
      </w:r>
      <w:r>
        <w:rPr>
          <w:rFonts w:ascii="Arial" w:hAnsi="Arial" w:cs="Arial"/>
          <w:sz w:val="20"/>
        </w:rPr>
        <w:t xml:space="preserve"> set out in ss.68F &amp; 68L(1) of the Family Law Act 1975 (Cth) and were summarized in </w:t>
      </w:r>
      <w:r>
        <w:rPr>
          <w:rFonts w:ascii="Arial" w:hAnsi="Arial" w:cs="Arial"/>
          <w:i/>
          <w:iCs/>
          <w:sz w:val="20"/>
        </w:rPr>
        <w:t>B and B</w:t>
      </w:r>
      <w:r>
        <w:rPr>
          <w:rFonts w:ascii="Arial" w:hAnsi="Arial" w:cs="Arial"/>
          <w:sz w:val="20"/>
        </w:rPr>
        <w:t xml:space="preserve"> (1993) FLC 92-271 as follows:</w:t>
      </w:r>
    </w:p>
    <w:p w14:paraId="2F381549"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protect the rights of children and promote their welfare;</w:t>
      </w:r>
    </w:p>
    <w:p w14:paraId="15955D93" w14:textId="77777777" w:rsidR="00693223" w:rsidRDefault="00693223" w:rsidP="00BA6FBE">
      <w:pPr>
        <w:keepNext/>
        <w:keepLines/>
        <w:numPr>
          <w:ilvl w:val="0"/>
          <w:numId w:val="3"/>
        </w:numPr>
        <w:ind w:left="284" w:hanging="284"/>
        <w:jc w:val="both"/>
        <w:rPr>
          <w:rFonts w:ascii="Arial" w:hAnsi="Arial" w:cs="Arial"/>
          <w:sz w:val="20"/>
        </w:rPr>
      </w:pPr>
      <w:r>
        <w:rPr>
          <w:rFonts w:ascii="Arial" w:hAnsi="Arial" w:cs="Arial"/>
          <w:sz w:val="20"/>
        </w:rPr>
        <w:t>to regard the welfare of the child as the paramount consideration;</w:t>
      </w:r>
    </w:p>
    <w:p w14:paraId="1E3391E4" w14:textId="77777777" w:rsidR="00693223" w:rsidRDefault="00693223" w:rsidP="00BA6FBE">
      <w:pPr>
        <w:numPr>
          <w:ilvl w:val="0"/>
          <w:numId w:val="3"/>
        </w:numPr>
        <w:jc w:val="both"/>
        <w:rPr>
          <w:rFonts w:ascii="Arial" w:hAnsi="Arial" w:cs="Arial"/>
          <w:sz w:val="20"/>
        </w:rPr>
      </w:pPr>
      <w:r>
        <w:rPr>
          <w:rFonts w:ascii="Arial" w:hAnsi="Arial" w:cs="Arial"/>
          <w:sz w:val="20"/>
        </w:rPr>
        <w:t>to protect the child from abuse, ill-treatment or exposure or subjection to behaviour which psychologically harms the child;</w:t>
      </w:r>
    </w:p>
    <w:p w14:paraId="3B70A83A" w14:textId="77777777" w:rsidR="00693223" w:rsidRDefault="00693223" w:rsidP="00BA6FBE">
      <w:pPr>
        <w:numPr>
          <w:ilvl w:val="0"/>
          <w:numId w:val="3"/>
        </w:numPr>
        <w:jc w:val="both"/>
        <w:rPr>
          <w:rFonts w:ascii="Arial" w:hAnsi="Arial" w:cs="Arial"/>
          <w:sz w:val="20"/>
        </w:rPr>
      </w:pPr>
      <w:r>
        <w:rPr>
          <w:rFonts w:ascii="Arial" w:hAnsi="Arial" w:cs="Arial"/>
          <w:sz w:val="20"/>
        </w:rPr>
        <w:lastRenderedPageBreak/>
        <w:t>to notify the relevant child welfare authorities of any abuse or ill-treatment, or exposure to behaviour which may psychologically harm the child, or of any suspicion that this has occurred or may occur, and the basis for that suspicion.</w:t>
      </w:r>
    </w:p>
    <w:p w14:paraId="6BF28F16" w14:textId="77777777" w:rsidR="00693223" w:rsidRDefault="009E77AD">
      <w:pPr>
        <w:rPr>
          <w:rFonts w:ascii="Arial" w:hAnsi="Arial" w:cs="Arial"/>
          <w:sz w:val="20"/>
        </w:rPr>
      </w:pPr>
      <w:r>
        <w:rPr>
          <w:rFonts w:ascii="Arial" w:hAnsi="Arial" w:cs="Arial"/>
          <w:sz w:val="20"/>
        </w:rPr>
        <w:t xml:space="preserve">See now, </w:t>
      </w:r>
      <w:r w:rsidRPr="009E77AD">
        <w:rPr>
          <w:rFonts w:ascii="Arial" w:hAnsi="Arial" w:cs="Arial"/>
          <w:i/>
          <w:sz w:val="20"/>
        </w:rPr>
        <w:t>inter alia</w:t>
      </w:r>
      <w:r>
        <w:rPr>
          <w:rFonts w:ascii="Arial" w:hAnsi="Arial" w:cs="Arial"/>
          <w:sz w:val="20"/>
        </w:rPr>
        <w:t xml:space="preserve">, ss.60B, s.60CA, 60CB, 60CC, 60G(2), </w:t>
      </w:r>
      <w:r w:rsidR="000F4CD8">
        <w:rPr>
          <w:rFonts w:ascii="Arial" w:hAnsi="Arial" w:cs="Arial"/>
          <w:sz w:val="20"/>
        </w:rPr>
        <w:t xml:space="preserve">63F(2), 63F(6), 68R of the </w:t>
      </w:r>
      <w:smartTag w:uri="urn:schemas-microsoft-com:office:smarttags" w:element="State">
        <w:smartTag w:uri="urn:schemas-microsoft-com:office:smarttags" w:element="place">
          <w:r w:rsidR="000F4CD8">
            <w:rPr>
              <w:rFonts w:ascii="Arial" w:hAnsi="Arial" w:cs="Arial"/>
              <w:sz w:val="20"/>
            </w:rPr>
            <w:t>FLA</w:t>
          </w:r>
        </w:smartTag>
      </w:smartTag>
      <w:r w:rsidR="000F4CD8">
        <w:rPr>
          <w:rFonts w:ascii="Arial" w:hAnsi="Arial" w:cs="Arial"/>
          <w:sz w:val="20"/>
        </w:rPr>
        <w:t xml:space="preserve"> as amended by Act No.46 of 2006.</w:t>
      </w:r>
    </w:p>
    <w:p w14:paraId="53682CE9" w14:textId="77777777" w:rsidR="009E77AD" w:rsidRDefault="009E77AD">
      <w:pPr>
        <w:rPr>
          <w:rFonts w:ascii="Arial" w:hAnsi="Arial" w:cs="Arial"/>
          <w:sz w:val="20"/>
        </w:rPr>
      </w:pPr>
    </w:p>
    <w:p w14:paraId="5E8FD277" w14:textId="77777777" w:rsidR="00693223" w:rsidRDefault="00693223">
      <w:pPr>
        <w:jc w:val="both"/>
        <w:rPr>
          <w:rFonts w:ascii="Arial" w:hAnsi="Arial" w:cs="Arial"/>
          <w:sz w:val="20"/>
        </w:rPr>
      </w:pPr>
      <w:r>
        <w:rPr>
          <w:rFonts w:ascii="Arial" w:hAnsi="Arial" w:cs="Arial"/>
          <w:sz w:val="20"/>
        </w:rPr>
        <w:t xml:space="preserve">In </w:t>
      </w:r>
      <w:r>
        <w:rPr>
          <w:rFonts w:ascii="Arial" w:hAnsi="Arial" w:cs="Arial"/>
          <w:i/>
          <w:iCs/>
          <w:sz w:val="20"/>
        </w:rPr>
        <w:t>B and B</w:t>
      </w:r>
      <w:r>
        <w:rPr>
          <w:rFonts w:ascii="Arial" w:hAnsi="Arial" w:cs="Arial"/>
          <w:sz w:val="20"/>
        </w:rPr>
        <w:t xml:space="preserve">, the Family Court also recognised the obligation placed on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by its accession to the </w:t>
      </w:r>
      <w:r>
        <w:rPr>
          <w:rFonts w:ascii="Arial" w:hAnsi="Arial" w:cs="Arial"/>
          <w:i/>
          <w:iCs/>
          <w:sz w:val="20"/>
        </w:rPr>
        <w:t>United Nations Convention on the Rights of the Child</w:t>
      </w:r>
      <w:r>
        <w:rPr>
          <w:rFonts w:ascii="Arial" w:hAnsi="Arial" w:cs="Arial"/>
          <w:sz w:val="20"/>
        </w:rPr>
        <w:t>, to</w:t>
      </w:r>
    </w:p>
    <w:p w14:paraId="4E8A07AE" w14:textId="77777777" w:rsidR="00693223" w:rsidRDefault="00693223">
      <w:pPr>
        <w:ind w:left="454" w:right="454"/>
        <w:jc w:val="both"/>
        <w:rPr>
          <w:rFonts w:ascii="Arial" w:hAnsi="Arial" w:cs="Arial"/>
          <w:sz w:val="20"/>
        </w:rPr>
      </w:pPr>
      <w:r>
        <w:rPr>
          <w:rFonts w:ascii="Arial" w:hAnsi="Arial" w:cs="Arial"/>
          <w:sz w:val="20"/>
        </w:rPr>
        <w:t>"take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care of the child." Article 19.1</w:t>
      </w:r>
    </w:p>
    <w:p w14:paraId="20557FFF" w14:textId="77777777" w:rsidR="00693223" w:rsidRDefault="00693223">
      <w:pPr>
        <w:rPr>
          <w:rFonts w:ascii="Arial" w:hAnsi="Arial" w:cs="Arial"/>
          <w:sz w:val="20"/>
        </w:rPr>
      </w:pPr>
    </w:p>
    <w:p w14:paraId="0B1C0EB1" w14:textId="77777777" w:rsidR="00693223" w:rsidRDefault="00693223">
      <w:pPr>
        <w:pStyle w:val="Heading3"/>
        <w:keepNext/>
        <w:keepLines/>
        <w:spacing w:after="120" w:line="240" w:lineRule="auto"/>
        <w:rPr>
          <w:rFonts w:ascii="Arial" w:hAnsi="Arial" w:cs="Arial"/>
          <w:sz w:val="20"/>
        </w:rPr>
      </w:pPr>
      <w:bookmarkStart w:id="1554" w:name="_4.11.3__Notification"/>
      <w:bookmarkStart w:id="1555" w:name="B4113"/>
      <w:bookmarkStart w:id="1556" w:name="_Toc30655107"/>
      <w:bookmarkStart w:id="1557" w:name="_Toc30655364"/>
      <w:bookmarkStart w:id="1558" w:name="_Toc30657042"/>
      <w:bookmarkStart w:id="1559" w:name="_Toc30661791"/>
      <w:bookmarkStart w:id="1560" w:name="_Toc30666479"/>
      <w:bookmarkStart w:id="1561" w:name="_Toc30666709"/>
      <w:bookmarkStart w:id="1562" w:name="_Toc30667884"/>
      <w:bookmarkStart w:id="1563" w:name="_Toc30669262"/>
      <w:bookmarkStart w:id="1564" w:name="_Toc30671478"/>
      <w:bookmarkStart w:id="1565" w:name="_Toc30674005"/>
      <w:bookmarkStart w:id="1566" w:name="_Toc30691227"/>
      <w:bookmarkStart w:id="1567" w:name="_Toc30691600"/>
      <w:bookmarkStart w:id="1568" w:name="_Toc30691980"/>
      <w:bookmarkStart w:id="1569" w:name="_Toc30692739"/>
      <w:bookmarkStart w:id="1570" w:name="_Toc30693118"/>
      <w:bookmarkStart w:id="1571" w:name="_Toc30693496"/>
      <w:bookmarkStart w:id="1572" w:name="_Toc30693874"/>
      <w:bookmarkStart w:id="1573" w:name="_Toc30694255"/>
      <w:bookmarkStart w:id="1574" w:name="_Toc30698844"/>
      <w:bookmarkStart w:id="1575" w:name="_Toc30699222"/>
      <w:bookmarkStart w:id="1576" w:name="_Toc30699607"/>
      <w:bookmarkStart w:id="1577" w:name="_Toc30700762"/>
      <w:bookmarkStart w:id="1578" w:name="_Toc30701149"/>
      <w:bookmarkStart w:id="1579" w:name="_Toc30743759"/>
      <w:bookmarkStart w:id="1580" w:name="_Toc30754582"/>
      <w:bookmarkStart w:id="1581" w:name="_Toc30757022"/>
      <w:bookmarkStart w:id="1582" w:name="_Toc30757570"/>
      <w:bookmarkStart w:id="1583" w:name="_Toc30757970"/>
      <w:bookmarkStart w:id="1584" w:name="_Toc30762731"/>
      <w:bookmarkStart w:id="1585" w:name="_Toc30767385"/>
      <w:bookmarkStart w:id="1586" w:name="_Toc34823400"/>
      <w:bookmarkEnd w:id="1554"/>
      <w:bookmarkEnd w:id="1555"/>
      <w:r>
        <w:rPr>
          <w:rFonts w:ascii="Arial" w:hAnsi="Arial" w:cs="Arial"/>
          <w:b/>
          <w:bCs/>
          <w:sz w:val="20"/>
        </w:rPr>
        <w:t>4.1</w:t>
      </w:r>
      <w:r w:rsidR="002E5754">
        <w:rPr>
          <w:rFonts w:ascii="Arial" w:hAnsi="Arial" w:cs="Arial"/>
          <w:b/>
          <w:bCs/>
          <w:sz w:val="20"/>
        </w:rPr>
        <w:t>1</w:t>
      </w:r>
      <w:r>
        <w:rPr>
          <w:rFonts w:ascii="Arial" w:hAnsi="Arial" w:cs="Arial"/>
          <w:b/>
          <w:bCs/>
          <w:sz w:val="20"/>
        </w:rPr>
        <w:t>.3</w:t>
      </w:r>
      <w:r w:rsidR="00D0471A">
        <w:rPr>
          <w:rFonts w:ascii="Arial" w:hAnsi="Arial" w:cs="Arial"/>
          <w:b/>
          <w:bCs/>
          <w:sz w:val="20"/>
        </w:rPr>
        <w:tab/>
      </w:r>
      <w:r w:rsidR="00C4725F">
        <w:rPr>
          <w:rFonts w:ascii="Arial" w:hAnsi="Arial" w:cs="Arial"/>
          <w:b/>
          <w:bCs/>
          <w:sz w:val="20"/>
        </w:rPr>
        <w:tab/>
      </w:r>
      <w:r>
        <w:rPr>
          <w:rFonts w:ascii="Arial" w:hAnsi="Arial" w:cs="Arial"/>
          <w:b/>
          <w:bCs/>
          <w:sz w:val="20"/>
        </w:rPr>
        <w:t>Notification by the Family Court to State welfare authorities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4E6C407E" w14:textId="77777777" w:rsidR="00693223" w:rsidRDefault="00693223" w:rsidP="00733EAB">
      <w:pPr>
        <w:keepNext/>
        <w:keepLines/>
        <w:jc w:val="both"/>
        <w:rPr>
          <w:rFonts w:ascii="Arial" w:hAnsi="Arial" w:cs="Arial"/>
          <w:sz w:val="20"/>
        </w:rPr>
      </w:pPr>
      <w:r>
        <w:rPr>
          <w:rFonts w:ascii="Arial" w:hAnsi="Arial" w:cs="Arial"/>
          <w:sz w:val="20"/>
        </w:rPr>
        <w:t>Where it is alleged by one or more parties with proceedings before the Family Court that a child is being abused or is at risk of being abused, the Family Court must notify the State welfare authorities of the allegation.  Members of the Court who suspect abuse must also report their suspicions to the relevant State welfare authorities.</w:t>
      </w:r>
    </w:p>
    <w:p w14:paraId="29F2F159" w14:textId="77777777" w:rsidR="00693223" w:rsidRDefault="00693223">
      <w:pPr>
        <w:rPr>
          <w:rFonts w:ascii="Arial" w:hAnsi="Arial" w:cs="Arial"/>
          <w:sz w:val="20"/>
        </w:rPr>
      </w:pPr>
    </w:p>
    <w:p w14:paraId="6821B96C" w14:textId="77777777" w:rsidR="00693223" w:rsidRDefault="00693223" w:rsidP="009E77AD">
      <w:pPr>
        <w:pStyle w:val="Heading3"/>
        <w:keepNext/>
        <w:keepLines/>
        <w:spacing w:after="120" w:line="240" w:lineRule="auto"/>
        <w:rPr>
          <w:rFonts w:ascii="Arial" w:hAnsi="Arial" w:cs="Arial"/>
          <w:sz w:val="20"/>
        </w:rPr>
      </w:pPr>
      <w:bookmarkStart w:id="1587" w:name="_4.11.4__Representation"/>
      <w:bookmarkStart w:id="1588" w:name="B4114"/>
      <w:bookmarkStart w:id="1589" w:name="_Toc30743760"/>
      <w:bookmarkStart w:id="1590" w:name="_Toc30754583"/>
      <w:bookmarkStart w:id="1591" w:name="_Toc30757023"/>
      <w:bookmarkStart w:id="1592" w:name="_Toc30757571"/>
      <w:bookmarkStart w:id="1593" w:name="_Toc30757971"/>
      <w:bookmarkStart w:id="1594" w:name="_Toc30762732"/>
      <w:bookmarkStart w:id="1595" w:name="_Toc30767386"/>
      <w:bookmarkStart w:id="1596" w:name="_Toc34823401"/>
      <w:bookmarkEnd w:id="1587"/>
      <w:bookmarkEnd w:id="1588"/>
      <w:r>
        <w:rPr>
          <w:rFonts w:ascii="Arial" w:hAnsi="Arial" w:cs="Arial"/>
          <w:b/>
          <w:bCs/>
          <w:sz w:val="20"/>
        </w:rPr>
        <w:t>4.1</w:t>
      </w:r>
      <w:r w:rsidR="002E5754">
        <w:rPr>
          <w:rFonts w:ascii="Arial" w:hAnsi="Arial" w:cs="Arial"/>
          <w:b/>
          <w:bCs/>
          <w:sz w:val="20"/>
        </w:rPr>
        <w:t>1</w:t>
      </w:r>
      <w:r>
        <w:rPr>
          <w:rFonts w:ascii="Arial" w:hAnsi="Arial" w:cs="Arial"/>
          <w:b/>
          <w:bCs/>
          <w:sz w:val="20"/>
        </w:rPr>
        <w:t>.4</w:t>
      </w:r>
      <w:r w:rsidR="00D0471A">
        <w:rPr>
          <w:rFonts w:ascii="Arial" w:hAnsi="Arial" w:cs="Arial"/>
          <w:b/>
          <w:bCs/>
          <w:sz w:val="20"/>
        </w:rPr>
        <w:tab/>
      </w:r>
      <w:r>
        <w:rPr>
          <w:rFonts w:ascii="Arial" w:hAnsi="Arial" w:cs="Arial"/>
          <w:b/>
          <w:bCs/>
          <w:sz w:val="20"/>
        </w:rPr>
        <w:tab/>
        <w:t>Representation of children</w:t>
      </w:r>
      <w:bookmarkEnd w:id="1589"/>
      <w:bookmarkEnd w:id="1590"/>
      <w:bookmarkEnd w:id="1591"/>
      <w:bookmarkEnd w:id="1592"/>
      <w:bookmarkEnd w:id="1593"/>
      <w:bookmarkEnd w:id="1594"/>
      <w:bookmarkEnd w:id="1595"/>
      <w:bookmarkEnd w:id="1596"/>
    </w:p>
    <w:p w14:paraId="70D3591F" w14:textId="77777777" w:rsidR="00693223" w:rsidRPr="00C87CED" w:rsidRDefault="00693223" w:rsidP="009E77AD">
      <w:pPr>
        <w:keepNext/>
        <w:keepLines/>
        <w:ind w:left="397" w:hanging="397"/>
        <w:rPr>
          <w:rFonts w:ascii="Arial" w:hAnsi="Arial" w:cs="Arial"/>
          <w:sz w:val="20"/>
          <w:szCs w:val="20"/>
        </w:rPr>
      </w:pPr>
      <w:r w:rsidRPr="00C87CED">
        <w:rPr>
          <w:rFonts w:ascii="Arial" w:hAnsi="Arial" w:cs="Arial"/>
          <w:sz w:val="20"/>
          <w:szCs w:val="20"/>
        </w:rPr>
        <w:t xml:space="preserve">See                    </w:t>
      </w:r>
      <w:hyperlink w:anchor="_4.7_Representation_of" w:history="1">
        <w:r w:rsidRPr="00C87CED">
          <w:rPr>
            <w:rStyle w:val="Hyperlink"/>
            <w:rFonts w:ascii="Arial" w:hAnsi="Arial" w:cs="Arial"/>
            <w:sz w:val="20"/>
            <w:szCs w:val="20"/>
          </w:rPr>
          <w:t>4.7</w:t>
        </w:r>
        <w:r w:rsidRPr="00C87CED">
          <w:rPr>
            <w:rStyle w:val="Hyperlink"/>
            <w:rFonts w:ascii="Arial" w:hAnsi="Arial" w:cs="Arial"/>
            <w:sz w:val="20"/>
            <w:szCs w:val="20"/>
          </w:rPr>
          <w:tab/>
          <w:t>Representation of children in the Family Division of the Court</w:t>
        </w:r>
      </w:hyperlink>
      <w:r w:rsidRPr="00C87CED">
        <w:rPr>
          <w:rFonts w:ascii="Arial" w:hAnsi="Arial" w:cs="Arial"/>
          <w:sz w:val="20"/>
          <w:szCs w:val="20"/>
        </w:rPr>
        <w:t xml:space="preserve"> </w:t>
      </w:r>
    </w:p>
    <w:p w14:paraId="770EE1E2" w14:textId="77777777" w:rsidR="00693223" w:rsidRPr="00C87CED" w:rsidRDefault="00693223">
      <w:pPr>
        <w:ind w:left="397" w:hanging="397"/>
        <w:rPr>
          <w:rFonts w:ascii="Arial" w:hAnsi="Arial" w:cs="Arial"/>
          <w:sz w:val="20"/>
          <w:szCs w:val="20"/>
        </w:rPr>
      </w:pPr>
      <w:r w:rsidRPr="00C87CED">
        <w:rPr>
          <w:rFonts w:ascii="Arial" w:hAnsi="Arial" w:cs="Arial"/>
          <w:sz w:val="20"/>
          <w:szCs w:val="20"/>
        </w:rPr>
        <w:t xml:space="preserve">and in particular </w:t>
      </w:r>
      <w:hyperlink w:anchor="_4.7.6_Child_representation" w:history="1">
        <w:r w:rsidRPr="00C87CED">
          <w:rPr>
            <w:rStyle w:val="Hyperlink"/>
            <w:rFonts w:ascii="Arial" w:hAnsi="Arial" w:cs="Arial"/>
            <w:sz w:val="20"/>
            <w:szCs w:val="20"/>
          </w:rPr>
          <w:t>4.7.</w:t>
        </w:r>
        <w:r w:rsidR="00E55025" w:rsidRPr="00C87CED">
          <w:rPr>
            <w:rStyle w:val="Hyperlink"/>
            <w:rFonts w:ascii="Arial" w:hAnsi="Arial" w:cs="Arial"/>
            <w:sz w:val="20"/>
            <w:szCs w:val="20"/>
          </w:rPr>
          <w:t>6</w:t>
        </w:r>
        <w:r w:rsidRPr="00C87CED">
          <w:rPr>
            <w:rStyle w:val="Hyperlink"/>
            <w:rFonts w:ascii="Arial" w:hAnsi="Arial" w:cs="Arial"/>
            <w:sz w:val="20"/>
            <w:szCs w:val="20"/>
          </w:rPr>
          <w:tab/>
          <w:t>Child representation in Children’s Court and Family Court compared</w:t>
        </w:r>
      </w:hyperlink>
      <w:r w:rsidRPr="00C87CED">
        <w:rPr>
          <w:rFonts w:ascii="Arial" w:hAnsi="Arial" w:cs="Arial"/>
          <w:sz w:val="20"/>
          <w:szCs w:val="20"/>
        </w:rPr>
        <w:t>.</w:t>
      </w:r>
    </w:p>
    <w:p w14:paraId="10FCA366" w14:textId="77777777" w:rsidR="00693223" w:rsidRPr="00C87CED" w:rsidRDefault="00693223">
      <w:pPr>
        <w:rPr>
          <w:rFonts w:ascii="Arial" w:hAnsi="Arial" w:cs="Arial"/>
          <w:sz w:val="20"/>
          <w:szCs w:val="20"/>
        </w:rPr>
      </w:pPr>
      <w:r w:rsidRPr="00C87CED">
        <w:rPr>
          <w:rFonts w:ascii="Arial" w:hAnsi="Arial" w:cs="Arial"/>
          <w:sz w:val="20"/>
          <w:szCs w:val="20"/>
        </w:rPr>
        <w:t xml:space="preserve">See also the website of the Family Court of Australia </w:t>
      </w:r>
      <w:hyperlink r:id="rId39" w:history="1">
        <w:r w:rsidRPr="00C87CED">
          <w:rPr>
            <w:rStyle w:val="Hyperlink"/>
            <w:rFonts w:ascii="Arial" w:hAnsi="Arial" w:cs="Arial"/>
            <w:sz w:val="20"/>
            <w:szCs w:val="20"/>
          </w:rPr>
          <w:t>http://www.familycourt.gov.au</w:t>
        </w:r>
      </w:hyperlink>
      <w:r w:rsidRPr="00C87CED">
        <w:rPr>
          <w:rFonts w:ascii="Arial" w:hAnsi="Arial" w:cs="Arial"/>
          <w:sz w:val="20"/>
          <w:szCs w:val="20"/>
        </w:rPr>
        <w:t>.</w:t>
      </w:r>
    </w:p>
    <w:p w14:paraId="4715431E" w14:textId="77777777" w:rsidR="00693223" w:rsidRDefault="00693223">
      <w:pPr>
        <w:rPr>
          <w:rFonts w:ascii="Arial" w:hAnsi="Arial" w:cs="Arial"/>
          <w:sz w:val="20"/>
        </w:rPr>
      </w:pPr>
    </w:p>
    <w:p w14:paraId="15BC9F2E" w14:textId="77777777" w:rsidR="00693223" w:rsidRDefault="00693223">
      <w:pPr>
        <w:pStyle w:val="Heading3"/>
        <w:keepNext/>
        <w:keepLines/>
        <w:spacing w:after="120" w:line="240" w:lineRule="auto"/>
        <w:rPr>
          <w:rFonts w:ascii="Arial" w:hAnsi="Arial" w:cs="Arial"/>
          <w:sz w:val="20"/>
        </w:rPr>
      </w:pPr>
      <w:bookmarkStart w:id="1597" w:name="_4.11.5__Priority"/>
      <w:bookmarkStart w:id="1598" w:name="B4115"/>
      <w:bookmarkStart w:id="1599" w:name="_Toc30743761"/>
      <w:bookmarkStart w:id="1600" w:name="_Toc30754584"/>
      <w:bookmarkStart w:id="1601" w:name="_Toc30757024"/>
      <w:bookmarkStart w:id="1602" w:name="_Toc30757572"/>
      <w:bookmarkStart w:id="1603" w:name="_Toc30757972"/>
      <w:bookmarkStart w:id="1604" w:name="_Toc30762733"/>
      <w:bookmarkStart w:id="1605" w:name="_Toc30767387"/>
      <w:bookmarkStart w:id="1606" w:name="_Toc34823402"/>
      <w:bookmarkStart w:id="1607" w:name="_Toc60400038"/>
      <w:bookmarkStart w:id="1608" w:name="_Toc60396205"/>
      <w:bookmarkEnd w:id="1597"/>
      <w:bookmarkEnd w:id="1598"/>
      <w:r>
        <w:rPr>
          <w:rFonts w:ascii="Arial" w:hAnsi="Arial" w:cs="Arial"/>
          <w:b/>
          <w:bCs/>
          <w:sz w:val="20"/>
        </w:rPr>
        <w:t>4.1</w:t>
      </w:r>
      <w:r w:rsidR="002E5754">
        <w:rPr>
          <w:rFonts w:ascii="Arial" w:hAnsi="Arial" w:cs="Arial"/>
          <w:b/>
          <w:bCs/>
          <w:sz w:val="20"/>
        </w:rPr>
        <w:t>1</w:t>
      </w:r>
      <w:r>
        <w:rPr>
          <w:rFonts w:ascii="Arial" w:hAnsi="Arial" w:cs="Arial"/>
          <w:b/>
          <w:bCs/>
          <w:sz w:val="20"/>
        </w:rPr>
        <w:t>.5</w:t>
      </w:r>
      <w:r w:rsidR="00D0471A">
        <w:rPr>
          <w:rFonts w:ascii="Arial" w:hAnsi="Arial" w:cs="Arial"/>
          <w:b/>
          <w:bCs/>
          <w:sz w:val="20"/>
        </w:rPr>
        <w:tab/>
      </w:r>
      <w:r>
        <w:rPr>
          <w:rFonts w:ascii="Arial" w:hAnsi="Arial" w:cs="Arial"/>
          <w:b/>
          <w:bCs/>
          <w:sz w:val="20"/>
        </w:rPr>
        <w:tab/>
        <w:t>Priority of orders</w:t>
      </w:r>
      <w:bookmarkEnd w:id="1599"/>
      <w:bookmarkEnd w:id="1600"/>
      <w:bookmarkEnd w:id="1601"/>
      <w:bookmarkEnd w:id="1602"/>
      <w:bookmarkEnd w:id="1603"/>
      <w:bookmarkEnd w:id="1604"/>
      <w:bookmarkEnd w:id="1605"/>
      <w:bookmarkEnd w:id="1606"/>
      <w:bookmarkEnd w:id="1607"/>
    </w:p>
    <w:p w14:paraId="003373EB" w14:textId="77777777" w:rsidR="00693223" w:rsidRDefault="00693223">
      <w:pPr>
        <w:jc w:val="both"/>
        <w:rPr>
          <w:rFonts w:ascii="Arial" w:hAnsi="Arial" w:cs="Arial"/>
          <w:sz w:val="20"/>
        </w:rPr>
      </w:pPr>
      <w:r>
        <w:rPr>
          <w:rFonts w:ascii="Arial" w:hAnsi="Arial" w:cs="Arial"/>
          <w:sz w:val="20"/>
        </w:rPr>
        <w:t xml:space="preserve">In the writer's opinion it is tolerably clear that a protection order takes precedence over a conflicting order under the Family Law Act 1975 (Cth) [as amended]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whichever order was made first.  The situation in </w:t>
      </w:r>
      <w:smartTag w:uri="urn:schemas-microsoft-com:office:smarttags" w:element="State">
        <w:r>
          <w:rPr>
            <w:rFonts w:ascii="Arial" w:hAnsi="Arial" w:cs="Arial"/>
            <w:sz w:val="20"/>
          </w:rPr>
          <w:t>Victoria</w:t>
        </w:r>
      </w:smartTag>
      <w:r>
        <w:rPr>
          <w:rFonts w:ascii="Arial" w:hAnsi="Arial" w:cs="Arial"/>
          <w:sz w:val="20"/>
        </w:rPr>
        <w:t xml:space="preserve"> is now regulated by s.69ZK of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rather than its predecessor s.60H [but see pp.1682-1701 of CCH Australian Family Law Court Handbook].  In any event, although there are some differences between the old provisions and the new, each expressly provide for the continued operation of certain State orders and each has </w:t>
      </w:r>
      <w:r w:rsidR="003400E4">
        <w:rPr>
          <w:rFonts w:ascii="Arial" w:hAnsi="Arial" w:cs="Arial"/>
          <w:sz w:val="20"/>
        </w:rPr>
        <w:t>two</w:t>
      </w:r>
      <w:r>
        <w:rPr>
          <w:rFonts w:ascii="Arial" w:hAnsi="Arial" w:cs="Arial"/>
          <w:sz w:val="20"/>
        </w:rPr>
        <w:t xml:space="preserve"> basic limbs:</w:t>
      </w:r>
    </w:p>
    <w:p w14:paraId="50F2A76E"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State jurisdiction not fettered [s.69ZK(2)]</w:t>
      </w:r>
      <w:r>
        <w:rPr>
          <w:rFonts w:ascii="Arial" w:hAnsi="Arial" w:cs="Arial"/>
          <w:sz w:val="20"/>
        </w:rPr>
        <w:t xml:space="preserve">:  Nothing in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xml:space="preserve"> affects:</w:t>
      </w:r>
    </w:p>
    <w:p w14:paraId="080E157C" w14:textId="77777777" w:rsidR="00693223" w:rsidRDefault="00693223">
      <w:pPr>
        <w:numPr>
          <w:ilvl w:val="0"/>
          <w:numId w:val="16"/>
        </w:numPr>
        <w:ind w:right="357"/>
        <w:jc w:val="both"/>
        <w:rPr>
          <w:rFonts w:ascii="Arial" w:hAnsi="Arial" w:cs="Arial"/>
          <w:sz w:val="20"/>
        </w:rPr>
      </w:pPr>
      <w:r>
        <w:rPr>
          <w:rFonts w:ascii="Arial" w:hAnsi="Arial" w:cs="Arial"/>
          <w:sz w:val="20"/>
        </w:rPr>
        <w:t>the jurisdiction of a court, or the power of an authority, under a child welfare law to make an order, or to take any other action, by which a child is placed under the care (however described) of a person under a child welfare law; or</w:t>
      </w:r>
    </w:p>
    <w:p w14:paraId="1F5AF4D7" w14:textId="77777777" w:rsidR="00693223" w:rsidRDefault="00693223">
      <w:pPr>
        <w:numPr>
          <w:ilvl w:val="0"/>
          <w:numId w:val="16"/>
        </w:numPr>
        <w:ind w:right="357"/>
        <w:jc w:val="both"/>
        <w:rPr>
          <w:rFonts w:ascii="Arial" w:hAnsi="Arial" w:cs="Arial"/>
          <w:sz w:val="20"/>
        </w:rPr>
      </w:pPr>
      <w:r>
        <w:rPr>
          <w:rFonts w:ascii="Arial" w:hAnsi="Arial" w:cs="Arial"/>
          <w:sz w:val="20"/>
        </w:rPr>
        <w:t>any such order made or action taken; or</w:t>
      </w:r>
    </w:p>
    <w:p w14:paraId="7F6F97D2" w14:textId="77777777" w:rsidR="00693223" w:rsidRDefault="00693223">
      <w:pPr>
        <w:numPr>
          <w:ilvl w:val="0"/>
          <w:numId w:val="16"/>
        </w:numPr>
        <w:ind w:right="357"/>
        <w:jc w:val="both"/>
        <w:rPr>
          <w:rFonts w:ascii="Arial" w:hAnsi="Arial" w:cs="Arial"/>
          <w:sz w:val="20"/>
        </w:rPr>
      </w:pPr>
      <w:r>
        <w:rPr>
          <w:rFonts w:ascii="Arial" w:hAnsi="Arial" w:cs="Arial"/>
          <w:sz w:val="20"/>
        </w:rPr>
        <w:t>the operation of a child welfare law in relation to a child.</w:t>
      </w:r>
    </w:p>
    <w:p w14:paraId="77204A92" w14:textId="77777777" w:rsidR="00693223" w:rsidRDefault="00693223" w:rsidP="00BA6FBE">
      <w:pPr>
        <w:numPr>
          <w:ilvl w:val="0"/>
          <w:numId w:val="13"/>
        </w:numPr>
        <w:spacing w:before="60"/>
        <w:ind w:left="714" w:right="357" w:hanging="357"/>
        <w:jc w:val="both"/>
        <w:rPr>
          <w:rFonts w:ascii="Arial" w:hAnsi="Arial" w:cs="Arial"/>
          <w:sz w:val="20"/>
        </w:rPr>
      </w:pPr>
      <w:r>
        <w:rPr>
          <w:rFonts w:ascii="Arial" w:hAnsi="Arial" w:cs="Arial"/>
          <w:b/>
          <w:bCs/>
          <w:sz w:val="20"/>
        </w:rPr>
        <w:t>Federal jurisdiction subject to State jurisdiction [s.69ZK(1)]</w:t>
      </w:r>
      <w:r>
        <w:rPr>
          <w:rFonts w:ascii="Arial" w:hAnsi="Arial" w:cs="Arial"/>
          <w:sz w:val="20"/>
        </w:rPr>
        <w:t>:  Subject to some minor exceptions, a court exercising jurisdiction under the FLA must not make an order under that Act in relation to a child who is under the care (however described) of a person under a child welfare law unless:</w:t>
      </w:r>
    </w:p>
    <w:p w14:paraId="2CD9C9D6" w14:textId="77777777" w:rsidR="00693223" w:rsidRDefault="00693223">
      <w:pPr>
        <w:numPr>
          <w:ilvl w:val="0"/>
          <w:numId w:val="16"/>
        </w:numPr>
        <w:ind w:right="357"/>
        <w:jc w:val="both"/>
        <w:rPr>
          <w:rFonts w:ascii="Arial" w:hAnsi="Arial" w:cs="Arial"/>
          <w:sz w:val="20"/>
        </w:rPr>
      </w:pPr>
      <w:r>
        <w:rPr>
          <w:rFonts w:ascii="Arial" w:hAnsi="Arial" w:cs="Arial"/>
          <w:sz w:val="20"/>
        </w:rPr>
        <w:t>the order is expressed to come into effect when the child ceases to be under that care; or</w:t>
      </w:r>
    </w:p>
    <w:p w14:paraId="3A20E7E4" w14:textId="77777777" w:rsidR="00693223" w:rsidRDefault="00693223">
      <w:pPr>
        <w:numPr>
          <w:ilvl w:val="0"/>
          <w:numId w:val="16"/>
        </w:numPr>
        <w:ind w:right="357"/>
        <w:jc w:val="both"/>
        <w:rPr>
          <w:rFonts w:ascii="Arial" w:hAnsi="Arial" w:cs="Arial"/>
          <w:sz w:val="20"/>
        </w:rPr>
      </w:pPr>
      <w:r>
        <w:rPr>
          <w:rFonts w:ascii="Arial" w:hAnsi="Arial" w:cs="Arial"/>
          <w:sz w:val="20"/>
        </w:rPr>
        <w:t>the order is made in proceedings relating to the child in respect of the institution or continuation of which the written consent of a child welfare officer of the relevant State or Territory has been obtained.</w:t>
      </w:r>
    </w:p>
    <w:p w14:paraId="1B6CE4CE" w14:textId="77777777" w:rsidR="00693223" w:rsidRDefault="00693223">
      <w:pPr>
        <w:pStyle w:val="Heading2"/>
        <w:tabs>
          <w:tab w:val="left" w:pos="567"/>
        </w:tabs>
        <w:spacing w:line="240" w:lineRule="auto"/>
        <w:rPr>
          <w:rFonts w:ascii="Arial" w:hAnsi="Arial" w:cs="Arial"/>
          <w:b/>
          <w:bCs/>
          <w:sz w:val="20"/>
        </w:rPr>
      </w:pPr>
    </w:p>
    <w:p w14:paraId="3B92778C" w14:textId="77777777" w:rsidR="00693223" w:rsidRDefault="00693223">
      <w:pPr>
        <w:jc w:val="both"/>
        <w:rPr>
          <w:rFonts w:ascii="Arial" w:hAnsi="Arial" w:cs="Arial"/>
          <w:sz w:val="20"/>
        </w:rPr>
      </w:pPr>
      <w:r>
        <w:rPr>
          <w:rFonts w:ascii="Arial" w:hAnsi="Arial" w:cs="Arial"/>
          <w:sz w:val="20"/>
        </w:rPr>
        <w:t xml:space="preserve">In its Final Report on Family Law and Child Protection (September 2002) the Family Law Council raised the issue of potential inconsistency if an order of a State court was inconsistent with a prior order under the </w:t>
      </w:r>
      <w:smartTag w:uri="urn:schemas-microsoft-com:office:smarttags" w:element="State">
        <w:smartTag w:uri="urn:schemas-microsoft-com:office:smarttags" w:element="place">
          <w:r>
            <w:rPr>
              <w:rFonts w:ascii="Arial" w:hAnsi="Arial" w:cs="Arial"/>
              <w:sz w:val="20"/>
            </w:rPr>
            <w:t>FLA</w:t>
          </w:r>
        </w:smartTag>
      </w:smartTag>
      <w:r>
        <w:rPr>
          <w:rFonts w:ascii="Arial" w:hAnsi="Arial" w:cs="Arial"/>
          <w:sz w:val="20"/>
        </w:rPr>
        <w:t>: see pp.83-84.  Though it did not express a concluded opinion on the issue, the Family Law Council made the following recommendation in order to "avoid any residual doubt on the constitutionality of such provisions" as s.69ZK:</w:t>
      </w:r>
    </w:p>
    <w:p w14:paraId="7D00FEFC" w14:textId="77777777" w:rsidR="00693223" w:rsidRDefault="00693223" w:rsidP="00855531">
      <w:pPr>
        <w:ind w:left="454" w:right="454"/>
        <w:jc w:val="center"/>
        <w:rPr>
          <w:rFonts w:ascii="Arial" w:hAnsi="Arial" w:cs="Arial"/>
          <w:sz w:val="20"/>
        </w:rPr>
      </w:pPr>
      <w:r>
        <w:rPr>
          <w:rFonts w:ascii="Arial" w:hAnsi="Arial" w:cs="Arial"/>
          <w:sz w:val="20"/>
        </w:rPr>
        <w:t>"</w:t>
      </w:r>
      <w:r>
        <w:rPr>
          <w:rFonts w:ascii="Arial" w:hAnsi="Arial" w:cs="Arial"/>
          <w:b/>
          <w:bCs/>
          <w:sz w:val="20"/>
          <w:u w:val="single"/>
        </w:rPr>
        <w:t>Recommendation 11</w:t>
      </w:r>
    </w:p>
    <w:p w14:paraId="2A43148A" w14:textId="77777777" w:rsidR="00693223" w:rsidRDefault="00693223" w:rsidP="00855531">
      <w:pPr>
        <w:ind w:left="454" w:right="454"/>
        <w:jc w:val="both"/>
        <w:rPr>
          <w:rFonts w:ascii="Arial" w:hAnsi="Arial" w:cs="Arial"/>
          <w:sz w:val="20"/>
        </w:rPr>
      </w:pPr>
      <w:r>
        <w:rPr>
          <w:rFonts w:ascii="Arial" w:hAnsi="Arial" w:cs="Arial"/>
          <w:sz w:val="20"/>
        </w:rPr>
        <w:t>Section 69ZK [of the FLA] should be amended to make clear beyond doubt that residence and contact orders made pursuant to child welfare legislation as an outcome of proceedings brought by a child protection authority for the protection of a child are not inconsistent with the FLA."</w:t>
      </w:r>
    </w:p>
    <w:p w14:paraId="6A77C9DF" w14:textId="77777777" w:rsidR="00300654" w:rsidRDefault="00300654" w:rsidP="00300654">
      <w:pPr>
        <w:rPr>
          <w:rFonts w:ascii="Arial" w:hAnsi="Arial" w:cs="Arial"/>
          <w:sz w:val="20"/>
        </w:rPr>
      </w:pPr>
    </w:p>
    <w:p w14:paraId="108864C1" w14:textId="77777777" w:rsidR="00300654" w:rsidRDefault="00300654" w:rsidP="00300654">
      <w:pPr>
        <w:pStyle w:val="Heading3"/>
        <w:keepNext/>
        <w:keepLines/>
        <w:spacing w:after="120" w:line="240" w:lineRule="auto"/>
        <w:rPr>
          <w:rFonts w:ascii="Arial" w:hAnsi="Arial" w:cs="Arial"/>
          <w:sz w:val="20"/>
        </w:rPr>
      </w:pPr>
      <w:bookmarkStart w:id="1609" w:name="_4.11.6__Sharing"/>
      <w:bookmarkEnd w:id="1609"/>
      <w:r>
        <w:rPr>
          <w:rFonts w:ascii="Arial" w:hAnsi="Arial" w:cs="Arial"/>
          <w:b/>
          <w:bCs/>
          <w:sz w:val="20"/>
        </w:rPr>
        <w:t>4.11.6</w:t>
      </w:r>
      <w:r>
        <w:rPr>
          <w:rFonts w:ascii="Arial" w:hAnsi="Arial" w:cs="Arial"/>
          <w:b/>
          <w:bCs/>
          <w:sz w:val="20"/>
        </w:rPr>
        <w:tab/>
      </w:r>
      <w:r>
        <w:rPr>
          <w:rFonts w:ascii="Arial" w:hAnsi="Arial" w:cs="Arial"/>
          <w:b/>
          <w:bCs/>
          <w:sz w:val="20"/>
        </w:rPr>
        <w:tab/>
        <w:t>Sharing of materials between Children’s Court &amp; Family Court</w:t>
      </w:r>
    </w:p>
    <w:p w14:paraId="5B8DF370" w14:textId="0535C89D" w:rsidR="00300654" w:rsidRDefault="00300654" w:rsidP="0071427A">
      <w:pPr>
        <w:jc w:val="both"/>
        <w:rPr>
          <w:rFonts w:ascii="Arial" w:hAnsi="Arial" w:cs="Arial"/>
          <w:sz w:val="20"/>
          <w:szCs w:val="20"/>
        </w:rPr>
      </w:pPr>
      <w:r>
        <w:rPr>
          <w:rFonts w:ascii="Arial" w:hAnsi="Arial" w:cs="Arial"/>
          <w:sz w:val="20"/>
          <w:szCs w:val="20"/>
        </w:rPr>
        <w:t>There are two separate processes in place for information-sharing between the Children’s Court</w:t>
      </w:r>
      <w:r w:rsidR="0071427A">
        <w:rPr>
          <w:rFonts w:ascii="Arial" w:hAnsi="Arial" w:cs="Arial"/>
          <w:sz w:val="20"/>
          <w:szCs w:val="20"/>
        </w:rPr>
        <w:t xml:space="preserve"> of Victoria [‘C</w:t>
      </w:r>
      <w:r w:rsidR="001202C2">
        <w:rPr>
          <w:rFonts w:ascii="Arial" w:hAnsi="Arial" w:cs="Arial"/>
          <w:sz w:val="20"/>
          <w:szCs w:val="20"/>
        </w:rPr>
        <w:t>h</w:t>
      </w:r>
      <w:r w:rsidR="0071427A">
        <w:rPr>
          <w:rFonts w:ascii="Arial" w:hAnsi="Arial" w:cs="Arial"/>
          <w:sz w:val="20"/>
          <w:szCs w:val="20"/>
        </w:rPr>
        <w:t>CV’]</w:t>
      </w:r>
      <w:r>
        <w:rPr>
          <w:rFonts w:ascii="Arial" w:hAnsi="Arial" w:cs="Arial"/>
          <w:sz w:val="20"/>
          <w:szCs w:val="20"/>
        </w:rPr>
        <w:t xml:space="preserve"> and the </w:t>
      </w:r>
      <w:r w:rsidR="0071427A">
        <w:rPr>
          <w:rFonts w:ascii="Arial" w:hAnsi="Arial" w:cs="Arial"/>
          <w:sz w:val="20"/>
          <w:szCs w:val="20"/>
        </w:rPr>
        <w:t xml:space="preserve">Federal Circuit and Family Court of Australia [‘FCA’] </w:t>
      </w:r>
      <w:r>
        <w:rPr>
          <w:rFonts w:ascii="Arial" w:hAnsi="Arial" w:cs="Arial"/>
          <w:sz w:val="20"/>
          <w:szCs w:val="20"/>
        </w:rPr>
        <w:t>or vice versa:</w:t>
      </w:r>
    </w:p>
    <w:p w14:paraId="6FC0F9C9" w14:textId="77777777" w:rsidR="00300654" w:rsidRDefault="00300654" w:rsidP="00300654">
      <w:pPr>
        <w:rPr>
          <w:rFonts w:ascii="Arial" w:hAnsi="Arial" w:cs="Arial"/>
          <w:sz w:val="20"/>
          <w:szCs w:val="20"/>
        </w:rPr>
      </w:pPr>
    </w:p>
    <w:p w14:paraId="593B75A6" w14:textId="57E0A4E6" w:rsidR="00300654" w:rsidRPr="00300654" w:rsidRDefault="00300654">
      <w:pPr>
        <w:numPr>
          <w:ilvl w:val="0"/>
          <w:numId w:val="48"/>
        </w:numPr>
        <w:ind w:left="357" w:hanging="357"/>
        <w:jc w:val="both"/>
        <w:rPr>
          <w:rFonts w:ascii="Arial" w:hAnsi="Arial" w:cs="Arial"/>
          <w:sz w:val="20"/>
          <w:szCs w:val="20"/>
        </w:rPr>
      </w:pPr>
      <w:r>
        <w:rPr>
          <w:rFonts w:ascii="Arial" w:hAnsi="Arial" w:cs="Arial"/>
          <w:sz w:val="20"/>
          <w:szCs w:val="20"/>
        </w:rPr>
        <w:t>A</w:t>
      </w:r>
      <w:r w:rsidRPr="00300654">
        <w:rPr>
          <w:rFonts w:ascii="Arial" w:hAnsi="Arial" w:cs="Arial"/>
          <w:sz w:val="20"/>
          <w:szCs w:val="20"/>
        </w:rPr>
        <w:t xml:space="preserve"> broad informal information-sharing process has been in place for some </w:t>
      </w:r>
      <w:r w:rsidR="00FF65C7">
        <w:rPr>
          <w:rFonts w:ascii="Arial" w:hAnsi="Arial" w:cs="Arial"/>
          <w:sz w:val="20"/>
          <w:szCs w:val="20"/>
        </w:rPr>
        <w:t>years</w:t>
      </w:r>
      <w:r w:rsidRPr="00300654">
        <w:rPr>
          <w:rFonts w:ascii="Arial" w:hAnsi="Arial" w:cs="Arial"/>
          <w:sz w:val="20"/>
          <w:szCs w:val="20"/>
        </w:rPr>
        <w:t>.</w:t>
      </w:r>
      <w:r>
        <w:rPr>
          <w:rFonts w:ascii="Arial" w:hAnsi="Arial" w:cs="Arial"/>
          <w:sz w:val="20"/>
          <w:szCs w:val="20"/>
        </w:rPr>
        <w:t xml:space="preserve"> </w:t>
      </w:r>
      <w:r w:rsidRPr="00300654">
        <w:rPr>
          <w:rFonts w:ascii="Arial" w:hAnsi="Arial" w:cs="Arial"/>
          <w:sz w:val="20"/>
          <w:szCs w:val="20"/>
        </w:rPr>
        <w:t xml:space="preserve"> Underpinning it is what is now rule 6.27 of the </w:t>
      </w:r>
      <w:r w:rsidRPr="00300654">
        <w:rPr>
          <w:rFonts w:ascii="Arial" w:hAnsi="Arial" w:cs="Arial"/>
          <w:i/>
          <w:iCs/>
          <w:sz w:val="20"/>
          <w:szCs w:val="20"/>
        </w:rPr>
        <w:t>Federal Circuit and Family Court of Australia (Family Court) Rules 2021</w:t>
      </w:r>
      <w:r w:rsidRPr="00300654">
        <w:rPr>
          <w:rFonts w:ascii="Arial" w:hAnsi="Arial" w:cs="Arial"/>
          <w:sz w:val="20"/>
          <w:szCs w:val="20"/>
        </w:rPr>
        <w:t xml:space="preserve"> </w:t>
      </w:r>
      <w:r w:rsidR="006A4203">
        <w:rPr>
          <w:rFonts w:ascii="Arial" w:hAnsi="Arial" w:cs="Arial"/>
          <w:sz w:val="20"/>
          <w:szCs w:val="20"/>
        </w:rPr>
        <w:t xml:space="preserve">which provides </w:t>
      </w:r>
      <w:r w:rsidRPr="00300654">
        <w:rPr>
          <w:rFonts w:ascii="Arial" w:hAnsi="Arial" w:cs="Arial"/>
          <w:sz w:val="20"/>
          <w:szCs w:val="20"/>
        </w:rPr>
        <w:t xml:space="preserve">that a party or an </w:t>
      </w:r>
      <w:r w:rsidR="00DD6B2B">
        <w:rPr>
          <w:rFonts w:ascii="Arial" w:hAnsi="Arial" w:cs="Arial"/>
          <w:sz w:val="20"/>
          <w:szCs w:val="20"/>
        </w:rPr>
        <w:t>independent children’s lawyer [</w:t>
      </w:r>
      <w:r w:rsidRPr="00300654">
        <w:rPr>
          <w:rFonts w:ascii="Arial" w:hAnsi="Arial" w:cs="Arial"/>
          <w:sz w:val="20"/>
          <w:szCs w:val="20"/>
        </w:rPr>
        <w:t>ICL</w:t>
      </w:r>
      <w:r w:rsidR="00DD6B2B">
        <w:rPr>
          <w:rFonts w:ascii="Arial" w:hAnsi="Arial" w:cs="Arial"/>
          <w:sz w:val="20"/>
          <w:szCs w:val="20"/>
        </w:rPr>
        <w:t>]</w:t>
      </w:r>
      <w:r w:rsidRPr="00300654">
        <w:rPr>
          <w:rFonts w:ascii="Arial" w:hAnsi="Arial" w:cs="Arial"/>
          <w:sz w:val="20"/>
          <w:szCs w:val="20"/>
        </w:rPr>
        <w:t xml:space="preserve"> must not issue a subpoena without the permission of </w:t>
      </w:r>
      <w:r w:rsidR="0071427A">
        <w:rPr>
          <w:rFonts w:ascii="Arial" w:hAnsi="Arial" w:cs="Arial"/>
          <w:sz w:val="20"/>
          <w:szCs w:val="20"/>
        </w:rPr>
        <w:t xml:space="preserve">the </w:t>
      </w:r>
      <w:r>
        <w:rPr>
          <w:rFonts w:ascii="Arial" w:hAnsi="Arial" w:cs="Arial"/>
          <w:sz w:val="20"/>
          <w:szCs w:val="20"/>
        </w:rPr>
        <w:t xml:space="preserve">FCA.  </w:t>
      </w:r>
      <w:r w:rsidRPr="00300654">
        <w:rPr>
          <w:rFonts w:ascii="Arial" w:hAnsi="Arial" w:cs="Arial"/>
          <w:sz w:val="20"/>
          <w:szCs w:val="20"/>
        </w:rPr>
        <w:t xml:space="preserve">For its part, the FCA does not issue subpoenas for the production of </w:t>
      </w:r>
      <w:r>
        <w:rPr>
          <w:rFonts w:ascii="Arial" w:hAnsi="Arial" w:cs="Arial"/>
          <w:sz w:val="20"/>
          <w:szCs w:val="20"/>
        </w:rPr>
        <w:t>files or other materials from the C</w:t>
      </w:r>
      <w:r w:rsidR="001202C2">
        <w:rPr>
          <w:rFonts w:ascii="Arial" w:hAnsi="Arial" w:cs="Arial"/>
          <w:sz w:val="20"/>
          <w:szCs w:val="20"/>
        </w:rPr>
        <w:t>h</w:t>
      </w:r>
      <w:r>
        <w:rPr>
          <w:rFonts w:ascii="Arial" w:hAnsi="Arial" w:cs="Arial"/>
          <w:sz w:val="20"/>
          <w:szCs w:val="20"/>
        </w:rPr>
        <w:t xml:space="preserve">CV.  </w:t>
      </w:r>
      <w:r w:rsidRPr="00300654">
        <w:rPr>
          <w:rFonts w:ascii="Arial" w:hAnsi="Arial" w:cs="Arial"/>
          <w:sz w:val="20"/>
          <w:szCs w:val="20"/>
        </w:rPr>
        <w:t>What happens instead is:</w:t>
      </w:r>
    </w:p>
    <w:p w14:paraId="591D5538" w14:textId="5B7CD09F"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judge in the FCA orders a registrar of the FCA to request the C</w:t>
      </w:r>
      <w:r w:rsidR="001202C2">
        <w:rPr>
          <w:rFonts w:ascii="Arial" w:hAnsi="Arial" w:cs="Arial"/>
          <w:sz w:val="20"/>
          <w:szCs w:val="16"/>
        </w:rPr>
        <w:t>h</w:t>
      </w:r>
      <w:r w:rsidRPr="00300654">
        <w:rPr>
          <w:rFonts w:ascii="Arial" w:hAnsi="Arial" w:cs="Arial"/>
          <w:sz w:val="20"/>
          <w:szCs w:val="16"/>
        </w:rPr>
        <w:t>CV for a specified file and/or other document(s) or order(s).</w:t>
      </w:r>
    </w:p>
    <w:p w14:paraId="555B1F1B" w14:textId="5E5C5B92"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The FCA registrar makes the request of the C</w:t>
      </w:r>
      <w:r w:rsidR="001202C2">
        <w:rPr>
          <w:rFonts w:ascii="Arial" w:hAnsi="Arial" w:cs="Arial"/>
          <w:sz w:val="20"/>
          <w:szCs w:val="16"/>
        </w:rPr>
        <w:t>h</w:t>
      </w:r>
      <w:r w:rsidRPr="00300654">
        <w:rPr>
          <w:rFonts w:ascii="Arial" w:hAnsi="Arial" w:cs="Arial"/>
          <w:sz w:val="20"/>
          <w:szCs w:val="16"/>
        </w:rPr>
        <w:t>CV.</w:t>
      </w:r>
    </w:p>
    <w:p w14:paraId="23C53FE1" w14:textId="634610B6"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A C</w:t>
      </w:r>
      <w:r w:rsidR="001202C2">
        <w:rPr>
          <w:rFonts w:ascii="Arial" w:hAnsi="Arial" w:cs="Arial"/>
          <w:sz w:val="20"/>
          <w:szCs w:val="16"/>
        </w:rPr>
        <w:t>h</w:t>
      </w:r>
      <w:r w:rsidRPr="00300654">
        <w:rPr>
          <w:rFonts w:ascii="Arial" w:hAnsi="Arial" w:cs="Arial"/>
          <w:sz w:val="20"/>
          <w:szCs w:val="16"/>
        </w:rPr>
        <w:t>CV registrar puts the requested material together and submits it to the President or a magistrate of the C</w:t>
      </w:r>
      <w:r w:rsidR="001202C2">
        <w:rPr>
          <w:rFonts w:ascii="Arial" w:hAnsi="Arial" w:cs="Arial"/>
          <w:sz w:val="20"/>
          <w:szCs w:val="16"/>
        </w:rPr>
        <w:t>h</w:t>
      </w:r>
      <w:r w:rsidRPr="00300654">
        <w:rPr>
          <w:rFonts w:ascii="Arial" w:hAnsi="Arial" w:cs="Arial"/>
          <w:sz w:val="20"/>
          <w:szCs w:val="16"/>
        </w:rPr>
        <w:t>CV for his or her authority to provide the material to the FCA.</w:t>
      </w:r>
    </w:p>
    <w:p w14:paraId="613051E2" w14:textId="1831DAE4" w:rsidR="00300654" w:rsidRPr="00300654" w:rsidRDefault="00300654">
      <w:pPr>
        <w:pStyle w:val="ListParagraph"/>
        <w:numPr>
          <w:ilvl w:val="0"/>
          <w:numId w:val="47"/>
        </w:numPr>
        <w:rPr>
          <w:rFonts w:ascii="Arial" w:hAnsi="Arial" w:cs="Arial"/>
          <w:sz w:val="20"/>
          <w:szCs w:val="16"/>
        </w:rPr>
      </w:pPr>
      <w:r w:rsidRPr="00300654">
        <w:rPr>
          <w:rFonts w:ascii="Arial" w:hAnsi="Arial" w:cs="Arial"/>
          <w:sz w:val="20"/>
          <w:szCs w:val="16"/>
        </w:rPr>
        <w:t>If authorised the material is forwarded by a C</w:t>
      </w:r>
      <w:r w:rsidR="001202C2">
        <w:rPr>
          <w:rFonts w:ascii="Arial" w:hAnsi="Arial" w:cs="Arial"/>
          <w:sz w:val="20"/>
          <w:szCs w:val="16"/>
        </w:rPr>
        <w:t>h</w:t>
      </w:r>
      <w:r w:rsidRPr="00300654">
        <w:rPr>
          <w:rFonts w:ascii="Arial" w:hAnsi="Arial" w:cs="Arial"/>
          <w:sz w:val="20"/>
          <w:szCs w:val="16"/>
        </w:rPr>
        <w:t>CV registrar to the FCA registry.</w:t>
      </w:r>
    </w:p>
    <w:p w14:paraId="15C23F51" w14:textId="11FC1307" w:rsidR="00300654" w:rsidRPr="00300654" w:rsidRDefault="00300654" w:rsidP="00300654">
      <w:pPr>
        <w:spacing w:before="120"/>
        <w:ind w:left="357"/>
        <w:rPr>
          <w:rFonts w:ascii="Arial" w:hAnsi="Arial" w:cs="Arial"/>
          <w:sz w:val="20"/>
          <w:szCs w:val="20"/>
        </w:rPr>
      </w:pPr>
      <w:r w:rsidRPr="00300654">
        <w:rPr>
          <w:rFonts w:ascii="Arial" w:hAnsi="Arial" w:cs="Arial"/>
          <w:sz w:val="20"/>
          <w:szCs w:val="20"/>
        </w:rPr>
        <w:t>This information-sharing process also works the same way in the other direction when the C</w:t>
      </w:r>
      <w:r w:rsidR="001202C2">
        <w:rPr>
          <w:rFonts w:ascii="Arial" w:hAnsi="Arial" w:cs="Arial"/>
          <w:sz w:val="20"/>
          <w:szCs w:val="20"/>
        </w:rPr>
        <w:t>h</w:t>
      </w:r>
      <w:r w:rsidRPr="00300654">
        <w:rPr>
          <w:rFonts w:ascii="Arial" w:hAnsi="Arial" w:cs="Arial"/>
          <w:sz w:val="20"/>
          <w:szCs w:val="20"/>
        </w:rPr>
        <w:t>CV requests material from the FCA.</w:t>
      </w:r>
    </w:p>
    <w:p w14:paraId="5803D5B3" w14:textId="77777777" w:rsidR="00300654" w:rsidRDefault="00300654" w:rsidP="00300654">
      <w:pPr>
        <w:rPr>
          <w:rFonts w:ascii="Arial" w:hAnsi="Arial" w:cs="Arial"/>
          <w:sz w:val="20"/>
          <w:szCs w:val="20"/>
        </w:rPr>
      </w:pPr>
    </w:p>
    <w:p w14:paraId="262A149D" w14:textId="0856B237" w:rsidR="00300654" w:rsidRDefault="00300654">
      <w:pPr>
        <w:numPr>
          <w:ilvl w:val="0"/>
          <w:numId w:val="48"/>
        </w:numPr>
        <w:ind w:left="357" w:hanging="357"/>
        <w:jc w:val="both"/>
        <w:rPr>
          <w:rFonts w:ascii="Arial" w:hAnsi="Arial" w:cs="Arial"/>
          <w:sz w:val="20"/>
          <w:szCs w:val="20"/>
        </w:rPr>
      </w:pPr>
      <w:r w:rsidRPr="00300654">
        <w:rPr>
          <w:rFonts w:ascii="Arial" w:hAnsi="Arial" w:cs="Arial"/>
          <w:sz w:val="20"/>
          <w:szCs w:val="20"/>
        </w:rPr>
        <w:t xml:space="preserve">Independently of the above – but partly overlapping with it – are two much more recent protocols, the Family Violence Information Sharing Scheme [FVISS] and the Child Information Sharing Scheme [CISS]. </w:t>
      </w:r>
      <w:r>
        <w:rPr>
          <w:rFonts w:ascii="Arial" w:hAnsi="Arial" w:cs="Arial"/>
          <w:sz w:val="20"/>
          <w:szCs w:val="20"/>
        </w:rPr>
        <w:t xml:space="preserve">This discussion is </w:t>
      </w:r>
      <w:r w:rsidRPr="00300654">
        <w:rPr>
          <w:rFonts w:ascii="Arial" w:hAnsi="Arial" w:cs="Arial"/>
          <w:sz w:val="20"/>
          <w:szCs w:val="20"/>
        </w:rPr>
        <w:t>confine</w:t>
      </w:r>
      <w:r>
        <w:rPr>
          <w:rFonts w:ascii="Arial" w:hAnsi="Arial" w:cs="Arial"/>
          <w:sz w:val="20"/>
          <w:szCs w:val="20"/>
        </w:rPr>
        <w:t>d</w:t>
      </w:r>
      <w:r w:rsidRPr="00300654">
        <w:rPr>
          <w:rFonts w:ascii="Arial" w:hAnsi="Arial" w:cs="Arial"/>
          <w:sz w:val="20"/>
          <w:szCs w:val="20"/>
        </w:rPr>
        <w:t xml:space="preserve"> to the former. </w:t>
      </w:r>
      <w:r>
        <w:rPr>
          <w:rFonts w:ascii="Arial" w:hAnsi="Arial" w:cs="Arial"/>
          <w:sz w:val="20"/>
          <w:szCs w:val="20"/>
        </w:rPr>
        <w:t xml:space="preserve"> </w:t>
      </w:r>
      <w:r w:rsidRPr="00300654">
        <w:rPr>
          <w:rFonts w:ascii="Arial" w:hAnsi="Arial" w:cs="Arial"/>
          <w:sz w:val="20"/>
          <w:szCs w:val="20"/>
        </w:rPr>
        <w:t xml:space="preserve">The FVISS is grounded in amendments made to the </w:t>
      </w:r>
      <w:r w:rsidRPr="00300654">
        <w:rPr>
          <w:rFonts w:ascii="Arial" w:hAnsi="Arial" w:cs="Arial"/>
          <w:i/>
          <w:iCs/>
          <w:sz w:val="20"/>
          <w:szCs w:val="20"/>
        </w:rPr>
        <w:t>Family Violence Protection Act 2008</w:t>
      </w:r>
      <w:r w:rsidRPr="00300654">
        <w:rPr>
          <w:rFonts w:ascii="Arial" w:hAnsi="Arial" w:cs="Arial"/>
          <w:sz w:val="20"/>
          <w:szCs w:val="20"/>
        </w:rPr>
        <w:t xml:space="preserve"> [FVPA] which </w:t>
      </w:r>
      <w:r w:rsidR="0071427A">
        <w:rPr>
          <w:rFonts w:ascii="Arial" w:hAnsi="Arial" w:cs="Arial"/>
          <w:sz w:val="20"/>
          <w:szCs w:val="20"/>
        </w:rPr>
        <w:t xml:space="preserve">are </w:t>
      </w:r>
      <w:r w:rsidRPr="00300654">
        <w:rPr>
          <w:rFonts w:ascii="Arial" w:hAnsi="Arial" w:cs="Arial"/>
          <w:sz w:val="20"/>
          <w:szCs w:val="20"/>
        </w:rPr>
        <w:t xml:space="preserve">described in </w:t>
      </w:r>
      <w:r w:rsidR="008E4A97">
        <w:rPr>
          <w:rFonts w:ascii="Arial" w:hAnsi="Arial" w:cs="Arial"/>
          <w:b/>
          <w:bCs/>
          <w:sz w:val="20"/>
          <w:szCs w:val="20"/>
          <w:shd w:val="clear" w:color="auto" w:fill="C5E0B3"/>
        </w:rPr>
        <w:t>Part</w:t>
      </w:r>
      <w:r w:rsidRPr="00A40A28">
        <w:rPr>
          <w:rFonts w:ascii="Arial" w:hAnsi="Arial" w:cs="Arial"/>
          <w:b/>
          <w:bCs/>
          <w:sz w:val="20"/>
          <w:szCs w:val="20"/>
          <w:shd w:val="clear" w:color="auto" w:fill="C5E0B3"/>
        </w:rPr>
        <w:t xml:space="preserve"> 6FV.15</w:t>
      </w:r>
      <w:r w:rsidRPr="00300654">
        <w:rPr>
          <w:rFonts w:ascii="Arial" w:hAnsi="Arial" w:cs="Arial"/>
          <w:sz w:val="20"/>
          <w:szCs w:val="20"/>
        </w:rPr>
        <w:t xml:space="preserve"> of the Research Materials</w:t>
      </w:r>
      <w:r w:rsidR="0071427A">
        <w:rPr>
          <w:rFonts w:ascii="Arial" w:hAnsi="Arial" w:cs="Arial"/>
          <w:sz w:val="20"/>
          <w:szCs w:val="20"/>
        </w:rPr>
        <w:t>.</w:t>
      </w:r>
    </w:p>
    <w:p w14:paraId="376583AF" w14:textId="77777777" w:rsidR="00886802" w:rsidRDefault="00886802" w:rsidP="00886802">
      <w:pPr>
        <w:spacing w:before="120"/>
        <w:ind w:left="357"/>
        <w:jc w:val="both"/>
        <w:rPr>
          <w:rFonts w:ascii="Arial" w:hAnsi="Arial" w:cs="Arial"/>
          <w:sz w:val="20"/>
          <w:szCs w:val="20"/>
        </w:rPr>
      </w:pPr>
      <w:r w:rsidRPr="00886802">
        <w:rPr>
          <w:rFonts w:ascii="Arial" w:hAnsi="Arial" w:cs="Arial"/>
          <w:sz w:val="20"/>
          <w:szCs w:val="20"/>
        </w:rPr>
        <w:t>The FVISS is applicable in the case of any “Family Violence Related Proceedings”.</w:t>
      </w:r>
      <w:r>
        <w:rPr>
          <w:rFonts w:ascii="Arial" w:hAnsi="Arial" w:cs="Arial"/>
          <w:sz w:val="20"/>
          <w:szCs w:val="20"/>
        </w:rPr>
        <w:t xml:space="preserve"> </w:t>
      </w:r>
      <w:r w:rsidRPr="00886802">
        <w:rPr>
          <w:rFonts w:ascii="Arial" w:hAnsi="Arial" w:cs="Arial"/>
          <w:sz w:val="20"/>
          <w:szCs w:val="20"/>
        </w:rPr>
        <w:t xml:space="preserve"> This means it overlaps </w:t>
      </w:r>
      <w:r>
        <w:rPr>
          <w:rFonts w:ascii="Arial" w:hAnsi="Arial" w:cs="Arial"/>
          <w:sz w:val="20"/>
          <w:szCs w:val="20"/>
        </w:rPr>
        <w:t xml:space="preserve">significantly </w:t>
      </w:r>
      <w:r w:rsidRPr="00886802">
        <w:rPr>
          <w:rFonts w:ascii="Arial" w:hAnsi="Arial" w:cs="Arial"/>
          <w:sz w:val="20"/>
          <w:szCs w:val="20"/>
        </w:rPr>
        <w:t>with the broad informal information-sharing process described</w:t>
      </w:r>
      <w:r>
        <w:rPr>
          <w:rFonts w:ascii="Arial" w:hAnsi="Arial" w:cs="Arial"/>
          <w:sz w:val="20"/>
          <w:szCs w:val="20"/>
        </w:rPr>
        <w:t xml:space="preserve"> </w:t>
      </w:r>
      <w:r w:rsidRPr="00886802">
        <w:rPr>
          <w:rFonts w:ascii="Arial" w:hAnsi="Arial" w:cs="Arial"/>
          <w:sz w:val="20"/>
          <w:szCs w:val="20"/>
        </w:rPr>
        <w:t>above in any child protection case in which there is an element of family violence.</w:t>
      </w:r>
      <w:r>
        <w:rPr>
          <w:rFonts w:ascii="Arial" w:hAnsi="Arial" w:cs="Arial"/>
          <w:sz w:val="20"/>
          <w:szCs w:val="20"/>
        </w:rPr>
        <w:t xml:space="preserve"> </w:t>
      </w:r>
      <w:r w:rsidRPr="00886802">
        <w:rPr>
          <w:rFonts w:ascii="Arial" w:hAnsi="Arial" w:cs="Arial"/>
          <w:sz w:val="20"/>
          <w:szCs w:val="20"/>
        </w:rPr>
        <w:t xml:space="preserve"> In </w:t>
      </w:r>
      <w:r>
        <w:rPr>
          <w:rFonts w:ascii="Arial" w:hAnsi="Arial" w:cs="Arial"/>
          <w:sz w:val="20"/>
          <w:szCs w:val="20"/>
        </w:rPr>
        <w:t>the writer’s</w:t>
      </w:r>
      <w:r w:rsidRPr="00886802">
        <w:rPr>
          <w:rFonts w:ascii="Arial" w:hAnsi="Arial" w:cs="Arial"/>
          <w:sz w:val="20"/>
          <w:szCs w:val="20"/>
        </w:rPr>
        <w:t xml:space="preserve"> experience that means </w:t>
      </w:r>
      <w:r>
        <w:rPr>
          <w:rFonts w:ascii="Arial" w:hAnsi="Arial" w:cs="Arial"/>
          <w:sz w:val="20"/>
          <w:szCs w:val="20"/>
        </w:rPr>
        <w:t>a significant proportion</w:t>
      </w:r>
      <w:r w:rsidRPr="00886802">
        <w:rPr>
          <w:rFonts w:ascii="Arial" w:hAnsi="Arial" w:cs="Arial"/>
          <w:sz w:val="20"/>
          <w:szCs w:val="20"/>
        </w:rPr>
        <w:t xml:space="preserve"> of them.</w:t>
      </w:r>
    </w:p>
    <w:p w14:paraId="4C799056" w14:textId="0E729F28" w:rsidR="00886802" w:rsidRDefault="00886802" w:rsidP="00886802">
      <w:pPr>
        <w:spacing w:before="120"/>
        <w:ind w:left="357"/>
        <w:jc w:val="both"/>
        <w:rPr>
          <w:rFonts w:ascii="Arial" w:hAnsi="Arial" w:cs="Arial"/>
          <w:sz w:val="20"/>
          <w:szCs w:val="20"/>
        </w:rPr>
      </w:pPr>
      <w:r>
        <w:rPr>
          <w:rFonts w:ascii="Arial" w:hAnsi="Arial" w:cs="Arial"/>
          <w:sz w:val="20"/>
          <w:szCs w:val="20"/>
        </w:rPr>
        <w:t xml:space="preserve">To assist with the operation of the FVISS protocol, guidelines </w:t>
      </w:r>
      <w:r w:rsidR="006A4203">
        <w:rPr>
          <w:rFonts w:ascii="Arial" w:hAnsi="Arial" w:cs="Arial"/>
          <w:sz w:val="20"/>
          <w:szCs w:val="20"/>
        </w:rPr>
        <w:t xml:space="preserve">are in place </w:t>
      </w:r>
      <w:r>
        <w:rPr>
          <w:rFonts w:ascii="Arial" w:hAnsi="Arial" w:cs="Arial"/>
          <w:sz w:val="20"/>
          <w:szCs w:val="20"/>
        </w:rPr>
        <w:t xml:space="preserve">for information-sharing between the Magistrates’ Court of Victoria [‘MCV’], the </w:t>
      </w:r>
      <w:r w:rsidRPr="00886802">
        <w:rPr>
          <w:rFonts w:ascii="Arial" w:hAnsi="Arial" w:cs="Arial"/>
          <w:sz w:val="20"/>
          <w:szCs w:val="20"/>
        </w:rPr>
        <w:t>C</w:t>
      </w:r>
      <w:r w:rsidR="001202C2">
        <w:rPr>
          <w:rFonts w:ascii="Arial" w:hAnsi="Arial" w:cs="Arial"/>
          <w:sz w:val="20"/>
          <w:szCs w:val="20"/>
        </w:rPr>
        <w:t>h</w:t>
      </w:r>
      <w:r w:rsidRPr="00886802">
        <w:rPr>
          <w:rFonts w:ascii="Arial" w:hAnsi="Arial" w:cs="Arial"/>
          <w:sz w:val="20"/>
          <w:szCs w:val="20"/>
        </w:rPr>
        <w:t>CV and the FCA</w:t>
      </w:r>
      <w:r>
        <w:rPr>
          <w:rFonts w:ascii="Arial" w:hAnsi="Arial" w:cs="Arial"/>
          <w:sz w:val="20"/>
          <w:szCs w:val="20"/>
        </w:rPr>
        <w:t>.  In</w:t>
      </w:r>
      <w:r w:rsidR="006A4203">
        <w:rPr>
          <w:rFonts w:ascii="Arial" w:hAnsi="Arial" w:cs="Arial"/>
          <w:sz w:val="20"/>
          <w:szCs w:val="20"/>
        </w:rPr>
        <w:t> </w:t>
      </w:r>
      <w:r>
        <w:rPr>
          <w:rFonts w:ascii="Arial" w:hAnsi="Arial" w:cs="Arial"/>
          <w:sz w:val="20"/>
          <w:szCs w:val="20"/>
        </w:rPr>
        <w:t>particular:</w:t>
      </w:r>
    </w:p>
    <w:p w14:paraId="6EA3232F" w14:textId="77777777" w:rsid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 xml:space="preserve">section 7.1 sets out a process for </w:t>
      </w:r>
      <w:r>
        <w:rPr>
          <w:rFonts w:ascii="Arial" w:hAnsi="Arial" w:cs="Arial"/>
          <w:sz w:val="20"/>
          <w:szCs w:val="20"/>
        </w:rPr>
        <w:t xml:space="preserve">the </w:t>
      </w:r>
      <w:r w:rsidRPr="00886802">
        <w:rPr>
          <w:rFonts w:ascii="Arial" w:hAnsi="Arial" w:cs="Arial"/>
          <w:sz w:val="20"/>
          <w:szCs w:val="20"/>
        </w:rPr>
        <w:t xml:space="preserve">sharing of information between registry officers without </w:t>
      </w:r>
      <w:r>
        <w:rPr>
          <w:rFonts w:ascii="Arial" w:hAnsi="Arial" w:cs="Arial"/>
          <w:sz w:val="20"/>
          <w:szCs w:val="20"/>
        </w:rPr>
        <w:t xml:space="preserve">requiring </w:t>
      </w:r>
      <w:r w:rsidRPr="00886802">
        <w:rPr>
          <w:rFonts w:ascii="Arial" w:hAnsi="Arial" w:cs="Arial"/>
          <w:sz w:val="20"/>
          <w:szCs w:val="20"/>
        </w:rPr>
        <w:t>judicial approval</w:t>
      </w:r>
      <w:r>
        <w:rPr>
          <w:rFonts w:ascii="Arial" w:hAnsi="Arial" w:cs="Arial"/>
          <w:sz w:val="20"/>
          <w:szCs w:val="20"/>
        </w:rPr>
        <w:t>; and</w:t>
      </w:r>
    </w:p>
    <w:p w14:paraId="0389AA27" w14:textId="77777777" w:rsidR="00886802" w:rsidRPr="00886802" w:rsidRDefault="00886802">
      <w:pPr>
        <w:numPr>
          <w:ilvl w:val="0"/>
          <w:numId w:val="49"/>
        </w:numPr>
        <w:ind w:left="714" w:hanging="357"/>
        <w:jc w:val="both"/>
        <w:rPr>
          <w:rFonts w:ascii="Arial" w:hAnsi="Arial" w:cs="Arial"/>
          <w:sz w:val="20"/>
          <w:szCs w:val="20"/>
        </w:rPr>
      </w:pPr>
      <w:r w:rsidRPr="00886802">
        <w:rPr>
          <w:rFonts w:ascii="Arial" w:hAnsi="Arial" w:cs="Arial"/>
          <w:sz w:val="20"/>
          <w:szCs w:val="20"/>
        </w:rPr>
        <w:t>section 7.2 sets out a process for sharing of information requested by a judicial officer.</w:t>
      </w:r>
    </w:p>
    <w:p w14:paraId="5351592F" w14:textId="5E506A11" w:rsidR="00886802" w:rsidRPr="00886802" w:rsidRDefault="00886802" w:rsidP="00886802">
      <w:pPr>
        <w:spacing w:before="120"/>
        <w:ind w:left="357"/>
        <w:jc w:val="both"/>
        <w:rPr>
          <w:rFonts w:ascii="Arial" w:hAnsi="Arial" w:cs="Arial"/>
          <w:sz w:val="20"/>
          <w:szCs w:val="20"/>
        </w:rPr>
      </w:pPr>
      <w:r>
        <w:rPr>
          <w:rFonts w:ascii="Arial" w:hAnsi="Arial" w:cs="Arial"/>
          <w:sz w:val="20"/>
          <w:szCs w:val="20"/>
        </w:rPr>
        <w:t>A</w:t>
      </w:r>
      <w:r w:rsidRPr="00886802">
        <w:rPr>
          <w:rFonts w:ascii="Arial" w:hAnsi="Arial" w:cs="Arial"/>
          <w:sz w:val="20"/>
          <w:szCs w:val="20"/>
        </w:rPr>
        <w:t xml:space="preserve"> </w:t>
      </w:r>
      <w:r>
        <w:rPr>
          <w:rFonts w:ascii="Arial" w:hAnsi="Arial" w:cs="Arial"/>
          <w:sz w:val="20"/>
          <w:szCs w:val="20"/>
        </w:rPr>
        <w:t>number</w:t>
      </w:r>
      <w:r w:rsidRPr="00886802">
        <w:rPr>
          <w:rFonts w:ascii="Arial" w:hAnsi="Arial" w:cs="Arial"/>
          <w:sz w:val="20"/>
          <w:szCs w:val="20"/>
        </w:rPr>
        <w:t xml:space="preserve"> of people </w:t>
      </w:r>
      <w:r>
        <w:rPr>
          <w:rFonts w:ascii="Arial" w:hAnsi="Arial" w:cs="Arial"/>
          <w:sz w:val="20"/>
          <w:szCs w:val="20"/>
        </w:rPr>
        <w:t xml:space="preserve">are </w:t>
      </w:r>
      <w:r w:rsidRPr="00886802">
        <w:rPr>
          <w:rFonts w:ascii="Arial" w:hAnsi="Arial" w:cs="Arial"/>
          <w:sz w:val="20"/>
          <w:szCs w:val="20"/>
        </w:rPr>
        <w:t xml:space="preserve">employed within the Family Violence Unit of </w:t>
      </w:r>
      <w:r>
        <w:rPr>
          <w:rFonts w:ascii="Arial" w:hAnsi="Arial" w:cs="Arial"/>
          <w:sz w:val="20"/>
          <w:szCs w:val="20"/>
        </w:rPr>
        <w:t>the</w:t>
      </w:r>
      <w:r w:rsidRPr="00886802">
        <w:rPr>
          <w:rFonts w:ascii="Arial" w:hAnsi="Arial" w:cs="Arial"/>
          <w:sz w:val="20"/>
          <w:szCs w:val="20"/>
        </w:rPr>
        <w:t xml:space="preserve"> MCV who deal with FVISS requests for information broadly relating to family violence on behalf of both the MCV and the C</w:t>
      </w:r>
      <w:r w:rsidR="001202C2">
        <w:rPr>
          <w:rFonts w:ascii="Arial" w:hAnsi="Arial" w:cs="Arial"/>
          <w:sz w:val="20"/>
          <w:szCs w:val="20"/>
        </w:rPr>
        <w:t>h</w:t>
      </w:r>
      <w:r w:rsidRPr="00886802">
        <w:rPr>
          <w:rFonts w:ascii="Arial" w:hAnsi="Arial" w:cs="Arial"/>
          <w:sz w:val="20"/>
          <w:szCs w:val="20"/>
        </w:rPr>
        <w:t>CV.</w:t>
      </w:r>
    </w:p>
    <w:p w14:paraId="72D730B2" w14:textId="77777777" w:rsidR="00300654" w:rsidRDefault="00300654">
      <w:pPr>
        <w:widowControl w:val="0"/>
        <w:rPr>
          <w:rFonts w:ascii="Arial" w:hAnsi="Arial" w:cs="Arial"/>
          <w:sz w:val="20"/>
        </w:rPr>
      </w:pPr>
    </w:p>
    <w:p w14:paraId="44740796" w14:textId="10CC2A4A" w:rsidR="00693223" w:rsidRDefault="00693223">
      <w:pPr>
        <w:pStyle w:val="Heading2"/>
        <w:tabs>
          <w:tab w:val="left" w:pos="567"/>
        </w:tabs>
        <w:spacing w:line="240" w:lineRule="auto"/>
        <w:rPr>
          <w:rFonts w:ascii="Arial" w:hAnsi="Arial" w:cs="Arial"/>
          <w:b/>
          <w:bCs/>
        </w:rPr>
      </w:pPr>
      <w:bookmarkStart w:id="1610" w:name="_4.12_Relationship_between"/>
      <w:bookmarkStart w:id="1611" w:name="B412"/>
      <w:bookmarkEnd w:id="1610"/>
      <w:bookmarkEnd w:id="1611"/>
      <w:r>
        <w:rPr>
          <w:rFonts w:ascii="Arial" w:hAnsi="Arial" w:cs="Arial"/>
          <w:b/>
          <w:bCs/>
        </w:rPr>
        <w:t>4.1</w:t>
      </w:r>
      <w:r w:rsidR="002E5754">
        <w:rPr>
          <w:rFonts w:ascii="Arial" w:hAnsi="Arial" w:cs="Arial"/>
          <w:b/>
          <w:bCs/>
        </w:rPr>
        <w:t>2</w:t>
      </w:r>
      <w:r>
        <w:rPr>
          <w:rFonts w:ascii="Arial" w:hAnsi="Arial" w:cs="Arial"/>
          <w:b/>
          <w:bCs/>
        </w:rPr>
        <w:tab/>
        <w:t>Relationship between attachment and</w:t>
      </w:r>
      <w:r w:rsidR="009D4A86">
        <w:rPr>
          <w:rFonts w:ascii="Arial" w:hAnsi="Arial" w:cs="Arial"/>
          <w:b/>
          <w:bCs/>
        </w:rPr>
        <w:t xml:space="preserve"> </w:t>
      </w:r>
      <w:r>
        <w:rPr>
          <w:rFonts w:ascii="Arial" w:hAnsi="Arial" w:cs="Arial"/>
          <w:b/>
          <w:bCs/>
        </w:rPr>
        <w:t>child's emotional wellbeing</w:t>
      </w:r>
      <w:bookmarkEnd w:id="1608"/>
    </w:p>
    <w:p w14:paraId="3253E720" w14:textId="77777777" w:rsidR="00693223" w:rsidRDefault="00693223">
      <w:pPr>
        <w:widowControl w:val="0"/>
        <w:rPr>
          <w:rFonts w:ascii="Arial" w:hAnsi="Arial" w:cs="Arial"/>
          <w:sz w:val="20"/>
        </w:rPr>
      </w:pPr>
    </w:p>
    <w:p w14:paraId="57D6841A" w14:textId="2F523467" w:rsidR="00693223" w:rsidRPr="00E13059" w:rsidRDefault="00693223">
      <w:pPr>
        <w:jc w:val="both"/>
        <w:rPr>
          <w:rFonts w:ascii="Arial" w:hAnsi="Arial" w:cs="Arial"/>
          <w:sz w:val="20"/>
        </w:rPr>
      </w:pPr>
      <w:r w:rsidRPr="00E13059">
        <w:rPr>
          <w:rFonts w:ascii="Arial" w:hAnsi="Arial" w:cs="Arial"/>
          <w:sz w:val="20"/>
        </w:rPr>
        <w:t xml:space="preserve">In cases in the Family Division of the Court there is often an issue as to whether or not a child has developed an appropriately secure attachment.  </w:t>
      </w:r>
      <w:r w:rsidR="0078774C" w:rsidRPr="00E13059">
        <w:rPr>
          <w:rFonts w:ascii="Arial" w:hAnsi="Arial" w:cs="Arial"/>
          <w:sz w:val="20"/>
        </w:rPr>
        <w:t xml:space="preserve">A clinical psychologist, Dr R, </w:t>
      </w:r>
      <w:r w:rsidRPr="00E13059">
        <w:rPr>
          <w:rFonts w:ascii="Arial" w:hAnsi="Arial" w:cs="Arial"/>
          <w:sz w:val="20"/>
        </w:rPr>
        <w:t>said in February 2003:</w:t>
      </w:r>
    </w:p>
    <w:p w14:paraId="5B96AC3D" w14:textId="77777777" w:rsidR="00693223" w:rsidRPr="00E13059" w:rsidRDefault="00693223" w:rsidP="00FF65C7">
      <w:pPr>
        <w:spacing w:before="120"/>
        <w:ind w:left="567" w:right="567"/>
        <w:jc w:val="both"/>
        <w:rPr>
          <w:rFonts w:ascii="Arial" w:hAnsi="Arial" w:cs="Arial"/>
          <w:sz w:val="20"/>
        </w:rPr>
      </w:pPr>
      <w:r w:rsidRPr="00E13059">
        <w:rPr>
          <w:rFonts w:ascii="Arial" w:hAnsi="Arial" w:cs="Arial"/>
          <w:sz w:val="20"/>
        </w:rPr>
        <w:t>"Development is such a complex process that one can never be sure of long-term outcomes, but it seems to me that attachment theory, if well understood, has much potential for decision making, although the area remains controversial and there are diverse points of view."</w:t>
      </w:r>
    </w:p>
    <w:p w14:paraId="3E5A9559" w14:textId="77777777" w:rsidR="00693223" w:rsidRPr="00CA3276" w:rsidRDefault="00693223">
      <w:pPr>
        <w:jc w:val="both"/>
        <w:rPr>
          <w:rFonts w:ascii="Arial" w:hAnsi="Arial" w:cs="Arial"/>
          <w:sz w:val="20"/>
          <w:highlight w:val="yellow"/>
        </w:rPr>
      </w:pPr>
    </w:p>
    <w:p w14:paraId="3A727D7F" w14:textId="29BC8FEC" w:rsidR="00C11CEA" w:rsidRDefault="00C41F4C" w:rsidP="00C41F4C">
      <w:pPr>
        <w:jc w:val="both"/>
        <w:rPr>
          <w:rFonts w:ascii="Arial" w:hAnsi="Arial" w:cs="Arial"/>
          <w:sz w:val="20"/>
          <w:szCs w:val="20"/>
        </w:rPr>
      </w:pPr>
      <w:r w:rsidRPr="00E50DB0">
        <w:rPr>
          <w:rFonts w:ascii="Arial" w:hAnsi="Arial" w:cs="Arial"/>
          <w:sz w:val="20"/>
          <w:szCs w:val="20"/>
        </w:rPr>
        <w:t xml:space="preserve">In </w:t>
      </w:r>
      <w:r w:rsidRPr="00E50DB0">
        <w:rPr>
          <w:rFonts w:ascii="Arial" w:hAnsi="Arial" w:cs="Arial"/>
          <w:i/>
          <w:sz w:val="20"/>
          <w:szCs w:val="20"/>
        </w:rPr>
        <w:t>DOHS v Mr M &amp; Ms H</w:t>
      </w:r>
      <w:r w:rsidRPr="00E50DB0">
        <w:rPr>
          <w:rFonts w:ascii="Arial" w:hAnsi="Arial" w:cs="Arial"/>
          <w:sz w:val="20"/>
          <w:szCs w:val="20"/>
        </w:rPr>
        <w:t xml:space="preserve"> [Children’s Court of Victoria-Power M, 11/05/2009]</w:t>
      </w:r>
      <w:r w:rsidR="00811C5E" w:rsidRPr="00E50DB0">
        <w:rPr>
          <w:rFonts w:ascii="Arial" w:hAnsi="Arial" w:cs="Arial"/>
          <w:sz w:val="20"/>
          <w:szCs w:val="20"/>
        </w:rPr>
        <w:t xml:space="preserve"> </w:t>
      </w:r>
      <w:r w:rsidR="00E50DB0" w:rsidRPr="00E50DB0">
        <w:rPr>
          <w:rFonts w:ascii="Arial" w:hAnsi="Arial" w:cs="Arial"/>
          <w:sz w:val="20"/>
          <w:szCs w:val="20"/>
        </w:rPr>
        <w:t xml:space="preserve">the central issue was whether the 2y5m old child – who had been in the care of non-kith and kin </w:t>
      </w:r>
      <w:r w:rsidR="00C11CEA">
        <w:rPr>
          <w:rFonts w:ascii="Arial" w:hAnsi="Arial" w:cs="Arial"/>
          <w:sz w:val="20"/>
          <w:szCs w:val="20"/>
        </w:rPr>
        <w:t xml:space="preserve">foster </w:t>
      </w:r>
      <w:r w:rsidR="00E50DB0" w:rsidRPr="00E50DB0">
        <w:rPr>
          <w:rFonts w:ascii="Arial" w:hAnsi="Arial" w:cs="Arial"/>
          <w:sz w:val="20"/>
          <w:szCs w:val="20"/>
        </w:rPr>
        <w:t xml:space="preserve">carers aged 56 &amp; 60 since discharge from hospital at the age of 6 weeks – should be planned for </w:t>
      </w:r>
      <w:r w:rsidR="00E50DB0">
        <w:rPr>
          <w:rFonts w:ascii="Arial" w:hAnsi="Arial" w:cs="Arial"/>
          <w:sz w:val="20"/>
          <w:szCs w:val="20"/>
        </w:rPr>
        <w:t>reunification with the child’s parents</w:t>
      </w:r>
      <w:r w:rsidR="00C11CEA">
        <w:rPr>
          <w:rFonts w:ascii="Arial" w:hAnsi="Arial" w:cs="Arial"/>
          <w:sz w:val="20"/>
          <w:szCs w:val="20"/>
        </w:rPr>
        <w:t xml:space="preserve"> with whom he had had </w:t>
      </w:r>
      <w:r w:rsidR="00C11CEA" w:rsidRPr="006679D2">
        <w:rPr>
          <w:rFonts w:ascii="Arial" w:hAnsi="Arial" w:cs="Arial"/>
          <w:color w:val="000000"/>
          <w:sz w:val="20"/>
        </w:rPr>
        <w:t>consistent contact although for only one hour each week.  The child had been</w:t>
      </w:r>
      <w:r w:rsidR="00C11CEA">
        <w:rPr>
          <w:rFonts w:ascii="Arial" w:hAnsi="Arial" w:cs="Arial"/>
          <w:sz w:val="20"/>
        </w:rPr>
        <w:t xml:space="preserve"> born four weeks premature and prenatally drug affected.  However, it was conceded by DOHS that there were no current protective concerns in relation to the parents who were recovering heroin addicts.</w:t>
      </w:r>
    </w:p>
    <w:p w14:paraId="5F657E77" w14:textId="77777777" w:rsidR="00C11CEA" w:rsidRDefault="00C11CEA" w:rsidP="00C41F4C">
      <w:pPr>
        <w:jc w:val="both"/>
        <w:rPr>
          <w:rFonts w:ascii="Arial" w:hAnsi="Arial" w:cs="Arial"/>
          <w:sz w:val="20"/>
          <w:szCs w:val="20"/>
        </w:rPr>
      </w:pPr>
    </w:p>
    <w:p w14:paraId="122EABC8" w14:textId="654154D1" w:rsidR="00C41F4C" w:rsidRDefault="00E50DB0" w:rsidP="00C41F4C">
      <w:pPr>
        <w:jc w:val="both"/>
        <w:rPr>
          <w:rFonts w:ascii="Arial" w:hAnsi="Arial" w:cs="Arial"/>
          <w:sz w:val="20"/>
        </w:rPr>
      </w:pPr>
      <w:r>
        <w:rPr>
          <w:rFonts w:ascii="Arial" w:hAnsi="Arial" w:cs="Arial"/>
          <w:bCs/>
          <w:sz w:val="20"/>
          <w:szCs w:val="16"/>
        </w:rPr>
        <w:lastRenderedPageBreak/>
        <w:t xml:space="preserve">Much of the evidence in the contested hearing – which ran for 13 days – was to do with the </w:t>
      </w:r>
      <w:r w:rsidR="00C71B5E">
        <w:rPr>
          <w:rFonts w:ascii="Arial" w:hAnsi="Arial" w:cs="Arial"/>
          <w:bCs/>
          <w:sz w:val="20"/>
          <w:szCs w:val="16"/>
        </w:rPr>
        <w:t xml:space="preserve">child’s attachment to </w:t>
      </w:r>
      <w:r w:rsidR="00C11CEA">
        <w:rPr>
          <w:rFonts w:ascii="Arial" w:hAnsi="Arial" w:cs="Arial"/>
          <w:bCs/>
          <w:sz w:val="20"/>
          <w:szCs w:val="16"/>
        </w:rPr>
        <w:t>the</w:t>
      </w:r>
      <w:r w:rsidR="00C71B5E">
        <w:rPr>
          <w:rFonts w:ascii="Arial" w:hAnsi="Arial" w:cs="Arial"/>
          <w:bCs/>
          <w:sz w:val="20"/>
          <w:szCs w:val="16"/>
        </w:rPr>
        <w:t xml:space="preserve"> carers</w:t>
      </w:r>
      <w:r w:rsidR="00C11CEA">
        <w:rPr>
          <w:rFonts w:ascii="Arial" w:hAnsi="Arial" w:cs="Arial"/>
          <w:bCs/>
          <w:sz w:val="20"/>
          <w:szCs w:val="16"/>
        </w:rPr>
        <w:t xml:space="preserve"> and the parents</w:t>
      </w:r>
      <w:r w:rsidR="00C71B5E">
        <w:rPr>
          <w:rFonts w:ascii="Arial" w:hAnsi="Arial" w:cs="Arial"/>
          <w:bCs/>
          <w:sz w:val="20"/>
          <w:szCs w:val="16"/>
        </w:rPr>
        <w:t>.  A</w:t>
      </w:r>
      <w:r w:rsidR="00811C5E">
        <w:rPr>
          <w:rFonts w:ascii="Arial" w:hAnsi="Arial" w:cs="Arial"/>
          <w:sz w:val="20"/>
        </w:rPr>
        <w:t xml:space="preserve">t </w:t>
      </w:r>
      <w:r w:rsidR="00EA261E">
        <w:rPr>
          <w:rFonts w:ascii="Arial" w:hAnsi="Arial" w:cs="Arial"/>
          <w:sz w:val="20"/>
        </w:rPr>
        <w:t>p.80</w:t>
      </w:r>
      <w:r w:rsidR="00C41F4C">
        <w:rPr>
          <w:rFonts w:ascii="Arial" w:hAnsi="Arial" w:cs="Arial"/>
          <w:sz w:val="20"/>
        </w:rPr>
        <w:t xml:space="preserve"> </w:t>
      </w:r>
      <w:r w:rsidR="00811C5E">
        <w:rPr>
          <w:rFonts w:ascii="Arial" w:hAnsi="Arial" w:cs="Arial"/>
          <w:sz w:val="20"/>
        </w:rPr>
        <w:t>t</w:t>
      </w:r>
      <w:r w:rsidR="00C71B5E">
        <w:rPr>
          <w:rFonts w:ascii="Arial" w:hAnsi="Arial" w:cs="Arial"/>
          <w:sz w:val="20"/>
        </w:rPr>
        <w:t>h</w:t>
      </w:r>
      <w:r w:rsidR="00811C5E">
        <w:rPr>
          <w:rFonts w:ascii="Arial" w:hAnsi="Arial" w:cs="Arial"/>
          <w:sz w:val="20"/>
        </w:rPr>
        <w:t xml:space="preserve">e Court accepted the </w:t>
      </w:r>
      <w:r w:rsidR="0030515F">
        <w:rPr>
          <w:rFonts w:ascii="Arial" w:hAnsi="Arial" w:cs="Arial"/>
          <w:sz w:val="20"/>
        </w:rPr>
        <w:t xml:space="preserve">expert </w:t>
      </w:r>
      <w:r w:rsidR="00811C5E">
        <w:rPr>
          <w:rFonts w:ascii="Arial" w:hAnsi="Arial" w:cs="Arial"/>
          <w:sz w:val="20"/>
        </w:rPr>
        <w:t xml:space="preserve">evidence of </w:t>
      </w:r>
      <w:r w:rsidR="000F226D">
        <w:rPr>
          <w:rFonts w:ascii="Arial" w:hAnsi="Arial" w:cs="Arial"/>
          <w:sz w:val="20"/>
        </w:rPr>
        <w:t>an infant mental health professional</w:t>
      </w:r>
      <w:r w:rsidR="0078774C">
        <w:rPr>
          <w:rFonts w:ascii="Arial" w:hAnsi="Arial" w:cs="Arial"/>
          <w:sz w:val="20"/>
        </w:rPr>
        <w:t xml:space="preserve"> Ms J</w:t>
      </w:r>
      <w:r w:rsidR="00CF001A">
        <w:rPr>
          <w:rFonts w:ascii="Arial" w:hAnsi="Arial" w:cs="Arial"/>
          <w:sz w:val="20"/>
        </w:rPr>
        <w:t>,</w:t>
      </w:r>
      <w:r w:rsidR="000F226D">
        <w:rPr>
          <w:rFonts w:ascii="Arial" w:hAnsi="Arial" w:cs="Arial"/>
          <w:sz w:val="20"/>
        </w:rPr>
        <w:t xml:space="preserve"> outlin</w:t>
      </w:r>
      <w:r w:rsidR="00811C5E">
        <w:rPr>
          <w:rFonts w:ascii="Arial" w:hAnsi="Arial" w:cs="Arial"/>
          <w:sz w:val="20"/>
        </w:rPr>
        <w:t>ing</w:t>
      </w:r>
      <w:r w:rsidR="00C71B5E">
        <w:rPr>
          <w:rFonts w:ascii="Arial" w:hAnsi="Arial" w:cs="Arial"/>
          <w:sz w:val="20"/>
        </w:rPr>
        <w:t xml:space="preserve"> </w:t>
      </w:r>
      <w:r w:rsidR="000F226D">
        <w:rPr>
          <w:rFonts w:ascii="Arial" w:hAnsi="Arial" w:cs="Arial"/>
          <w:sz w:val="20"/>
        </w:rPr>
        <w:t xml:space="preserve">four </w:t>
      </w:r>
      <w:r w:rsidR="00811C5E">
        <w:rPr>
          <w:rFonts w:ascii="Arial" w:hAnsi="Arial" w:cs="Arial"/>
          <w:sz w:val="20"/>
        </w:rPr>
        <w:t xml:space="preserve">different </w:t>
      </w:r>
      <w:r w:rsidR="002805B6">
        <w:rPr>
          <w:rFonts w:ascii="Arial" w:hAnsi="Arial" w:cs="Arial"/>
          <w:sz w:val="20"/>
        </w:rPr>
        <w:t xml:space="preserve">attachment styles which she </w:t>
      </w:r>
      <w:r w:rsidR="000F226D">
        <w:rPr>
          <w:rFonts w:ascii="Arial" w:hAnsi="Arial" w:cs="Arial"/>
          <w:sz w:val="20"/>
        </w:rPr>
        <w:t>labelled (1)</w:t>
      </w:r>
      <w:r w:rsidR="00C11CEA">
        <w:rPr>
          <w:rFonts w:ascii="Arial" w:hAnsi="Arial" w:cs="Arial"/>
          <w:sz w:val="20"/>
        </w:rPr>
        <w:t> </w:t>
      </w:r>
      <w:r w:rsidR="000F226D">
        <w:rPr>
          <w:rFonts w:ascii="Arial" w:hAnsi="Arial" w:cs="Arial"/>
          <w:sz w:val="20"/>
        </w:rPr>
        <w:t>secure; (2) anxious; (3)</w:t>
      </w:r>
      <w:r w:rsidR="00C71B5E">
        <w:rPr>
          <w:rFonts w:ascii="Arial" w:hAnsi="Arial" w:cs="Arial"/>
          <w:sz w:val="20"/>
        </w:rPr>
        <w:t xml:space="preserve"> </w:t>
      </w:r>
      <w:r w:rsidR="000F226D">
        <w:rPr>
          <w:rFonts w:ascii="Arial" w:hAnsi="Arial" w:cs="Arial"/>
          <w:sz w:val="20"/>
        </w:rPr>
        <w:t>avoidant and (4)</w:t>
      </w:r>
      <w:r w:rsidR="00EA261E">
        <w:rPr>
          <w:rFonts w:ascii="Arial" w:hAnsi="Arial" w:cs="Arial"/>
          <w:sz w:val="20"/>
        </w:rPr>
        <w:t> </w:t>
      </w:r>
      <w:r w:rsidR="000F226D">
        <w:rPr>
          <w:rFonts w:ascii="Arial" w:hAnsi="Arial" w:cs="Arial"/>
          <w:sz w:val="20"/>
        </w:rPr>
        <w:t>disorganized an</w:t>
      </w:r>
      <w:r w:rsidR="00811C5E">
        <w:rPr>
          <w:rFonts w:ascii="Arial" w:hAnsi="Arial" w:cs="Arial"/>
          <w:sz w:val="20"/>
        </w:rPr>
        <w:t>d</w:t>
      </w:r>
      <w:r w:rsidR="00C71B5E">
        <w:rPr>
          <w:rFonts w:ascii="Arial" w:hAnsi="Arial" w:cs="Arial"/>
          <w:sz w:val="20"/>
        </w:rPr>
        <w:t xml:space="preserve"> </w:t>
      </w:r>
      <w:r w:rsidR="00811C5E">
        <w:rPr>
          <w:rFonts w:ascii="Arial" w:hAnsi="Arial" w:cs="Arial"/>
          <w:sz w:val="20"/>
        </w:rPr>
        <w:t xml:space="preserve">which she described </w:t>
      </w:r>
      <w:r w:rsidR="00B320A7">
        <w:rPr>
          <w:rFonts w:ascii="Arial" w:hAnsi="Arial" w:cs="Arial"/>
          <w:sz w:val="20"/>
        </w:rPr>
        <w:t>in the following way</w:t>
      </w:r>
      <w:r w:rsidR="000F226D">
        <w:rPr>
          <w:rFonts w:ascii="Arial" w:hAnsi="Arial" w:cs="Arial"/>
          <w:sz w:val="20"/>
        </w:rPr>
        <w:t>:</w:t>
      </w:r>
    </w:p>
    <w:p w14:paraId="2380D540" w14:textId="525DB1DC"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Secure</w:t>
      </w:r>
      <w:r w:rsidRPr="00E13059">
        <w:rPr>
          <w:rFonts w:ascii="Arial" w:hAnsi="Arial" w:cs="Arial"/>
          <w:sz w:val="18"/>
          <w:szCs w:val="18"/>
        </w:rPr>
        <w:t xml:space="preserve">: </w:t>
      </w:r>
      <w:r w:rsidR="00EA261E" w:rsidRPr="00E13059">
        <w:rPr>
          <w:rFonts w:ascii="Arial" w:hAnsi="Arial" w:cs="Arial"/>
          <w:sz w:val="18"/>
          <w:szCs w:val="18"/>
        </w:rPr>
        <w:t xml:space="preserve"> </w:t>
      </w:r>
      <w:r w:rsidRPr="00E13059">
        <w:rPr>
          <w:rFonts w:ascii="Arial" w:hAnsi="Arial" w:cs="Arial"/>
          <w:sz w:val="18"/>
          <w:szCs w:val="18"/>
        </w:rPr>
        <w:t xml:space="preserve">The child safely explores and is able to explore outside the immediate contact of the mother and father safe in the knowledge she can return in any way and the caregiver will be available for her.  The child is able to </w:t>
      </w:r>
      <w:r w:rsidR="00B320A7" w:rsidRPr="00E13059">
        <w:rPr>
          <w:rFonts w:ascii="Arial" w:hAnsi="Arial" w:cs="Arial"/>
          <w:sz w:val="18"/>
          <w:szCs w:val="18"/>
        </w:rPr>
        <w:t>accept</w:t>
      </w:r>
      <w:r w:rsidRPr="00E13059">
        <w:rPr>
          <w:rFonts w:ascii="Arial" w:hAnsi="Arial" w:cs="Arial"/>
          <w:sz w:val="18"/>
          <w:szCs w:val="18"/>
        </w:rPr>
        <w:t xml:space="preserve"> messages that it is safe to explore her world.</w:t>
      </w:r>
    </w:p>
    <w:p w14:paraId="2081B791"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Anxious</w:t>
      </w:r>
      <w:r w:rsidRPr="00E13059">
        <w:rPr>
          <w:rFonts w:ascii="Arial" w:hAnsi="Arial" w:cs="Arial"/>
          <w:sz w:val="18"/>
          <w:szCs w:val="18"/>
        </w:rPr>
        <w:t>:  The child exhibits distress moving away in a myriad of ways.  Not healthy distress</w:t>
      </w:r>
      <w:r w:rsidR="0030515F" w:rsidRPr="00E13059">
        <w:rPr>
          <w:rFonts w:ascii="Arial" w:hAnsi="Arial" w:cs="Arial"/>
          <w:sz w:val="18"/>
          <w:szCs w:val="18"/>
        </w:rPr>
        <w:t>.  I</w:t>
      </w:r>
      <w:r w:rsidRPr="00E13059">
        <w:rPr>
          <w:rFonts w:ascii="Arial" w:hAnsi="Arial" w:cs="Arial"/>
          <w:sz w:val="18"/>
          <w:szCs w:val="18"/>
        </w:rPr>
        <w:t>t might be that when an attachment figure moves away from close proximity an anxious child might throw something at her and be annoyed.  Excessive anxiety is part of the ‘anxious’ classification.</w:t>
      </w:r>
    </w:p>
    <w:p w14:paraId="2B6BFBCF" w14:textId="77777777" w:rsidR="000F226D" w:rsidRPr="00E13059" w:rsidRDefault="000F226D" w:rsidP="000F226D">
      <w:pPr>
        <w:spacing w:before="60"/>
        <w:ind w:left="567" w:right="567"/>
        <w:jc w:val="both"/>
        <w:rPr>
          <w:rFonts w:ascii="Arial" w:hAnsi="Arial" w:cs="Arial"/>
          <w:sz w:val="18"/>
          <w:szCs w:val="18"/>
        </w:rPr>
      </w:pPr>
      <w:r w:rsidRPr="00E13059">
        <w:rPr>
          <w:rFonts w:ascii="Arial" w:hAnsi="Arial" w:cs="Arial"/>
          <w:b/>
          <w:sz w:val="18"/>
          <w:szCs w:val="18"/>
          <w:u w:val="single"/>
        </w:rPr>
        <w:t>Avoidant</w:t>
      </w:r>
      <w:r w:rsidRPr="00E13059">
        <w:rPr>
          <w:rFonts w:ascii="Arial" w:hAnsi="Arial" w:cs="Arial"/>
          <w:sz w:val="18"/>
          <w:szCs w:val="18"/>
        </w:rPr>
        <w:t xml:space="preserve">:  An </w:t>
      </w:r>
      <w:r w:rsidR="00B320A7" w:rsidRPr="00E13059">
        <w:rPr>
          <w:rFonts w:ascii="Arial" w:hAnsi="Arial" w:cs="Arial"/>
          <w:sz w:val="18"/>
          <w:szCs w:val="18"/>
        </w:rPr>
        <w:t xml:space="preserve">infant with an </w:t>
      </w:r>
      <w:r w:rsidRPr="00E13059">
        <w:rPr>
          <w:rFonts w:ascii="Arial" w:hAnsi="Arial" w:cs="Arial"/>
          <w:sz w:val="18"/>
          <w:szCs w:val="18"/>
        </w:rPr>
        <w:t>‘avoidant’ style does not appear to need the attachment figure very clearly, often exhibits little distress at reunion or reunification and exhibits a self-reliant style.  The</w:t>
      </w:r>
      <w:r w:rsidR="00B320A7" w:rsidRPr="00E13059">
        <w:rPr>
          <w:rFonts w:ascii="Arial" w:hAnsi="Arial" w:cs="Arial"/>
          <w:sz w:val="18"/>
          <w:szCs w:val="18"/>
        </w:rPr>
        <w:t xml:space="preserve"> infant does not</w:t>
      </w:r>
      <w:r w:rsidRPr="00E13059">
        <w:rPr>
          <w:rFonts w:ascii="Arial" w:hAnsi="Arial" w:cs="Arial"/>
          <w:sz w:val="18"/>
          <w:szCs w:val="18"/>
        </w:rPr>
        <w:t xml:space="preserve"> exhibit signals of </w:t>
      </w:r>
      <w:r w:rsidR="00B320A7" w:rsidRPr="00E13059">
        <w:rPr>
          <w:rFonts w:ascii="Arial" w:hAnsi="Arial" w:cs="Arial"/>
          <w:sz w:val="18"/>
          <w:szCs w:val="18"/>
        </w:rPr>
        <w:t>her</w:t>
      </w:r>
      <w:r w:rsidRPr="00E13059">
        <w:rPr>
          <w:rFonts w:ascii="Arial" w:hAnsi="Arial" w:cs="Arial"/>
          <w:sz w:val="18"/>
          <w:szCs w:val="18"/>
        </w:rPr>
        <w:t xml:space="preserve"> own distress and it is often misunderstood by even a sensiti</w:t>
      </w:r>
      <w:r w:rsidR="00B320A7" w:rsidRPr="00E13059">
        <w:rPr>
          <w:rFonts w:ascii="Arial" w:hAnsi="Arial" w:cs="Arial"/>
          <w:sz w:val="18"/>
          <w:szCs w:val="18"/>
        </w:rPr>
        <w:t>ve caregiver that the child is thought to be</w:t>
      </w:r>
      <w:r w:rsidRPr="00E13059">
        <w:rPr>
          <w:rFonts w:ascii="Arial" w:hAnsi="Arial" w:cs="Arial"/>
          <w:sz w:val="18"/>
          <w:szCs w:val="18"/>
        </w:rPr>
        <w:t xml:space="preserve"> not in need.…</w:t>
      </w:r>
    </w:p>
    <w:p w14:paraId="68A80EA3" w14:textId="77777777" w:rsidR="000F226D" w:rsidRPr="00E13059" w:rsidRDefault="000F226D" w:rsidP="006A4203">
      <w:pPr>
        <w:spacing w:before="60"/>
        <w:ind w:left="567" w:right="567"/>
        <w:jc w:val="both"/>
        <w:rPr>
          <w:b/>
          <w:sz w:val="20"/>
          <w:szCs w:val="20"/>
        </w:rPr>
      </w:pPr>
      <w:r w:rsidRPr="00E13059">
        <w:rPr>
          <w:rFonts w:ascii="Arial" w:hAnsi="Arial" w:cs="Arial"/>
          <w:b/>
          <w:sz w:val="18"/>
          <w:szCs w:val="18"/>
          <w:u w:val="single"/>
        </w:rPr>
        <w:t>Disorganized</w:t>
      </w:r>
      <w:r w:rsidRPr="00E13059">
        <w:rPr>
          <w:rFonts w:ascii="Arial" w:hAnsi="Arial" w:cs="Arial"/>
          <w:sz w:val="18"/>
          <w:szCs w:val="18"/>
        </w:rPr>
        <w:t xml:space="preserve">:  This </w:t>
      </w:r>
      <w:r w:rsidR="00B320A7" w:rsidRPr="00E13059">
        <w:rPr>
          <w:rFonts w:ascii="Arial" w:hAnsi="Arial" w:cs="Arial"/>
          <w:sz w:val="18"/>
          <w:szCs w:val="18"/>
        </w:rPr>
        <w:t xml:space="preserve">style </w:t>
      </w:r>
      <w:r w:rsidRPr="00E13059">
        <w:rPr>
          <w:rFonts w:ascii="Arial" w:hAnsi="Arial" w:cs="Arial"/>
          <w:sz w:val="18"/>
          <w:szCs w:val="18"/>
        </w:rPr>
        <w:t xml:space="preserve">is more commonly seen in a traumatized or abused infant.  In the attachment figure’s presence the child might freeze or show signs of difficult physical distress, e.g. curl up in a ball.  </w:t>
      </w:r>
      <w:r w:rsidR="00B320A7" w:rsidRPr="00E13059">
        <w:rPr>
          <w:rFonts w:ascii="Arial" w:hAnsi="Arial" w:cs="Arial"/>
          <w:sz w:val="18"/>
          <w:szCs w:val="18"/>
        </w:rPr>
        <w:t>Children with disorganized attachment</w:t>
      </w:r>
      <w:r w:rsidRPr="00E13059">
        <w:rPr>
          <w:rFonts w:ascii="Arial" w:hAnsi="Arial" w:cs="Arial"/>
          <w:sz w:val="18"/>
          <w:szCs w:val="18"/>
        </w:rPr>
        <w:t xml:space="preserve"> are often seen as children who are naughty, poorly compliant, ‘all over the place’.  They </w:t>
      </w:r>
      <w:r w:rsidR="00B320A7" w:rsidRPr="00E13059">
        <w:rPr>
          <w:rFonts w:ascii="Arial" w:hAnsi="Arial" w:cs="Arial"/>
          <w:sz w:val="18"/>
          <w:szCs w:val="18"/>
        </w:rPr>
        <w:t>do not have</w:t>
      </w:r>
      <w:r w:rsidRPr="00E13059">
        <w:rPr>
          <w:rFonts w:ascii="Arial" w:hAnsi="Arial" w:cs="Arial"/>
          <w:sz w:val="18"/>
          <w:szCs w:val="18"/>
        </w:rPr>
        <w:t xml:space="preserve"> a way to attach to a caregiver.  </w:t>
      </w:r>
      <w:r w:rsidR="00B320A7" w:rsidRPr="00E13059">
        <w:rPr>
          <w:rFonts w:ascii="Arial" w:hAnsi="Arial" w:cs="Arial"/>
          <w:sz w:val="18"/>
          <w:szCs w:val="18"/>
        </w:rPr>
        <w:t>The a</w:t>
      </w:r>
      <w:r w:rsidRPr="00E13059">
        <w:rPr>
          <w:rFonts w:ascii="Arial" w:hAnsi="Arial" w:cs="Arial"/>
          <w:sz w:val="18"/>
          <w:szCs w:val="18"/>
        </w:rPr>
        <w:t xml:space="preserve">etiology is </w:t>
      </w:r>
      <w:r w:rsidR="00B320A7" w:rsidRPr="00E13059">
        <w:rPr>
          <w:rFonts w:ascii="Arial" w:hAnsi="Arial" w:cs="Arial"/>
          <w:sz w:val="18"/>
          <w:szCs w:val="18"/>
        </w:rPr>
        <w:t>of a traumatized infant</w:t>
      </w:r>
      <w:r w:rsidRPr="00E13059">
        <w:rPr>
          <w:rFonts w:ascii="Arial" w:hAnsi="Arial" w:cs="Arial"/>
          <w:sz w:val="18"/>
          <w:szCs w:val="18"/>
        </w:rPr>
        <w:t xml:space="preserve"> who do</w:t>
      </w:r>
      <w:r w:rsidR="00B320A7" w:rsidRPr="00E13059">
        <w:rPr>
          <w:rFonts w:ascii="Arial" w:hAnsi="Arial" w:cs="Arial"/>
          <w:sz w:val="18"/>
          <w:szCs w:val="18"/>
        </w:rPr>
        <w:t>es not</w:t>
      </w:r>
      <w:r w:rsidRPr="00E13059">
        <w:rPr>
          <w:rFonts w:ascii="Arial" w:hAnsi="Arial" w:cs="Arial"/>
          <w:sz w:val="18"/>
          <w:szCs w:val="18"/>
        </w:rPr>
        <w:t xml:space="preserve"> exhibit strategies of reunion and exploration.</w:t>
      </w:r>
    </w:p>
    <w:p w14:paraId="12466646" w14:textId="2B31C079" w:rsidR="00811C5E" w:rsidRDefault="00811C5E" w:rsidP="00811C5E">
      <w:pPr>
        <w:jc w:val="both"/>
        <w:rPr>
          <w:rFonts w:ascii="Arial" w:hAnsi="Arial" w:cs="Arial"/>
          <w:sz w:val="20"/>
        </w:rPr>
      </w:pPr>
    </w:p>
    <w:p w14:paraId="2EB1AC5D" w14:textId="41D67128" w:rsidR="00596A85" w:rsidRDefault="009D4A86" w:rsidP="00811C5E">
      <w:pPr>
        <w:jc w:val="both"/>
        <w:rPr>
          <w:rFonts w:ascii="Arial" w:hAnsi="Arial" w:cs="Arial"/>
          <w:sz w:val="20"/>
        </w:rPr>
      </w:pPr>
      <w:r>
        <w:rPr>
          <w:rFonts w:ascii="Arial" w:hAnsi="Arial" w:cs="Arial"/>
          <w:sz w:val="20"/>
        </w:rPr>
        <w:t>During</w:t>
      </w:r>
      <w:r w:rsidR="00596A85">
        <w:rPr>
          <w:rFonts w:ascii="Arial" w:hAnsi="Arial" w:cs="Arial"/>
          <w:sz w:val="20"/>
        </w:rPr>
        <w:t xml:space="preserve"> the contested hearing </w:t>
      </w:r>
      <w:r w:rsidR="0042505D">
        <w:rPr>
          <w:rFonts w:ascii="Arial" w:hAnsi="Arial" w:cs="Arial"/>
          <w:sz w:val="20"/>
        </w:rPr>
        <w:t>M</w:t>
      </w:r>
      <w:r w:rsidR="00C71B5E">
        <w:rPr>
          <w:rFonts w:ascii="Arial" w:hAnsi="Arial" w:cs="Arial"/>
          <w:sz w:val="20"/>
        </w:rPr>
        <w:t xml:space="preserve">agistrate </w:t>
      </w:r>
      <w:r w:rsidR="0042505D">
        <w:rPr>
          <w:rFonts w:ascii="Arial" w:hAnsi="Arial" w:cs="Arial"/>
          <w:sz w:val="20"/>
        </w:rPr>
        <w:t xml:space="preserve">Power </w:t>
      </w:r>
      <w:r w:rsidR="00596A85">
        <w:rPr>
          <w:rFonts w:ascii="Arial" w:hAnsi="Arial" w:cs="Arial"/>
          <w:sz w:val="20"/>
        </w:rPr>
        <w:t xml:space="preserve">provided Ms J with a copy of the following material written by </w:t>
      </w:r>
      <w:r w:rsidR="00E13059">
        <w:rPr>
          <w:rFonts w:ascii="Arial" w:hAnsi="Arial" w:cs="Arial"/>
          <w:sz w:val="20"/>
        </w:rPr>
        <w:t xml:space="preserve">a clinical psychologist </w:t>
      </w:r>
      <w:r w:rsidR="00596A85">
        <w:rPr>
          <w:rFonts w:ascii="Arial" w:hAnsi="Arial" w:cs="Arial"/>
          <w:sz w:val="20"/>
        </w:rPr>
        <w:t>Dr R in Court reports dated April 2002 &amp; September 2003:</w:t>
      </w:r>
    </w:p>
    <w:p w14:paraId="2D282E77" w14:textId="77777777" w:rsidR="00596A85" w:rsidRPr="00E13059" w:rsidRDefault="00596A85" w:rsidP="00E13059">
      <w:pPr>
        <w:spacing w:before="120"/>
        <w:ind w:left="567" w:right="567"/>
        <w:jc w:val="center"/>
        <w:rPr>
          <w:rFonts w:ascii="Arial" w:hAnsi="Arial" w:cs="Arial"/>
          <w:b/>
          <w:bCs/>
          <w:sz w:val="18"/>
          <w:szCs w:val="22"/>
        </w:rPr>
      </w:pPr>
      <w:r w:rsidRPr="00E13059">
        <w:rPr>
          <w:rFonts w:ascii="Arial" w:hAnsi="Arial" w:cs="Arial"/>
          <w:b/>
          <w:bCs/>
          <w:sz w:val="18"/>
          <w:szCs w:val="22"/>
        </w:rPr>
        <w:t>1. The significance of secure attachment for psychological wellbeing</w:t>
      </w:r>
    </w:p>
    <w:p w14:paraId="798B613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It is critical to children's emotional wellbeing that they have the opportunity to experience at least one (and preferably more than one) secure attachment relationship during the early years.  Secure attachment relationships provide the essential underpinning of healthy emotional, social and intellectual development and are the foundation for lifetime self-esteem and psychological wellbeing.  A detailed explanation of this process is presented in Howe (1995).  In this section, the process is briefly outlined, along with the empirical support for it.</w:t>
      </w:r>
    </w:p>
    <w:p w14:paraId="731E9BCE"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Attachment refers to the strong tie or bond of affection that develops between children and those people who care for them.  In normal circumstances, this bond begins to develop at birth or soon after, once the so-called 'pre-attachment phase' ends at about 6 weeks.  Through repeated experiences of having his or her needs met consistently and sensitively, a clear-cut secure attachment is evident in the child's behaviour to the adult carer(s) sometime in the second half of the first year.  This grows and develops during the early childhood period.</w:t>
      </w:r>
    </w:p>
    <w:p w14:paraId="784C19A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nature of the attachment relationship is of major significance for a child's psychological wellbeing.  This is because the view that children develop of themselves as psychological entities (their core concept of 'self') reflects primarily the interactions they have with their attachment figures, particularly in the early years.  This is referred to as their 'inner working model' of themselves and their relationship to the world of people around them (Bowlby, 1969; Main, Kaplan &amp; Cassidy, 1985).  Children with secure attachment histories develop a view of themselves as worthy and lovable and the world as a place to be trusted, since their history of intimate interactions has been generally characterised by love, care, consistency and sensitivity (Howe, 1995; Sroufe, 1988, 1989).  They have a strong sense of 'felt security'.</w:t>
      </w:r>
    </w:p>
    <w:p w14:paraId="1A812A8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if a child's needs are not met consistently and/or sensitively by their caregiver(s), an insecure attachment is likely to develop.  Children with insecure attachment relationships have to develop strategies to cope with the insensitivity and/or inconsistency of their attachment figure(s), and hence may come to view themselves as less worthy and lovable and the world as a place that may not be trusted.  At the extreme, children with histories of abuse and/or neglect or who have severe disruptions to their primary attachment relationships (which are inevitably interpreted by the young child as rejection and abandonment) may experience themselves as unworthy and unlovable and eventually may view the world as a hostile place where they are most likely to be rejected (Carlson, 1998; Main &amp; Solomon, 1990; Howe, 1995).</w:t>
      </w:r>
    </w:p>
    <w:p w14:paraId="684A726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lastRenderedPageBreak/>
        <w:t xml:space="preserve">Important differences emerge when the psychological competence of children with different attachment histories are compared over time.  In one of the most extensive longitudinal studies of this kind, Sroufe and his colleagues (e.g. Elicker, Englund &amp; Sroufe, 1992; Shulman, Elicker &amp; Sroufe, 1994) followed the development of a large sample of infants through to age 11 years.  They found that preschoolers who were securely attached as infants showed more make believe play and greater enthusiasm, flexibility and persistence in problem solving by age two years.  At age 4, such children were rated by their preschool teachers, under a blind testing procedure, as higher in self esteem, social competence, cooperation, popularity and empathy.  In contrast, insecurely attached infants were viewed as more isolated, disruptive or difficult in the preschool setting.  By age 11 years, children with secure histories had better quality peer relationships, closer friendships and better social skills as well as being cognitively more advanced.  Important in the [instant] case is the finding that 'continuity of caregiving' (Lamb et al, 1985) determines whether early attachment security is linked to later development.  This aspect is discussed further below. </w:t>
      </w:r>
    </w:p>
    <w:p w14:paraId="0B140468"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2. The immediate, short and longer-term impact of removal of a young child from his attachment figure(s)</w:t>
      </w:r>
    </w:p>
    <w:p w14:paraId="19F9D09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2.1 The significance of removal of a young child from her attachment figure(s)</w:t>
      </w:r>
    </w:p>
    <w:p w14:paraId="1FC3FD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Disruption of primary attachment relationships, particularly in the early years, has a profound impact on both current and future psychological health insofar as it impacts in a negative way on the development of the core of the personality via the 'emergent self'.  That is, the child's sense of self fundamentally emerging via relationships with primary attachment figures.  Removal of the child from the attachment figures is inevitably interpreted by the child as rejection and abandonment (e.g. Cummings and Cicchetti, 1990) and risks significant damage to the child's core concept of self as lovable and worthy with subsequent negative impacts on his developing psyche and self esteem.  As Fahlberg (1991) describes it, disruption to the attachment relationship is not simply a loss but a threat to the integrity of the self' (Howe, 1995, p.57).  According to Fahlberg (1991) 'when that bond is broken, the very structure of the personality is endangered' (p.143).</w:t>
      </w:r>
    </w:p>
    <w:p w14:paraId="3CD8977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Other evidence that disruptions to primary attachments are associated with a range of indices of both short and long-term psychological damage in the emotional, social and intellectual domains are considered in the following sections (2.2 &amp; 2.3).</w:t>
      </w:r>
    </w:p>
    <w:p w14:paraId="5C385234"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u w:val="single"/>
        </w:rPr>
        <w:t>2.2 Immediate and short-term response to removal</w:t>
      </w:r>
    </w:p>
    <w:p w14:paraId="77B66CC7"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response of the young child to loss of the attachment figure was extensively studied by Bowlby and his colleague, James Robertson.  In discussing this extensive research, Howe (1995) summarises why the loss of the attachment figure is so traumatic for the young child.  This is because the loss is a 'double blow' (p.57).  As Howe describes it, having lost the figure(s) of attachment, the child feels insecure and anxious.  Feeling this way strongly activates the attachment system.  The child experiences an overwhelming need to return to the security afforded by the attachment figure, but this figure is now not available.  The child responds with intense anxiety and is likely to feel angry, sad, rejected and helpless.</w:t>
      </w:r>
    </w:p>
    <w:p w14:paraId="2C7810F8"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All those who suffer the loss of a loved one experience grief reactions.  The feelings include shock, yearning, searching, sadness, anger, hopelessness, helplessness, abandonment, rejection, and guilt (self-blame).  For the young child, the extent of their dependency means that the loss of the attachment figure is particularly frightening.  Cognitive immaturity and limited information processing skills put the younger child particularly at risk due to unresolved grief.  If unresolved, ongoing grief puts the psychological health of a person (whether child or adult) at risk for depression and despair.</w:t>
      </w:r>
    </w:p>
    <w:p w14:paraId="152FCB8B"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recognition of the traumatic nature of removal of a child from his family, section 87 of the Victorian Children and Young Persons Act 1989 states that this course of action should only occur 'if there is unacceptable risk of harm to the child' if he is not so removed.</w:t>
      </w:r>
    </w:p>
    <w:p w14:paraId="65A057FB" w14:textId="77777777" w:rsidR="00596A85" w:rsidRPr="00E13059" w:rsidRDefault="00596A85" w:rsidP="009D4A86">
      <w:pPr>
        <w:spacing w:before="120"/>
        <w:ind w:left="567" w:right="567"/>
        <w:jc w:val="both"/>
        <w:rPr>
          <w:rFonts w:ascii="Arial" w:hAnsi="Arial" w:cs="Arial"/>
          <w:sz w:val="18"/>
          <w:szCs w:val="22"/>
          <w:u w:val="single"/>
        </w:rPr>
      </w:pPr>
      <w:r w:rsidRPr="00E13059">
        <w:rPr>
          <w:rFonts w:ascii="Arial" w:hAnsi="Arial" w:cs="Arial"/>
          <w:sz w:val="18"/>
          <w:szCs w:val="22"/>
          <w:u w:val="single"/>
        </w:rPr>
        <w:t>2.3 Longer-term impacts of removal</w:t>
      </w:r>
    </w:p>
    <w:p w14:paraId="535C12C5"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The path of psychological development throughout the lifespan is extremely complex, and precise pathways are impossible to predict.  That is because development reflects the intricate dynamics between people's relationship history, their personality and the character of their current environment, both social and material' (Howe, 1995. p.223).  How a child develops in later life will reflect the ongoing experiences the child has, and these can never be known completely beforehand.</w:t>
      </w:r>
    </w:p>
    <w:p w14:paraId="0E49009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 xml:space="preserve">In the view of some, if a child's separation anxiety (resulting from removal from the attachment figures) is well handled, it is unlikely that any long term difficulties would result.  It is true that the way others react to those who have experienced a loss is important to the success of the grieving process.  Research supports the position that sensitive caregiving after removal facilitates (but cannot guarantee) recovery from the trauma.   Importantly, </w:t>
      </w:r>
      <w:r w:rsidRPr="00E13059">
        <w:rPr>
          <w:rFonts w:ascii="Arial" w:hAnsi="Arial" w:cs="Arial"/>
          <w:sz w:val="18"/>
          <w:szCs w:val="22"/>
        </w:rPr>
        <w:lastRenderedPageBreak/>
        <w:t>however, the trauma itself cannot be avoided, even with the most sensitive and careful handling.  Recent brain research by Bruce Perry and his colleagues (e.g. Perry, Pollard, Blakely, Baker and Vigilante, 1995) indicates that traumatic experiences pose particularly difficult challenges to the developing brain.  His work indicates that early childhood trauma, including parental loss, may lead to a compromised neural network since infancy and early childhood are critical periods for the organisation of brain systems.</w:t>
      </w:r>
    </w:p>
    <w:p w14:paraId="21A7447E"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3. The formation of new attachments following separation from primary attachment figures</w:t>
      </w:r>
    </w:p>
    <w:p w14:paraId="28FB67BF"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determining the likely impact on a child of removal, an important consideration is the likelihood of the child being able to reform new attachments, and the likely quality of these attachments.</w:t>
      </w:r>
    </w:p>
    <w:p w14:paraId="4FC7D949"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When a young child is removed from parental care, the child will usually develop a primary attachment relationship to the foster carer(s) if the placement is sustained.  If removal occurs in the pre-attachment stage and placement is immediate or almost immediate and sustained, attachment formation may well proceed as if no disruption had occurred.  Even if removal occurs after the primary attachment has formed, a new attachment can form.  Indeed, almost every young child will form an attachment to the caregiver who is most available to them, as this is the essence of the basic attachment bond, i.e. to maximise the likelihood of  survival through the presence of someone who can meet survival needs.</w:t>
      </w:r>
    </w:p>
    <w:p w14:paraId="40E7A9A0"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However, of critical importance is the quality of the new attachment relationship(s) that will form.  Research indicates that children with secure attachment histories are more likely to form secure relationships later in life.  This is because the child's sense of trust in the world enables them to approach new relationships with more confidence than if they had not experienced any secure relationship in the past.  However, if secure attachment(s) are broken, there is no guarantee that future attachments will necessarily be secure.  Recent longitudinal research of infants and young children in new placements (Dozier, Stovall and Albus, 2000) has established that the formation of secure attachments in a new placement is very difficult, especially for children placed past infancy.  Dozier's research indicates this is so even when the new caregivers are highly sensitive and responsive to the child's needs.</w:t>
      </w:r>
    </w:p>
    <w:p w14:paraId="12632C61"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In essence, when the primary attachment is broken by removal of the child from his primary attachment figures, a very complex psychological process ensues.  The new relationship is being built from an initial position on the part of the child of distress, hurt, perceived rejection, and abandonment (see section 2 above).  In order to cope with feelings of rejection and abandonment, the child develops psychological defences.  While these may be helpful in easing immediate pain, if prolonged they are unhelpful to the emergence of new relationships.  It is these psychological defences which appear to mitigate against security in the new placement.  Furthermore, it is impossible to predict how long it would take to form new attachments, whether secure or insecure in nature.  In any event, the ability to re-attach is not the essential consideration.  Rather, it is the likelihood of secure attachments forming in the new placement that is the critical consideration.</w:t>
      </w:r>
    </w:p>
    <w:p w14:paraId="01AA4322" w14:textId="77777777" w:rsidR="00596A85" w:rsidRPr="00E13059" w:rsidRDefault="00596A85" w:rsidP="009D4A86">
      <w:pPr>
        <w:spacing w:before="120"/>
        <w:ind w:left="567" w:right="567"/>
        <w:jc w:val="center"/>
        <w:rPr>
          <w:rFonts w:ascii="Arial" w:hAnsi="Arial" w:cs="Arial"/>
          <w:b/>
          <w:bCs/>
          <w:sz w:val="18"/>
          <w:szCs w:val="22"/>
        </w:rPr>
      </w:pPr>
      <w:r w:rsidRPr="00E13059">
        <w:rPr>
          <w:rFonts w:ascii="Arial" w:hAnsi="Arial" w:cs="Arial"/>
          <w:b/>
          <w:bCs/>
          <w:sz w:val="18"/>
          <w:szCs w:val="22"/>
        </w:rPr>
        <w:t>4. Considerations in regard to preserving and strengthening the child's relationships with the birth family</w:t>
      </w:r>
    </w:p>
    <w:p w14:paraId="7BDE242C"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An ongoing, positive relationship with the birth family is pivotal to the psychological health of the child, especially in the longer term.  Failure to maintain a relationship with the biological family may lead to preoccupation in adolescence with a fantasised or idealised image and searching behaviour which can be deleterious to psychological development into adulthood.  Although current practice does not always allow for this, it is in a child's best interests that permanent placement be planned in such a way to maximise the chances of the child's ongoing relationship with their biological family (mother, father, siblings and extended family) being maintained as far as possible.</w:t>
      </w:r>
    </w:p>
    <w:p w14:paraId="141EAE5D" w14:textId="77777777" w:rsidR="00596A85" w:rsidRPr="00E13059" w:rsidRDefault="00596A85" w:rsidP="00596A85">
      <w:pPr>
        <w:spacing w:before="120"/>
        <w:ind w:left="567" w:right="567"/>
        <w:jc w:val="both"/>
        <w:rPr>
          <w:rFonts w:ascii="Arial" w:hAnsi="Arial" w:cs="Arial"/>
          <w:sz w:val="18"/>
          <w:szCs w:val="22"/>
        </w:rPr>
      </w:pPr>
      <w:r w:rsidRPr="00E13059">
        <w:rPr>
          <w:rFonts w:ascii="Arial" w:hAnsi="Arial" w:cs="Arial"/>
          <w:sz w:val="18"/>
          <w:szCs w:val="22"/>
        </w:rPr>
        <w:t>Whilst placement of biological siblings together is thus an important guiding principle in child protection decisions, it, along with any other guiding principle, must be considered in relation to the particular circumstances of each case.</w:t>
      </w:r>
    </w:p>
    <w:p w14:paraId="6371C0C1" w14:textId="07E4D44F" w:rsidR="00596A85" w:rsidRPr="00C71B5E" w:rsidRDefault="00596A85" w:rsidP="00596A85">
      <w:pPr>
        <w:jc w:val="both"/>
        <w:rPr>
          <w:rFonts w:ascii="Arial" w:hAnsi="Arial" w:cs="Arial"/>
          <w:sz w:val="18"/>
          <w:szCs w:val="22"/>
        </w:rPr>
      </w:pPr>
    </w:p>
    <w:p w14:paraId="011F7556" w14:textId="72D2CAEA" w:rsidR="008461F8" w:rsidRDefault="009D4A86" w:rsidP="00E13059">
      <w:pPr>
        <w:keepNext/>
        <w:keepLines/>
        <w:jc w:val="both"/>
        <w:rPr>
          <w:rFonts w:ascii="Arial" w:hAnsi="Arial" w:cs="Arial"/>
          <w:sz w:val="20"/>
          <w:szCs w:val="20"/>
        </w:rPr>
      </w:pPr>
      <w:r w:rsidRPr="009D4A86">
        <w:rPr>
          <w:rFonts w:ascii="Arial" w:hAnsi="Arial" w:cs="Arial"/>
          <w:sz w:val="20"/>
          <w:szCs w:val="20"/>
        </w:rPr>
        <w:t>After reading th</w:t>
      </w:r>
      <w:r w:rsidR="00E13059">
        <w:rPr>
          <w:rFonts w:ascii="Arial" w:hAnsi="Arial" w:cs="Arial"/>
          <w:sz w:val="20"/>
          <w:szCs w:val="20"/>
        </w:rPr>
        <w:t>is</w:t>
      </w:r>
      <w:r w:rsidR="008461F8">
        <w:rPr>
          <w:rFonts w:ascii="Arial" w:hAnsi="Arial" w:cs="Arial"/>
          <w:sz w:val="20"/>
          <w:szCs w:val="20"/>
        </w:rPr>
        <w:t xml:space="preserve"> </w:t>
      </w:r>
      <w:r w:rsidRPr="009D4A86">
        <w:rPr>
          <w:rFonts w:ascii="Arial" w:hAnsi="Arial" w:cs="Arial"/>
          <w:sz w:val="20"/>
          <w:szCs w:val="20"/>
        </w:rPr>
        <w:t>m</w:t>
      </w:r>
      <w:r w:rsidR="008461F8">
        <w:rPr>
          <w:rFonts w:ascii="Arial" w:hAnsi="Arial" w:cs="Arial"/>
          <w:sz w:val="20"/>
          <w:szCs w:val="20"/>
        </w:rPr>
        <w:t>aterial</w:t>
      </w:r>
      <w:r w:rsidRPr="009D4A86">
        <w:rPr>
          <w:rFonts w:ascii="Arial" w:hAnsi="Arial" w:cs="Arial"/>
          <w:sz w:val="20"/>
          <w:szCs w:val="20"/>
        </w:rPr>
        <w:t xml:space="preserve"> Ms J said (at p.</w:t>
      </w:r>
      <w:r w:rsidR="00E50DB0">
        <w:rPr>
          <w:rFonts w:ascii="Arial" w:hAnsi="Arial" w:cs="Arial"/>
          <w:sz w:val="20"/>
          <w:szCs w:val="20"/>
        </w:rPr>
        <w:t>78</w:t>
      </w:r>
      <w:r w:rsidRPr="009D4A86">
        <w:rPr>
          <w:rFonts w:ascii="Arial" w:hAnsi="Arial" w:cs="Arial"/>
          <w:sz w:val="20"/>
          <w:szCs w:val="20"/>
        </w:rPr>
        <w:t>):</w:t>
      </w:r>
    </w:p>
    <w:p w14:paraId="6C8040EE" w14:textId="4A0A6B9C" w:rsidR="008461F8" w:rsidRPr="008461F8" w:rsidRDefault="008461F8" w:rsidP="008461F8">
      <w:pPr>
        <w:spacing w:before="120"/>
        <w:ind w:left="567" w:right="567"/>
        <w:jc w:val="both"/>
        <w:rPr>
          <w:rFonts w:ascii="Arial" w:hAnsi="Arial" w:cs="Arial"/>
          <w:sz w:val="20"/>
        </w:rPr>
      </w:pPr>
      <w:r w:rsidRPr="008461F8">
        <w:rPr>
          <w:rFonts w:ascii="Arial" w:hAnsi="Arial" w:cs="Arial"/>
          <w:sz w:val="20"/>
        </w:rPr>
        <w:t>“</w:t>
      </w:r>
      <w:r w:rsidR="009D4A86" w:rsidRPr="009D4A86">
        <w:rPr>
          <w:rFonts w:ascii="Arial" w:hAnsi="Arial" w:cs="Arial"/>
          <w:sz w:val="20"/>
          <w:szCs w:val="20"/>
        </w:rPr>
        <w:t xml:space="preserve">I have no protest or concern about the material.  The main thing is how succinctly Dr R has summarized what is extremely important evidence for Dr D’s and my report.  She, like we did, takes a very strong infant perspective and attempts to outline the impact on an infant of [the infant’s] significant attachment figures and the importance for the infant’s mental health if he or she has an accessible and available sensitive caregiver.  So Dr R outlines that extremely well and goes on to </w:t>
      </w:r>
      <w:r w:rsidR="009D4A86" w:rsidRPr="009D4A86">
        <w:rPr>
          <w:rFonts w:ascii="Arial" w:hAnsi="Arial" w:cs="Arial"/>
          <w:sz w:val="20"/>
          <w:szCs w:val="20"/>
        </w:rPr>
        <w:lastRenderedPageBreak/>
        <w:t xml:space="preserve">talk about the impacts of removal central to the dilemma in this case for </w:t>
      </w:r>
      <w:r>
        <w:rPr>
          <w:rFonts w:ascii="Arial" w:hAnsi="Arial" w:cs="Arial"/>
          <w:sz w:val="20"/>
          <w:szCs w:val="20"/>
        </w:rPr>
        <w:t>[the child B]</w:t>
      </w:r>
      <w:r w:rsidR="009D4A86" w:rsidRPr="009D4A86">
        <w:rPr>
          <w:rFonts w:ascii="Arial" w:hAnsi="Arial" w:cs="Arial"/>
          <w:sz w:val="20"/>
          <w:szCs w:val="20"/>
        </w:rPr>
        <w:t>.  It is enormously important here.”</w:t>
      </w:r>
    </w:p>
    <w:p w14:paraId="5552C9E2" w14:textId="77777777" w:rsidR="008461F8" w:rsidRPr="00C71B5E" w:rsidRDefault="008461F8" w:rsidP="009D4A86">
      <w:pPr>
        <w:jc w:val="both"/>
        <w:rPr>
          <w:rFonts w:ascii="Arial" w:hAnsi="Arial" w:cs="Arial"/>
          <w:sz w:val="18"/>
          <w:szCs w:val="18"/>
        </w:rPr>
      </w:pPr>
    </w:p>
    <w:p w14:paraId="48108EE0" w14:textId="7153D97B" w:rsidR="009D4A86" w:rsidRPr="00CF001A" w:rsidRDefault="008461F8" w:rsidP="009D4A86">
      <w:pPr>
        <w:jc w:val="both"/>
        <w:rPr>
          <w:rFonts w:ascii="Arial" w:hAnsi="Arial" w:cs="Arial"/>
          <w:sz w:val="20"/>
        </w:rPr>
      </w:pPr>
      <w:r w:rsidRPr="008461F8">
        <w:rPr>
          <w:rFonts w:ascii="Arial" w:hAnsi="Arial" w:cs="Arial"/>
          <w:sz w:val="20"/>
          <w:szCs w:val="20"/>
        </w:rPr>
        <w:t>Another witness, family therapist Dr D</w:t>
      </w:r>
      <w:r w:rsidR="00E13059">
        <w:rPr>
          <w:rFonts w:ascii="Arial" w:hAnsi="Arial" w:cs="Arial"/>
          <w:sz w:val="20"/>
          <w:szCs w:val="20"/>
        </w:rPr>
        <w:t>,</w:t>
      </w:r>
      <w:r w:rsidRPr="008461F8">
        <w:rPr>
          <w:rFonts w:ascii="Arial" w:hAnsi="Arial" w:cs="Arial"/>
          <w:sz w:val="20"/>
          <w:szCs w:val="20"/>
        </w:rPr>
        <w:t xml:space="preserve"> had also been provided with the above material. </w:t>
      </w:r>
      <w:r>
        <w:rPr>
          <w:rFonts w:ascii="Arial" w:hAnsi="Arial" w:cs="Arial"/>
          <w:sz w:val="20"/>
          <w:szCs w:val="20"/>
        </w:rPr>
        <w:t xml:space="preserve"> </w:t>
      </w:r>
      <w:r w:rsidR="009D4A86" w:rsidRPr="009D4A86">
        <w:rPr>
          <w:rFonts w:ascii="Arial" w:hAnsi="Arial" w:cs="Arial"/>
          <w:sz w:val="20"/>
          <w:szCs w:val="20"/>
        </w:rPr>
        <w:t>While pointing out that the literature in Dr R’s bibliography was “the best part of a decade ago” Dr</w:t>
      </w:r>
      <w:r w:rsidR="00EA261E">
        <w:rPr>
          <w:rFonts w:ascii="Arial" w:hAnsi="Arial" w:cs="Arial"/>
          <w:sz w:val="20"/>
          <w:szCs w:val="20"/>
        </w:rPr>
        <w:t> </w:t>
      </w:r>
      <w:r w:rsidR="009D4A86" w:rsidRPr="009D4A86">
        <w:rPr>
          <w:rFonts w:ascii="Arial" w:hAnsi="Arial" w:cs="Arial"/>
          <w:sz w:val="20"/>
          <w:szCs w:val="20"/>
        </w:rPr>
        <w:t>D conceded</w:t>
      </w:r>
      <w:r w:rsidR="00C71B5E">
        <w:rPr>
          <w:rFonts w:ascii="Arial" w:hAnsi="Arial" w:cs="Arial"/>
          <w:sz w:val="20"/>
          <w:szCs w:val="20"/>
        </w:rPr>
        <w:t xml:space="preserve"> at p.78</w:t>
      </w:r>
      <w:r w:rsidR="009D4A86" w:rsidRPr="009D4A86">
        <w:rPr>
          <w:rFonts w:ascii="Arial" w:hAnsi="Arial" w:cs="Arial"/>
          <w:sz w:val="20"/>
          <w:szCs w:val="20"/>
        </w:rPr>
        <w:t>: “I’m generally in agreement with much of what is written there.”</w:t>
      </w:r>
    </w:p>
    <w:p w14:paraId="70B1979D" w14:textId="6AFD4611" w:rsidR="009D4A86" w:rsidRDefault="009D4A86" w:rsidP="00596A85">
      <w:pPr>
        <w:jc w:val="both"/>
        <w:rPr>
          <w:rFonts w:ascii="Arial" w:hAnsi="Arial" w:cs="Arial"/>
          <w:sz w:val="20"/>
        </w:rPr>
      </w:pPr>
    </w:p>
    <w:p w14:paraId="1175DE48" w14:textId="63CD989C" w:rsidR="00EA261E" w:rsidRDefault="00EA261E" w:rsidP="00596A85">
      <w:pPr>
        <w:jc w:val="both"/>
        <w:rPr>
          <w:rFonts w:ascii="Arial" w:hAnsi="Arial" w:cs="Arial"/>
          <w:sz w:val="20"/>
        </w:rPr>
      </w:pPr>
      <w:r>
        <w:rPr>
          <w:rFonts w:ascii="Arial" w:hAnsi="Arial" w:cs="Arial"/>
          <w:sz w:val="20"/>
        </w:rPr>
        <w:t>At p.80 Power M concluded:</w:t>
      </w:r>
    </w:p>
    <w:p w14:paraId="616479A1" w14:textId="226610A4" w:rsidR="00EA261E" w:rsidRDefault="00EA261E" w:rsidP="00EA261E">
      <w:pPr>
        <w:spacing w:before="120"/>
        <w:ind w:left="567" w:right="567"/>
        <w:jc w:val="both"/>
        <w:rPr>
          <w:rFonts w:ascii="Arial" w:hAnsi="Arial" w:cs="Arial"/>
          <w:sz w:val="20"/>
        </w:rPr>
      </w:pPr>
      <w:r>
        <w:rPr>
          <w:rFonts w:ascii="Arial" w:hAnsi="Arial" w:cs="Arial"/>
          <w:sz w:val="20"/>
        </w:rPr>
        <w:t>“Just as I agree with Dr R’s opinions, I agree with [</w:t>
      </w:r>
      <w:r w:rsidR="00993471">
        <w:rPr>
          <w:rFonts w:ascii="Arial" w:hAnsi="Arial" w:cs="Arial"/>
          <w:sz w:val="20"/>
        </w:rPr>
        <w:t>Dr D’s &amp; Ms J’s] opinions set out at p.26 of their assessment report on the importance of secure attachment as the foundation for appropriate development:</w:t>
      </w:r>
    </w:p>
    <w:p w14:paraId="00720B11" w14:textId="2D8B3C09" w:rsidR="00EA261E" w:rsidRPr="00993471" w:rsidRDefault="00993471" w:rsidP="00993471">
      <w:pPr>
        <w:spacing w:before="120"/>
        <w:ind w:left="851" w:right="851"/>
        <w:jc w:val="both"/>
        <w:rPr>
          <w:rFonts w:ascii="Arial" w:hAnsi="Arial" w:cs="Arial"/>
          <w:bCs/>
          <w:sz w:val="18"/>
          <w:szCs w:val="18"/>
        </w:rPr>
      </w:pPr>
      <w:r>
        <w:rPr>
          <w:rFonts w:ascii="Arial" w:hAnsi="Arial" w:cs="Arial"/>
          <w:bCs/>
          <w:sz w:val="18"/>
          <w:szCs w:val="18"/>
        </w:rPr>
        <w:t>‘</w:t>
      </w:r>
      <w:r w:rsidR="00EA261E" w:rsidRPr="00993471">
        <w:rPr>
          <w:rFonts w:ascii="Arial" w:hAnsi="Arial" w:cs="Arial"/>
          <w:bCs/>
          <w:sz w:val="18"/>
          <w:szCs w:val="18"/>
        </w:rPr>
        <w:t xml:space="preserve">The importance of secure attachment for infants and children is now well recognised.  Increasingly attachment theories are used to provide a conceptual foundation for assessment and decision-making.  In Victoria concepts related to attachment inform the Best interests case practice framework (DOHS, 2008).  Secure attachment is associated with better interpersonal functioning including problem solving, confidence and interactions with peers…Establishing of secure attachment is now recognised as a foundational building block for the development of infants and children (Dozier </w:t>
      </w:r>
      <w:r w:rsidR="00EA261E" w:rsidRPr="00993471">
        <w:rPr>
          <w:rFonts w:ascii="Arial" w:hAnsi="Arial" w:cs="Arial"/>
          <w:bCs/>
          <w:i/>
          <w:sz w:val="18"/>
          <w:szCs w:val="18"/>
        </w:rPr>
        <w:t>et al.</w:t>
      </w:r>
      <w:r w:rsidR="00EA261E" w:rsidRPr="00993471">
        <w:rPr>
          <w:rFonts w:ascii="Arial" w:hAnsi="Arial" w:cs="Arial"/>
          <w:bCs/>
          <w:sz w:val="18"/>
          <w:szCs w:val="18"/>
        </w:rPr>
        <w:t>, 2001).</w:t>
      </w:r>
      <w:r>
        <w:rPr>
          <w:rFonts w:ascii="Arial" w:hAnsi="Arial" w:cs="Arial"/>
          <w:bCs/>
          <w:sz w:val="18"/>
          <w:szCs w:val="18"/>
        </w:rPr>
        <w:t>’</w:t>
      </w:r>
      <w:r w:rsidR="00EA261E" w:rsidRPr="00993471">
        <w:rPr>
          <w:rFonts w:ascii="Arial" w:hAnsi="Arial" w:cs="Arial"/>
          <w:bCs/>
          <w:sz w:val="18"/>
          <w:szCs w:val="18"/>
        </w:rPr>
        <w:t>”</w:t>
      </w:r>
    </w:p>
    <w:p w14:paraId="30DBA02D" w14:textId="749CAED1" w:rsidR="00EA261E" w:rsidRDefault="00EA261E" w:rsidP="00596A85">
      <w:pPr>
        <w:jc w:val="both"/>
        <w:rPr>
          <w:rFonts w:ascii="Arial" w:hAnsi="Arial" w:cs="Arial"/>
          <w:sz w:val="20"/>
        </w:rPr>
      </w:pPr>
    </w:p>
    <w:p w14:paraId="033E6385" w14:textId="300A205C" w:rsidR="00FE2913" w:rsidRDefault="00FE2913">
      <w:pPr>
        <w:jc w:val="both"/>
        <w:rPr>
          <w:rFonts w:ascii="Arial" w:hAnsi="Arial" w:cs="Arial"/>
          <w:sz w:val="20"/>
        </w:rPr>
      </w:pPr>
      <w:r>
        <w:rPr>
          <w:rFonts w:ascii="Arial" w:hAnsi="Arial" w:cs="Arial"/>
          <w:sz w:val="20"/>
        </w:rPr>
        <w:t>However, although accept</w:t>
      </w:r>
      <w:r w:rsidR="007A585F">
        <w:rPr>
          <w:rFonts w:ascii="Arial" w:hAnsi="Arial" w:cs="Arial"/>
          <w:sz w:val="20"/>
        </w:rPr>
        <w:t>ing</w:t>
      </w:r>
      <w:r>
        <w:rPr>
          <w:rFonts w:ascii="Arial" w:hAnsi="Arial" w:cs="Arial"/>
          <w:sz w:val="20"/>
        </w:rPr>
        <w:t xml:space="preserve"> </w:t>
      </w:r>
      <w:r w:rsidR="00993471">
        <w:rPr>
          <w:rFonts w:ascii="Arial" w:hAnsi="Arial" w:cs="Arial"/>
          <w:sz w:val="20"/>
        </w:rPr>
        <w:t>Ms J</w:t>
      </w:r>
      <w:r>
        <w:rPr>
          <w:rFonts w:ascii="Arial" w:hAnsi="Arial" w:cs="Arial"/>
          <w:sz w:val="20"/>
        </w:rPr>
        <w:t xml:space="preserve">’s </w:t>
      </w:r>
      <w:r w:rsidR="0030515F">
        <w:rPr>
          <w:rFonts w:ascii="Arial" w:hAnsi="Arial" w:cs="Arial"/>
          <w:sz w:val="20"/>
        </w:rPr>
        <w:t xml:space="preserve">theoretical evidence, </w:t>
      </w:r>
      <w:r w:rsidR="007A585F">
        <w:rPr>
          <w:rFonts w:ascii="Arial" w:hAnsi="Arial" w:cs="Arial"/>
          <w:sz w:val="20"/>
        </w:rPr>
        <w:t xml:space="preserve">Power M </w:t>
      </w:r>
      <w:r w:rsidR="0030515F">
        <w:rPr>
          <w:rFonts w:ascii="Arial" w:hAnsi="Arial" w:cs="Arial"/>
          <w:sz w:val="20"/>
        </w:rPr>
        <w:t xml:space="preserve">did not accept her </w:t>
      </w:r>
      <w:r w:rsidR="002805B6">
        <w:rPr>
          <w:rFonts w:ascii="Arial" w:hAnsi="Arial" w:cs="Arial"/>
          <w:sz w:val="20"/>
        </w:rPr>
        <w:t xml:space="preserve">ultimate </w:t>
      </w:r>
      <w:r w:rsidR="0030515F">
        <w:rPr>
          <w:rFonts w:ascii="Arial" w:hAnsi="Arial" w:cs="Arial"/>
          <w:sz w:val="20"/>
        </w:rPr>
        <w:t>opinion that the infant in question had</w:t>
      </w:r>
      <w:r w:rsidR="00993471">
        <w:rPr>
          <w:rFonts w:ascii="Arial" w:hAnsi="Arial" w:cs="Arial"/>
          <w:sz w:val="20"/>
        </w:rPr>
        <w:t xml:space="preserve"> </w:t>
      </w:r>
      <w:r w:rsidR="0030515F">
        <w:rPr>
          <w:rFonts w:ascii="Arial" w:hAnsi="Arial" w:cs="Arial"/>
          <w:sz w:val="20"/>
        </w:rPr>
        <w:t>an “avoidant attachment style”</w:t>
      </w:r>
      <w:r w:rsidR="007A585F">
        <w:rPr>
          <w:rFonts w:ascii="Arial" w:hAnsi="Arial" w:cs="Arial"/>
          <w:sz w:val="20"/>
        </w:rPr>
        <w:t xml:space="preserve">, saying </w:t>
      </w:r>
      <w:r w:rsidR="00B05BA3">
        <w:rPr>
          <w:rFonts w:ascii="Arial" w:hAnsi="Arial" w:cs="Arial"/>
          <w:sz w:val="20"/>
        </w:rPr>
        <w:t xml:space="preserve">at </w:t>
      </w:r>
      <w:r w:rsidR="00993471">
        <w:rPr>
          <w:rFonts w:ascii="Arial" w:hAnsi="Arial" w:cs="Arial"/>
          <w:sz w:val="20"/>
        </w:rPr>
        <w:t>p.88</w:t>
      </w:r>
      <w:r w:rsidR="0030515F">
        <w:rPr>
          <w:rFonts w:ascii="Arial" w:hAnsi="Arial" w:cs="Arial"/>
          <w:sz w:val="20"/>
        </w:rPr>
        <w:t>:</w:t>
      </w:r>
    </w:p>
    <w:p w14:paraId="0B7C8876" w14:textId="25775F4C" w:rsidR="0030515F" w:rsidRDefault="0030515F" w:rsidP="006A4203">
      <w:pPr>
        <w:spacing w:before="60"/>
        <w:ind w:left="567" w:right="567"/>
        <w:jc w:val="both"/>
        <w:rPr>
          <w:rFonts w:ascii="Arial" w:hAnsi="Arial" w:cs="Arial"/>
          <w:sz w:val="20"/>
          <w:szCs w:val="20"/>
        </w:rPr>
      </w:pPr>
      <w:r w:rsidRPr="0030515F">
        <w:rPr>
          <w:rFonts w:ascii="Arial" w:hAnsi="Arial" w:cs="Arial"/>
          <w:sz w:val="20"/>
          <w:szCs w:val="20"/>
        </w:rPr>
        <w:t xml:space="preserve">“The vast bulk of the evidence of observations of </w:t>
      </w:r>
      <w:r>
        <w:rPr>
          <w:rFonts w:ascii="Arial" w:hAnsi="Arial" w:cs="Arial"/>
          <w:sz w:val="20"/>
          <w:szCs w:val="20"/>
        </w:rPr>
        <w:t>[the child]</w:t>
      </w:r>
      <w:r w:rsidRPr="0030515F">
        <w:rPr>
          <w:rFonts w:ascii="Arial" w:hAnsi="Arial" w:cs="Arial"/>
          <w:sz w:val="20"/>
          <w:szCs w:val="20"/>
        </w:rPr>
        <w:t xml:space="preserve"> both by professionals and by his carers during a period of over 2 years do not support </w:t>
      </w:r>
      <w:r w:rsidR="00993471">
        <w:rPr>
          <w:rFonts w:ascii="Arial" w:hAnsi="Arial" w:cs="Arial"/>
          <w:sz w:val="20"/>
          <w:szCs w:val="20"/>
        </w:rPr>
        <w:t>[Ms J’s]</w:t>
      </w:r>
      <w:r w:rsidRPr="0030515F">
        <w:rPr>
          <w:rFonts w:ascii="Arial" w:hAnsi="Arial" w:cs="Arial"/>
          <w:sz w:val="20"/>
          <w:szCs w:val="20"/>
        </w:rPr>
        <w:t xml:space="preserve"> proposition that </w:t>
      </w:r>
      <w:r w:rsidR="002805B6">
        <w:rPr>
          <w:rFonts w:ascii="Arial" w:hAnsi="Arial" w:cs="Arial"/>
          <w:sz w:val="20"/>
          <w:szCs w:val="20"/>
        </w:rPr>
        <w:t>[the child]</w:t>
      </w:r>
      <w:r w:rsidRPr="0030515F">
        <w:rPr>
          <w:rFonts w:ascii="Arial" w:hAnsi="Arial" w:cs="Arial"/>
          <w:sz w:val="20"/>
          <w:szCs w:val="20"/>
        </w:rPr>
        <w:t xml:space="preserve"> is displaying an insecure style of attachment to his carers.  Nor do the expert opinions of </w:t>
      </w:r>
      <w:r>
        <w:rPr>
          <w:rFonts w:ascii="Arial" w:hAnsi="Arial" w:cs="Arial"/>
          <w:sz w:val="20"/>
          <w:szCs w:val="20"/>
        </w:rPr>
        <w:t>[</w:t>
      </w:r>
      <w:r w:rsidR="00DE3C0C">
        <w:rPr>
          <w:rFonts w:ascii="Arial" w:hAnsi="Arial" w:cs="Arial"/>
          <w:sz w:val="20"/>
          <w:szCs w:val="20"/>
        </w:rPr>
        <w:t>two</w:t>
      </w:r>
      <w:r>
        <w:rPr>
          <w:rFonts w:ascii="Arial" w:hAnsi="Arial" w:cs="Arial"/>
          <w:sz w:val="20"/>
          <w:szCs w:val="20"/>
        </w:rPr>
        <w:t xml:space="preserve"> other professionals]</w:t>
      </w:r>
      <w:r w:rsidRPr="0030515F">
        <w:rPr>
          <w:rFonts w:ascii="Arial" w:hAnsi="Arial" w:cs="Arial"/>
          <w:sz w:val="20"/>
          <w:szCs w:val="20"/>
        </w:rPr>
        <w:t xml:space="preserve"> support that proposition</w:t>
      </w:r>
      <w:r w:rsidR="00B05BA3">
        <w:rPr>
          <w:rFonts w:ascii="Arial" w:hAnsi="Arial" w:cs="Arial"/>
          <w:sz w:val="20"/>
          <w:szCs w:val="20"/>
        </w:rPr>
        <w:t>…</w:t>
      </w:r>
    </w:p>
    <w:p w14:paraId="438BD19D" w14:textId="77777777" w:rsidR="00B05BA3" w:rsidRPr="0030515F" w:rsidRDefault="00B05BA3" w:rsidP="006A4203">
      <w:pPr>
        <w:spacing w:before="60"/>
        <w:ind w:left="567" w:right="567"/>
        <w:jc w:val="both"/>
        <w:rPr>
          <w:rFonts w:ascii="Arial" w:hAnsi="Arial" w:cs="Arial"/>
          <w:sz w:val="20"/>
          <w:szCs w:val="20"/>
        </w:rPr>
      </w:pPr>
      <w:r w:rsidRPr="00B05BA3">
        <w:rPr>
          <w:rFonts w:ascii="Arial" w:hAnsi="Arial" w:cs="Arial"/>
          <w:sz w:val="20"/>
          <w:szCs w:val="20"/>
        </w:rPr>
        <w:t xml:space="preserve">I do not accept on the balance of probabilities that </w:t>
      </w:r>
      <w:r w:rsidR="002805B6">
        <w:rPr>
          <w:rFonts w:ascii="Arial" w:hAnsi="Arial" w:cs="Arial"/>
          <w:sz w:val="20"/>
          <w:szCs w:val="20"/>
        </w:rPr>
        <w:t>[the child]</w:t>
      </w:r>
      <w:r w:rsidRPr="00B05BA3">
        <w:rPr>
          <w:rFonts w:ascii="Arial" w:hAnsi="Arial" w:cs="Arial"/>
          <w:sz w:val="20"/>
          <w:szCs w:val="20"/>
        </w:rPr>
        <w:t xml:space="preserve"> has an attachment disorder or a disordered attachment style of any sort.  To do so would be to accept the sort of </w:t>
      </w:r>
      <w:r w:rsidR="007510AE">
        <w:rPr>
          <w:rFonts w:ascii="Arial" w:hAnsi="Arial" w:cs="Arial"/>
          <w:sz w:val="20"/>
          <w:szCs w:val="20"/>
        </w:rPr>
        <w:t>‘</w:t>
      </w:r>
      <w:r w:rsidRPr="00B05BA3">
        <w:rPr>
          <w:rFonts w:ascii="Arial" w:hAnsi="Arial" w:cs="Arial"/>
          <w:sz w:val="20"/>
          <w:szCs w:val="20"/>
        </w:rPr>
        <w:t>mere suspicion, surmise or guesswork</w:t>
      </w:r>
      <w:r w:rsidR="007510AE">
        <w:rPr>
          <w:rFonts w:ascii="Arial" w:hAnsi="Arial" w:cs="Arial"/>
          <w:sz w:val="20"/>
          <w:szCs w:val="20"/>
        </w:rPr>
        <w:t>’</w:t>
      </w:r>
      <w:r w:rsidRPr="00B05BA3">
        <w:rPr>
          <w:rFonts w:ascii="Arial" w:hAnsi="Arial" w:cs="Arial"/>
          <w:sz w:val="20"/>
          <w:szCs w:val="20"/>
        </w:rPr>
        <w:t xml:space="preserve"> castigated by Latham CJ in </w:t>
      </w:r>
      <w:r w:rsidRPr="00B05BA3">
        <w:rPr>
          <w:rFonts w:ascii="Arial" w:hAnsi="Arial" w:cs="Arial"/>
          <w:i/>
          <w:sz w:val="20"/>
          <w:szCs w:val="20"/>
        </w:rPr>
        <w:t>Briginshaw v Briginshaw</w:t>
      </w:r>
      <w:r w:rsidRPr="00B05BA3">
        <w:rPr>
          <w:rFonts w:ascii="Arial" w:hAnsi="Arial" w:cs="Arial"/>
          <w:sz w:val="20"/>
          <w:szCs w:val="20"/>
        </w:rPr>
        <w:t xml:space="preserve">.  On the contrary, I am satisfied on balancing </w:t>
      </w:r>
      <w:r w:rsidRPr="00B05BA3">
        <w:rPr>
          <w:rFonts w:ascii="Arial" w:hAnsi="Arial" w:cs="Arial"/>
          <w:sz w:val="20"/>
          <w:szCs w:val="20"/>
          <w:u w:val="single"/>
        </w:rPr>
        <w:t>all</w:t>
      </w:r>
      <w:r w:rsidRPr="00B05BA3">
        <w:rPr>
          <w:rFonts w:ascii="Arial" w:hAnsi="Arial" w:cs="Arial"/>
          <w:sz w:val="20"/>
          <w:szCs w:val="20"/>
        </w:rPr>
        <w:t xml:space="preserve"> of the evidence</w:t>
      </w:r>
      <w:r>
        <w:rPr>
          <w:rFonts w:ascii="Arial" w:hAnsi="Arial" w:cs="Arial"/>
          <w:sz w:val="20"/>
          <w:szCs w:val="20"/>
        </w:rPr>
        <w:t>…</w:t>
      </w:r>
      <w:r w:rsidRPr="00B05BA3">
        <w:rPr>
          <w:rFonts w:ascii="Arial" w:hAnsi="Arial" w:cs="Arial"/>
          <w:sz w:val="20"/>
          <w:szCs w:val="20"/>
        </w:rPr>
        <w:t xml:space="preserve">that </w:t>
      </w:r>
      <w:r>
        <w:rPr>
          <w:rFonts w:ascii="Arial" w:hAnsi="Arial" w:cs="Arial"/>
          <w:sz w:val="20"/>
          <w:szCs w:val="20"/>
        </w:rPr>
        <w:t>[the child]</w:t>
      </w:r>
      <w:r w:rsidRPr="00B05BA3">
        <w:rPr>
          <w:rFonts w:ascii="Arial" w:hAnsi="Arial" w:cs="Arial"/>
          <w:sz w:val="20"/>
          <w:szCs w:val="20"/>
        </w:rPr>
        <w:t xml:space="preserve"> has a strong, secure and healthy attachment to his primary attachment figures</w:t>
      </w:r>
      <w:r>
        <w:rPr>
          <w:rFonts w:ascii="Arial" w:hAnsi="Arial" w:cs="Arial"/>
          <w:sz w:val="20"/>
          <w:szCs w:val="20"/>
        </w:rPr>
        <w:t>”</w:t>
      </w:r>
      <w:r w:rsidRPr="00B05BA3">
        <w:rPr>
          <w:rFonts w:ascii="Arial" w:hAnsi="Arial" w:cs="Arial"/>
          <w:sz w:val="20"/>
          <w:szCs w:val="20"/>
        </w:rPr>
        <w:t>.</w:t>
      </w:r>
    </w:p>
    <w:p w14:paraId="65F54E16" w14:textId="77777777" w:rsidR="00FE2913" w:rsidRDefault="00FE2913">
      <w:pPr>
        <w:jc w:val="both"/>
        <w:rPr>
          <w:rFonts w:ascii="Arial" w:hAnsi="Arial" w:cs="Arial"/>
          <w:sz w:val="20"/>
        </w:rPr>
      </w:pPr>
    </w:p>
    <w:p w14:paraId="0EC19FA6" w14:textId="0906C887" w:rsidR="007510AE" w:rsidRDefault="007510AE">
      <w:pPr>
        <w:jc w:val="both"/>
        <w:rPr>
          <w:rFonts w:ascii="Arial" w:hAnsi="Arial" w:cs="Arial"/>
          <w:sz w:val="20"/>
        </w:rPr>
      </w:pPr>
      <w:r>
        <w:rPr>
          <w:rFonts w:ascii="Arial" w:hAnsi="Arial" w:cs="Arial"/>
          <w:sz w:val="20"/>
        </w:rPr>
        <w:t xml:space="preserve">That finding, read in conjunction with the opinion of Dr R on the “transfer” of attachment, led the Court to find at </w:t>
      </w:r>
      <w:r w:rsidR="00993471">
        <w:rPr>
          <w:rFonts w:ascii="Arial" w:hAnsi="Arial" w:cs="Arial"/>
          <w:sz w:val="20"/>
        </w:rPr>
        <w:t>p.122</w:t>
      </w:r>
      <w:r>
        <w:rPr>
          <w:rFonts w:ascii="Arial" w:hAnsi="Arial" w:cs="Arial"/>
          <w:sz w:val="20"/>
        </w:rPr>
        <w:t xml:space="preserve"> that:</w:t>
      </w:r>
    </w:p>
    <w:p w14:paraId="35166E3C" w14:textId="77777777" w:rsidR="007510AE" w:rsidRPr="0030515F" w:rsidRDefault="007510AE" w:rsidP="006A4203">
      <w:pPr>
        <w:spacing w:before="60"/>
        <w:ind w:left="567" w:right="567"/>
        <w:jc w:val="both"/>
        <w:rPr>
          <w:rFonts w:ascii="Arial" w:hAnsi="Arial" w:cs="Arial"/>
          <w:sz w:val="20"/>
          <w:szCs w:val="20"/>
        </w:rPr>
      </w:pPr>
      <w:r>
        <w:rPr>
          <w:rFonts w:ascii="Arial" w:hAnsi="Arial" w:cs="Arial"/>
          <w:sz w:val="20"/>
          <w:szCs w:val="20"/>
        </w:rPr>
        <w:t>“</w:t>
      </w:r>
      <w:r w:rsidRPr="007510AE">
        <w:rPr>
          <w:rFonts w:ascii="Arial" w:hAnsi="Arial" w:cs="Arial"/>
          <w:sz w:val="20"/>
        </w:rPr>
        <w:t xml:space="preserve">Paradoxically perhaps, the fact that </w:t>
      </w:r>
      <w:r>
        <w:rPr>
          <w:rFonts w:ascii="Arial" w:hAnsi="Arial" w:cs="Arial"/>
          <w:sz w:val="20"/>
        </w:rPr>
        <w:t>[the child]</w:t>
      </w:r>
      <w:r w:rsidRPr="007510AE">
        <w:rPr>
          <w:rFonts w:ascii="Arial" w:hAnsi="Arial" w:cs="Arial"/>
          <w:sz w:val="20"/>
        </w:rPr>
        <w:t xml:space="preserve"> has a secure attachment to his carers – his current primary attachment figures – is likely to make the transfer of that attachment to his parents a less traumatic experience for him.</w:t>
      </w:r>
      <w:r>
        <w:rPr>
          <w:rFonts w:ascii="Arial" w:hAnsi="Arial" w:cs="Arial"/>
          <w:sz w:val="20"/>
          <w:szCs w:val="20"/>
        </w:rPr>
        <w:t>”</w:t>
      </w:r>
    </w:p>
    <w:p w14:paraId="428F3CF9" w14:textId="6ECF0235" w:rsidR="00693223" w:rsidRDefault="00693223">
      <w:pPr>
        <w:jc w:val="both"/>
        <w:rPr>
          <w:rFonts w:ascii="Arial" w:hAnsi="Arial" w:cs="Arial"/>
          <w:sz w:val="20"/>
        </w:rPr>
      </w:pPr>
    </w:p>
    <w:p w14:paraId="1694997A" w14:textId="74ED94FD" w:rsidR="007A585F" w:rsidRDefault="007A585F">
      <w:pPr>
        <w:jc w:val="both"/>
        <w:rPr>
          <w:rFonts w:ascii="Arial" w:hAnsi="Arial" w:cs="Arial"/>
          <w:sz w:val="20"/>
        </w:rPr>
      </w:pPr>
      <w:r>
        <w:rPr>
          <w:rFonts w:ascii="Arial" w:hAnsi="Arial" w:cs="Arial"/>
          <w:sz w:val="20"/>
        </w:rPr>
        <w:t>Ultimately the Court held at p.134:</w:t>
      </w:r>
    </w:p>
    <w:p w14:paraId="717A80A2" w14:textId="2D8DD3EB" w:rsidR="007A585F" w:rsidRPr="0030515F" w:rsidRDefault="007A585F" w:rsidP="007A585F">
      <w:pPr>
        <w:spacing w:before="60"/>
        <w:ind w:left="567" w:right="567"/>
        <w:jc w:val="both"/>
        <w:rPr>
          <w:rFonts w:ascii="Arial" w:hAnsi="Arial" w:cs="Arial"/>
          <w:sz w:val="20"/>
          <w:szCs w:val="20"/>
        </w:rPr>
      </w:pPr>
      <w:r>
        <w:rPr>
          <w:rFonts w:ascii="Arial" w:hAnsi="Arial" w:cs="Arial"/>
          <w:bCs/>
          <w:sz w:val="20"/>
          <w:szCs w:val="20"/>
        </w:rPr>
        <w:t>“T</w:t>
      </w:r>
      <w:r w:rsidRPr="007A585F">
        <w:rPr>
          <w:rFonts w:ascii="Arial" w:hAnsi="Arial" w:cs="Arial"/>
          <w:bCs/>
          <w:sz w:val="20"/>
          <w:szCs w:val="20"/>
        </w:rPr>
        <w:t xml:space="preserve">he evidence supports a case plan of gradual reunification of </w:t>
      </w:r>
      <w:r>
        <w:rPr>
          <w:rFonts w:ascii="Arial" w:hAnsi="Arial" w:cs="Arial"/>
          <w:bCs/>
          <w:sz w:val="20"/>
          <w:szCs w:val="20"/>
        </w:rPr>
        <w:t>[the child]</w:t>
      </w:r>
      <w:r w:rsidRPr="007A585F">
        <w:rPr>
          <w:rFonts w:ascii="Arial" w:hAnsi="Arial" w:cs="Arial"/>
          <w:bCs/>
          <w:sz w:val="20"/>
          <w:szCs w:val="20"/>
        </w:rPr>
        <w:t xml:space="preserve"> with his parents – while remaining during the transition period in the primary care of </w:t>
      </w:r>
      <w:r>
        <w:rPr>
          <w:rFonts w:ascii="Arial" w:hAnsi="Arial" w:cs="Arial"/>
          <w:bCs/>
          <w:sz w:val="20"/>
          <w:szCs w:val="20"/>
        </w:rPr>
        <w:t>[the carers]</w:t>
      </w:r>
      <w:r w:rsidRPr="007A585F">
        <w:rPr>
          <w:rFonts w:ascii="Arial" w:hAnsi="Arial" w:cs="Arial"/>
          <w:bCs/>
          <w:sz w:val="20"/>
          <w:szCs w:val="20"/>
        </w:rPr>
        <w:t xml:space="preserve"> if they are prepared to remain in that role until reunification is fully achieved.  It therefore supports an extension and interim variation of the custody to Secretary order.  While I cannot order the carers to remain involved in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life, their continued involvement – both during the transition period and afterwards – is very important for </w:t>
      </w:r>
      <w:r>
        <w:rPr>
          <w:rFonts w:ascii="Arial" w:hAnsi="Arial" w:cs="Arial"/>
          <w:bCs/>
          <w:sz w:val="20"/>
          <w:szCs w:val="20"/>
        </w:rPr>
        <w:t>[the child</w:t>
      </w:r>
      <w:r w:rsidRPr="007A585F">
        <w:rPr>
          <w:rFonts w:ascii="Arial" w:hAnsi="Arial" w:cs="Arial"/>
          <w:bCs/>
          <w:sz w:val="20"/>
          <w:szCs w:val="20"/>
        </w:rPr>
        <w:t>’s</w:t>
      </w:r>
      <w:r>
        <w:rPr>
          <w:rFonts w:ascii="Arial" w:hAnsi="Arial" w:cs="Arial"/>
          <w:bCs/>
          <w:sz w:val="20"/>
          <w:szCs w:val="20"/>
        </w:rPr>
        <w:t>]</w:t>
      </w:r>
      <w:r w:rsidRPr="007A585F">
        <w:rPr>
          <w:rFonts w:ascii="Arial" w:hAnsi="Arial" w:cs="Arial"/>
          <w:bCs/>
          <w:sz w:val="20"/>
          <w:szCs w:val="20"/>
        </w:rPr>
        <w:t xml:space="preserve"> emotional wellbeing.  The reunification process should proceed in a sensitive, planned and child-focused way over a number of months and should involve largely unmonitored access of </w:t>
      </w:r>
      <w:r>
        <w:rPr>
          <w:rFonts w:ascii="Arial" w:hAnsi="Arial" w:cs="Arial"/>
          <w:bCs/>
          <w:sz w:val="20"/>
          <w:szCs w:val="20"/>
        </w:rPr>
        <w:t>[the child]</w:t>
      </w:r>
      <w:r w:rsidRPr="007A585F">
        <w:rPr>
          <w:rFonts w:ascii="Arial" w:hAnsi="Arial" w:cs="Arial"/>
          <w:bCs/>
          <w:sz w:val="20"/>
          <w:szCs w:val="20"/>
        </w:rPr>
        <w:t xml:space="preserve"> with his parents, increasing in frequency and duration until it is appropriate for overnight access to be implemented and eventually for </w:t>
      </w:r>
      <w:r>
        <w:rPr>
          <w:rFonts w:ascii="Arial" w:hAnsi="Arial" w:cs="Arial"/>
          <w:bCs/>
          <w:sz w:val="20"/>
          <w:szCs w:val="20"/>
        </w:rPr>
        <w:t>[the child]</w:t>
      </w:r>
      <w:r w:rsidRPr="007A585F">
        <w:rPr>
          <w:rFonts w:ascii="Arial" w:hAnsi="Arial" w:cs="Arial"/>
          <w:bCs/>
          <w:sz w:val="20"/>
          <w:szCs w:val="20"/>
        </w:rPr>
        <w:t xml:space="preserve"> to be returned to his parents’ full-time care.</w:t>
      </w:r>
      <w:r>
        <w:rPr>
          <w:rFonts w:ascii="Arial" w:hAnsi="Arial" w:cs="Arial"/>
          <w:bCs/>
          <w:sz w:val="20"/>
          <w:szCs w:val="20"/>
        </w:rPr>
        <w:t>”</w:t>
      </w:r>
    </w:p>
    <w:p w14:paraId="7797B880" w14:textId="03A5B620" w:rsidR="007A585F" w:rsidRPr="007A585F" w:rsidRDefault="007A585F" w:rsidP="007A585F">
      <w:pPr>
        <w:ind w:left="720" w:hanging="720"/>
        <w:jc w:val="both"/>
        <w:rPr>
          <w:rFonts w:ascii="Arial" w:hAnsi="Arial" w:cs="Arial"/>
          <w:bCs/>
          <w:sz w:val="20"/>
          <w:szCs w:val="20"/>
        </w:rPr>
      </w:pPr>
    </w:p>
    <w:p w14:paraId="0C22F28E" w14:textId="77777777" w:rsidR="00693223" w:rsidRDefault="00693223">
      <w:pPr>
        <w:pStyle w:val="Heading2"/>
        <w:keepNext/>
        <w:keepLines/>
        <w:tabs>
          <w:tab w:val="left" w:pos="567"/>
        </w:tabs>
        <w:spacing w:line="240" w:lineRule="auto"/>
        <w:rPr>
          <w:rFonts w:ascii="Arial" w:hAnsi="Arial" w:cs="Arial"/>
          <w:b/>
          <w:bCs/>
        </w:rPr>
      </w:pPr>
      <w:bookmarkStart w:id="1612" w:name="_4.13_Shared_care"/>
      <w:bookmarkStart w:id="1613" w:name="B413"/>
      <w:bookmarkStart w:id="1614" w:name="_Toc32285537"/>
      <w:bookmarkStart w:id="1615" w:name="_Toc34823404"/>
      <w:bookmarkEnd w:id="1612"/>
      <w:bookmarkEnd w:id="1613"/>
      <w:r>
        <w:rPr>
          <w:rFonts w:ascii="Arial" w:hAnsi="Arial" w:cs="Arial"/>
          <w:b/>
          <w:bCs/>
        </w:rPr>
        <w:t>4.1</w:t>
      </w:r>
      <w:r w:rsidR="002E5754">
        <w:rPr>
          <w:rFonts w:ascii="Arial" w:hAnsi="Arial" w:cs="Arial"/>
          <w:b/>
          <w:bCs/>
        </w:rPr>
        <w:t>3</w:t>
      </w:r>
      <w:r>
        <w:rPr>
          <w:rFonts w:ascii="Arial" w:hAnsi="Arial" w:cs="Arial"/>
          <w:b/>
          <w:bCs/>
        </w:rPr>
        <w:tab/>
        <w:t>Shared care of a young child</w:t>
      </w:r>
      <w:bookmarkEnd w:id="1614"/>
      <w:bookmarkEnd w:id="1615"/>
    </w:p>
    <w:p w14:paraId="33BFD9C0" w14:textId="77777777" w:rsidR="00693223" w:rsidRDefault="00693223">
      <w:pPr>
        <w:keepNext/>
        <w:keepLines/>
        <w:widowControl w:val="0"/>
        <w:rPr>
          <w:rFonts w:ascii="Arial" w:hAnsi="Arial" w:cs="Arial"/>
          <w:sz w:val="20"/>
        </w:rPr>
      </w:pPr>
    </w:p>
    <w:p w14:paraId="62115C03" w14:textId="4FBD2DF9" w:rsidR="00693223" w:rsidRDefault="00693223" w:rsidP="006A4203">
      <w:pPr>
        <w:jc w:val="both"/>
        <w:rPr>
          <w:rFonts w:ascii="Arial" w:hAnsi="Arial" w:cs="Arial"/>
          <w:sz w:val="20"/>
        </w:rPr>
      </w:pPr>
      <w:r>
        <w:rPr>
          <w:rFonts w:ascii="Arial" w:hAnsi="Arial" w:cs="Arial"/>
          <w:sz w:val="20"/>
        </w:rPr>
        <w:t xml:space="preserve">In a case </w:t>
      </w:r>
      <w:r w:rsidR="006B624D">
        <w:rPr>
          <w:rFonts w:ascii="Arial" w:hAnsi="Arial" w:cs="Arial"/>
          <w:sz w:val="20"/>
        </w:rPr>
        <w:t>in which the Court received a report from a clinical psychologist</w:t>
      </w:r>
      <w:r w:rsidR="008B005B">
        <w:rPr>
          <w:rFonts w:ascii="Arial" w:hAnsi="Arial" w:cs="Arial"/>
          <w:sz w:val="20"/>
        </w:rPr>
        <w:t>,</w:t>
      </w:r>
      <w:r w:rsidR="006B624D">
        <w:rPr>
          <w:rFonts w:ascii="Arial" w:hAnsi="Arial" w:cs="Arial"/>
          <w:sz w:val="20"/>
        </w:rPr>
        <w:t xml:space="preserve"> </w:t>
      </w:r>
      <w:r w:rsidR="008B005B">
        <w:rPr>
          <w:rFonts w:ascii="Arial" w:hAnsi="Arial" w:cs="Arial"/>
          <w:sz w:val="20"/>
        </w:rPr>
        <w:t xml:space="preserve">Dr R, </w:t>
      </w:r>
      <w:r w:rsidR="006B624D">
        <w:rPr>
          <w:rFonts w:ascii="Arial" w:hAnsi="Arial" w:cs="Arial"/>
          <w:sz w:val="20"/>
        </w:rPr>
        <w:t xml:space="preserve">in April 2002, care of </w:t>
      </w:r>
      <w:r>
        <w:rPr>
          <w:rFonts w:ascii="Arial" w:hAnsi="Arial" w:cs="Arial"/>
          <w:sz w:val="20"/>
        </w:rPr>
        <w:t xml:space="preserve">a 3 year old child, C, had been extensively shared between four main caregivers: the mother, the father and the grandparents, particularly the grandmother.  This arrangement was instituted within the first weeks after birth so from early infancy C had experienced a small </w:t>
      </w:r>
      <w:r>
        <w:rPr>
          <w:rFonts w:ascii="Arial" w:hAnsi="Arial" w:cs="Arial"/>
          <w:sz w:val="20"/>
        </w:rPr>
        <w:lastRenderedPageBreak/>
        <w:t xml:space="preserve">number of carers within the biological family and regular contact with all these people on an ongoing basis.  </w:t>
      </w:r>
      <w:r w:rsidR="008B005B">
        <w:rPr>
          <w:rFonts w:ascii="Arial" w:hAnsi="Arial" w:cs="Arial"/>
          <w:sz w:val="20"/>
        </w:rPr>
        <w:t>Dr R</w:t>
      </w:r>
      <w:r>
        <w:rPr>
          <w:rFonts w:ascii="Arial" w:hAnsi="Arial" w:cs="Arial"/>
          <w:sz w:val="20"/>
        </w:rPr>
        <w:t xml:space="preserve"> concluded that:</w:t>
      </w:r>
    </w:p>
    <w:p w14:paraId="4F03C0F2"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availability of C's grandparents at times of parental crisis had been "a critical 'protective' factor in [C's] life, enhancing his resilience in the face of ongoing exposure to the risk factor of parental domestic violence";</w:t>
      </w:r>
    </w:p>
    <w:p w14:paraId="5E0DE64B"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"shared and flexible arrangements" regarding C's care within his family had also "protected him from major disruptions to his relationship with his parents, as, for example, would be the case if foster care placements had occurred"; and</w:t>
      </w:r>
    </w:p>
    <w:p w14:paraId="5648B80A" w14:textId="77777777" w:rsidR="00693223" w:rsidRDefault="00693223" w:rsidP="00BA6FBE">
      <w:pPr>
        <w:numPr>
          <w:ilvl w:val="0"/>
          <w:numId w:val="4"/>
        </w:numPr>
        <w:tabs>
          <w:tab w:val="num" w:pos="720"/>
        </w:tabs>
        <w:ind w:left="363" w:hanging="363"/>
        <w:jc w:val="both"/>
        <w:rPr>
          <w:rFonts w:ascii="Arial" w:hAnsi="Arial" w:cs="Arial"/>
          <w:sz w:val="20"/>
        </w:rPr>
      </w:pPr>
      <w:r>
        <w:rPr>
          <w:rFonts w:ascii="Arial" w:hAnsi="Arial" w:cs="Arial"/>
          <w:sz w:val="20"/>
        </w:rPr>
        <w:t>"the case history is consistent with [C] forming attachments to the four caregiving figures available to him".</w:t>
      </w:r>
    </w:p>
    <w:p w14:paraId="3EC94DF2" w14:textId="77777777" w:rsidR="00693223" w:rsidRDefault="00693223">
      <w:pPr>
        <w:rPr>
          <w:rFonts w:ascii="Arial" w:hAnsi="Arial" w:cs="Arial"/>
          <w:sz w:val="20"/>
        </w:rPr>
      </w:pPr>
    </w:p>
    <w:p w14:paraId="4BC00F7C" w14:textId="546FD24C" w:rsidR="00693223" w:rsidRDefault="00693223">
      <w:pPr>
        <w:jc w:val="both"/>
        <w:rPr>
          <w:rFonts w:ascii="Arial" w:hAnsi="Arial" w:cs="Arial"/>
          <w:sz w:val="20"/>
        </w:rPr>
      </w:pPr>
      <w:r>
        <w:rPr>
          <w:rFonts w:ascii="Arial" w:hAnsi="Arial" w:cs="Arial"/>
          <w:sz w:val="20"/>
        </w:rPr>
        <w:t xml:space="preserve">Although writing in a carefully qualified way, </w:t>
      </w:r>
      <w:r w:rsidR="008B005B">
        <w:rPr>
          <w:rFonts w:ascii="Arial" w:hAnsi="Arial" w:cs="Arial"/>
          <w:sz w:val="20"/>
        </w:rPr>
        <w:t>Dr R</w:t>
      </w:r>
      <w:r>
        <w:rPr>
          <w:rFonts w:ascii="Arial" w:hAnsi="Arial" w:cs="Arial"/>
          <w:sz w:val="20"/>
        </w:rPr>
        <w:t xml:space="preserve"> generally saw no threat to a child's emotional wellbeing from shared care between a small number of attachment figures provided that the child had developed a secure attachment, the transitions were appropriately managed and there was no psychological tug-of-war between the sharers:</w:t>
      </w:r>
    </w:p>
    <w:p w14:paraId="221EE855" w14:textId="77777777" w:rsidR="00693223" w:rsidRDefault="00693223" w:rsidP="006A4203">
      <w:pPr>
        <w:spacing w:before="120"/>
        <w:ind w:left="567" w:right="567"/>
        <w:jc w:val="both"/>
        <w:rPr>
          <w:rFonts w:ascii="Arial" w:hAnsi="Arial" w:cs="Arial"/>
          <w:sz w:val="20"/>
        </w:rPr>
      </w:pPr>
      <w:r>
        <w:rPr>
          <w:rFonts w:ascii="Arial" w:hAnsi="Arial" w:cs="Arial"/>
          <w:sz w:val="20"/>
        </w:rPr>
        <w:t xml:space="preserve">"Generally speaking, shared care between a small number of attachment figures does not pose a threat to the child's emotional wellbeing (Goldberg, S. (2000) </w:t>
      </w:r>
      <w:r>
        <w:rPr>
          <w:rFonts w:ascii="Arial" w:hAnsi="Arial" w:cs="Arial"/>
          <w:i/>
          <w:iCs/>
          <w:sz w:val="20"/>
        </w:rPr>
        <w:t>Attachment and development.</w:t>
      </w:r>
      <w:r>
        <w:rPr>
          <w:rFonts w:ascii="Arial" w:hAnsi="Arial" w:cs="Arial"/>
          <w:sz w:val="20"/>
        </w:rPr>
        <w:t xml:space="preserve">  </w:t>
      </w:r>
      <w:smartTag w:uri="urn:schemas-microsoft-com:office:smarttags" w:element="City">
        <w:r>
          <w:rPr>
            <w:rFonts w:ascii="Arial" w:hAnsi="Arial" w:cs="Arial"/>
            <w:sz w:val="20"/>
          </w:rPr>
          <w:t>London</w:t>
        </w:r>
      </w:smartTag>
      <w:r>
        <w:rPr>
          <w:rFonts w:ascii="Arial" w:hAnsi="Arial" w:cs="Arial"/>
          <w:sz w:val="20"/>
        </w:rPr>
        <w:t xml:space="preserve">: </w:t>
      </w:r>
      <w:smartTag w:uri="urn:schemas-microsoft-com:office:smarttags" w:element="City">
        <w:smartTag w:uri="urn:schemas-microsoft-com:office:smarttags" w:element="place">
          <w:r>
            <w:rPr>
              <w:rFonts w:ascii="Arial" w:hAnsi="Arial" w:cs="Arial"/>
              <w:sz w:val="20"/>
            </w:rPr>
            <w:t>Arnold</w:t>
          </w:r>
        </w:smartTag>
      </w:smartTag>
      <w:r>
        <w:rPr>
          <w:rFonts w:ascii="Arial" w:hAnsi="Arial" w:cs="Arial"/>
          <w:sz w:val="20"/>
        </w:rPr>
        <w:t>).  Indeed, as Goldberg notes, 'many infants have multiple figures to whom they can form attachments' (p.106).  Nonetheless, she also presents evidence that most infants and young children form a preference hierarchy, with the attachment figure most preferred not necessarily the mother or even the person who spends most time with the child.  The most likely factor influencing the formation of the child's preferences is the quality of the caregiving provided.  Sensitivity, consistency, responsiveness and loving nurture and the feelings of safety and security that flow from these are likely implicated in who the child most prefers under shared care arrangements.</w:t>
      </w:r>
    </w:p>
    <w:p w14:paraId="16C3C804" w14:textId="77777777" w:rsidR="00693223" w:rsidRDefault="00693223">
      <w:pPr>
        <w:spacing w:before="120"/>
        <w:ind w:left="567" w:right="567"/>
        <w:jc w:val="both"/>
        <w:rPr>
          <w:rFonts w:ascii="Arial" w:hAnsi="Arial" w:cs="Arial"/>
          <w:sz w:val="20"/>
        </w:rPr>
      </w:pPr>
      <w:r>
        <w:rPr>
          <w:rFonts w:ascii="Arial" w:hAnsi="Arial" w:cs="Arial"/>
          <w:sz w:val="20"/>
        </w:rPr>
        <w:t>Finally, two further factors will likely impact on how shared care affects children in general, and [this child] in particular.  One relates to the circumstances associated with the transitions between various caregiving figures.  In [this] case, it appears there have been transitions from [C's] parents' care to his grandparents' care that have been associated with high level domestic violence.  Secondly, shared care can be highly detrimental to a child if it is accompanied by a psychological tug-of-war between the various adult carers.  The experiences of divided loyalties to which this exposes a child are highly damaging, both emotionally and psychologically, and are accompanied by distress and confusion in the child."</w:t>
      </w:r>
    </w:p>
    <w:p w14:paraId="6FDD11B3" w14:textId="77777777" w:rsidR="00693223" w:rsidRDefault="00693223">
      <w:pPr>
        <w:rPr>
          <w:rFonts w:ascii="Arial" w:hAnsi="Arial" w:cs="Arial"/>
          <w:sz w:val="20"/>
        </w:rPr>
      </w:pPr>
    </w:p>
    <w:p w14:paraId="0EFCEE7A" w14:textId="37862C2C" w:rsidR="00693223" w:rsidRDefault="00693223">
      <w:pPr>
        <w:jc w:val="both"/>
        <w:rPr>
          <w:rFonts w:ascii="Arial" w:hAnsi="Arial" w:cs="Arial"/>
          <w:sz w:val="20"/>
        </w:rPr>
      </w:pPr>
      <w:r>
        <w:rPr>
          <w:rFonts w:ascii="Arial" w:hAnsi="Arial" w:cs="Arial"/>
          <w:sz w:val="20"/>
        </w:rPr>
        <w:t xml:space="preserve">In a report to the Children's Court in May 2000 about a very different case </w:t>
      </w:r>
      <w:r w:rsidR="006B624D">
        <w:rPr>
          <w:rFonts w:ascii="Arial" w:hAnsi="Arial" w:cs="Arial"/>
          <w:sz w:val="20"/>
        </w:rPr>
        <w:t>a second clinical psychologist</w:t>
      </w:r>
      <w:r w:rsidR="008B005B">
        <w:rPr>
          <w:rFonts w:ascii="Arial" w:hAnsi="Arial" w:cs="Arial"/>
          <w:sz w:val="20"/>
        </w:rPr>
        <w:t>, Dr A,</w:t>
      </w:r>
      <w:r w:rsidR="006B624D">
        <w:rPr>
          <w:rFonts w:ascii="Arial" w:hAnsi="Arial" w:cs="Arial"/>
          <w:sz w:val="20"/>
        </w:rPr>
        <w:t xml:space="preserve"> </w:t>
      </w:r>
      <w:r>
        <w:rPr>
          <w:rFonts w:ascii="Arial" w:hAnsi="Arial" w:cs="Arial"/>
          <w:sz w:val="20"/>
        </w:rPr>
        <w:t xml:space="preserve">was strongly critical of the shared care arrangement in that case and was unenthusiastic about shared care arrangements in general.  The child, X, was aged 3¼ years.  She had initially resided with her parents until they separated - in a maelstrom of domestic violence and drug use - when she was 21 months old.  She had then lived with her mother for the next 12 months until her mother's drug use got the better of her.  She was then placed in fostercare for 3 weeks and with her father and paternal grandmother for the next 3 months.  Then she was returned to her mother for 5 weeks.  At the time of the assessment her care was being alternated weekly between her father (residing with the paternal grandmother) and her mother (residing with the maternal great grandparents).  </w:t>
      </w:r>
      <w:r w:rsidR="008B005B">
        <w:rPr>
          <w:rFonts w:ascii="Arial" w:hAnsi="Arial" w:cs="Arial"/>
          <w:sz w:val="20"/>
        </w:rPr>
        <w:t>Dr A</w:t>
      </w:r>
      <w:r>
        <w:rPr>
          <w:rFonts w:ascii="Arial" w:hAnsi="Arial" w:cs="Arial"/>
          <w:sz w:val="20"/>
        </w:rPr>
        <w:t xml:space="preserve"> criticised this arrangement in trenchant terms:</w:t>
      </w:r>
    </w:p>
    <w:p w14:paraId="185567E9" w14:textId="37918620" w:rsidR="00693223" w:rsidRDefault="00693223">
      <w:pPr>
        <w:spacing w:before="120"/>
        <w:ind w:left="567" w:right="567"/>
        <w:jc w:val="both"/>
        <w:rPr>
          <w:rFonts w:ascii="Arial" w:hAnsi="Arial" w:cs="Arial"/>
          <w:sz w:val="20"/>
        </w:rPr>
      </w:pPr>
      <w:r>
        <w:rPr>
          <w:rFonts w:ascii="Arial" w:hAnsi="Arial" w:cs="Arial"/>
          <w:sz w:val="20"/>
        </w:rPr>
        <w:t xml:space="preserve">"Both current psychological opinion rooted in extensive research findings and clinical experience, and </w:t>
      </w:r>
      <w:r w:rsidR="00C11CEA">
        <w:rPr>
          <w:rFonts w:ascii="Arial" w:hAnsi="Arial" w:cs="Arial"/>
          <w:sz w:val="20"/>
        </w:rPr>
        <w:t>common-sense</w:t>
      </w:r>
      <w:r>
        <w:rPr>
          <w:rFonts w:ascii="Arial" w:hAnsi="Arial" w:cs="Arial"/>
          <w:sz w:val="20"/>
        </w:rPr>
        <w:t xml:space="preserve"> understandings of child development, are generally agreed that small children can only tolerate brief separations from their primary attachment figure.  It is highly unusual, if not unheard of, for a very young child like [X], to be involved in a week-about shared care arrangement, even in the most positive circumstances.  A phone conversation with the Director of Counselling at the Family Court…confirmed that such shared care arrangements for very young children are almost never entered into because of the devastating impact on the child's sense of security.  According to [the Director], in very rare instances where this would be considered two conditions would need to be fulfilled: (i) an extremely high level of cooperation between the parents; and (ii) the parents live in close geographical proximity.  These conditions would minimise the emotional dislocation experienced by the child, because the child's expressed </w:t>
      </w:r>
      <w:r>
        <w:rPr>
          <w:rFonts w:ascii="Arial" w:hAnsi="Arial" w:cs="Arial"/>
          <w:sz w:val="20"/>
        </w:rPr>
        <w:lastRenderedPageBreak/>
        <w:t>need for either parent at any time would take precedence over any other demands.  The presence of an older sibling may also be a facilitating factor.  Sadly, although in [X's] case the parents live in geographical proximity, other facilitating conditions are not present."</w:t>
      </w:r>
    </w:p>
    <w:p w14:paraId="1F8001DB" w14:textId="77777777" w:rsidR="00693223" w:rsidRDefault="00693223">
      <w:pPr>
        <w:rPr>
          <w:rFonts w:ascii="Arial" w:hAnsi="Arial" w:cs="Arial"/>
          <w:sz w:val="20"/>
        </w:rPr>
      </w:pPr>
    </w:p>
    <w:p w14:paraId="0CD3E87B" w14:textId="683AFDDB" w:rsidR="00693223" w:rsidRDefault="00693223">
      <w:pPr>
        <w:jc w:val="both"/>
        <w:rPr>
          <w:rFonts w:ascii="Arial" w:hAnsi="Arial" w:cs="Arial"/>
          <w:sz w:val="20"/>
        </w:rPr>
      </w:pPr>
      <w:r>
        <w:rPr>
          <w:rFonts w:ascii="Arial" w:hAnsi="Arial" w:cs="Arial"/>
          <w:sz w:val="20"/>
        </w:rPr>
        <w:t xml:space="preserve">It needs to be emphasised that X's case involved a very different shared care arrangement from the case on which </w:t>
      </w:r>
      <w:r w:rsidR="008B005B">
        <w:rPr>
          <w:rFonts w:ascii="Arial" w:hAnsi="Arial" w:cs="Arial"/>
          <w:sz w:val="20"/>
        </w:rPr>
        <w:t>Dr R</w:t>
      </w:r>
      <w:r>
        <w:rPr>
          <w:rFonts w:ascii="Arial" w:hAnsi="Arial" w:cs="Arial"/>
          <w:sz w:val="20"/>
        </w:rPr>
        <w:t xml:space="preserve"> reported and it may be that any perceived difference in the psychologists' views simply reflects the difference between the respective cases, rather than any significant difference in philosophy.</w:t>
      </w:r>
    </w:p>
    <w:p w14:paraId="388A79D2" w14:textId="77777777" w:rsidR="00E14F02" w:rsidRDefault="00E14F02" w:rsidP="00E14F02">
      <w:pPr>
        <w:jc w:val="both"/>
        <w:rPr>
          <w:rFonts w:ascii="Arial" w:hAnsi="Arial" w:cs="Arial"/>
          <w:sz w:val="20"/>
        </w:rPr>
      </w:pPr>
    </w:p>
    <w:p w14:paraId="33703D8A" w14:textId="7730C970" w:rsidR="00C41F4C" w:rsidRDefault="00C41F4C" w:rsidP="00E14F02">
      <w:pPr>
        <w:jc w:val="both"/>
        <w:rPr>
          <w:rFonts w:ascii="Arial" w:hAnsi="Arial" w:cs="Arial"/>
          <w:sz w:val="20"/>
        </w:rPr>
      </w:pPr>
      <w:r>
        <w:rPr>
          <w:rFonts w:ascii="Arial" w:hAnsi="Arial" w:cs="Arial"/>
          <w:sz w:val="20"/>
        </w:rPr>
        <w:t xml:space="preserve">In </w:t>
      </w:r>
      <w:r w:rsidRPr="00C41F4C">
        <w:rPr>
          <w:rFonts w:ascii="Arial" w:hAnsi="Arial" w:cs="Arial"/>
          <w:i/>
          <w:sz w:val="20"/>
        </w:rPr>
        <w:t>DOHS v Mr M &amp; Ms H</w:t>
      </w:r>
      <w:r>
        <w:rPr>
          <w:rFonts w:ascii="Arial" w:hAnsi="Arial" w:cs="Arial"/>
          <w:sz w:val="20"/>
        </w:rPr>
        <w:t xml:space="preserve"> [Children’s Court of Victoria-Power M, 11/05/2009], </w:t>
      </w:r>
      <w:r w:rsidR="00BD3832">
        <w:rPr>
          <w:rFonts w:ascii="Arial" w:hAnsi="Arial" w:cs="Arial"/>
          <w:sz w:val="20"/>
        </w:rPr>
        <w:t xml:space="preserve">the subject child – aged 2y5m – had been </w:t>
      </w:r>
      <w:r w:rsidR="003E7D50">
        <w:rPr>
          <w:rFonts w:ascii="Arial" w:hAnsi="Arial" w:cs="Arial"/>
          <w:sz w:val="20"/>
        </w:rPr>
        <w:t xml:space="preserve">continuously </w:t>
      </w:r>
      <w:r w:rsidR="00BD3832">
        <w:rPr>
          <w:rFonts w:ascii="Arial" w:hAnsi="Arial" w:cs="Arial"/>
          <w:sz w:val="20"/>
        </w:rPr>
        <w:t xml:space="preserve">in the care of </w:t>
      </w:r>
      <w:r w:rsidR="00C11CEA">
        <w:rPr>
          <w:rFonts w:ascii="Arial" w:hAnsi="Arial" w:cs="Arial"/>
          <w:sz w:val="20"/>
        </w:rPr>
        <w:t xml:space="preserve">non-kith and kin foster carers </w:t>
      </w:r>
      <w:r w:rsidR="00C11CEA" w:rsidRPr="00E50DB0">
        <w:rPr>
          <w:rFonts w:ascii="Arial" w:hAnsi="Arial" w:cs="Arial"/>
          <w:sz w:val="20"/>
          <w:szCs w:val="20"/>
        </w:rPr>
        <w:t>aged 56 &amp; 60 since discharge from hospital at the age of 6 weeks</w:t>
      </w:r>
      <w:r w:rsidR="00BD3832">
        <w:rPr>
          <w:rFonts w:ascii="Arial" w:hAnsi="Arial" w:cs="Arial"/>
          <w:sz w:val="20"/>
        </w:rPr>
        <w:t xml:space="preserve">.  </w:t>
      </w:r>
      <w:r w:rsidR="002C17CA">
        <w:rPr>
          <w:rFonts w:ascii="Arial" w:hAnsi="Arial" w:cs="Arial"/>
          <w:sz w:val="20"/>
        </w:rPr>
        <w:t xml:space="preserve">He had also had </w:t>
      </w:r>
      <w:r w:rsidR="002C17CA" w:rsidRPr="006679D2">
        <w:rPr>
          <w:rFonts w:ascii="Arial" w:hAnsi="Arial" w:cs="Arial"/>
          <w:color w:val="000000"/>
          <w:sz w:val="20"/>
        </w:rPr>
        <w:t xml:space="preserve">consistent </w:t>
      </w:r>
      <w:r w:rsidR="00E55A14" w:rsidRPr="006679D2">
        <w:rPr>
          <w:rFonts w:ascii="Arial" w:hAnsi="Arial" w:cs="Arial"/>
          <w:color w:val="000000"/>
          <w:sz w:val="20"/>
        </w:rPr>
        <w:t>contact</w:t>
      </w:r>
      <w:r w:rsidR="007C5324" w:rsidRPr="006679D2">
        <w:rPr>
          <w:rFonts w:ascii="Arial" w:hAnsi="Arial" w:cs="Arial"/>
          <w:color w:val="000000"/>
          <w:sz w:val="20"/>
        </w:rPr>
        <w:t xml:space="preserve"> with his parents although </w:t>
      </w:r>
      <w:r w:rsidR="002C17CA" w:rsidRPr="006679D2">
        <w:rPr>
          <w:rFonts w:ascii="Arial" w:hAnsi="Arial" w:cs="Arial"/>
          <w:color w:val="000000"/>
          <w:sz w:val="20"/>
        </w:rPr>
        <w:t xml:space="preserve">for </w:t>
      </w:r>
      <w:r w:rsidR="007C5324" w:rsidRPr="006679D2">
        <w:rPr>
          <w:rFonts w:ascii="Arial" w:hAnsi="Arial" w:cs="Arial"/>
          <w:color w:val="000000"/>
          <w:sz w:val="20"/>
        </w:rPr>
        <w:t xml:space="preserve">only </w:t>
      </w:r>
      <w:r w:rsidR="002C17CA" w:rsidRPr="006679D2">
        <w:rPr>
          <w:rFonts w:ascii="Arial" w:hAnsi="Arial" w:cs="Arial"/>
          <w:color w:val="000000"/>
          <w:sz w:val="20"/>
        </w:rPr>
        <w:t xml:space="preserve">one hour each week.  </w:t>
      </w:r>
      <w:r w:rsidR="00BD3832" w:rsidRPr="006679D2">
        <w:rPr>
          <w:rFonts w:ascii="Arial" w:hAnsi="Arial" w:cs="Arial"/>
          <w:color w:val="000000"/>
          <w:sz w:val="20"/>
        </w:rPr>
        <w:t>The child had been</w:t>
      </w:r>
      <w:r w:rsidR="00BD3832">
        <w:rPr>
          <w:rFonts w:ascii="Arial" w:hAnsi="Arial" w:cs="Arial"/>
          <w:sz w:val="20"/>
        </w:rPr>
        <w:t xml:space="preserve"> born four weeks premature and prenatally drug affected.  However, it was conceded by DOHS that the</w:t>
      </w:r>
      <w:r w:rsidR="003E7D50">
        <w:rPr>
          <w:rFonts w:ascii="Arial" w:hAnsi="Arial" w:cs="Arial"/>
          <w:sz w:val="20"/>
        </w:rPr>
        <w:t>re were no current protective concerns in relation to the</w:t>
      </w:r>
      <w:r w:rsidR="00BD3832">
        <w:rPr>
          <w:rFonts w:ascii="Arial" w:hAnsi="Arial" w:cs="Arial"/>
          <w:sz w:val="20"/>
        </w:rPr>
        <w:t xml:space="preserve"> parents </w:t>
      </w:r>
      <w:r w:rsidR="003E7D50">
        <w:rPr>
          <w:rFonts w:ascii="Arial" w:hAnsi="Arial" w:cs="Arial"/>
          <w:sz w:val="20"/>
        </w:rPr>
        <w:t xml:space="preserve">who were </w:t>
      </w:r>
      <w:r w:rsidR="00BD3832">
        <w:rPr>
          <w:rFonts w:ascii="Arial" w:hAnsi="Arial" w:cs="Arial"/>
          <w:sz w:val="20"/>
        </w:rPr>
        <w:t xml:space="preserve">recovering heroin addicts.  The Department had commissioned an assessment by an infant mental health specialist </w:t>
      </w:r>
      <w:r w:rsidR="00C71B5E">
        <w:rPr>
          <w:rFonts w:ascii="Arial" w:hAnsi="Arial" w:cs="Arial"/>
          <w:sz w:val="20"/>
        </w:rPr>
        <w:t xml:space="preserve">Ms J </w:t>
      </w:r>
      <w:r w:rsidR="00BD3832">
        <w:rPr>
          <w:rFonts w:ascii="Arial" w:hAnsi="Arial" w:cs="Arial"/>
          <w:sz w:val="20"/>
        </w:rPr>
        <w:t>and a fa</w:t>
      </w:r>
      <w:r w:rsidR="00312A74">
        <w:rPr>
          <w:rFonts w:ascii="Arial" w:hAnsi="Arial" w:cs="Arial"/>
          <w:sz w:val="20"/>
        </w:rPr>
        <w:t>mily therapist</w:t>
      </w:r>
      <w:r w:rsidR="00C71B5E">
        <w:rPr>
          <w:rFonts w:ascii="Arial" w:hAnsi="Arial" w:cs="Arial"/>
          <w:sz w:val="20"/>
        </w:rPr>
        <w:t xml:space="preserve"> Dr D</w:t>
      </w:r>
      <w:r w:rsidR="00312A74">
        <w:rPr>
          <w:rFonts w:ascii="Arial" w:hAnsi="Arial" w:cs="Arial"/>
          <w:sz w:val="20"/>
        </w:rPr>
        <w:t>.  The assessors postulated two options within the framework of Steinhauer’s “shared child” (1991):</w:t>
      </w:r>
    </w:p>
    <w:p w14:paraId="73F59F36"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Enhanced status quo</w:t>
      </w:r>
      <w:r>
        <w:rPr>
          <w:rFonts w:ascii="Arial" w:hAnsi="Arial" w:cs="Arial"/>
          <w:sz w:val="20"/>
        </w:rPr>
        <w:t>: The child would stay with the current carers and have expanded contact with parents and extended family (if possible).</w:t>
      </w:r>
    </w:p>
    <w:p w14:paraId="30E9D0C8" w14:textId="77777777" w:rsidR="00312A74" w:rsidRDefault="00312A74">
      <w:pPr>
        <w:numPr>
          <w:ilvl w:val="0"/>
          <w:numId w:val="20"/>
        </w:numPr>
        <w:tabs>
          <w:tab w:val="clear" w:pos="720"/>
        </w:tabs>
        <w:ind w:left="357" w:hanging="357"/>
        <w:jc w:val="both"/>
        <w:rPr>
          <w:rFonts w:ascii="Arial" w:hAnsi="Arial" w:cs="Arial"/>
          <w:sz w:val="20"/>
        </w:rPr>
      </w:pPr>
      <w:r w:rsidRPr="00312A74">
        <w:rPr>
          <w:rFonts w:ascii="Arial" w:hAnsi="Arial" w:cs="Arial"/>
          <w:sz w:val="20"/>
          <w:u w:val="single"/>
        </w:rPr>
        <w:t>More equally shared care</w:t>
      </w:r>
      <w:r>
        <w:rPr>
          <w:rFonts w:ascii="Arial" w:hAnsi="Arial" w:cs="Arial"/>
          <w:sz w:val="20"/>
        </w:rPr>
        <w:t>: A movement towards the child being formally shared between his current caregivers and his parents or extended family.</w:t>
      </w:r>
    </w:p>
    <w:p w14:paraId="14FB4D5E" w14:textId="77777777" w:rsidR="00312A74" w:rsidRDefault="00312A74" w:rsidP="00E14F02">
      <w:pPr>
        <w:jc w:val="both"/>
        <w:rPr>
          <w:rFonts w:ascii="Arial" w:hAnsi="Arial" w:cs="Arial"/>
          <w:sz w:val="20"/>
        </w:rPr>
      </w:pPr>
      <w:r>
        <w:rPr>
          <w:rFonts w:ascii="Arial" w:hAnsi="Arial" w:cs="Arial"/>
          <w:sz w:val="20"/>
        </w:rPr>
        <w:t xml:space="preserve">They ultimately recommended the first option but left the second option open as something </w:t>
      </w:r>
      <w:r w:rsidR="003E7D50">
        <w:rPr>
          <w:rFonts w:ascii="Arial" w:hAnsi="Arial" w:cs="Arial"/>
          <w:sz w:val="20"/>
        </w:rPr>
        <w:t>that</w:t>
      </w:r>
      <w:r>
        <w:rPr>
          <w:rFonts w:ascii="Arial" w:hAnsi="Arial" w:cs="Arial"/>
          <w:sz w:val="20"/>
        </w:rPr>
        <w:t xml:space="preserve"> might be worked towards.</w:t>
      </w:r>
    </w:p>
    <w:p w14:paraId="07D3D848" w14:textId="77777777" w:rsidR="00312A74" w:rsidRDefault="00312A74" w:rsidP="00E14F02">
      <w:pPr>
        <w:jc w:val="both"/>
        <w:rPr>
          <w:rFonts w:ascii="Arial" w:hAnsi="Arial" w:cs="Arial"/>
          <w:sz w:val="20"/>
        </w:rPr>
      </w:pPr>
    </w:p>
    <w:p w14:paraId="651D006B" w14:textId="1E7B4E51" w:rsidR="00312A74" w:rsidRDefault="003E7D50" w:rsidP="00E14F02">
      <w:pPr>
        <w:jc w:val="both"/>
        <w:rPr>
          <w:rFonts w:ascii="Arial" w:hAnsi="Arial" w:cs="Arial"/>
          <w:sz w:val="20"/>
        </w:rPr>
      </w:pPr>
      <w:r>
        <w:rPr>
          <w:rFonts w:ascii="Arial" w:hAnsi="Arial" w:cs="Arial"/>
          <w:sz w:val="20"/>
        </w:rPr>
        <w:t>T</w:t>
      </w:r>
      <w:r w:rsidR="00312A74">
        <w:rPr>
          <w:rFonts w:ascii="Arial" w:hAnsi="Arial" w:cs="Arial"/>
          <w:sz w:val="20"/>
        </w:rPr>
        <w:t>he Court rejected the assessors’</w:t>
      </w:r>
      <w:r w:rsidR="007C5324">
        <w:rPr>
          <w:rFonts w:ascii="Arial" w:hAnsi="Arial" w:cs="Arial"/>
          <w:sz w:val="20"/>
        </w:rPr>
        <w:t xml:space="preserve"> </w:t>
      </w:r>
      <w:r w:rsidR="00312A74">
        <w:rPr>
          <w:rFonts w:ascii="Arial" w:hAnsi="Arial" w:cs="Arial"/>
          <w:sz w:val="20"/>
        </w:rPr>
        <w:t>opinion that some form of “shared care” was “the least detrimental alternative” for the child</w:t>
      </w:r>
      <w:r>
        <w:rPr>
          <w:rFonts w:ascii="Arial" w:hAnsi="Arial" w:cs="Arial"/>
          <w:sz w:val="20"/>
        </w:rPr>
        <w:t xml:space="preserve">.  Power M said </w:t>
      </w:r>
      <w:r w:rsidR="00D14BFE">
        <w:rPr>
          <w:rFonts w:ascii="Arial" w:hAnsi="Arial" w:cs="Arial"/>
          <w:sz w:val="20"/>
        </w:rPr>
        <w:t>at</w:t>
      </w:r>
      <w:r>
        <w:rPr>
          <w:rFonts w:ascii="Arial" w:hAnsi="Arial" w:cs="Arial"/>
          <w:sz w:val="20"/>
        </w:rPr>
        <w:t xml:space="preserve"> </w:t>
      </w:r>
      <w:r w:rsidR="00C71B5E">
        <w:rPr>
          <w:rFonts w:ascii="Arial" w:hAnsi="Arial" w:cs="Arial"/>
          <w:sz w:val="20"/>
        </w:rPr>
        <w:t>p.115</w:t>
      </w:r>
      <w:r>
        <w:rPr>
          <w:rFonts w:ascii="Arial" w:hAnsi="Arial" w:cs="Arial"/>
          <w:sz w:val="20"/>
        </w:rPr>
        <w:t>:</w:t>
      </w:r>
    </w:p>
    <w:p w14:paraId="24A606E7" w14:textId="77777777" w:rsidR="004E7AF3" w:rsidRDefault="004E7AF3" w:rsidP="00582C0A">
      <w:pPr>
        <w:spacing w:before="60"/>
        <w:ind w:left="567" w:right="567"/>
        <w:jc w:val="both"/>
        <w:rPr>
          <w:rFonts w:ascii="Arial" w:hAnsi="Arial" w:cs="Arial"/>
          <w:sz w:val="20"/>
        </w:rPr>
      </w:pPr>
      <w:r>
        <w:rPr>
          <w:rFonts w:ascii="Arial" w:hAnsi="Arial" w:cs="Arial"/>
          <w:sz w:val="20"/>
        </w:rPr>
        <w:t>“Steinhauer outlined the following pre-requisites for his ‘shared child’ model to work:</w:t>
      </w:r>
    </w:p>
    <w:p w14:paraId="10639354"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szCs w:val="20"/>
        </w:rPr>
        <w:t>Foster parents and birth parents must not compete.</w:t>
      </w:r>
    </w:p>
    <w:p w14:paraId="5717B4F6" w14:textId="77777777" w:rsid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Adults need to agree not to undermine the permanency of the placement.</w:t>
      </w:r>
    </w:p>
    <w:p w14:paraId="43862B17" w14:textId="77777777" w:rsidR="004E7AF3" w:rsidRPr="004E7AF3" w:rsidRDefault="004E7AF3">
      <w:pPr>
        <w:numPr>
          <w:ilvl w:val="0"/>
          <w:numId w:val="50"/>
        </w:numPr>
        <w:tabs>
          <w:tab w:val="clear" w:pos="720"/>
        </w:tabs>
        <w:ind w:left="1021" w:hanging="454"/>
        <w:jc w:val="both"/>
        <w:rPr>
          <w:rFonts w:ascii="Arial" w:hAnsi="Arial" w:cs="Arial"/>
          <w:sz w:val="20"/>
          <w:szCs w:val="20"/>
        </w:rPr>
      </w:pPr>
      <w:r w:rsidRPr="004E7AF3">
        <w:rPr>
          <w:rFonts w:ascii="Arial" w:hAnsi="Arial" w:cs="Arial"/>
          <w:sz w:val="20"/>
        </w:rPr>
        <w:t>Adequate support must be provided to all parties.</w:t>
      </w:r>
    </w:p>
    <w:p w14:paraId="0D2FF683" w14:textId="77777777" w:rsidR="004E7AF3" w:rsidRPr="004E7AF3" w:rsidRDefault="004E7AF3" w:rsidP="004E7AF3">
      <w:pPr>
        <w:ind w:left="567" w:right="567"/>
        <w:jc w:val="both"/>
        <w:rPr>
          <w:rFonts w:ascii="Arial" w:hAnsi="Arial" w:cs="Arial"/>
          <w:sz w:val="16"/>
        </w:rPr>
      </w:pPr>
      <w:r>
        <w:rPr>
          <w:rFonts w:ascii="Arial" w:hAnsi="Arial" w:cs="Arial"/>
          <w:sz w:val="20"/>
        </w:rPr>
        <w:t>[</w:t>
      </w:r>
      <w:r w:rsidRPr="004E7AF3">
        <w:rPr>
          <w:rFonts w:ascii="Arial" w:hAnsi="Arial" w:cs="Arial"/>
          <w:sz w:val="20"/>
        </w:rPr>
        <w:t xml:space="preserve">Steinhauer, P. 1991: </w:t>
      </w:r>
      <w:r>
        <w:rPr>
          <w:rFonts w:ascii="Arial" w:hAnsi="Arial" w:cs="Arial"/>
          <w:i/>
          <w:sz w:val="20"/>
        </w:rPr>
        <w:t>‘</w:t>
      </w:r>
      <w:r w:rsidRPr="004E7AF3">
        <w:rPr>
          <w:rFonts w:ascii="Arial" w:hAnsi="Arial" w:cs="Arial"/>
          <w:i/>
          <w:sz w:val="20"/>
        </w:rPr>
        <w:t>The Least Detrimental Alternative: A systemic guide to case planning and decision-making for children in care</w:t>
      </w:r>
      <w:r>
        <w:rPr>
          <w:rFonts w:ascii="Arial" w:hAnsi="Arial" w:cs="Arial"/>
          <w:i/>
          <w:sz w:val="20"/>
        </w:rPr>
        <w:t>’</w:t>
      </w:r>
      <w:r w:rsidRPr="004E7AF3">
        <w:rPr>
          <w:rFonts w:ascii="Arial" w:hAnsi="Arial" w:cs="Arial"/>
          <w:sz w:val="20"/>
        </w:rPr>
        <w:t xml:space="preserve">, </w:t>
      </w:r>
      <w:smartTag w:uri="urn:schemas-microsoft-com:office:smarttags" w:element="City">
        <w:r w:rsidRPr="004E7AF3">
          <w:rPr>
            <w:rFonts w:ascii="Arial" w:hAnsi="Arial" w:cs="Arial"/>
            <w:sz w:val="20"/>
          </w:rPr>
          <w:t>Toronto</w:t>
        </w:r>
      </w:smartTag>
      <w:r w:rsidRPr="004E7AF3">
        <w:rPr>
          <w:rFonts w:ascii="Arial" w:hAnsi="Arial" w:cs="Arial"/>
          <w:sz w:val="20"/>
        </w:rPr>
        <w:t xml:space="preserve">: </w:t>
      </w:r>
      <w:smartTag w:uri="urn:schemas-microsoft-com:office:smarttags" w:element="place">
        <w:smartTag w:uri="urn:schemas-microsoft-com:office:smarttags" w:element="PlaceType">
          <w:r w:rsidRPr="004E7AF3">
            <w:rPr>
              <w:rFonts w:ascii="Arial" w:hAnsi="Arial" w:cs="Arial"/>
              <w:sz w:val="20"/>
            </w:rPr>
            <w:t>University</w:t>
          </w:r>
        </w:smartTag>
        <w:r w:rsidRPr="004E7AF3">
          <w:rPr>
            <w:rFonts w:ascii="Arial" w:hAnsi="Arial" w:cs="Arial"/>
            <w:sz w:val="20"/>
          </w:rPr>
          <w:t xml:space="preserve"> of </w:t>
        </w:r>
        <w:smartTag w:uri="urn:schemas-microsoft-com:office:smarttags" w:element="PlaceName">
          <w:r w:rsidRPr="004E7AF3">
            <w:rPr>
              <w:rFonts w:ascii="Arial" w:hAnsi="Arial" w:cs="Arial"/>
              <w:sz w:val="20"/>
            </w:rPr>
            <w:t>Toronto Press</w:t>
          </w:r>
        </w:smartTag>
      </w:smartTag>
      <w:r w:rsidRPr="004E7AF3">
        <w:rPr>
          <w:rFonts w:ascii="Arial" w:hAnsi="Arial" w:cs="Arial"/>
          <w:sz w:val="20"/>
        </w:rPr>
        <w:t>, pp.161-163 cited in the assessment report at p.44</w:t>
      </w:r>
      <w:r>
        <w:rPr>
          <w:rFonts w:ascii="Arial" w:hAnsi="Arial" w:cs="Arial"/>
          <w:sz w:val="20"/>
        </w:rPr>
        <w:t>]</w:t>
      </w:r>
      <w:r w:rsidRPr="004E7AF3">
        <w:rPr>
          <w:rFonts w:ascii="Arial" w:hAnsi="Arial" w:cs="Arial"/>
          <w:sz w:val="20"/>
        </w:rPr>
        <w:t>.</w:t>
      </w:r>
    </w:p>
    <w:p w14:paraId="0410BB50" w14:textId="655563CF"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Effectively Steinhauer &amp; </w:t>
      </w:r>
      <w:r w:rsidR="00C71B5E">
        <w:rPr>
          <w:rFonts w:ascii="Arial" w:hAnsi="Arial" w:cs="Arial"/>
          <w:sz w:val="20"/>
        </w:rPr>
        <w:t>[Dr R]</w:t>
      </w:r>
      <w:r w:rsidRPr="004E7AF3">
        <w:rPr>
          <w:rFonts w:ascii="Arial" w:hAnsi="Arial" w:cs="Arial"/>
          <w:sz w:val="20"/>
        </w:rPr>
        <w:t xml:space="preserve"> are postulating the same pre-conditions for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to be workable.  They require commitment to the model from all four adults who must not engage in a psychological tug-of-war for the child.</w:t>
      </w:r>
    </w:p>
    <w:p w14:paraId="10EE96A0" w14:textId="77777777" w:rsidR="004E7AF3" w:rsidRDefault="004E7AF3" w:rsidP="004E7AF3">
      <w:pPr>
        <w:spacing w:before="120"/>
        <w:ind w:left="567" w:right="567"/>
        <w:jc w:val="both"/>
        <w:rPr>
          <w:rFonts w:ascii="Arial" w:hAnsi="Arial" w:cs="Arial"/>
          <w:sz w:val="20"/>
        </w:rPr>
      </w:pPr>
      <w:r w:rsidRPr="004E7AF3">
        <w:rPr>
          <w:rFonts w:ascii="Arial" w:hAnsi="Arial" w:cs="Arial"/>
          <w:sz w:val="20"/>
        </w:rPr>
        <w:t xml:space="preserve">This is the second major reason why I reject the assessors’ recommendations.  Not only does the assessors’ option 2 require commitment from the </w:t>
      </w:r>
      <w:r w:rsidR="003E7D50">
        <w:rPr>
          <w:rFonts w:ascii="Arial" w:hAnsi="Arial" w:cs="Arial"/>
          <w:sz w:val="20"/>
        </w:rPr>
        <w:t>four</w:t>
      </w:r>
      <w:r w:rsidRPr="004E7AF3">
        <w:rPr>
          <w:rFonts w:ascii="Arial" w:hAnsi="Arial" w:cs="Arial"/>
          <w:sz w:val="20"/>
        </w:rPr>
        <w:t xml:space="preserve"> adults.  So does option 1.  Of course one must focus on the child but one can’t properly do this unless one focuses on the parents and carers in a realistic way as well.  The reality is that there is no current heart-felt commitment from any of the four adults to the concept of </w:t>
      </w:r>
      <w:r>
        <w:rPr>
          <w:rFonts w:ascii="Arial" w:hAnsi="Arial" w:cs="Arial"/>
          <w:sz w:val="20"/>
        </w:rPr>
        <w:t>‘</w:t>
      </w:r>
      <w:r w:rsidRPr="004E7AF3">
        <w:rPr>
          <w:rFonts w:ascii="Arial" w:hAnsi="Arial" w:cs="Arial"/>
          <w:sz w:val="20"/>
        </w:rPr>
        <w:t>shared care</w:t>
      </w:r>
      <w:r>
        <w:rPr>
          <w:rFonts w:ascii="Arial" w:hAnsi="Arial" w:cs="Arial"/>
          <w:sz w:val="20"/>
        </w:rPr>
        <w:t>’</w:t>
      </w:r>
      <w:r w:rsidRPr="004E7AF3">
        <w:rPr>
          <w:rFonts w:ascii="Arial" w:hAnsi="Arial" w:cs="Arial"/>
          <w:sz w:val="20"/>
        </w:rPr>
        <w:t xml:space="preserve"> whether in the skewed form of option 1 or the more equal form of option 2. Nor is true commitment to this proposed piece of social engineering likely to develop</w:t>
      </w:r>
      <w:r>
        <w:rPr>
          <w:rFonts w:ascii="Arial" w:hAnsi="Arial" w:cs="Arial"/>
          <w:sz w:val="20"/>
        </w:rPr>
        <w:t>…</w:t>
      </w:r>
    </w:p>
    <w:p w14:paraId="2C153232" w14:textId="0DB948F5" w:rsidR="004E7AF3" w:rsidRDefault="004E7AF3" w:rsidP="004E7AF3">
      <w:pPr>
        <w:spacing w:before="120"/>
        <w:ind w:left="567" w:right="567"/>
        <w:jc w:val="both"/>
        <w:rPr>
          <w:rFonts w:ascii="Arial" w:hAnsi="Arial" w:cs="Arial"/>
          <w:sz w:val="20"/>
        </w:rPr>
      </w:pPr>
      <w:r>
        <w:rPr>
          <w:rFonts w:ascii="Arial" w:hAnsi="Arial" w:cs="Arial"/>
          <w:sz w:val="20"/>
        </w:rPr>
        <w:t xml:space="preserve">I am not nearly as sanguine as [the assessors] </w:t>
      </w:r>
      <w:r w:rsidRPr="004E7AF3">
        <w:rPr>
          <w:rFonts w:ascii="Arial" w:hAnsi="Arial" w:cs="Arial"/>
          <w:sz w:val="20"/>
        </w:rPr>
        <w:t xml:space="preserve">about the workability of the </w:t>
      </w:r>
      <w:r>
        <w:rPr>
          <w:rFonts w:ascii="Arial" w:hAnsi="Arial" w:cs="Arial"/>
          <w:sz w:val="20"/>
        </w:rPr>
        <w:t>‘</w:t>
      </w:r>
      <w:r w:rsidRPr="004E7AF3">
        <w:rPr>
          <w:rFonts w:ascii="Arial" w:hAnsi="Arial" w:cs="Arial"/>
          <w:sz w:val="20"/>
        </w:rPr>
        <w:t>shared child</w:t>
      </w:r>
      <w:r>
        <w:rPr>
          <w:rFonts w:ascii="Arial" w:hAnsi="Arial" w:cs="Arial"/>
          <w:sz w:val="20"/>
        </w:rPr>
        <w:t>’</w:t>
      </w:r>
      <w:r w:rsidRPr="004E7AF3">
        <w:rPr>
          <w:rFonts w:ascii="Arial" w:hAnsi="Arial" w:cs="Arial"/>
          <w:sz w:val="20"/>
        </w:rPr>
        <w:t xml:space="preserve"> model.  From my observations of </w:t>
      </w:r>
      <w:r w:rsidR="00582C0A">
        <w:rPr>
          <w:rFonts w:ascii="Arial" w:hAnsi="Arial" w:cs="Arial"/>
          <w:sz w:val="20"/>
        </w:rPr>
        <w:t xml:space="preserve">the </w:t>
      </w:r>
      <w:r w:rsidRPr="004E7AF3">
        <w:rPr>
          <w:rFonts w:ascii="Arial" w:hAnsi="Arial" w:cs="Arial"/>
          <w:sz w:val="20"/>
        </w:rPr>
        <w:t xml:space="preserve">parents and carers in the witness-box and from what the evidence discloses of their personalities and their roles in </w:t>
      </w:r>
      <w:r w:rsidR="00582C0A">
        <w:rPr>
          <w:rFonts w:ascii="Arial" w:hAnsi="Arial" w:cs="Arial"/>
          <w:sz w:val="20"/>
        </w:rPr>
        <w:t>[the child’s]</w:t>
      </w:r>
      <w:r w:rsidRPr="004E7AF3">
        <w:rPr>
          <w:rFonts w:ascii="Arial" w:hAnsi="Arial" w:cs="Arial"/>
          <w:sz w:val="20"/>
        </w:rPr>
        <w:t xml:space="preserve"> life, I am not satisfied on the balance of probabilities that they – especially </w:t>
      </w:r>
      <w:r w:rsidR="00582C0A">
        <w:rPr>
          <w:rFonts w:ascii="Arial" w:hAnsi="Arial" w:cs="Arial"/>
          <w:sz w:val="20"/>
        </w:rPr>
        <w:t>[the female carer]</w:t>
      </w:r>
      <w:r w:rsidRPr="004E7AF3">
        <w:rPr>
          <w:rFonts w:ascii="Arial" w:hAnsi="Arial" w:cs="Arial"/>
          <w:sz w:val="20"/>
        </w:rPr>
        <w:t xml:space="preserve"> </w:t>
      </w:r>
      <w:r w:rsidR="00CF001A">
        <w:rPr>
          <w:rFonts w:ascii="Arial" w:hAnsi="Arial" w:cs="Arial"/>
          <w:sz w:val="20"/>
        </w:rPr>
        <w:t>–</w:t>
      </w:r>
      <w:r w:rsidRPr="004E7AF3">
        <w:rPr>
          <w:rFonts w:ascii="Arial" w:hAnsi="Arial" w:cs="Arial"/>
          <w:sz w:val="20"/>
        </w:rPr>
        <w:t xml:space="preserve"> will</w:t>
      </w:r>
      <w:r w:rsidR="00CF001A">
        <w:rPr>
          <w:rFonts w:ascii="Arial" w:hAnsi="Arial" w:cs="Arial"/>
          <w:sz w:val="20"/>
        </w:rPr>
        <w:t xml:space="preserve"> </w:t>
      </w:r>
      <w:r w:rsidRPr="004E7AF3">
        <w:rPr>
          <w:rFonts w:ascii="Arial" w:hAnsi="Arial" w:cs="Arial"/>
          <w:sz w:val="20"/>
        </w:rPr>
        <w:t xml:space="preserve">be able to avoid becoming embroiled in a psychological tug-of-war for the child if any sort of </w:t>
      </w:r>
      <w:r w:rsidR="00582C0A">
        <w:rPr>
          <w:rFonts w:ascii="Arial" w:hAnsi="Arial" w:cs="Arial"/>
          <w:sz w:val="20"/>
        </w:rPr>
        <w:t>‘</w:t>
      </w:r>
      <w:r w:rsidRPr="004E7AF3">
        <w:rPr>
          <w:rFonts w:ascii="Arial" w:hAnsi="Arial" w:cs="Arial"/>
          <w:sz w:val="20"/>
        </w:rPr>
        <w:t>shared child</w:t>
      </w:r>
      <w:r w:rsidR="00582C0A">
        <w:rPr>
          <w:rFonts w:ascii="Arial" w:hAnsi="Arial" w:cs="Arial"/>
          <w:sz w:val="20"/>
        </w:rPr>
        <w:t>’</w:t>
      </w:r>
      <w:r w:rsidRPr="004E7AF3">
        <w:rPr>
          <w:rFonts w:ascii="Arial" w:hAnsi="Arial" w:cs="Arial"/>
          <w:sz w:val="20"/>
        </w:rPr>
        <w:t xml:space="preserve"> model is embraced</w:t>
      </w:r>
      <w:r w:rsidR="00582C0A">
        <w:rPr>
          <w:rFonts w:ascii="Arial" w:hAnsi="Arial" w:cs="Arial"/>
          <w:sz w:val="20"/>
        </w:rPr>
        <w:t>…</w:t>
      </w:r>
    </w:p>
    <w:p w14:paraId="4433793D"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t xml:space="preserve">There is no common ground between the lives and life experiences of carers on the one hand and the parents on the other except for </w:t>
      </w:r>
      <w:r>
        <w:rPr>
          <w:rFonts w:ascii="Arial" w:hAnsi="Arial" w:cs="Arial"/>
          <w:sz w:val="20"/>
        </w:rPr>
        <w:t>[the child]</w:t>
      </w:r>
      <w:r w:rsidRPr="00582C0A">
        <w:rPr>
          <w:rFonts w:ascii="Arial" w:hAnsi="Arial" w:cs="Arial"/>
          <w:sz w:val="20"/>
        </w:rPr>
        <w:t xml:space="preserve">.  They come from parallel universes.  Hence they are not very likely to </w:t>
      </w:r>
      <w:r>
        <w:rPr>
          <w:rFonts w:ascii="Arial" w:hAnsi="Arial" w:cs="Arial"/>
          <w:sz w:val="20"/>
        </w:rPr>
        <w:t>‘</w:t>
      </w:r>
      <w:r w:rsidRPr="00582C0A">
        <w:rPr>
          <w:rFonts w:ascii="Arial" w:hAnsi="Arial" w:cs="Arial"/>
          <w:sz w:val="20"/>
        </w:rPr>
        <w:t>grow together</w:t>
      </w:r>
      <w:r>
        <w:rPr>
          <w:rFonts w:ascii="Arial" w:hAnsi="Arial" w:cs="Arial"/>
          <w:sz w:val="20"/>
        </w:rPr>
        <w:t>’</w:t>
      </w:r>
      <w:r w:rsidRPr="00582C0A">
        <w:rPr>
          <w:rFonts w:ascii="Arial" w:hAnsi="Arial" w:cs="Arial"/>
          <w:sz w:val="20"/>
        </w:rPr>
        <w:t>, to develop an abiding friendship, in the event that any sort of ‘shared child’ plan was to be implemented.</w:t>
      </w:r>
    </w:p>
    <w:p w14:paraId="05BEE12C" w14:textId="77777777" w:rsidR="00582C0A" w:rsidRDefault="00582C0A" w:rsidP="004E7AF3">
      <w:pPr>
        <w:spacing w:before="120"/>
        <w:ind w:left="567" w:right="567"/>
        <w:jc w:val="both"/>
        <w:rPr>
          <w:rFonts w:ascii="Arial" w:hAnsi="Arial" w:cs="Arial"/>
          <w:sz w:val="20"/>
        </w:rPr>
      </w:pPr>
      <w:r w:rsidRPr="00582C0A">
        <w:rPr>
          <w:rFonts w:ascii="Arial" w:hAnsi="Arial" w:cs="Arial"/>
          <w:sz w:val="20"/>
        </w:rPr>
        <w:lastRenderedPageBreak/>
        <w:t xml:space="preserve">It is clear to me that – despite the undoubted love each of them has for </w:t>
      </w:r>
      <w:r>
        <w:rPr>
          <w:rFonts w:ascii="Arial" w:hAnsi="Arial" w:cs="Arial"/>
          <w:sz w:val="20"/>
        </w:rPr>
        <w:t>[the child]</w:t>
      </w:r>
      <w:r w:rsidRPr="00582C0A">
        <w:rPr>
          <w:rFonts w:ascii="Arial" w:hAnsi="Arial" w:cs="Arial"/>
          <w:sz w:val="20"/>
        </w:rPr>
        <w:t xml:space="preserve"> – any form of </w:t>
      </w:r>
      <w:r>
        <w:rPr>
          <w:rFonts w:ascii="Arial" w:hAnsi="Arial" w:cs="Arial"/>
          <w:sz w:val="20"/>
        </w:rPr>
        <w:t>‘</w:t>
      </w:r>
      <w:r w:rsidRPr="00582C0A">
        <w:rPr>
          <w:rFonts w:ascii="Arial" w:hAnsi="Arial" w:cs="Arial"/>
          <w:sz w:val="20"/>
        </w:rPr>
        <w:t>shared care</w:t>
      </w:r>
      <w:r>
        <w:rPr>
          <w:rFonts w:ascii="Arial" w:hAnsi="Arial" w:cs="Arial"/>
          <w:sz w:val="20"/>
        </w:rPr>
        <w:t>’</w:t>
      </w:r>
      <w:r w:rsidRPr="00582C0A">
        <w:rPr>
          <w:rFonts w:ascii="Arial" w:hAnsi="Arial" w:cs="Arial"/>
          <w:sz w:val="20"/>
        </w:rPr>
        <w:t xml:space="preserve"> was not a plan which either the parents or the carers wanted or felt comfortable with.  Without heart-felt commitment from all four adults neither of the assessors’ options is workable.  In my view their recommendations do not give sufficient weight to the views, wishes and inherent natures of the parents and the carers or to their readiness or capacity to </w:t>
      </w:r>
      <w:r>
        <w:rPr>
          <w:rFonts w:ascii="Arial" w:hAnsi="Arial" w:cs="Arial"/>
          <w:sz w:val="20"/>
        </w:rPr>
        <w:t>‘</w:t>
      </w:r>
      <w:r w:rsidRPr="00582C0A">
        <w:rPr>
          <w:rFonts w:ascii="Arial" w:hAnsi="Arial" w:cs="Arial"/>
          <w:sz w:val="20"/>
        </w:rPr>
        <w:t>share</w:t>
      </w:r>
      <w:r>
        <w:rPr>
          <w:rFonts w:ascii="Arial" w:hAnsi="Arial" w:cs="Arial"/>
          <w:sz w:val="20"/>
        </w:rPr>
        <w:t>’</w:t>
      </w:r>
      <w:r w:rsidRPr="00582C0A">
        <w:rPr>
          <w:rFonts w:ascii="Arial" w:hAnsi="Arial" w:cs="Arial"/>
          <w:sz w:val="20"/>
        </w:rPr>
        <w:t xml:space="preserve"> </w:t>
      </w:r>
      <w:r>
        <w:rPr>
          <w:rFonts w:ascii="Arial" w:hAnsi="Arial" w:cs="Arial"/>
          <w:sz w:val="20"/>
        </w:rPr>
        <w:t xml:space="preserve">[the child] </w:t>
      </w:r>
      <w:r w:rsidRPr="00582C0A">
        <w:rPr>
          <w:rFonts w:ascii="Arial" w:hAnsi="Arial" w:cs="Arial"/>
          <w:sz w:val="20"/>
        </w:rPr>
        <w:t>in either of the ways envisaged.</w:t>
      </w:r>
      <w:r>
        <w:rPr>
          <w:rFonts w:ascii="Arial" w:hAnsi="Arial" w:cs="Arial"/>
          <w:sz w:val="20"/>
        </w:rPr>
        <w:t>”</w:t>
      </w:r>
    </w:p>
    <w:p w14:paraId="06D0F775" w14:textId="46B2B9F5" w:rsidR="00BD3832" w:rsidRDefault="00BD3832" w:rsidP="00E14F02">
      <w:pPr>
        <w:jc w:val="both"/>
        <w:rPr>
          <w:rFonts w:ascii="Arial" w:hAnsi="Arial" w:cs="Arial"/>
          <w:sz w:val="20"/>
        </w:rPr>
      </w:pPr>
    </w:p>
    <w:p w14:paraId="5194BA74" w14:textId="1FBF2C2C" w:rsidR="008051B3" w:rsidRDefault="008051B3" w:rsidP="00E14F02">
      <w:pPr>
        <w:jc w:val="both"/>
        <w:rPr>
          <w:rFonts w:ascii="Arial" w:hAnsi="Arial" w:cs="Arial"/>
          <w:sz w:val="20"/>
        </w:rPr>
      </w:pPr>
      <w:r>
        <w:rPr>
          <w:rFonts w:ascii="Arial" w:hAnsi="Arial" w:cs="Arial"/>
          <w:sz w:val="20"/>
        </w:rPr>
        <w:t>Ultimately the Court held at p.134 that the evidence supported a case plan of gradual reunification of the child with his parents while remaining during the transition period in the care of the current carers until reunification with the parents was fully achieved.</w:t>
      </w:r>
    </w:p>
    <w:p w14:paraId="0DE3DBF5" w14:textId="77777777" w:rsidR="008051B3" w:rsidRDefault="008051B3" w:rsidP="00E14F02">
      <w:pPr>
        <w:jc w:val="both"/>
        <w:rPr>
          <w:rFonts w:ascii="Arial" w:hAnsi="Arial" w:cs="Arial"/>
          <w:sz w:val="20"/>
        </w:rPr>
      </w:pPr>
    </w:p>
    <w:p w14:paraId="19B1E5E6" w14:textId="77777777" w:rsidR="00E14F02" w:rsidRPr="006679D2" w:rsidRDefault="00E14F02" w:rsidP="00063C71">
      <w:pPr>
        <w:pStyle w:val="Heading2"/>
        <w:keepNext/>
        <w:keepLines/>
        <w:tabs>
          <w:tab w:val="left" w:pos="567"/>
        </w:tabs>
        <w:spacing w:line="240" w:lineRule="auto"/>
        <w:rPr>
          <w:rFonts w:ascii="Arial" w:hAnsi="Arial" w:cs="Arial"/>
          <w:b/>
          <w:bCs/>
          <w:color w:val="000000"/>
        </w:rPr>
      </w:pPr>
      <w:bookmarkStart w:id="1616" w:name="_4.14_Frequency_of"/>
      <w:bookmarkStart w:id="1617" w:name="B414"/>
      <w:bookmarkEnd w:id="1616"/>
      <w:bookmarkEnd w:id="1617"/>
      <w:r w:rsidRPr="006679D2">
        <w:rPr>
          <w:rFonts w:ascii="Arial" w:hAnsi="Arial" w:cs="Arial"/>
          <w:b/>
          <w:bCs/>
          <w:color w:val="000000"/>
        </w:rPr>
        <w:t>4.14</w:t>
      </w:r>
      <w:r w:rsidRPr="006679D2">
        <w:rPr>
          <w:rFonts w:ascii="Arial" w:hAnsi="Arial" w:cs="Arial"/>
          <w:b/>
          <w:bCs/>
          <w:color w:val="000000"/>
        </w:rPr>
        <w:tab/>
        <w:t xml:space="preserve">Frequency of </w:t>
      </w:r>
      <w:r w:rsidR="00E55A14" w:rsidRPr="006679D2">
        <w:rPr>
          <w:rFonts w:ascii="Arial" w:hAnsi="Arial" w:cs="Arial"/>
          <w:b/>
          <w:bCs/>
          <w:color w:val="000000"/>
        </w:rPr>
        <w:t>contact</w:t>
      </w:r>
      <w:r w:rsidRPr="006679D2">
        <w:rPr>
          <w:rFonts w:ascii="Arial" w:hAnsi="Arial" w:cs="Arial"/>
          <w:b/>
          <w:bCs/>
          <w:color w:val="000000"/>
        </w:rPr>
        <w:t xml:space="preserve"> between </w:t>
      </w:r>
      <w:r w:rsidR="00EF65CA" w:rsidRPr="006679D2">
        <w:rPr>
          <w:rFonts w:ascii="Arial" w:hAnsi="Arial" w:cs="Arial"/>
          <w:b/>
          <w:bCs/>
          <w:color w:val="000000"/>
        </w:rPr>
        <w:t>young child</w:t>
      </w:r>
      <w:r w:rsidRPr="006679D2">
        <w:rPr>
          <w:rFonts w:ascii="Arial" w:hAnsi="Arial" w:cs="Arial"/>
          <w:b/>
          <w:bCs/>
          <w:color w:val="000000"/>
        </w:rPr>
        <w:t xml:space="preserve"> and parent</w:t>
      </w:r>
    </w:p>
    <w:p w14:paraId="58CD6A57" w14:textId="77777777" w:rsidR="00FB53EB" w:rsidRDefault="00FB53EB" w:rsidP="00422778">
      <w:pPr>
        <w:jc w:val="both"/>
        <w:rPr>
          <w:rFonts w:ascii="Arial" w:hAnsi="Arial" w:cs="Arial"/>
          <w:sz w:val="20"/>
        </w:rPr>
      </w:pPr>
    </w:p>
    <w:p w14:paraId="5B7577E0" w14:textId="77777777" w:rsidR="00422778" w:rsidRDefault="005477EF" w:rsidP="00422778">
      <w:pPr>
        <w:jc w:val="both"/>
        <w:rPr>
          <w:rFonts w:ascii="Arial" w:hAnsi="Arial" w:cs="Arial"/>
          <w:sz w:val="20"/>
        </w:rPr>
      </w:pPr>
      <w:r>
        <w:rPr>
          <w:rFonts w:ascii="Arial" w:hAnsi="Arial" w:cs="Arial"/>
          <w:sz w:val="20"/>
        </w:rPr>
        <w:t xml:space="preserve">In ‘Contact Irregular’: a qualitative analysis of the impact of visiting patterns of natural parents on foster placements </w:t>
      </w:r>
      <w:r w:rsidRPr="005477EF">
        <w:rPr>
          <w:rFonts w:ascii="Arial" w:hAnsi="Arial" w:cs="Arial"/>
          <w:i/>
          <w:sz w:val="20"/>
        </w:rPr>
        <w:t>[</w:t>
      </w:r>
      <w:r>
        <w:rPr>
          <w:rFonts w:ascii="Arial" w:hAnsi="Arial" w:cs="Arial"/>
          <w:i/>
          <w:sz w:val="20"/>
        </w:rPr>
        <w:t xml:space="preserve">(2002) </w:t>
      </w:r>
      <w:r w:rsidRPr="005477EF">
        <w:rPr>
          <w:rFonts w:ascii="Arial" w:hAnsi="Arial" w:cs="Arial"/>
          <w:i/>
          <w:sz w:val="20"/>
        </w:rPr>
        <w:t>Child and Family Social Work, 7, 35-45]</w:t>
      </w:r>
      <w:r w:rsidR="005C069A">
        <w:rPr>
          <w:rFonts w:ascii="Arial" w:hAnsi="Arial" w:cs="Arial"/>
          <w:sz w:val="20"/>
        </w:rPr>
        <w:t xml:space="preserve">, </w:t>
      </w:r>
      <w:r>
        <w:rPr>
          <w:rFonts w:ascii="Arial" w:hAnsi="Arial" w:cs="Arial"/>
          <w:sz w:val="20"/>
        </w:rPr>
        <w:t xml:space="preserve">D </w:t>
      </w:r>
      <w:r w:rsidR="00422778">
        <w:rPr>
          <w:rFonts w:ascii="Arial" w:hAnsi="Arial" w:cs="Arial"/>
          <w:sz w:val="20"/>
        </w:rPr>
        <w:t xml:space="preserve">Browne &amp; </w:t>
      </w:r>
      <w:r>
        <w:rPr>
          <w:rFonts w:ascii="Arial" w:hAnsi="Arial" w:cs="Arial"/>
          <w:sz w:val="20"/>
        </w:rPr>
        <w:t xml:space="preserve">A </w:t>
      </w:r>
      <w:r w:rsidR="00422778">
        <w:rPr>
          <w:rFonts w:ascii="Arial" w:hAnsi="Arial" w:cs="Arial"/>
          <w:sz w:val="20"/>
        </w:rPr>
        <w:t>Moloney said at p.36:</w:t>
      </w:r>
    </w:p>
    <w:p w14:paraId="4484B846" w14:textId="77777777" w:rsidR="00422778" w:rsidRDefault="00422778" w:rsidP="00422778">
      <w:pPr>
        <w:spacing w:before="60"/>
        <w:ind w:left="567" w:right="567"/>
        <w:jc w:val="both"/>
        <w:rPr>
          <w:rFonts w:ascii="Arial" w:hAnsi="Arial" w:cs="Arial"/>
          <w:sz w:val="20"/>
        </w:rPr>
      </w:pPr>
      <w:r>
        <w:rPr>
          <w:rFonts w:ascii="Arial" w:hAnsi="Arial" w:cs="Arial"/>
          <w:sz w:val="20"/>
        </w:rPr>
        <w:t>“The purpose of foster care is to provide a temporary safe home for a child because his or her parents are unable to do so, with the eventual aim of returning the child successfully to the family</w:t>
      </w:r>
      <w:r w:rsidR="005477EF">
        <w:rPr>
          <w:rFonts w:ascii="Arial" w:hAnsi="Arial" w:cs="Arial"/>
          <w:sz w:val="20"/>
        </w:rPr>
        <w:t xml:space="preserve"> of origin.  With this in mind it is important that the child continues to identify with his natural family.”</w:t>
      </w:r>
    </w:p>
    <w:p w14:paraId="329E1E7C" w14:textId="77777777" w:rsidR="00422778" w:rsidRDefault="00422778" w:rsidP="00422778">
      <w:pPr>
        <w:jc w:val="both"/>
        <w:rPr>
          <w:rFonts w:ascii="Arial" w:hAnsi="Arial" w:cs="Arial"/>
          <w:sz w:val="20"/>
        </w:rPr>
      </w:pPr>
    </w:p>
    <w:p w14:paraId="2866D265" w14:textId="0D88EFAD" w:rsidR="00022F17" w:rsidRDefault="00905998" w:rsidP="00303766">
      <w:pPr>
        <w:jc w:val="both"/>
        <w:rPr>
          <w:rFonts w:ascii="Arial" w:hAnsi="Arial" w:cs="Arial"/>
          <w:sz w:val="20"/>
        </w:rPr>
      </w:pPr>
      <w:r>
        <w:rPr>
          <w:rFonts w:ascii="Arial" w:hAnsi="Arial" w:cs="Arial"/>
          <w:sz w:val="20"/>
        </w:rPr>
        <w:t xml:space="preserve">Section 10(3) of the CYFA sets out 18 matters to which the Court must have regard in determining whether a decision or action is in the best interests of a child.  </w:t>
      </w:r>
      <w:r w:rsidR="000F5CC6" w:rsidRPr="00303766">
        <w:rPr>
          <w:rFonts w:ascii="Arial" w:hAnsi="Arial" w:cs="Arial"/>
          <w:sz w:val="20"/>
        </w:rPr>
        <w:t xml:space="preserve">Section 10(3)(k) of the CYFA provides that in determining what decision to make or action to </w:t>
      </w:r>
      <w:r w:rsidR="000F5CC6" w:rsidRPr="00303766">
        <w:rPr>
          <w:rFonts w:ascii="Arial" w:hAnsi="Arial" w:cs="Arial"/>
          <w:color w:val="000000"/>
          <w:sz w:val="20"/>
        </w:rPr>
        <w:t>take in the best interests of a child, consideration must be given</w:t>
      </w:r>
      <w:r w:rsidR="00303766">
        <w:rPr>
          <w:rFonts w:ascii="Arial" w:hAnsi="Arial" w:cs="Arial"/>
          <w:color w:val="000000"/>
          <w:sz w:val="20"/>
        </w:rPr>
        <w:t>,</w:t>
      </w:r>
      <w:r w:rsidR="000F5CC6" w:rsidRPr="00303766">
        <w:rPr>
          <w:rFonts w:ascii="Arial" w:hAnsi="Arial" w:cs="Arial"/>
          <w:color w:val="000000"/>
          <w:sz w:val="20"/>
        </w:rPr>
        <w:t xml:space="preserve"> where relevant</w:t>
      </w:r>
      <w:r w:rsidR="00303766">
        <w:rPr>
          <w:rFonts w:ascii="Arial" w:hAnsi="Arial" w:cs="Arial"/>
          <w:color w:val="000000"/>
          <w:sz w:val="20"/>
        </w:rPr>
        <w:t>,</w:t>
      </w:r>
      <w:r w:rsidR="000F5CC6" w:rsidRPr="00303766">
        <w:rPr>
          <w:rFonts w:ascii="Arial" w:hAnsi="Arial" w:cs="Arial"/>
          <w:color w:val="000000"/>
          <w:sz w:val="20"/>
        </w:rPr>
        <w:t xml:space="preserve"> to </w:t>
      </w:r>
      <w:r w:rsidRPr="00303766">
        <w:rPr>
          <w:rFonts w:ascii="Arial" w:hAnsi="Arial" w:cs="Arial"/>
          <w:color w:val="000000"/>
          <w:sz w:val="20"/>
        </w:rPr>
        <w:t>“</w:t>
      </w:r>
      <w:r w:rsidR="00E55A14" w:rsidRPr="00303766">
        <w:rPr>
          <w:rFonts w:ascii="Arial" w:hAnsi="Arial" w:cs="Arial"/>
          <w:color w:val="000000"/>
          <w:sz w:val="20"/>
        </w:rPr>
        <w:t>contact</w:t>
      </w:r>
      <w:r w:rsidR="000F5CC6" w:rsidRPr="00303766">
        <w:rPr>
          <w:rFonts w:ascii="Arial" w:hAnsi="Arial" w:cs="Arial"/>
          <w:sz w:val="20"/>
        </w:rPr>
        <w:t xml:space="preserve"> arrangements between the child and the child’s parents, siblings, family members and other persons significant to the child</w:t>
      </w:r>
      <w:r w:rsidRPr="00303766">
        <w:rPr>
          <w:rFonts w:ascii="Arial" w:hAnsi="Arial" w:cs="Arial"/>
          <w:sz w:val="20"/>
        </w:rPr>
        <w:t>”</w:t>
      </w:r>
      <w:r w:rsidR="000F5CC6" w:rsidRPr="00303766">
        <w:rPr>
          <w:rFonts w:ascii="Arial" w:hAnsi="Arial" w:cs="Arial"/>
          <w:sz w:val="20"/>
        </w:rPr>
        <w:t>.</w:t>
      </w:r>
      <w:r w:rsidR="0035574D" w:rsidRPr="00303766">
        <w:rPr>
          <w:rFonts w:ascii="Arial" w:hAnsi="Arial" w:cs="Arial"/>
          <w:sz w:val="20"/>
        </w:rPr>
        <w:t xml:space="preserve">  </w:t>
      </w:r>
      <w:r w:rsidR="00022F17" w:rsidRPr="006679D2">
        <w:rPr>
          <w:rFonts w:ascii="Arial" w:hAnsi="Arial" w:cs="Arial"/>
          <w:color w:val="000000"/>
          <w:sz w:val="20"/>
        </w:rPr>
        <w:t>Section 10(3)(k) effectively provides a child with a</w:t>
      </w:r>
      <w:r w:rsidR="00022F17">
        <w:rPr>
          <w:rFonts w:ascii="Arial" w:hAnsi="Arial" w:cs="Arial"/>
          <w:color w:val="000000"/>
          <w:sz w:val="20"/>
        </w:rPr>
        <w:t xml:space="preserve"> </w:t>
      </w:r>
      <w:r w:rsidR="00022F17" w:rsidRPr="009B4939">
        <w:rPr>
          <w:rFonts w:ascii="Arial" w:hAnsi="Arial" w:cs="Arial"/>
          <w:i/>
          <w:iCs/>
          <w:color w:val="000000"/>
          <w:sz w:val="20"/>
        </w:rPr>
        <w:t>prima facie</w:t>
      </w:r>
      <w:r w:rsidR="00022F17" w:rsidRPr="006679D2">
        <w:rPr>
          <w:rFonts w:ascii="Arial" w:hAnsi="Arial" w:cs="Arial"/>
          <w:color w:val="000000"/>
          <w:sz w:val="20"/>
        </w:rPr>
        <w:t xml:space="preserve"> right to contact and provides a parent and a sibling with a consequential right,</w:t>
      </w:r>
    </w:p>
    <w:p w14:paraId="6A78CC96" w14:textId="77777777" w:rsidR="00022F17" w:rsidRDefault="00022F17" w:rsidP="00303766">
      <w:pPr>
        <w:jc w:val="both"/>
        <w:rPr>
          <w:rFonts w:ascii="Arial" w:hAnsi="Arial" w:cs="Arial"/>
          <w:sz w:val="20"/>
        </w:rPr>
      </w:pPr>
    </w:p>
    <w:p w14:paraId="770458B4" w14:textId="4EF6CB7C" w:rsidR="0052674B" w:rsidRPr="00303766" w:rsidRDefault="00022F17" w:rsidP="00303766">
      <w:pPr>
        <w:jc w:val="both"/>
        <w:rPr>
          <w:rFonts w:ascii="Arial" w:hAnsi="Arial" w:cs="Arial"/>
          <w:sz w:val="20"/>
        </w:rPr>
      </w:pPr>
      <w:r>
        <w:rPr>
          <w:rFonts w:ascii="Arial" w:hAnsi="Arial" w:cs="Arial"/>
          <w:sz w:val="20"/>
        </w:rPr>
        <w:t>Further s.</w:t>
      </w:r>
      <w:r w:rsidR="0052674B" w:rsidRPr="00303766">
        <w:rPr>
          <w:rFonts w:ascii="Arial" w:hAnsi="Arial" w:cs="Arial"/>
          <w:sz w:val="20"/>
        </w:rPr>
        <w:t>10(3)(b) provide</w:t>
      </w:r>
      <w:r w:rsidR="00303766" w:rsidRPr="00303766">
        <w:rPr>
          <w:rFonts w:ascii="Arial" w:hAnsi="Arial" w:cs="Arial"/>
          <w:sz w:val="20"/>
        </w:rPr>
        <w:t>s</w:t>
      </w:r>
      <w:r w:rsidR="0052674B" w:rsidRPr="00303766">
        <w:rPr>
          <w:rFonts w:ascii="Arial" w:hAnsi="Arial" w:cs="Arial"/>
          <w:sz w:val="20"/>
        </w:rPr>
        <w:t xml:space="preserve"> that the best interests of the child</w:t>
      </w:r>
      <w:r w:rsidR="00B42129" w:rsidRPr="00303766">
        <w:rPr>
          <w:rFonts w:ascii="Arial" w:hAnsi="Arial" w:cs="Arial"/>
          <w:sz w:val="20"/>
        </w:rPr>
        <w:t xml:space="preserve"> </w:t>
      </w:r>
      <w:r w:rsidR="0052674B" w:rsidRPr="00303766">
        <w:rPr>
          <w:rFonts w:ascii="Arial" w:hAnsi="Arial" w:cs="Arial"/>
          <w:sz w:val="20"/>
        </w:rPr>
        <w:t xml:space="preserve">require consideration to be given, where relevant, to </w:t>
      </w:r>
      <w:r w:rsidR="00905998" w:rsidRPr="00303766">
        <w:rPr>
          <w:rFonts w:ascii="Arial" w:hAnsi="Arial" w:cs="Arial"/>
          <w:sz w:val="20"/>
        </w:rPr>
        <w:t>“</w:t>
      </w:r>
      <w:r w:rsidR="0052674B" w:rsidRPr="00303766">
        <w:rPr>
          <w:rFonts w:ascii="Arial" w:hAnsi="Arial" w:cs="Arial"/>
          <w:sz w:val="20"/>
        </w:rPr>
        <w:t xml:space="preserve">the need to strengthen, preserve and promote positive relationships between the child and </w:t>
      </w:r>
      <w:r w:rsidR="00905998" w:rsidRPr="00303766">
        <w:rPr>
          <w:rFonts w:ascii="Arial" w:hAnsi="Arial" w:cs="Arial"/>
          <w:sz w:val="20"/>
        </w:rPr>
        <w:t xml:space="preserve">the child’s </w:t>
      </w:r>
      <w:r w:rsidR="0052674B" w:rsidRPr="00303766">
        <w:rPr>
          <w:rFonts w:ascii="Arial" w:hAnsi="Arial" w:cs="Arial"/>
          <w:sz w:val="20"/>
        </w:rPr>
        <w:t xml:space="preserve">parent, </w:t>
      </w:r>
      <w:r w:rsidR="00905998" w:rsidRPr="00303766">
        <w:rPr>
          <w:rFonts w:ascii="Arial" w:hAnsi="Arial" w:cs="Arial"/>
          <w:sz w:val="20"/>
        </w:rPr>
        <w:t>family members and persons significant to the child”</w:t>
      </w:r>
      <w:r w:rsidR="00303766">
        <w:rPr>
          <w:rFonts w:ascii="Arial" w:hAnsi="Arial" w:cs="Arial"/>
          <w:sz w:val="20"/>
        </w:rPr>
        <w:t>.  Section 10(3)(i) requires that consideration be given, where relevant, to “the desirability, when a child is removed from the care of his or her parent, t</w:t>
      </w:r>
      <w:r w:rsidR="0052674B" w:rsidRPr="00303766">
        <w:rPr>
          <w:rFonts w:ascii="Arial" w:hAnsi="Arial" w:cs="Arial"/>
          <w:sz w:val="20"/>
        </w:rPr>
        <w:t xml:space="preserve">o plan the reunification of the child with his or her </w:t>
      </w:r>
      <w:r w:rsidR="00303766">
        <w:rPr>
          <w:rFonts w:ascii="Arial" w:hAnsi="Arial" w:cs="Arial"/>
          <w:sz w:val="20"/>
        </w:rPr>
        <w:t>parent”</w:t>
      </w:r>
      <w:r w:rsidR="0052674B" w:rsidRPr="00303766">
        <w:rPr>
          <w:rFonts w:ascii="Arial" w:hAnsi="Arial" w:cs="Arial"/>
          <w:sz w:val="20"/>
        </w:rPr>
        <w:t>.</w:t>
      </w:r>
    </w:p>
    <w:p w14:paraId="7CCBF38A" w14:textId="77777777" w:rsidR="0052674B" w:rsidRDefault="0052674B" w:rsidP="00FB53EB">
      <w:pPr>
        <w:jc w:val="both"/>
        <w:rPr>
          <w:rFonts w:ascii="Arial" w:hAnsi="Arial" w:cs="Arial"/>
          <w:sz w:val="20"/>
        </w:rPr>
      </w:pPr>
    </w:p>
    <w:p w14:paraId="374AE29B" w14:textId="77777777" w:rsidR="00BC7804" w:rsidRDefault="0052674B" w:rsidP="00FB53EB">
      <w:pPr>
        <w:jc w:val="both"/>
        <w:rPr>
          <w:rFonts w:ascii="Arial" w:hAnsi="Arial" w:cs="Arial"/>
          <w:sz w:val="20"/>
        </w:rPr>
      </w:pPr>
      <w:r>
        <w:rPr>
          <w:rFonts w:ascii="Arial" w:hAnsi="Arial" w:cs="Arial"/>
          <w:sz w:val="20"/>
        </w:rPr>
        <w:t>Paragraphs (b), (i) &amp; (k) of s.10</w:t>
      </w:r>
      <w:r w:rsidR="0035574D">
        <w:rPr>
          <w:rFonts w:ascii="Arial" w:hAnsi="Arial" w:cs="Arial"/>
          <w:sz w:val="20"/>
        </w:rPr>
        <w:t>(3) effectively incorporate into domestic Victorian law Article 9.3 in Part I of the United Nations Convention on the Rights of the Child to which Australia is a signatory.  Article 9.3 provides:</w:t>
      </w:r>
    </w:p>
    <w:p w14:paraId="4EE41652" w14:textId="77777777" w:rsidR="0035574D" w:rsidRDefault="0035574D" w:rsidP="0035574D">
      <w:pPr>
        <w:spacing w:before="60"/>
        <w:ind w:left="567" w:right="567"/>
        <w:jc w:val="both"/>
        <w:rPr>
          <w:rFonts w:ascii="Arial" w:hAnsi="Arial" w:cs="Arial"/>
          <w:sz w:val="20"/>
        </w:rPr>
      </w:pPr>
      <w:r>
        <w:rPr>
          <w:rFonts w:ascii="Arial" w:hAnsi="Arial" w:cs="Arial"/>
          <w:sz w:val="20"/>
        </w:rPr>
        <w:t>“Parties shall respect the right of the child who is separated from one or both parents to maintain personal relations and direct contact with both parents on a regular basis, except if it is contrary to the child’s best interests.”</w:t>
      </w:r>
    </w:p>
    <w:p w14:paraId="7C0FC8B0" w14:textId="77777777" w:rsidR="000402DA" w:rsidRDefault="000402DA" w:rsidP="00FB53EB">
      <w:pPr>
        <w:jc w:val="both"/>
        <w:rPr>
          <w:rFonts w:ascii="Arial" w:hAnsi="Arial" w:cs="Arial"/>
          <w:sz w:val="20"/>
        </w:rPr>
      </w:pPr>
    </w:p>
    <w:p w14:paraId="6DF14D7A" w14:textId="4F123516" w:rsidR="00CA3540" w:rsidRDefault="0055262C" w:rsidP="00FB53EB">
      <w:pPr>
        <w:jc w:val="both"/>
        <w:rPr>
          <w:rFonts w:ascii="Arial" w:hAnsi="Arial" w:cs="Arial"/>
          <w:sz w:val="20"/>
        </w:rPr>
      </w:pPr>
      <w:r>
        <w:rPr>
          <w:rFonts w:ascii="Arial" w:hAnsi="Arial" w:cs="Arial"/>
          <w:sz w:val="20"/>
        </w:rPr>
        <w:t xml:space="preserve">One of the most </w:t>
      </w:r>
      <w:r w:rsidR="00A5277D">
        <w:rPr>
          <w:rFonts w:ascii="Arial" w:hAnsi="Arial" w:cs="Arial"/>
          <w:sz w:val="20"/>
        </w:rPr>
        <w:t>commonly</w:t>
      </w:r>
      <w:r>
        <w:rPr>
          <w:rFonts w:ascii="Arial" w:hAnsi="Arial" w:cs="Arial"/>
          <w:sz w:val="20"/>
        </w:rPr>
        <w:t xml:space="preserve"> disputed issues in Family Division cases is the frequency of </w:t>
      </w:r>
      <w:r w:rsidR="00E55A14" w:rsidRPr="006679D2">
        <w:rPr>
          <w:rFonts w:ascii="Arial" w:hAnsi="Arial" w:cs="Arial"/>
          <w:color w:val="000000"/>
          <w:sz w:val="20"/>
        </w:rPr>
        <w:t>contact</w:t>
      </w:r>
      <w:r w:rsidRPr="006679D2">
        <w:rPr>
          <w:rFonts w:ascii="Arial" w:hAnsi="Arial" w:cs="Arial"/>
          <w:color w:val="000000"/>
          <w:sz w:val="20"/>
        </w:rPr>
        <w:t xml:space="preserve"> between a non-custodial parent and a child.  Such disputes are </w:t>
      </w:r>
      <w:r w:rsidR="00B64AF6" w:rsidRPr="006679D2">
        <w:rPr>
          <w:rFonts w:ascii="Arial" w:hAnsi="Arial" w:cs="Arial"/>
          <w:color w:val="000000"/>
          <w:sz w:val="20"/>
        </w:rPr>
        <w:t>usually</w:t>
      </w:r>
      <w:r w:rsidRPr="006679D2">
        <w:rPr>
          <w:rFonts w:ascii="Arial" w:hAnsi="Arial" w:cs="Arial"/>
          <w:color w:val="000000"/>
          <w:sz w:val="20"/>
        </w:rPr>
        <w:t xml:space="preserve"> even more</w:t>
      </w:r>
      <w:r>
        <w:rPr>
          <w:rFonts w:ascii="Arial" w:hAnsi="Arial" w:cs="Arial"/>
          <w:sz w:val="20"/>
        </w:rPr>
        <w:t xml:space="preserve"> </w:t>
      </w:r>
      <w:r w:rsidR="00063C71">
        <w:rPr>
          <w:rFonts w:ascii="Arial" w:hAnsi="Arial" w:cs="Arial"/>
          <w:sz w:val="20"/>
        </w:rPr>
        <w:t>difficult</w:t>
      </w:r>
      <w:r>
        <w:rPr>
          <w:rFonts w:ascii="Arial" w:hAnsi="Arial" w:cs="Arial"/>
          <w:sz w:val="20"/>
        </w:rPr>
        <w:t xml:space="preserve"> </w:t>
      </w:r>
      <w:r w:rsidR="00063C71">
        <w:rPr>
          <w:rFonts w:ascii="Arial" w:hAnsi="Arial" w:cs="Arial"/>
          <w:sz w:val="20"/>
        </w:rPr>
        <w:t xml:space="preserve">to determine </w:t>
      </w:r>
      <w:r w:rsidR="00CA3540">
        <w:rPr>
          <w:rFonts w:ascii="Arial" w:hAnsi="Arial" w:cs="Arial"/>
          <w:sz w:val="20"/>
        </w:rPr>
        <w:t>when the child is an infant</w:t>
      </w:r>
      <w:r w:rsidR="00022F17">
        <w:rPr>
          <w:rFonts w:ascii="Arial" w:hAnsi="Arial" w:cs="Arial"/>
          <w:sz w:val="20"/>
        </w:rPr>
        <w:t xml:space="preserve">, especially as there is a wide disparity of professional views – exemplified in the next two sections – about what frequency of contact is </w:t>
      </w:r>
      <w:r w:rsidR="009B4939">
        <w:rPr>
          <w:rFonts w:ascii="Arial" w:hAnsi="Arial" w:cs="Arial"/>
          <w:sz w:val="20"/>
        </w:rPr>
        <w:t xml:space="preserve">likely to be </w:t>
      </w:r>
      <w:r w:rsidR="00022F17">
        <w:rPr>
          <w:rFonts w:ascii="Arial" w:hAnsi="Arial" w:cs="Arial"/>
          <w:sz w:val="20"/>
        </w:rPr>
        <w:t>in a child’s best interests</w:t>
      </w:r>
      <w:r w:rsidR="00CA3540">
        <w:rPr>
          <w:rFonts w:ascii="Arial" w:hAnsi="Arial" w:cs="Arial"/>
          <w:sz w:val="20"/>
        </w:rPr>
        <w:t>.</w:t>
      </w:r>
    </w:p>
    <w:p w14:paraId="01243F0B" w14:textId="6BD7DC38" w:rsidR="00022F17" w:rsidRDefault="00022F17" w:rsidP="00022F17">
      <w:pPr>
        <w:jc w:val="both"/>
        <w:rPr>
          <w:rFonts w:ascii="Arial" w:hAnsi="Arial" w:cs="Arial"/>
          <w:sz w:val="20"/>
        </w:rPr>
      </w:pPr>
    </w:p>
    <w:p w14:paraId="66933234" w14:textId="610CDB23" w:rsidR="00022F17" w:rsidRPr="00022F17" w:rsidRDefault="00022F17" w:rsidP="00022F17">
      <w:pPr>
        <w:pStyle w:val="Heading3"/>
        <w:keepNext/>
        <w:keepLines/>
        <w:spacing w:after="120" w:line="240" w:lineRule="auto"/>
        <w:rPr>
          <w:rFonts w:ascii="Arial" w:hAnsi="Arial" w:cs="Arial"/>
          <w:b/>
          <w:bCs/>
          <w:sz w:val="20"/>
          <w:lang w:val="en-US"/>
        </w:rPr>
      </w:pPr>
      <w:bookmarkStart w:id="1618" w:name="_4.14.2__Case"/>
      <w:bookmarkStart w:id="1619" w:name="B4142"/>
      <w:bookmarkStart w:id="1620" w:name="_4.14.1_The_Victorian"/>
      <w:bookmarkEnd w:id="1618"/>
      <w:bookmarkEnd w:id="1619"/>
      <w:bookmarkEnd w:id="1620"/>
      <w:r w:rsidRPr="00022F17">
        <w:rPr>
          <w:rFonts w:ascii="Arial" w:hAnsi="Arial" w:cs="Arial"/>
          <w:b/>
          <w:bCs/>
          <w:sz w:val="20"/>
        </w:rPr>
        <w:t>4.14.</w:t>
      </w:r>
      <w:r>
        <w:rPr>
          <w:rFonts w:ascii="Arial" w:hAnsi="Arial" w:cs="Arial"/>
          <w:b/>
          <w:bCs/>
          <w:sz w:val="20"/>
        </w:rPr>
        <w:t>1</w:t>
      </w:r>
      <w:r w:rsidRPr="00022F17">
        <w:rPr>
          <w:rFonts w:ascii="Arial" w:hAnsi="Arial" w:cs="Arial"/>
          <w:b/>
          <w:bCs/>
          <w:sz w:val="20"/>
        </w:rPr>
        <w:tab/>
        <w:t>The Victoria</w:t>
      </w:r>
      <w:r>
        <w:rPr>
          <w:rFonts w:ascii="Arial" w:hAnsi="Arial" w:cs="Arial"/>
          <w:b/>
          <w:bCs/>
          <w:sz w:val="20"/>
        </w:rPr>
        <w:t>n</w:t>
      </w:r>
      <w:r w:rsidRPr="00022F17">
        <w:rPr>
          <w:rFonts w:ascii="Arial" w:hAnsi="Arial" w:cs="Arial"/>
          <w:b/>
          <w:bCs/>
          <w:sz w:val="20"/>
        </w:rPr>
        <w:t xml:space="preserve"> case of </w:t>
      </w:r>
      <w:r w:rsidRPr="00022F17">
        <w:rPr>
          <w:rFonts w:ascii="Arial" w:hAnsi="Arial" w:cs="Arial"/>
          <w:b/>
          <w:bCs/>
          <w:i/>
          <w:iCs/>
          <w:color w:val="000000"/>
          <w:sz w:val="20"/>
        </w:rPr>
        <w:t>DOHS v Ms B &amp; Mr G</w:t>
      </w:r>
    </w:p>
    <w:p w14:paraId="37F9F159" w14:textId="77777777" w:rsidR="00022F17" w:rsidRDefault="00022F17" w:rsidP="00022F17">
      <w:pPr>
        <w:jc w:val="both"/>
        <w:rPr>
          <w:rFonts w:ascii="Arial" w:hAnsi="Arial" w:cs="Arial"/>
          <w:sz w:val="20"/>
        </w:rPr>
      </w:pPr>
      <w:r w:rsidRPr="006679D2">
        <w:rPr>
          <w:rFonts w:ascii="Arial" w:hAnsi="Arial" w:cs="Arial"/>
          <w:color w:val="000000"/>
          <w:sz w:val="20"/>
        </w:rPr>
        <w:t xml:space="preserve">In </w:t>
      </w:r>
      <w:r w:rsidRPr="006679D2">
        <w:rPr>
          <w:rFonts w:ascii="Arial" w:hAnsi="Arial" w:cs="Arial"/>
          <w:i/>
          <w:color w:val="000000"/>
          <w:sz w:val="20"/>
        </w:rPr>
        <w:t>DOHS v Ms B &amp; Mr G</w:t>
      </w:r>
      <w:r w:rsidRPr="006679D2">
        <w:rPr>
          <w:rFonts w:ascii="Arial" w:hAnsi="Arial" w:cs="Arial"/>
          <w:color w:val="000000"/>
          <w:sz w:val="20"/>
        </w:rPr>
        <w:t xml:space="preserve"> [2008] VChC 1, a case involving 4 children two of whom were twins aged 10 months who had been out of parental care since birth, a central issue was the frequency and duration of contact between the twins and their parents.  Initially the parents had had daily </w:t>
      </w:r>
      <w:r>
        <w:rPr>
          <w:rFonts w:ascii="Arial" w:hAnsi="Arial" w:cs="Arial"/>
          <w:color w:val="000000"/>
          <w:sz w:val="20"/>
        </w:rPr>
        <w:t>contact</w:t>
      </w:r>
      <w:r w:rsidRPr="006679D2">
        <w:rPr>
          <w:rFonts w:ascii="Arial" w:hAnsi="Arial" w:cs="Arial"/>
          <w:color w:val="000000"/>
          <w:sz w:val="20"/>
        </w:rPr>
        <w:t xml:space="preserve"> in the hospital’s special care nursery.  When the twins were discharged at 4 weeks of age the Court heard a submissions contest and ordered supervised contact for 4 hours each day.  When they were 11½ weeks old this regime was varied by consent – after the Court had heard </w:t>
      </w:r>
      <w:r w:rsidRPr="006679D2">
        <w:rPr>
          <w:rFonts w:ascii="Arial" w:hAnsi="Arial" w:cs="Arial"/>
          <w:i/>
          <w:color w:val="000000"/>
          <w:sz w:val="20"/>
        </w:rPr>
        <w:t>viva voce</w:t>
      </w:r>
      <w:r w:rsidRPr="006679D2">
        <w:rPr>
          <w:rFonts w:ascii="Arial" w:hAnsi="Arial" w:cs="Arial"/>
          <w:color w:val="000000"/>
          <w:sz w:val="20"/>
        </w:rPr>
        <w:t xml:space="preserve"> evidence from Dr P, a highly respected consultant psychiatrist in the field of infant mental health – to 3½ hours on each of 5 days per week for the mother and 1 hour on each of 3 days per week for the father.  When the twins were 6½ months old their </w:t>
      </w:r>
      <w:r w:rsidRPr="006679D2">
        <w:rPr>
          <w:rFonts w:ascii="Arial" w:hAnsi="Arial" w:cs="Arial"/>
          <w:color w:val="000000"/>
          <w:sz w:val="20"/>
        </w:rPr>
        <w:lastRenderedPageBreak/>
        <w:t>mother’s contact was suspended as a consequence of serious threats made by her to a protective worker.  Six weeks later her supervised contact was reinstated for 1 hour on 1 day per week.  When the twins were 9½ months old the writer heard evidence from a number of expert witnesses, including Dr P and three highly regarded clinical psychologists, Dr M, Dr SM &amp; Dr W.  It is no criticism of these excellent witnesses to say that there were very significant differences between them as to the optimal frequency and duration of contact even</w:t>
      </w:r>
      <w:r>
        <w:rPr>
          <w:rFonts w:ascii="Arial" w:hAnsi="Arial" w:cs="Arial"/>
          <w:sz w:val="20"/>
        </w:rPr>
        <w:t xml:space="preserve"> though there was a high degree of unanimity on the underlying theory of infant development.</w:t>
      </w:r>
    </w:p>
    <w:p w14:paraId="0AACBD53" w14:textId="77777777" w:rsidR="00022F17" w:rsidRDefault="00022F17" w:rsidP="00022F17">
      <w:pPr>
        <w:jc w:val="both"/>
        <w:rPr>
          <w:rFonts w:ascii="Arial" w:hAnsi="Arial" w:cs="Arial"/>
          <w:sz w:val="20"/>
        </w:rPr>
      </w:pPr>
    </w:p>
    <w:p w14:paraId="1FE7D266"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When the twins were 2 months old, Dr M had been asked by DOHS to provide an expert opinion as to whether contact between the twins and the parents for several hours each day was appropriate.  However she had not been given an opportunity to observe either the twins or their parents.  It was her view that daily contact was not appropriate and she recommended a reduction to once weekly for the following reasons:</w:t>
      </w:r>
    </w:p>
    <w:p w14:paraId="1B7F6434" w14:textId="77777777" w:rsidR="00022F17" w:rsidRDefault="00022F17" w:rsidP="00022F17">
      <w:pPr>
        <w:spacing w:before="120" w:after="120"/>
        <w:ind w:left="567" w:right="567"/>
        <w:jc w:val="both"/>
        <w:rPr>
          <w:rFonts w:ascii="Arial" w:hAnsi="Arial" w:cs="Arial"/>
          <w:sz w:val="20"/>
        </w:rPr>
      </w:pPr>
      <w:r w:rsidRPr="00281666">
        <w:rPr>
          <w:rFonts w:ascii="Arial" w:hAnsi="Arial" w:cs="Arial"/>
          <w:sz w:val="20"/>
          <w:szCs w:val="22"/>
        </w:rPr>
        <w:t>“Daily contact between infant and parents is something clinically advisable when there is a very clear reunification plan and clear evidence around the capacity of the parents to care and lay down foundations for secure attachment.  I was concerned because there certainly hadn’t been a thorough assessment of the capacity of the parents to do that with these infants.  What inadvertently happens with these very frequent contact schedules is that infants are denied the opportunity to form security with anyone and particularly with the foster parents</w:t>
      </w:r>
      <w:r>
        <w:rPr>
          <w:rFonts w:ascii="Arial" w:hAnsi="Arial" w:cs="Arial"/>
          <w:sz w:val="20"/>
          <w:szCs w:val="22"/>
        </w:rPr>
        <w:t>…</w:t>
      </w:r>
      <w:r w:rsidRPr="00281666">
        <w:rPr>
          <w:rFonts w:ascii="Arial" w:hAnsi="Arial" w:cs="Arial"/>
          <w:sz w:val="20"/>
          <w:szCs w:val="22"/>
        </w:rPr>
        <w:t xml:space="preserve">  It doesn’t have anything to do with the supervision of the access.  It’s got to do with the disruption of the infants’ schedule and the absence of the infants from their primary carer, in this case the foster parents.  This is the sort of regime which when ongoing for several weeks or months can cause disorganized attachment in infants…One of the core truths about attachment security is in the critical period from 0-18 months it requires the regular, consistent, predictable, reliable and most importantly the responsive presence of the primary caregiver…There is no research I am satisfied with methodologically that shows us increased access from a visiting parent adds to attachment security.  Research shows a nominal difference between infants who have access once per week and those who have access several times per week.”</w:t>
      </w:r>
    </w:p>
    <w:p w14:paraId="0133EDDF" w14:textId="77777777" w:rsidR="00022F17" w:rsidRDefault="00022F17" w:rsidP="00022F17">
      <w:pPr>
        <w:jc w:val="both"/>
        <w:rPr>
          <w:rFonts w:ascii="Arial" w:hAnsi="Arial" w:cs="Arial"/>
          <w:sz w:val="20"/>
        </w:rPr>
      </w:pPr>
      <w:r>
        <w:rPr>
          <w:rFonts w:ascii="Arial" w:hAnsi="Arial" w:cs="Arial"/>
          <w:sz w:val="20"/>
        </w:rPr>
        <w:t>Dr M went on to identify three levels of contact for a non-custodial parent:</w:t>
      </w:r>
    </w:p>
    <w:p w14:paraId="4039225C"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1.</w:t>
      </w:r>
      <w:r>
        <w:rPr>
          <w:rFonts w:ascii="Arial" w:hAnsi="Arial" w:cs="Arial"/>
          <w:sz w:val="20"/>
        </w:rPr>
        <w:tab/>
      </w:r>
      <w:r w:rsidRPr="00281666">
        <w:rPr>
          <w:rFonts w:ascii="Arial" w:hAnsi="Arial" w:cs="Arial"/>
          <w:sz w:val="20"/>
          <w:u w:val="single"/>
        </w:rPr>
        <w:t>Attachment</w:t>
      </w:r>
      <w:r>
        <w:rPr>
          <w:rFonts w:ascii="Arial" w:hAnsi="Arial" w:cs="Arial"/>
          <w:sz w:val="20"/>
          <w:u w:val="single"/>
        </w:rPr>
        <w:t>-</w:t>
      </w:r>
      <w:r w:rsidRPr="00281666">
        <w:rPr>
          <w:rFonts w:ascii="Arial" w:hAnsi="Arial" w:cs="Arial"/>
          <w:sz w:val="20"/>
          <w:u w:val="single"/>
        </w:rPr>
        <w:t>based contact</w:t>
      </w:r>
      <w:r>
        <w:rPr>
          <w:rFonts w:ascii="Arial" w:hAnsi="Arial" w:cs="Arial"/>
          <w:sz w:val="20"/>
        </w:rPr>
        <w:t>:  Where reunification is being pursued – up to 4 days per week leading to overnight.</w:t>
      </w:r>
    </w:p>
    <w:p w14:paraId="6AE7EC8D"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2.</w:t>
      </w:r>
      <w:r>
        <w:rPr>
          <w:rFonts w:ascii="Arial" w:hAnsi="Arial" w:cs="Arial"/>
          <w:sz w:val="20"/>
        </w:rPr>
        <w:tab/>
      </w:r>
      <w:r w:rsidRPr="00FA453B">
        <w:rPr>
          <w:rFonts w:ascii="Arial" w:hAnsi="Arial" w:cs="Arial"/>
          <w:sz w:val="20"/>
          <w:u w:val="single"/>
        </w:rPr>
        <w:t>Relationship-based contact</w:t>
      </w:r>
      <w:r>
        <w:rPr>
          <w:rFonts w:ascii="Arial" w:hAnsi="Arial" w:cs="Arial"/>
          <w:sz w:val="20"/>
        </w:rPr>
        <w:t>:  Where reunification is not on the cards but the parents have been assessed as able to contribute to the emotional development of the child – more like monthly.</w:t>
      </w:r>
    </w:p>
    <w:p w14:paraId="5E6ACD50" w14:textId="77777777" w:rsidR="00022F17" w:rsidRDefault="00022F17" w:rsidP="00022F17">
      <w:pPr>
        <w:tabs>
          <w:tab w:val="left" w:pos="567"/>
        </w:tabs>
        <w:ind w:left="567" w:hanging="567"/>
        <w:jc w:val="both"/>
        <w:rPr>
          <w:rFonts w:ascii="Arial" w:hAnsi="Arial" w:cs="Arial"/>
          <w:sz w:val="20"/>
        </w:rPr>
      </w:pPr>
      <w:r>
        <w:rPr>
          <w:rFonts w:ascii="Arial" w:hAnsi="Arial" w:cs="Arial"/>
          <w:sz w:val="20"/>
        </w:rPr>
        <w:t>3.</w:t>
      </w:r>
      <w:r>
        <w:rPr>
          <w:rFonts w:ascii="Arial" w:hAnsi="Arial" w:cs="Arial"/>
          <w:sz w:val="20"/>
        </w:rPr>
        <w:tab/>
      </w:r>
      <w:r w:rsidRPr="00D9026B">
        <w:rPr>
          <w:rFonts w:ascii="Arial" w:hAnsi="Arial" w:cs="Arial"/>
          <w:sz w:val="20"/>
          <w:u w:val="single"/>
        </w:rPr>
        <w:t>Identity-based contact</w:t>
      </w:r>
      <w:r>
        <w:rPr>
          <w:rFonts w:ascii="Arial" w:hAnsi="Arial" w:cs="Arial"/>
          <w:sz w:val="20"/>
        </w:rPr>
        <w:t>:  Where reunification is not being pursued and the parents have a history of traumatized care – something of the order of 4 times per year or less.</w:t>
      </w:r>
    </w:p>
    <w:p w14:paraId="42536C13" w14:textId="77777777" w:rsidR="00022F17" w:rsidRDefault="00022F17" w:rsidP="00022F17">
      <w:pPr>
        <w:jc w:val="both"/>
        <w:rPr>
          <w:rFonts w:ascii="Arial" w:hAnsi="Arial" w:cs="Arial"/>
          <w:sz w:val="20"/>
        </w:rPr>
      </w:pPr>
    </w:p>
    <w:p w14:paraId="1565F1F7"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At about the same time Dr P had also been asked by DOHS to provide an expert opinion on the optimal frequency of the twins’ contact with parents who had a strong desire to assume their roles as parents but who were considered at that stage unable to provide the level of emotional consistency and absence of disruption and trauma necessary for optimal development.  He too had not seen either the twins or their parents.  His reported opinion about the then daily contact regime was that it was potentially disruptive of the twins’ development:</w:t>
      </w:r>
    </w:p>
    <w:p w14:paraId="03005B23" w14:textId="77777777" w:rsidR="00022F17" w:rsidRPr="008E414E" w:rsidRDefault="00022F17" w:rsidP="00731A43">
      <w:pPr>
        <w:spacing w:before="120"/>
        <w:ind w:left="567" w:right="567"/>
        <w:jc w:val="both"/>
        <w:rPr>
          <w:rFonts w:ascii="Arial" w:hAnsi="Arial" w:cs="Arial"/>
          <w:sz w:val="20"/>
        </w:rPr>
      </w:pPr>
      <w:r w:rsidRPr="008E414E">
        <w:rPr>
          <w:rFonts w:ascii="Arial" w:hAnsi="Arial" w:cs="Arial"/>
          <w:sz w:val="20"/>
        </w:rPr>
        <w:t>“The fields of early childhood development and infant mental health have provided an increasing amount of powerful evidence that the very early experiences of infants and young children can have profound effects upon their emotional, social and cognitive development.  The very young infant from the moment of birth is alert and attuned to his environment.  Necessarily, those people caring for the infant constitute his world.  The very young infant is able to hear, see, feel and perceive with all senses the quality of care provided them by their immediate carers.  The nature of this care provides the basis for the development of a stable sense of self and of attachment relationships.  Babies are able to remember in their nonverbal memory (procedural memory) the things that happen to them, and the emotional context.  The attuned and emotionally available caregiver helps the baby manage the ordinary ups and downs of life.  Extreme disruption in the availability of a consistent and predictable caregiver may constitute a significant trauma in itself</w:t>
      </w:r>
      <w:r>
        <w:rPr>
          <w:rFonts w:ascii="Arial" w:hAnsi="Arial" w:cs="Arial"/>
          <w:sz w:val="20"/>
        </w:rPr>
        <w:t xml:space="preserve">: see </w:t>
      </w:r>
      <w:r w:rsidRPr="008E414E">
        <w:rPr>
          <w:rFonts w:ascii="Arial" w:hAnsi="Arial" w:cs="Arial"/>
          <w:sz w:val="20"/>
        </w:rPr>
        <w:t xml:space="preserve">Schuder M &amp; Lyons-Ruth K, “Hidden Trauma in Infancy, </w:t>
      </w:r>
      <w:r w:rsidRPr="008E414E">
        <w:rPr>
          <w:rFonts w:ascii="Arial" w:hAnsi="Arial" w:cs="Arial"/>
          <w:sz w:val="20"/>
        </w:rPr>
        <w:lastRenderedPageBreak/>
        <w:t xml:space="preserve">Attachment, Fearful Arousal and Early Dysfunction of the Stress Response System” in “Young Children and Trauma”, ed. Osofsky J, NY, </w:t>
      </w:r>
      <w:smartTag w:uri="urn:schemas-microsoft-com:office:smarttags" w:element="place">
        <w:r w:rsidRPr="008E414E">
          <w:rPr>
            <w:rFonts w:ascii="Arial" w:hAnsi="Arial" w:cs="Arial"/>
            <w:sz w:val="20"/>
          </w:rPr>
          <w:t>Guildford</w:t>
        </w:r>
      </w:smartTag>
      <w:r w:rsidRPr="008E414E">
        <w:rPr>
          <w:rFonts w:ascii="Arial" w:hAnsi="Arial" w:cs="Arial"/>
          <w:sz w:val="20"/>
        </w:rPr>
        <w:t xml:space="preserve"> Press.</w:t>
      </w:r>
    </w:p>
    <w:p w14:paraId="3FB50F5A" w14:textId="77777777" w:rsidR="00022F17" w:rsidRPr="008E414E" w:rsidRDefault="00022F17" w:rsidP="00022F17">
      <w:pPr>
        <w:spacing w:before="120"/>
        <w:ind w:left="567" w:right="567"/>
        <w:jc w:val="both"/>
        <w:rPr>
          <w:rFonts w:ascii="Arial" w:hAnsi="Arial" w:cs="Arial"/>
          <w:sz w:val="20"/>
        </w:rPr>
      </w:pPr>
      <w:r w:rsidRPr="008E414E">
        <w:rPr>
          <w:rFonts w:ascii="Arial" w:hAnsi="Arial" w:cs="Arial"/>
          <w:sz w:val="20"/>
        </w:rPr>
        <w:t>Babies in the first months of life have as their primary task the development of control of their own body, and self regulatory systems.  Again, this task is facilitated by the presence of a consistent, emotionally available caregiver, who can read the baby’s psychological and emotional signals regarding hunger, tiredness, needs to play and engage and needs to rest and settle.  It is likely that being removed from their primary foster carer every day for a period of over four hours, by being taken by a worker and transported to and from their primary environment, constitutes a significant disruption or trauma in the process of establishing their own sense of self and self regulation.  It may be that this also makes them less available to develop a relationship of attachment with their parents.  It may be that the baby’s parents will be able to engage and interact with them in a more productive and fruitful way, when they are consistently cared for with the minimum of disruption to their care by their foster carer.  The babies when physiologically and emotionally contained and settled may be more available for sensitive and playful interaction with their parents, even if they have not been the primary moment to moment carers.</w:t>
      </w:r>
    </w:p>
    <w:p w14:paraId="201ACE09" w14:textId="77777777" w:rsidR="00022F17" w:rsidRDefault="00022F17" w:rsidP="00022F17">
      <w:pPr>
        <w:spacing w:before="120"/>
        <w:ind w:left="567" w:right="567"/>
        <w:jc w:val="both"/>
        <w:rPr>
          <w:rFonts w:ascii="Arial" w:hAnsi="Arial" w:cs="Arial"/>
          <w:sz w:val="20"/>
        </w:rPr>
      </w:pPr>
      <w:r w:rsidRPr="008E414E">
        <w:rPr>
          <w:rFonts w:ascii="Arial" w:hAnsi="Arial" w:cs="Arial"/>
          <w:sz w:val="20"/>
        </w:rPr>
        <w:t>In a situation such as that described above, I would recommend that the frequency of and the amount of time that the babies have been away from the primary foster carer be reviewed such that their day-to-day experience with their primary carer becomes more predictable and contained.  I believe that adequately meeting the emotional and developmental needs of infants in the first months of life is significantly important in the development of their current and later mental state.”</w:t>
      </w:r>
    </w:p>
    <w:p w14:paraId="3F5EEDAF" w14:textId="77777777" w:rsidR="00022F17" w:rsidRDefault="00022F17" w:rsidP="00022F17">
      <w:pPr>
        <w:jc w:val="both"/>
        <w:rPr>
          <w:rFonts w:ascii="Arial" w:hAnsi="Arial" w:cs="Arial"/>
          <w:sz w:val="20"/>
        </w:rPr>
      </w:pPr>
    </w:p>
    <w:p w14:paraId="37D1382E" w14:textId="77777777" w:rsidR="00022F17" w:rsidRDefault="00022F17" w:rsidP="00022F17">
      <w:pPr>
        <w:jc w:val="both"/>
        <w:rPr>
          <w:rFonts w:ascii="Arial" w:hAnsi="Arial" w:cs="Arial"/>
          <w:sz w:val="20"/>
        </w:rPr>
      </w:pPr>
      <w:r>
        <w:rPr>
          <w:rFonts w:ascii="Arial" w:hAnsi="Arial" w:cs="Arial"/>
          <w:sz w:val="20"/>
        </w:rPr>
        <w:t>When he first gave evidence about a month later – at which time the twins were 11½ weeks old - Dr P repeated the concerns he had earlier reported about disruption to the twins’ routines:</w:t>
      </w:r>
    </w:p>
    <w:p w14:paraId="7064FBD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“For young children as they are developing particularly in the first year of life the need for a stable consistent carer to provide regulation of their own environment is an important and critical thing and the scenario that was put before me [viz. </w:t>
      </w:r>
      <w:r w:rsidRPr="006679D2">
        <w:rPr>
          <w:rFonts w:ascii="Arial" w:hAnsi="Arial" w:cs="Arial"/>
          <w:color w:val="000000"/>
          <w:sz w:val="20"/>
        </w:rPr>
        <w:t>daily contact] suggested that it would not be the ideal set-up for a young child to</w:t>
      </w:r>
      <w:r>
        <w:rPr>
          <w:rFonts w:ascii="Arial" w:hAnsi="Arial" w:cs="Arial"/>
          <w:sz w:val="20"/>
        </w:rPr>
        <w:t xml:space="preserve"> have so much disruption in their day to day routine, particularly when they are already beginning life premature with additional needs to get their regulation organised.  Fifteen minutes each way from the carers to the place where the visit with their parents is going to occur and it’s difficult to organise that each day in a way that meets the psychological and routine needs of each of the boys at the same time.  So presumably there will be times when they would need to be woken, they might be hungry longer than they might otherwise have been if they were in the one constant situation.</w:t>
      </w:r>
    </w:p>
    <w:p w14:paraId="6D1F9EEF" w14:textId="77777777" w:rsidR="00022F17" w:rsidRDefault="00022F17" w:rsidP="00022F17">
      <w:pPr>
        <w:spacing w:before="120"/>
        <w:ind w:left="567" w:right="567"/>
        <w:jc w:val="both"/>
        <w:rPr>
          <w:rFonts w:ascii="Arial" w:hAnsi="Arial" w:cs="Arial"/>
          <w:sz w:val="20"/>
        </w:rPr>
      </w:pPr>
      <w:r>
        <w:rPr>
          <w:rFonts w:ascii="Arial" w:hAnsi="Arial" w:cs="Arial"/>
          <w:sz w:val="20"/>
        </w:rPr>
        <w:t>The very young infant comes into the world with a lot of skills but they are dependent upon their primary carer for things like regulation of sleep, crying, level of activity, interest in the world and the primary carer is a critical person helping the baby develop a sense of time, of things evolving from one part of the day to the next, one day to the next, because that’s not sort of built into the baby at the very beginning.  And if there are major disruptions to the baby’s daily routine and the baby’s experience of themselves and the world around them that can provide a disrupted or fractured sense of continuity in their own being, continuity in terms of what they are to expect in the next half hour, in the next two hours, how they manage their own hunger, distress, those sort of things depend on a predictability and a continuity in the care-giving environment for them.</w:t>
      </w:r>
    </w:p>
    <w:p w14:paraId="712119A7"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There is no sort of standard rule about what’s a reasonable disruption in routine that a baby can tolerate and that another baby can’t tolerate.  I think it is so much a thing that depends on the individual infant and caregiver.  But in my experience it seemed that a period of four hours every day of the week would be a significant disruption to the sense of continuity that a baby might have in an otherwise primary care situation.  So that there will be a range – from the baby’s point of view – of different people responding when they are hungry, when they are distressed, when they want to play, when they want to smile and engage, and four hours out of the day plus travelling and plus handling by the strangers that inevitably would be </w:t>
      </w:r>
      <w:r>
        <w:rPr>
          <w:rFonts w:ascii="Arial" w:hAnsi="Arial" w:cs="Arial"/>
          <w:sz w:val="20"/>
        </w:rPr>
        <w:lastRenderedPageBreak/>
        <w:t>involved in the transporting, I understand, would be enough to disrupt a baby’s sense of self and continuity at this stage…</w:t>
      </w:r>
    </w:p>
    <w:p w14:paraId="1DE20BFD" w14:textId="77777777" w:rsidR="00022F17" w:rsidRDefault="00022F17" w:rsidP="00022F17">
      <w:pPr>
        <w:spacing w:before="120"/>
        <w:ind w:left="567" w:right="567"/>
        <w:jc w:val="both"/>
        <w:rPr>
          <w:rFonts w:ascii="Arial" w:hAnsi="Arial" w:cs="Arial"/>
          <w:sz w:val="20"/>
        </w:rPr>
      </w:pPr>
      <w:r>
        <w:rPr>
          <w:rFonts w:ascii="Arial" w:hAnsi="Arial" w:cs="Arial"/>
          <w:sz w:val="20"/>
        </w:rPr>
        <w:t>I don’t know what literature there is on family care for infants in the first months of life.  I don’t think there is extensive literature, but there is quite a bit about infants who go out of home, out of family care, and certainly even at older ages you can demonstrate similar things to what I was mentioning about infants who have much more profound disruptions to their care, that there is a difference in the way their stress response works when they are cared for by a number of other people who aren’t family who are closely involved in their day to day care.  So there certainly is evidence that a prolonged period out of the care of your primary carer in the first months of life can be quite disruptive to your sense of self-organisation.  If you had a situation where there was close family communicating, working closely together and usually in the same house…would that have a serious deleterious effect on the infant’s development?  I don’t know.  I think probably not if all things were working well, but it requires a lot of coordination from the two lots of carers to really know what’s happening with the baby.”</w:t>
      </w:r>
    </w:p>
    <w:p w14:paraId="03F2A72E" w14:textId="77777777" w:rsidR="00022F17" w:rsidRDefault="00022F17" w:rsidP="00022F17">
      <w:pPr>
        <w:jc w:val="both"/>
        <w:rPr>
          <w:rFonts w:ascii="Arial" w:hAnsi="Arial" w:cs="Arial"/>
          <w:sz w:val="20"/>
        </w:rPr>
      </w:pPr>
    </w:p>
    <w:p w14:paraId="0F044104" w14:textId="77777777" w:rsidR="00022F17" w:rsidRDefault="00022F17" w:rsidP="00022F17">
      <w:pPr>
        <w:jc w:val="both"/>
        <w:rPr>
          <w:rFonts w:ascii="Arial" w:hAnsi="Arial" w:cs="Arial"/>
          <w:sz w:val="20"/>
        </w:rPr>
      </w:pPr>
      <w:r>
        <w:rPr>
          <w:rFonts w:ascii="Arial" w:hAnsi="Arial" w:cs="Arial"/>
          <w:sz w:val="20"/>
        </w:rPr>
        <w:t xml:space="preserve">At the end of a series of questions by the Court seeking to convert Dr P’s opinions about </w:t>
      </w:r>
      <w:r w:rsidRPr="006679D2">
        <w:rPr>
          <w:rFonts w:ascii="Arial" w:hAnsi="Arial" w:cs="Arial"/>
          <w:color w:val="000000"/>
          <w:sz w:val="20"/>
        </w:rPr>
        <w:t>infant development into a concrete opinion about contact frequency and duration Dr P was</w:t>
      </w:r>
      <w:r>
        <w:rPr>
          <w:rFonts w:ascii="Arial" w:hAnsi="Arial" w:cs="Arial"/>
          <w:sz w:val="20"/>
        </w:rPr>
        <w:t xml:space="preserve"> asked: “So would five days a week be appropriate?”  Dr P replied: “From first principles I would think that’s possibly – that that would be reasonable.  And then you’d test it, you’d see how that went.  If that went well, that would be good.  If the babies were more disrupted by that, then you would reconsider it.  But I’d give it a period of trial.”  Giving evidence before the writer on a later occasion Dr P appeared regretful that he had been “pinned down” to his earlier answer, noting that he had been giving evidence in a factual vacuum and that his opinion had assumed an ideal context, namely that the parents &amp; carers were attuned to the babies’ needs, that travelling was not an issue and that the babies were not being exposed to a whole heap of strangers.</w:t>
      </w:r>
    </w:p>
    <w:p w14:paraId="313EFDDC" w14:textId="77777777" w:rsidR="00022F17" w:rsidRDefault="00022F17" w:rsidP="00022F17">
      <w:pPr>
        <w:jc w:val="both"/>
        <w:rPr>
          <w:rFonts w:ascii="Arial" w:hAnsi="Arial" w:cs="Arial"/>
          <w:sz w:val="20"/>
        </w:rPr>
      </w:pPr>
    </w:p>
    <w:p w14:paraId="589DBEBB" w14:textId="77777777" w:rsidR="00022F17" w:rsidRDefault="00022F17" w:rsidP="00022F17">
      <w:pPr>
        <w:jc w:val="both"/>
        <w:rPr>
          <w:rFonts w:ascii="Arial" w:hAnsi="Arial" w:cs="Arial"/>
          <w:sz w:val="20"/>
        </w:rPr>
      </w:pPr>
      <w:r>
        <w:rPr>
          <w:rFonts w:ascii="Arial" w:hAnsi="Arial" w:cs="Arial"/>
          <w:sz w:val="20"/>
        </w:rPr>
        <w:t>When the twins were about 8 months old – Dr P had briefly observed the interactions between them and their parents and between them and their carers.  He said of this:</w:t>
      </w:r>
    </w:p>
    <w:p w14:paraId="36AAF5A9" w14:textId="77777777" w:rsidR="00022F17" w:rsidRDefault="00022F17" w:rsidP="00022F17">
      <w:pPr>
        <w:spacing w:before="120"/>
        <w:ind w:left="567" w:right="567"/>
        <w:jc w:val="both"/>
        <w:rPr>
          <w:rFonts w:ascii="Arial" w:hAnsi="Arial" w:cs="Arial"/>
          <w:sz w:val="20"/>
        </w:rPr>
      </w:pPr>
      <w:r>
        <w:rPr>
          <w:rFonts w:ascii="Arial" w:hAnsi="Arial" w:cs="Arial"/>
          <w:sz w:val="20"/>
        </w:rPr>
        <w:t>“</w:t>
      </w:r>
      <w:r w:rsidRPr="00D52F77">
        <w:rPr>
          <w:rFonts w:ascii="Arial" w:hAnsi="Arial" w:cs="Arial"/>
          <w:bCs/>
          <w:sz w:val="20"/>
        </w:rPr>
        <w:t>There are different types of attachment relationships – broadly secure and insecure – and these attachment relationships apply to a specific dyad rather than just the child in all circumstances.  I don’t have sufficient data to say whether attachment relationships between the boys and the carers and between the boys and the parents are secure or insecure.  I know there is a relationship but I don’t know the precise quality.  There is a particular set of procedures which one follows: the behaviour of the infant on reunion with the person after separation.  This is the main piece of data one uses to see the quality of attachment.  It is true to say I didn’t see with the twins – with parents or carers – evidence of a severely disordered attachment relationship.</w:t>
      </w:r>
      <w:r>
        <w:rPr>
          <w:rFonts w:ascii="Arial" w:hAnsi="Arial" w:cs="Arial"/>
          <w:bCs/>
          <w:sz w:val="20"/>
        </w:rPr>
        <w:t>”</w:t>
      </w:r>
    </w:p>
    <w:p w14:paraId="579F132F" w14:textId="77777777" w:rsidR="00022F17" w:rsidRDefault="00022F17" w:rsidP="00022F17">
      <w:pPr>
        <w:jc w:val="both"/>
        <w:rPr>
          <w:rFonts w:ascii="Arial" w:hAnsi="Arial" w:cs="Arial"/>
          <w:sz w:val="20"/>
        </w:rPr>
      </w:pPr>
    </w:p>
    <w:p w14:paraId="0CAFD429"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Giving evidence when the twins were 9½ months old, Dr P was advocating a much less frequent contact regime if the plan was for non-reunification.  However, he also believed that it would be of benefit to each of the twins and their parents if contact was restructured “to provide </w:t>
      </w:r>
      <w:r w:rsidRPr="006679D2">
        <w:rPr>
          <w:rFonts w:ascii="Arial" w:hAnsi="Arial" w:cs="Arial"/>
          <w:b/>
          <w:color w:val="000000"/>
          <w:sz w:val="20"/>
          <w:u w:val="single"/>
        </w:rPr>
        <w:t>less frequent but longer periods of contact</w:t>
      </w:r>
      <w:r w:rsidRPr="006679D2">
        <w:rPr>
          <w:rFonts w:ascii="Arial" w:hAnsi="Arial" w:cs="Arial"/>
          <w:color w:val="000000"/>
          <w:sz w:val="20"/>
        </w:rPr>
        <w:t xml:space="preserve"> for [the twins] in an environment which is as much like a family setting as is possible.  A longer period of visiting would allow for the experience to be more positive and less disruptive for each of [the twins] and their parents.” [emphasis added]  Asked about the optimal duration of each of these longer contact visits Dr P said:</w:t>
      </w:r>
    </w:p>
    <w:p w14:paraId="506AD374" w14:textId="77777777" w:rsidR="00022F17" w:rsidRDefault="00022F17" w:rsidP="00022F17">
      <w:pPr>
        <w:spacing w:before="120"/>
        <w:ind w:left="567" w:right="567"/>
        <w:jc w:val="both"/>
        <w:rPr>
          <w:rFonts w:ascii="Arial" w:hAnsi="Arial" w:cs="Arial"/>
          <w:bCs/>
          <w:sz w:val="20"/>
        </w:rPr>
      </w:pPr>
      <w:r>
        <w:rPr>
          <w:rFonts w:ascii="Arial" w:hAnsi="Arial" w:cs="Arial"/>
          <w:sz w:val="20"/>
        </w:rPr>
        <w:t>“</w:t>
      </w:r>
      <w:r w:rsidRPr="00EC3E56">
        <w:rPr>
          <w:rFonts w:ascii="Arial" w:hAnsi="Arial" w:cs="Arial"/>
          <w:bCs/>
          <w:sz w:val="20"/>
        </w:rPr>
        <w:t xml:space="preserve">It is a difficult question to answer in that there is not a lot of research in this area but my premise in making that point is for the parents to be actively engaged in the care of their infants and not just briefly visiting them for a period of 1 hour.  The babies and parents would get to know each other better if it was a longer period: feeding, settling, responding to the infants’ distress, things like changing nappies and feeding.  </w:t>
      </w:r>
      <w:r w:rsidRPr="00EC3E56">
        <w:rPr>
          <w:rFonts w:ascii="Arial" w:hAnsi="Arial" w:cs="Arial"/>
          <w:bCs/>
          <w:sz w:val="20"/>
          <w:u w:val="single"/>
        </w:rPr>
        <w:t>My estimate is that 3 hours would be a reasonable period in the course of an infant’s day where some of those things could be attended to</w:t>
      </w:r>
      <w:r w:rsidRPr="00EC3E56">
        <w:rPr>
          <w:rFonts w:ascii="Arial" w:hAnsi="Arial" w:cs="Arial"/>
          <w:bCs/>
          <w:sz w:val="20"/>
        </w:rPr>
        <w:t xml:space="preserve">.  It is likely to be a better experience than a briefer period of about 1 hour.  In the Infant Mental Health literature we talk of the importance of ‘good enough parenting’ which means in episodes of ordinary disruption to the infant’s state - e.g. crying, being unsettled, being hungry, toddler crawling around who falls over and hurts himself - the parent responds and settles the toddler or </w:t>
      </w:r>
      <w:r>
        <w:rPr>
          <w:rFonts w:ascii="Arial" w:hAnsi="Arial" w:cs="Arial"/>
          <w:bCs/>
          <w:sz w:val="20"/>
        </w:rPr>
        <w:t>[twin 1]</w:t>
      </w:r>
      <w:r w:rsidRPr="00EC3E56">
        <w:rPr>
          <w:rFonts w:ascii="Arial" w:hAnsi="Arial" w:cs="Arial"/>
          <w:bCs/>
          <w:sz w:val="20"/>
        </w:rPr>
        <w:t xml:space="preserve"> crawls over </w:t>
      </w:r>
      <w:r>
        <w:rPr>
          <w:rFonts w:ascii="Arial" w:hAnsi="Arial" w:cs="Arial"/>
          <w:bCs/>
          <w:sz w:val="20"/>
        </w:rPr>
        <w:t>[twin 2]</w:t>
      </w:r>
      <w:r w:rsidRPr="00EC3E56">
        <w:rPr>
          <w:rFonts w:ascii="Arial" w:hAnsi="Arial" w:cs="Arial"/>
          <w:bCs/>
          <w:sz w:val="20"/>
        </w:rPr>
        <w:t xml:space="preserve"> and </w:t>
      </w:r>
      <w:r w:rsidRPr="00EC3E56">
        <w:rPr>
          <w:rFonts w:ascii="Arial" w:hAnsi="Arial" w:cs="Arial"/>
          <w:bCs/>
          <w:sz w:val="20"/>
        </w:rPr>
        <w:lastRenderedPageBreak/>
        <w:t xml:space="preserve">scratches him and </w:t>
      </w:r>
      <w:r>
        <w:rPr>
          <w:rFonts w:ascii="Arial" w:hAnsi="Arial" w:cs="Arial"/>
          <w:bCs/>
          <w:sz w:val="20"/>
        </w:rPr>
        <w:t>[twin 2]</w:t>
      </w:r>
      <w:r w:rsidRPr="00EC3E56">
        <w:rPr>
          <w:rFonts w:ascii="Arial" w:hAnsi="Arial" w:cs="Arial"/>
          <w:bCs/>
          <w:sz w:val="20"/>
        </w:rPr>
        <w:t xml:space="preserve"> is upset and the parents step in to provide some sense of repair and containment.  The repair of those periods of distress is as important in developing a relationship as the time when things are going well</w:t>
      </w:r>
      <w:r>
        <w:rPr>
          <w:rFonts w:ascii="Arial" w:hAnsi="Arial" w:cs="Arial"/>
          <w:bCs/>
          <w:sz w:val="20"/>
        </w:rPr>
        <w:t>…</w:t>
      </w:r>
    </w:p>
    <w:p w14:paraId="2D3EE993" w14:textId="77777777" w:rsidR="00022F17" w:rsidRDefault="00022F17" w:rsidP="00022F17">
      <w:pPr>
        <w:spacing w:before="120"/>
        <w:ind w:left="567" w:right="567"/>
        <w:jc w:val="both"/>
        <w:rPr>
          <w:rFonts w:ascii="Arial" w:hAnsi="Arial" w:cs="Arial"/>
          <w:bCs/>
          <w:sz w:val="20"/>
        </w:rPr>
      </w:pPr>
      <w:r w:rsidRPr="009F5EE8">
        <w:rPr>
          <w:rFonts w:ascii="Arial" w:hAnsi="Arial" w:cs="Arial"/>
          <w:bCs/>
          <w:sz w:val="20"/>
        </w:rPr>
        <w:t>I don’t have incontrovertible evidence about optimal arrangements in any particular situation but looking at it in the longer term I’d have thought twice per week has the potential to be disruptive for the 18 months</w:t>
      </w:r>
      <w:r>
        <w:rPr>
          <w:rFonts w:ascii="Arial" w:hAnsi="Arial" w:cs="Arial"/>
          <w:bCs/>
          <w:sz w:val="20"/>
        </w:rPr>
        <w:t>’</w:t>
      </w:r>
      <w:r w:rsidRPr="009F5EE8">
        <w:rPr>
          <w:rFonts w:ascii="Arial" w:hAnsi="Arial" w:cs="Arial"/>
          <w:bCs/>
          <w:sz w:val="20"/>
        </w:rPr>
        <w:t>, 2-3 year olds</w:t>
      </w:r>
      <w:r>
        <w:rPr>
          <w:rFonts w:ascii="Arial" w:hAnsi="Arial" w:cs="Arial"/>
          <w:bCs/>
          <w:sz w:val="20"/>
        </w:rPr>
        <w:t>’</w:t>
      </w:r>
      <w:r w:rsidRPr="009F5EE8">
        <w:rPr>
          <w:rFonts w:ascii="Arial" w:hAnsi="Arial" w:cs="Arial"/>
          <w:bCs/>
          <w:sz w:val="20"/>
        </w:rPr>
        <w:t xml:space="preserve"> routine more so than once per fortnight and also has the potential to lead to confusion about where the primary caregiving response would come from, which is not to say that the child won’t have a clear set of attachment relationships with the carers and the parents as well</w:t>
      </w:r>
      <w:r>
        <w:rPr>
          <w:rFonts w:ascii="Arial" w:hAnsi="Arial" w:cs="Arial"/>
          <w:bCs/>
          <w:sz w:val="20"/>
        </w:rPr>
        <w:t xml:space="preserve">…Each child is </w:t>
      </w:r>
      <w:r w:rsidRPr="009F5EE8">
        <w:rPr>
          <w:rFonts w:ascii="Arial" w:hAnsi="Arial" w:cs="Arial"/>
          <w:bCs/>
          <w:sz w:val="20"/>
        </w:rPr>
        <w:t>different but I imagine from the perspective of the 18 months to 2 year old they would ask themselves ‘</w:t>
      </w:r>
      <w:r w:rsidRPr="009F5EE8">
        <w:rPr>
          <w:rFonts w:ascii="Arial" w:hAnsi="Arial" w:cs="Arial"/>
          <w:bCs/>
          <w:i/>
          <w:sz w:val="20"/>
        </w:rPr>
        <w:t>Who are my parents? Who are the primary persons responsible for me?  Why am I not with them?  Why am I with fostercarers?</w:t>
      </w:r>
      <w:r w:rsidRPr="009F5EE8">
        <w:rPr>
          <w:rFonts w:ascii="Arial" w:hAnsi="Arial" w:cs="Arial"/>
          <w:bCs/>
          <w:sz w:val="20"/>
        </w:rPr>
        <w:t>’  As a child gets more cognitively developed, the more likely the child is to ask.</w:t>
      </w:r>
      <w:r>
        <w:rPr>
          <w:rFonts w:ascii="Arial" w:hAnsi="Arial" w:cs="Arial"/>
          <w:bCs/>
          <w:sz w:val="20"/>
        </w:rPr>
        <w:t>”</w:t>
      </w:r>
    </w:p>
    <w:p w14:paraId="61937D79" w14:textId="77777777" w:rsidR="00022F17" w:rsidRPr="00C53366" w:rsidRDefault="00022F17" w:rsidP="00022F17">
      <w:pPr>
        <w:jc w:val="both"/>
        <w:rPr>
          <w:rFonts w:ascii="Arial" w:hAnsi="Arial" w:cs="Arial"/>
          <w:sz w:val="16"/>
        </w:rPr>
      </w:pPr>
    </w:p>
    <w:p w14:paraId="72417953" w14:textId="77777777" w:rsidR="00022F17" w:rsidRDefault="00022F17" w:rsidP="00022F17">
      <w:pPr>
        <w:jc w:val="both"/>
        <w:rPr>
          <w:rFonts w:ascii="Arial" w:hAnsi="Arial" w:cs="Arial"/>
          <w:sz w:val="20"/>
        </w:rPr>
      </w:pPr>
      <w:r>
        <w:rPr>
          <w:rFonts w:ascii="Arial" w:hAnsi="Arial" w:cs="Arial"/>
          <w:sz w:val="20"/>
        </w:rPr>
        <w:t>However Dr P made it clear that in recommending 3 hours per fortnight – which he subsequently changed to 3-4 hours per fortnight - he was giving significant weight to the adverse history of the parents in this particular case.  Hypothetically - in relation to children generally - he would have been looking at 3-4 hours per week.</w:t>
      </w:r>
    </w:p>
    <w:p w14:paraId="54D85458" w14:textId="77777777" w:rsidR="00022F17" w:rsidRPr="00C53366" w:rsidRDefault="00022F17" w:rsidP="00022F17">
      <w:pPr>
        <w:jc w:val="both"/>
        <w:rPr>
          <w:rFonts w:ascii="Arial" w:hAnsi="Arial" w:cs="Arial"/>
          <w:sz w:val="18"/>
        </w:rPr>
      </w:pPr>
    </w:p>
    <w:p w14:paraId="0A28A317" w14:textId="77777777" w:rsidR="00022F17" w:rsidRDefault="00022F17" w:rsidP="00022F17">
      <w:pPr>
        <w:jc w:val="both"/>
        <w:rPr>
          <w:rFonts w:ascii="Arial" w:hAnsi="Arial" w:cs="Arial"/>
          <w:sz w:val="20"/>
        </w:rPr>
      </w:pPr>
      <w:r w:rsidRPr="006679D2">
        <w:rPr>
          <w:rFonts w:ascii="Arial" w:hAnsi="Arial" w:cs="Arial"/>
          <w:color w:val="000000"/>
          <w:sz w:val="20"/>
        </w:rPr>
        <w:t>Dr P also pointed out the importance of considering the impact of any contact regime on the</w:t>
      </w:r>
      <w:r>
        <w:rPr>
          <w:rFonts w:ascii="Arial" w:hAnsi="Arial" w:cs="Arial"/>
          <w:sz w:val="20"/>
        </w:rPr>
        <w:t xml:space="preserve"> children, the parents and the caregivers:</w:t>
      </w:r>
    </w:p>
    <w:p w14:paraId="54056B24" w14:textId="77777777" w:rsidR="00022F17" w:rsidRDefault="00022F17" w:rsidP="00022F17">
      <w:pPr>
        <w:spacing w:before="120"/>
        <w:ind w:left="567" w:right="567"/>
        <w:jc w:val="both"/>
        <w:rPr>
          <w:rFonts w:ascii="Arial" w:hAnsi="Arial" w:cs="Arial"/>
          <w:bCs/>
          <w:sz w:val="20"/>
          <w:szCs w:val="20"/>
        </w:rPr>
      </w:pPr>
      <w:r>
        <w:rPr>
          <w:rFonts w:ascii="Arial" w:hAnsi="Arial" w:cs="Arial"/>
          <w:bCs/>
          <w:sz w:val="20"/>
        </w:rPr>
        <w:t>“</w:t>
      </w:r>
      <w:r w:rsidRPr="004B5056">
        <w:rPr>
          <w:rFonts w:ascii="Arial" w:hAnsi="Arial" w:cs="Arial"/>
          <w:bCs/>
          <w:sz w:val="20"/>
          <w:szCs w:val="20"/>
        </w:rPr>
        <w:t>I think one of the likely impacts</w:t>
      </w:r>
      <w:r>
        <w:rPr>
          <w:rFonts w:ascii="Arial" w:hAnsi="Arial" w:cs="Arial"/>
          <w:bCs/>
          <w:sz w:val="20"/>
          <w:szCs w:val="20"/>
        </w:rPr>
        <w:t>,</w:t>
      </w:r>
      <w:r w:rsidRPr="004B5056">
        <w:rPr>
          <w:rFonts w:ascii="Arial" w:hAnsi="Arial" w:cs="Arial"/>
          <w:bCs/>
          <w:sz w:val="20"/>
          <w:szCs w:val="20"/>
        </w:rPr>
        <w:t xml:space="preserve"> for example</w:t>
      </w:r>
      <w:r>
        <w:rPr>
          <w:rFonts w:ascii="Arial" w:hAnsi="Arial" w:cs="Arial"/>
          <w:bCs/>
          <w:sz w:val="20"/>
          <w:szCs w:val="20"/>
        </w:rPr>
        <w:t>,</w:t>
      </w:r>
      <w:r w:rsidRPr="004B5056">
        <w:rPr>
          <w:rFonts w:ascii="Arial" w:hAnsi="Arial" w:cs="Arial"/>
          <w:bCs/>
          <w:sz w:val="20"/>
          <w:szCs w:val="20"/>
        </w:rPr>
        <w:t xml:space="preserve"> of an increased frequency of access, where it is reduced and then increased again, is to build up an expectation for both parents and children this is going to lead to parents resuming full care and custody of children.  If that were the decision, that</w:t>
      </w:r>
      <w:r>
        <w:rPr>
          <w:rFonts w:ascii="Arial" w:hAnsi="Arial" w:cs="Arial"/>
          <w:bCs/>
          <w:sz w:val="20"/>
          <w:szCs w:val="20"/>
        </w:rPr>
        <w:t xml:space="preserve"> i</w:t>
      </w:r>
      <w:r w:rsidRPr="004B5056">
        <w:rPr>
          <w:rFonts w:ascii="Arial" w:hAnsi="Arial" w:cs="Arial"/>
          <w:bCs/>
          <w:sz w:val="20"/>
          <w:szCs w:val="20"/>
        </w:rPr>
        <w:t xml:space="preserve">s how one would approach </w:t>
      </w:r>
      <w:r>
        <w:rPr>
          <w:rFonts w:ascii="Arial" w:hAnsi="Arial" w:cs="Arial"/>
          <w:bCs/>
          <w:sz w:val="20"/>
          <w:szCs w:val="20"/>
        </w:rPr>
        <w:t xml:space="preserve">the </w:t>
      </w:r>
      <w:r w:rsidRPr="004B5056">
        <w:rPr>
          <w:rFonts w:ascii="Arial" w:hAnsi="Arial" w:cs="Arial"/>
          <w:bCs/>
          <w:sz w:val="20"/>
          <w:szCs w:val="20"/>
        </w:rPr>
        <w:t>frequency of contact.  Conversely if there is to be no reunification it is unfair to each of the parties – parents and children – to maintain access at that sort of level</w:t>
      </w:r>
      <w:r>
        <w:rPr>
          <w:rFonts w:ascii="Arial" w:hAnsi="Arial" w:cs="Arial"/>
          <w:bCs/>
          <w:sz w:val="20"/>
          <w:szCs w:val="20"/>
        </w:rPr>
        <w:t>…</w:t>
      </w:r>
    </w:p>
    <w:p w14:paraId="6EEC3059" w14:textId="77777777" w:rsidR="00022F17" w:rsidRDefault="00022F17" w:rsidP="00022F17">
      <w:pPr>
        <w:spacing w:before="120"/>
        <w:ind w:left="567" w:right="567"/>
        <w:jc w:val="both"/>
        <w:rPr>
          <w:rFonts w:ascii="Arial" w:hAnsi="Arial" w:cs="Arial"/>
          <w:bCs/>
          <w:sz w:val="20"/>
        </w:rPr>
      </w:pPr>
      <w:r>
        <w:rPr>
          <w:rFonts w:ascii="Arial" w:hAnsi="Arial" w:cs="Arial"/>
          <w:sz w:val="20"/>
          <w:szCs w:val="20"/>
        </w:rPr>
        <w:t xml:space="preserve">[Another factor] </w:t>
      </w:r>
      <w:r w:rsidRPr="004B5056">
        <w:rPr>
          <w:rFonts w:ascii="Arial" w:hAnsi="Arial" w:cs="Arial"/>
          <w:sz w:val="20"/>
          <w:szCs w:val="20"/>
        </w:rPr>
        <w:t xml:space="preserve">is </w:t>
      </w:r>
      <w:r>
        <w:rPr>
          <w:rFonts w:ascii="Arial" w:hAnsi="Arial" w:cs="Arial"/>
          <w:sz w:val="20"/>
          <w:szCs w:val="20"/>
        </w:rPr>
        <w:t xml:space="preserve">the </w:t>
      </w:r>
      <w:r w:rsidRPr="004B5056">
        <w:rPr>
          <w:rFonts w:ascii="Arial" w:hAnsi="Arial" w:cs="Arial"/>
          <w:sz w:val="20"/>
          <w:szCs w:val="20"/>
        </w:rPr>
        <w:t>impact on foster carers</w:t>
      </w:r>
      <w:r>
        <w:rPr>
          <w:rFonts w:ascii="Arial" w:hAnsi="Arial" w:cs="Arial"/>
          <w:sz w:val="20"/>
          <w:szCs w:val="20"/>
        </w:rPr>
        <w:t>...</w:t>
      </w:r>
      <w:r w:rsidRPr="004B5056">
        <w:rPr>
          <w:rFonts w:ascii="Arial" w:hAnsi="Arial" w:cs="Arial"/>
          <w:sz w:val="20"/>
          <w:szCs w:val="20"/>
        </w:rPr>
        <w:t>, their feeling of continuity and stability as well.  For an infant to have a foster carer who feels no predictability from one day to the next is unfortunate for the child as well.  That’s another component to build into the process of deciding what is an optimal arrangement for a particular child.  If the child is operating from a sense of secure emotional base and out of the care of their own parents, I think that gives them a stronger position to develop a fruitful relationship with their own parents than if they are in a situation where they are feeling insecure and anxious.  If it is possible to provide some sense of consistency and predictability about a child’s longer term care arrangements then that’s in the interests of the child as well.</w:t>
      </w:r>
      <w:r>
        <w:rPr>
          <w:rFonts w:ascii="Arial" w:hAnsi="Arial" w:cs="Arial"/>
          <w:sz w:val="20"/>
          <w:szCs w:val="20"/>
        </w:rPr>
        <w:t>”</w:t>
      </w:r>
    </w:p>
    <w:p w14:paraId="7607B23A" w14:textId="77777777" w:rsidR="00022F17" w:rsidRPr="00C53366" w:rsidRDefault="00022F17" w:rsidP="00022F17">
      <w:pPr>
        <w:jc w:val="both"/>
        <w:rPr>
          <w:rFonts w:ascii="Arial" w:hAnsi="Arial" w:cs="Arial"/>
          <w:sz w:val="18"/>
        </w:rPr>
      </w:pPr>
    </w:p>
    <w:p w14:paraId="204D4A7E"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 xml:space="preserve">By contrast, Dr W did not see any particular reason to change the </w:t>
      </w:r>
      <w:r w:rsidRPr="006679D2">
        <w:rPr>
          <w:rFonts w:ascii="Arial" w:hAnsi="Arial" w:cs="Arial"/>
          <w:i/>
          <w:color w:val="000000"/>
          <w:sz w:val="20"/>
        </w:rPr>
        <w:t>status quo</w:t>
      </w:r>
      <w:r w:rsidRPr="006679D2">
        <w:rPr>
          <w:rFonts w:ascii="Arial" w:hAnsi="Arial" w:cs="Arial"/>
          <w:color w:val="000000"/>
          <w:sz w:val="20"/>
        </w:rPr>
        <w:t xml:space="preserve"> for contact between the twins and their parents.  Ultimately </w:t>
      </w:r>
      <w:r>
        <w:rPr>
          <w:rFonts w:ascii="Arial" w:hAnsi="Arial" w:cs="Arial"/>
          <w:color w:val="000000"/>
          <w:sz w:val="20"/>
        </w:rPr>
        <w:t>–</w:t>
      </w:r>
      <w:r w:rsidRPr="006679D2">
        <w:rPr>
          <w:rFonts w:ascii="Arial" w:hAnsi="Arial" w:cs="Arial"/>
          <w:color w:val="000000"/>
          <w:sz w:val="20"/>
        </w:rPr>
        <w:t xml:space="preserve"> balancing</w:t>
      </w:r>
      <w:r>
        <w:rPr>
          <w:rFonts w:ascii="Arial" w:hAnsi="Arial" w:cs="Arial"/>
          <w:color w:val="000000"/>
          <w:sz w:val="20"/>
        </w:rPr>
        <w:t xml:space="preserve"> </w:t>
      </w:r>
      <w:r w:rsidRPr="006679D2">
        <w:rPr>
          <w:rFonts w:ascii="Arial" w:hAnsi="Arial" w:cs="Arial"/>
          <w:color w:val="000000"/>
          <w:sz w:val="20"/>
        </w:rPr>
        <w:t xml:space="preserve">the large amount of evidence elicited in the case </w:t>
      </w:r>
      <w:r>
        <w:rPr>
          <w:rFonts w:ascii="Arial" w:hAnsi="Arial" w:cs="Arial"/>
          <w:color w:val="000000"/>
          <w:sz w:val="20"/>
        </w:rPr>
        <w:t>–</w:t>
      </w:r>
      <w:r w:rsidRPr="006679D2">
        <w:rPr>
          <w:rFonts w:ascii="Arial" w:hAnsi="Arial" w:cs="Arial"/>
          <w:color w:val="000000"/>
          <w:sz w:val="20"/>
        </w:rPr>
        <w:t xml:space="preserve"> the</w:t>
      </w:r>
      <w:r>
        <w:rPr>
          <w:rFonts w:ascii="Arial" w:hAnsi="Arial" w:cs="Arial"/>
          <w:color w:val="000000"/>
          <w:sz w:val="20"/>
        </w:rPr>
        <w:t xml:space="preserve"> </w:t>
      </w:r>
      <w:r w:rsidRPr="006679D2">
        <w:rPr>
          <w:rFonts w:ascii="Arial" w:hAnsi="Arial" w:cs="Arial"/>
          <w:color w:val="000000"/>
          <w:sz w:val="20"/>
        </w:rPr>
        <w:t>writer ordered that each parent have supervised contact with the twins once per week for a minimum of 3 hours.  He also set a condition providing for increased contact for the mother after 4 months if the mother demonstrated a commitment to live separately and apart from the father.</w:t>
      </w:r>
    </w:p>
    <w:p w14:paraId="502F7B25" w14:textId="77777777" w:rsidR="00022F17" w:rsidRPr="006679D2" w:rsidRDefault="00022F17" w:rsidP="00022F17">
      <w:pPr>
        <w:jc w:val="both"/>
        <w:rPr>
          <w:rFonts w:ascii="Arial" w:hAnsi="Arial" w:cs="Arial"/>
          <w:color w:val="000000"/>
          <w:sz w:val="18"/>
        </w:rPr>
      </w:pPr>
    </w:p>
    <w:p w14:paraId="48941D32" w14:textId="77777777" w:rsidR="00022F17" w:rsidRPr="006679D2" w:rsidRDefault="00022F17" w:rsidP="00022F17">
      <w:pPr>
        <w:jc w:val="both"/>
        <w:rPr>
          <w:rFonts w:ascii="Arial" w:hAnsi="Arial" w:cs="Arial"/>
          <w:color w:val="000000"/>
          <w:sz w:val="20"/>
        </w:rPr>
      </w:pPr>
      <w:r w:rsidRPr="006679D2">
        <w:rPr>
          <w:rFonts w:ascii="Arial" w:hAnsi="Arial" w:cs="Arial"/>
          <w:color w:val="000000"/>
          <w:sz w:val="20"/>
        </w:rPr>
        <w:t>Notwithstanding Dr M’s opinion that there has been much greater precision on the issue of optimal contact frequency in the last 5</w:t>
      </w:r>
      <w:r w:rsidRPr="006679D2">
        <w:rPr>
          <w:rFonts w:ascii="Arial" w:hAnsi="Arial" w:cs="Arial"/>
          <w:color w:val="000000"/>
          <w:sz w:val="20"/>
        </w:rPr>
        <w:noBreakHyphen/>
        <w:t>7 years, the writer believes that contact frequency remains a very inexact science.  For example, Dr M was advocating contact once per week at the same time as Dr P was advocating 5 times per week.  To her credit Dr M smilingly conceded that Dr P “would have advocated more” than she did, a clear acknowledgment of the subjective nature of their respective opinions.  Dr P conceded that “in some scenarios 7 days would be right, in others 1 day would be right.”  He also acknowledged the lack of research in this area and often prefaced his answers with a comment that it was a difficult question to answer.  For example, in answer to the question “Joint parental access for how many hours per week in the initial stages?” Dr P replied:</w:t>
      </w:r>
    </w:p>
    <w:p w14:paraId="7530F06F" w14:textId="77777777" w:rsidR="00022F17" w:rsidRDefault="00022F17" w:rsidP="00022F17">
      <w:pPr>
        <w:spacing w:before="120"/>
        <w:ind w:left="567" w:right="567"/>
        <w:jc w:val="both"/>
        <w:rPr>
          <w:rFonts w:ascii="Arial" w:hAnsi="Arial" w:cs="Arial"/>
          <w:sz w:val="20"/>
        </w:rPr>
      </w:pPr>
      <w:r>
        <w:rPr>
          <w:rFonts w:ascii="Arial" w:hAnsi="Arial" w:cs="Arial"/>
          <w:sz w:val="20"/>
        </w:rPr>
        <w:t xml:space="preserve">“You are pushing me to specifics.  It’s a hard question.  We have a group putting forward a research proposal to see what works best for children of particular developmental ages because the scientific literature is fairly silent.  What is best </w:t>
      </w:r>
      <w:r>
        <w:rPr>
          <w:rFonts w:ascii="Arial" w:hAnsi="Arial" w:cs="Arial"/>
          <w:sz w:val="20"/>
        </w:rPr>
        <w:lastRenderedPageBreak/>
        <w:t>for the children is not well supported by facts.  I’d be going from first principles in working with very young children and families.”</w:t>
      </w:r>
    </w:p>
    <w:p w14:paraId="3E8FF2EC" w14:textId="77777777" w:rsidR="007C5954" w:rsidRPr="00247F8B" w:rsidRDefault="007C5954" w:rsidP="007C5954">
      <w:pPr>
        <w:rPr>
          <w:rFonts w:ascii="Arial" w:hAnsi="Arial" w:cs="Arial"/>
          <w:sz w:val="20"/>
        </w:rPr>
      </w:pPr>
    </w:p>
    <w:p w14:paraId="33671416" w14:textId="62EED5E3" w:rsidR="007C5954" w:rsidRPr="00CA2663" w:rsidRDefault="007C5954" w:rsidP="007C5954">
      <w:pPr>
        <w:pStyle w:val="Heading3"/>
        <w:keepNext/>
        <w:keepLines/>
        <w:spacing w:after="120" w:line="240" w:lineRule="auto"/>
        <w:rPr>
          <w:rFonts w:ascii="Arial" w:hAnsi="Arial" w:cs="Arial"/>
          <w:sz w:val="20"/>
          <w:lang w:val="en-US"/>
        </w:rPr>
      </w:pPr>
      <w:bookmarkStart w:id="1621" w:name="_4.14.3__American"/>
      <w:bookmarkStart w:id="1622" w:name="B4143"/>
      <w:bookmarkEnd w:id="1621"/>
      <w:bookmarkEnd w:id="1622"/>
      <w:r>
        <w:rPr>
          <w:rFonts w:ascii="Arial" w:hAnsi="Arial" w:cs="Arial"/>
          <w:b/>
          <w:bCs/>
          <w:sz w:val="20"/>
        </w:rPr>
        <w:t>4.14.</w:t>
      </w:r>
      <w:r w:rsidR="009B4939">
        <w:rPr>
          <w:rFonts w:ascii="Arial" w:hAnsi="Arial" w:cs="Arial"/>
          <w:b/>
          <w:bCs/>
          <w:sz w:val="20"/>
        </w:rPr>
        <w:t>2</w:t>
      </w:r>
      <w:r>
        <w:rPr>
          <w:rFonts w:ascii="Arial" w:hAnsi="Arial" w:cs="Arial"/>
          <w:b/>
          <w:bCs/>
          <w:sz w:val="20"/>
        </w:rPr>
        <w:tab/>
        <w:t>American judicial guidelines 2009</w:t>
      </w:r>
    </w:p>
    <w:p w14:paraId="77A48041" w14:textId="6ADDCD0C" w:rsidR="009B4939" w:rsidRDefault="007C5954" w:rsidP="007C5954">
      <w:pPr>
        <w:jc w:val="both"/>
        <w:rPr>
          <w:rFonts w:ascii="Arial" w:hAnsi="Arial" w:cs="Arial"/>
          <w:color w:val="000000"/>
          <w:sz w:val="20"/>
        </w:rPr>
      </w:pPr>
      <w:r>
        <w:rPr>
          <w:rFonts w:ascii="Arial" w:hAnsi="Arial" w:cs="Arial"/>
          <w:sz w:val="20"/>
        </w:rPr>
        <w:t xml:space="preserve">It is clear from the quite diverse expert opinions expressed in the above extracts from </w:t>
      </w:r>
      <w:r>
        <w:rPr>
          <w:rFonts w:ascii="Arial" w:hAnsi="Arial" w:cs="Arial"/>
          <w:i/>
          <w:sz w:val="20"/>
        </w:rPr>
        <w:t xml:space="preserve">DOHS </w:t>
      </w:r>
      <w:r w:rsidRPr="006679D2">
        <w:rPr>
          <w:rFonts w:ascii="Arial" w:hAnsi="Arial" w:cs="Arial"/>
          <w:i/>
          <w:color w:val="000000"/>
          <w:sz w:val="20"/>
        </w:rPr>
        <w:t>v Ms B &amp; Mr G</w:t>
      </w:r>
      <w:r w:rsidRPr="006679D2">
        <w:rPr>
          <w:rFonts w:ascii="Arial" w:hAnsi="Arial" w:cs="Arial"/>
          <w:color w:val="000000"/>
          <w:sz w:val="20"/>
        </w:rPr>
        <w:t xml:space="preserve"> [2008] VChC 1 that there </w:t>
      </w:r>
      <w:r w:rsidR="00F1079D">
        <w:rPr>
          <w:rFonts w:ascii="Arial" w:hAnsi="Arial" w:cs="Arial"/>
          <w:color w:val="000000"/>
          <w:sz w:val="20"/>
        </w:rPr>
        <w:t>wa</w:t>
      </w:r>
      <w:r w:rsidRPr="006679D2">
        <w:rPr>
          <w:rFonts w:ascii="Arial" w:hAnsi="Arial" w:cs="Arial"/>
          <w:color w:val="000000"/>
          <w:sz w:val="20"/>
        </w:rPr>
        <w:t xml:space="preserve">s no clear unanimity of expert view in Victoria </w:t>
      </w:r>
      <w:r w:rsidR="00F1079D">
        <w:rPr>
          <w:rFonts w:ascii="Arial" w:hAnsi="Arial" w:cs="Arial"/>
          <w:color w:val="000000"/>
          <w:sz w:val="20"/>
        </w:rPr>
        <w:t xml:space="preserve">in 2008 </w:t>
      </w:r>
      <w:r w:rsidRPr="006679D2">
        <w:rPr>
          <w:rFonts w:ascii="Arial" w:hAnsi="Arial" w:cs="Arial"/>
          <w:color w:val="000000"/>
          <w:sz w:val="20"/>
        </w:rPr>
        <w:t xml:space="preserve">about the optimal frequency of contact between an infant and </w:t>
      </w:r>
      <w:r w:rsidR="009B4939">
        <w:rPr>
          <w:rFonts w:ascii="Arial" w:hAnsi="Arial" w:cs="Arial"/>
          <w:color w:val="000000"/>
          <w:sz w:val="20"/>
        </w:rPr>
        <w:t>the</w:t>
      </w:r>
      <w:r w:rsidRPr="006679D2">
        <w:rPr>
          <w:rFonts w:ascii="Arial" w:hAnsi="Arial" w:cs="Arial"/>
          <w:color w:val="000000"/>
          <w:sz w:val="20"/>
        </w:rPr>
        <w:t xml:space="preserve"> non-custodial parents.  </w:t>
      </w:r>
      <w:r w:rsidR="00022F17">
        <w:rPr>
          <w:rFonts w:ascii="Arial" w:hAnsi="Arial" w:cs="Arial"/>
          <w:color w:val="000000"/>
          <w:sz w:val="20"/>
        </w:rPr>
        <w:t xml:space="preserve">In stark contrast, a </w:t>
      </w:r>
      <w:r w:rsidRPr="006679D2">
        <w:rPr>
          <w:rFonts w:ascii="Arial" w:hAnsi="Arial" w:cs="Arial"/>
          <w:color w:val="000000"/>
          <w:sz w:val="20"/>
        </w:rPr>
        <w:t>team of six professionals drawn from</w:t>
      </w:r>
      <w:r w:rsidR="006F6E4C" w:rsidRPr="009B4939">
        <w:rPr>
          <w:rFonts w:ascii="Arial" w:hAnsi="Arial" w:cs="Arial"/>
          <w:color w:val="000000"/>
          <w:sz w:val="20"/>
        </w:rPr>
        <w:t>–</w:t>
      </w:r>
    </w:p>
    <w:p w14:paraId="278EB704" w14:textId="290FDBC9" w:rsidR="009B4939" w:rsidRP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American Bar Association Center on Children and the Law</w:t>
      </w:r>
      <w:r w:rsidR="009B4939" w:rsidRPr="009B4939">
        <w:rPr>
          <w:rFonts w:ascii="Arial" w:hAnsi="Arial" w:cs="Arial"/>
          <w:color w:val="000000"/>
          <w:sz w:val="20"/>
        </w:rPr>
        <w:t>;</w:t>
      </w:r>
    </w:p>
    <w:p w14:paraId="603A5C10" w14:textId="77777777"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National Council of Juvenile and Family Court Judges</w:t>
      </w:r>
      <w:r w:rsidR="009B4939">
        <w:rPr>
          <w:rFonts w:ascii="Arial" w:hAnsi="Arial" w:cs="Arial"/>
          <w:color w:val="000000"/>
          <w:sz w:val="20"/>
        </w:rPr>
        <w:t>;</w:t>
      </w:r>
      <w:r w:rsidRPr="009B4939">
        <w:rPr>
          <w:rFonts w:ascii="Arial" w:hAnsi="Arial" w:cs="Arial"/>
          <w:color w:val="000000"/>
          <w:sz w:val="20"/>
        </w:rPr>
        <w:t xml:space="preserve"> and</w:t>
      </w:r>
    </w:p>
    <w:p w14:paraId="2680784A" w14:textId="5893F460" w:rsidR="009B4939" w:rsidRDefault="007C5954">
      <w:pPr>
        <w:pStyle w:val="ListParagraph"/>
        <w:numPr>
          <w:ilvl w:val="4"/>
          <w:numId w:val="72"/>
        </w:numPr>
        <w:ind w:left="454" w:hanging="454"/>
        <w:jc w:val="both"/>
        <w:rPr>
          <w:rFonts w:ascii="Arial" w:hAnsi="Arial" w:cs="Arial"/>
          <w:color w:val="000000"/>
          <w:sz w:val="20"/>
        </w:rPr>
      </w:pPr>
      <w:r w:rsidRPr="009B4939">
        <w:rPr>
          <w:rFonts w:ascii="Arial" w:hAnsi="Arial" w:cs="Arial"/>
          <w:color w:val="000000"/>
          <w:sz w:val="20"/>
        </w:rPr>
        <w:t>the Zero to Three National Policy Center</w:t>
      </w:r>
      <w:r w:rsidR="00D02C4C" w:rsidRPr="009B4939">
        <w:rPr>
          <w:rFonts w:ascii="Arial" w:hAnsi="Arial" w:cs="Arial"/>
          <w:color w:val="000000"/>
          <w:sz w:val="20"/>
        </w:rPr>
        <w:t>–</w:t>
      </w:r>
    </w:p>
    <w:p w14:paraId="147A6D5B" w14:textId="0E07FF68" w:rsidR="007C5954" w:rsidRPr="009B4939" w:rsidRDefault="009B4939" w:rsidP="009B4939">
      <w:pPr>
        <w:jc w:val="both"/>
        <w:rPr>
          <w:rFonts w:ascii="Arial" w:hAnsi="Arial" w:cs="Arial"/>
          <w:color w:val="000000"/>
          <w:sz w:val="20"/>
        </w:rPr>
      </w:pPr>
      <w:r>
        <w:rPr>
          <w:rFonts w:ascii="Arial" w:hAnsi="Arial" w:cs="Arial"/>
          <w:color w:val="000000"/>
          <w:sz w:val="20"/>
        </w:rPr>
        <w:t xml:space="preserve">have </w:t>
      </w:r>
      <w:r w:rsidR="00022F17" w:rsidRPr="009B4939">
        <w:rPr>
          <w:rFonts w:ascii="Arial" w:hAnsi="Arial" w:cs="Arial"/>
          <w:color w:val="000000"/>
          <w:sz w:val="20"/>
        </w:rPr>
        <w:t xml:space="preserve">expressed </w:t>
      </w:r>
      <w:r w:rsidR="00D02C4C" w:rsidRPr="009B4939">
        <w:rPr>
          <w:rFonts w:ascii="Arial" w:hAnsi="Arial" w:cs="Arial"/>
          <w:color w:val="000000"/>
          <w:sz w:val="20"/>
        </w:rPr>
        <w:t xml:space="preserve">a </w:t>
      </w:r>
      <w:r w:rsidR="006B1596" w:rsidRPr="009B4939">
        <w:rPr>
          <w:rFonts w:ascii="Arial" w:hAnsi="Arial" w:cs="Arial"/>
          <w:color w:val="000000"/>
          <w:sz w:val="20"/>
        </w:rPr>
        <w:t xml:space="preserve">much </w:t>
      </w:r>
      <w:r w:rsidR="00D02C4C" w:rsidRPr="009B4939">
        <w:rPr>
          <w:rFonts w:ascii="Arial" w:hAnsi="Arial" w:cs="Arial"/>
          <w:color w:val="000000"/>
          <w:sz w:val="20"/>
        </w:rPr>
        <w:t xml:space="preserve">more </w:t>
      </w:r>
      <w:r w:rsidR="006B1596" w:rsidRPr="009B4939">
        <w:rPr>
          <w:rFonts w:ascii="Arial" w:hAnsi="Arial" w:cs="Arial"/>
          <w:color w:val="000000"/>
          <w:sz w:val="20"/>
        </w:rPr>
        <w:t xml:space="preserve">unanimous view </w:t>
      </w:r>
      <w:r w:rsidR="00022F17" w:rsidRPr="009B4939">
        <w:rPr>
          <w:rFonts w:ascii="Arial" w:hAnsi="Arial" w:cs="Arial"/>
          <w:color w:val="000000"/>
          <w:sz w:val="20"/>
        </w:rPr>
        <w:t xml:space="preserve">in </w:t>
      </w:r>
      <w:r w:rsidR="006F6E4C">
        <w:rPr>
          <w:rFonts w:ascii="Arial" w:hAnsi="Arial" w:cs="Arial"/>
          <w:color w:val="000000"/>
          <w:sz w:val="20"/>
        </w:rPr>
        <w:t>“</w:t>
      </w:r>
      <w:hyperlink r:id="rId40" w:history="1">
        <w:r w:rsidR="00022F17" w:rsidRPr="009B4939">
          <w:rPr>
            <w:rStyle w:val="Hyperlink"/>
            <w:rFonts w:ascii="Arial" w:hAnsi="Arial" w:cs="Arial"/>
            <w:b/>
            <w:bCs/>
            <w:sz w:val="20"/>
          </w:rPr>
          <w:t>Healthy Beginnings, Healthy Futures: A</w:t>
        </w:r>
        <w:r>
          <w:rPr>
            <w:rStyle w:val="Hyperlink"/>
            <w:rFonts w:ascii="Arial" w:hAnsi="Arial" w:cs="Arial"/>
            <w:b/>
            <w:bCs/>
            <w:sz w:val="20"/>
          </w:rPr>
          <w:t> </w:t>
        </w:r>
        <w:r w:rsidR="00022F17" w:rsidRPr="009B4939">
          <w:rPr>
            <w:rStyle w:val="Hyperlink"/>
            <w:rFonts w:ascii="Arial" w:hAnsi="Arial" w:cs="Arial"/>
            <w:b/>
            <w:bCs/>
            <w:sz w:val="20"/>
          </w:rPr>
          <w:t>Judge’s Guide</w:t>
        </w:r>
      </w:hyperlink>
      <w:r w:rsidR="006F6E4C">
        <w:rPr>
          <w:rFonts w:ascii="Arial" w:hAnsi="Arial" w:cs="Arial"/>
          <w:color w:val="000000"/>
          <w:sz w:val="20"/>
        </w:rPr>
        <w:t>”</w:t>
      </w:r>
      <w:r w:rsidR="00022F17" w:rsidRPr="009B4939">
        <w:rPr>
          <w:rFonts w:ascii="Arial" w:hAnsi="Arial" w:cs="Arial"/>
          <w:color w:val="000000"/>
          <w:sz w:val="20"/>
        </w:rPr>
        <w:t>.</w:t>
      </w:r>
      <w:r>
        <w:rPr>
          <w:rFonts w:ascii="Arial" w:hAnsi="Arial" w:cs="Arial"/>
          <w:color w:val="000000"/>
          <w:sz w:val="20"/>
        </w:rPr>
        <w:t xml:space="preserve">  </w:t>
      </w:r>
      <w:r w:rsidR="00022F17" w:rsidRPr="009B4939">
        <w:rPr>
          <w:rFonts w:ascii="Arial" w:hAnsi="Arial" w:cs="Arial"/>
          <w:color w:val="000000"/>
          <w:sz w:val="20"/>
        </w:rPr>
        <w:t>Compiled in 2009, t</w:t>
      </w:r>
      <w:r w:rsidR="006B1596" w:rsidRPr="009B4939">
        <w:rPr>
          <w:rFonts w:ascii="Arial" w:hAnsi="Arial" w:cs="Arial"/>
          <w:color w:val="000000"/>
          <w:sz w:val="20"/>
        </w:rPr>
        <w:t xml:space="preserve">his </w:t>
      </w:r>
      <w:r w:rsidR="007C5954" w:rsidRPr="009B4939">
        <w:rPr>
          <w:rFonts w:ascii="Arial" w:hAnsi="Arial" w:cs="Arial"/>
          <w:color w:val="000000"/>
          <w:sz w:val="20"/>
        </w:rPr>
        <w:t>publication consists of 15</w:t>
      </w:r>
      <w:r w:rsidR="006B1596" w:rsidRPr="009B4939">
        <w:rPr>
          <w:rFonts w:ascii="Arial" w:hAnsi="Arial" w:cs="Arial"/>
          <w:color w:val="000000"/>
          <w:sz w:val="20"/>
        </w:rPr>
        <w:t>0</w:t>
      </w:r>
      <w:r w:rsidR="007C5954" w:rsidRPr="009B4939">
        <w:rPr>
          <w:rFonts w:ascii="Arial" w:hAnsi="Arial" w:cs="Arial"/>
          <w:color w:val="000000"/>
          <w:sz w:val="20"/>
        </w:rPr>
        <w:t> pages organized into five chapters:</w:t>
      </w:r>
    </w:p>
    <w:p w14:paraId="37C1FBF9" w14:textId="77777777" w:rsidR="007C5954" w:rsidRPr="006679D2" w:rsidRDefault="007C5954">
      <w:pPr>
        <w:numPr>
          <w:ilvl w:val="0"/>
          <w:numId w:val="22"/>
        </w:numPr>
        <w:spacing w:before="60"/>
        <w:ind w:left="924" w:hanging="357"/>
        <w:jc w:val="both"/>
        <w:rPr>
          <w:rFonts w:ascii="Arial" w:hAnsi="Arial" w:cs="Arial"/>
          <w:color w:val="000000"/>
          <w:sz w:val="20"/>
        </w:rPr>
      </w:pPr>
      <w:r w:rsidRPr="006679D2">
        <w:rPr>
          <w:rFonts w:ascii="Arial" w:hAnsi="Arial" w:cs="Arial"/>
          <w:color w:val="000000"/>
          <w:sz w:val="20"/>
        </w:rPr>
        <w:t xml:space="preserve">Meeting the Needs of Very Young Children in </w:t>
      </w:r>
      <w:smartTag w:uri="urn:schemas-microsoft-com:office:smarttags" w:element="address">
        <w:smartTag w:uri="urn:schemas-microsoft-com:office:smarttags" w:element="Street">
          <w:r w:rsidRPr="006679D2">
            <w:rPr>
              <w:rFonts w:ascii="Arial" w:hAnsi="Arial" w:cs="Arial"/>
              <w:color w:val="000000"/>
              <w:sz w:val="20"/>
            </w:rPr>
            <w:t>Dependency Court</w:t>
          </w:r>
        </w:smartTag>
      </w:smartTag>
    </w:p>
    <w:p w14:paraId="27EC56FA"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Promoting Physical Health</w:t>
      </w:r>
    </w:p>
    <w:p w14:paraId="30D16E4B" w14:textId="62ECE14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Addressing Early Mental Health and Developmental Need</w:t>
      </w:r>
      <w:r w:rsidR="00D02C4C">
        <w:rPr>
          <w:rFonts w:ascii="Arial" w:hAnsi="Arial" w:cs="Arial"/>
          <w:color w:val="000000"/>
          <w:sz w:val="20"/>
        </w:rPr>
        <w:t>s</w:t>
      </w:r>
    </w:p>
    <w:p w14:paraId="6D80F2EF"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Achieving Permanency</w:t>
      </w:r>
    </w:p>
    <w:p w14:paraId="06F4A3CD" w14:textId="77777777" w:rsidR="007C5954" w:rsidRPr="006679D2" w:rsidRDefault="007C5954">
      <w:pPr>
        <w:numPr>
          <w:ilvl w:val="0"/>
          <w:numId w:val="22"/>
        </w:numPr>
        <w:ind w:left="924" w:hanging="357"/>
        <w:jc w:val="both"/>
        <w:rPr>
          <w:rFonts w:ascii="Arial" w:hAnsi="Arial" w:cs="Arial"/>
          <w:color w:val="000000"/>
          <w:sz w:val="20"/>
        </w:rPr>
      </w:pPr>
      <w:r w:rsidRPr="006679D2">
        <w:rPr>
          <w:rFonts w:ascii="Arial" w:hAnsi="Arial" w:cs="Arial"/>
          <w:color w:val="000000"/>
          <w:sz w:val="20"/>
        </w:rPr>
        <w:t>A Call to Action: Improving the Court’s Reponse.</w:t>
      </w:r>
    </w:p>
    <w:p w14:paraId="723CB561" w14:textId="77777777" w:rsidR="007C5954" w:rsidRPr="006679D2" w:rsidRDefault="007C5954" w:rsidP="007C5954">
      <w:pPr>
        <w:spacing w:before="60"/>
        <w:jc w:val="both"/>
        <w:rPr>
          <w:rFonts w:ascii="Arial" w:hAnsi="Arial" w:cs="Arial"/>
          <w:color w:val="000000"/>
          <w:sz w:val="20"/>
        </w:rPr>
      </w:pPr>
      <w:r w:rsidRPr="006679D2">
        <w:rPr>
          <w:rFonts w:ascii="Arial" w:hAnsi="Arial" w:cs="Arial"/>
          <w:color w:val="000000"/>
          <w:sz w:val="20"/>
        </w:rPr>
        <w:t>In Chapter 3 at pp.72-73 the authors (Eva J Klain JD, Lisa Pilnik JD MS, Erin Talati JD MD, Candice L Maze JD, Kimberley Diamond-Berry PhD &amp; Lucy Hudson MS) outline their philosophy on child contact:</w:t>
      </w:r>
    </w:p>
    <w:p w14:paraId="1E07362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b/>
          <w:sz w:val="18"/>
          <w:szCs w:val="22"/>
          <w:u w:val="single"/>
        </w:rPr>
        <w:t>Ensure frequent parent-child contact</w:t>
      </w:r>
      <w:r w:rsidRPr="00303766">
        <w:rPr>
          <w:rFonts w:ascii="Arial" w:hAnsi="Arial" w:cs="Arial"/>
          <w:sz w:val="18"/>
          <w:szCs w:val="22"/>
        </w:rPr>
        <w:t xml:space="preserve"> (This section includes excerpts from Smariga M, </w:t>
      </w:r>
      <w:r w:rsidRPr="00303766">
        <w:rPr>
          <w:rFonts w:ascii="Arial" w:hAnsi="Arial" w:cs="Arial"/>
          <w:i/>
          <w:sz w:val="18"/>
          <w:szCs w:val="22"/>
        </w:rPr>
        <w:t>Visitation with Infants and Toddlers in Foster Care: What Judges and Attorneys Need to Know</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Bar</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Association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Center</w:t>
        </w:r>
      </w:smartTag>
      <w:r w:rsidRPr="00303766">
        <w:rPr>
          <w:rFonts w:ascii="Arial" w:hAnsi="Arial" w:cs="Arial"/>
          <w:sz w:val="18"/>
          <w:szCs w:val="22"/>
        </w:rPr>
        <w:t xml:space="preserve"> on Children and the Law &amp; Zero to </w:t>
      </w:r>
      <w:smartTag w:uri="urn:schemas-microsoft-com:office:smarttags" w:element="place">
        <w:smartTag w:uri="urn:schemas-microsoft-com:office:smarttags" w:element="PlaceName">
          <w:r w:rsidRPr="00303766">
            <w:rPr>
              <w:rFonts w:ascii="Arial" w:hAnsi="Arial" w:cs="Arial"/>
              <w:sz w:val="18"/>
              <w:szCs w:val="22"/>
            </w:rPr>
            <w:t>Three</w:t>
          </w:r>
        </w:smartTag>
        <w:r w:rsidRPr="00303766">
          <w:rPr>
            <w:rFonts w:ascii="Arial" w:hAnsi="Arial" w:cs="Arial"/>
            <w:sz w:val="18"/>
            <w:szCs w:val="22"/>
          </w:rPr>
          <w:t xml:space="preserve"> </w:t>
        </w:r>
        <w:smartTag w:uri="urn:schemas-microsoft-com:office:smarttags" w:element="PlaceName">
          <w:r w:rsidRPr="00303766">
            <w:rPr>
              <w:rFonts w:ascii="Arial" w:hAnsi="Arial" w:cs="Arial"/>
              <w:sz w:val="18"/>
              <w:szCs w:val="22"/>
            </w:rPr>
            <w:t>Policy</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Center</w:t>
          </w:r>
        </w:smartTag>
      </w:smartTag>
      <w:r w:rsidRPr="00303766">
        <w:rPr>
          <w:rFonts w:ascii="Arial" w:hAnsi="Arial" w:cs="Arial"/>
          <w:sz w:val="18"/>
          <w:szCs w:val="22"/>
        </w:rPr>
        <w:t>, 2007)</w:t>
      </w:r>
    </w:p>
    <w:p w14:paraId="15B4A5C6"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Pr="00303766">
        <w:rPr>
          <w:rFonts w:ascii="Arial" w:hAnsi="Arial" w:cs="Arial"/>
          <w:i/>
          <w:sz w:val="18"/>
          <w:szCs w:val="22"/>
        </w:rPr>
        <w:t>Juvenile and Family Court Journal</w:t>
      </w:r>
      <w:r w:rsidRPr="00303766">
        <w:rPr>
          <w:rFonts w:ascii="Arial" w:hAnsi="Arial" w:cs="Arial"/>
          <w:sz w:val="18"/>
          <w:szCs w:val="22"/>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Pr="00303766">
            <w:rPr>
              <w:rFonts w:ascii="Arial" w:hAnsi="Arial" w:cs="Arial"/>
              <w:sz w:val="18"/>
              <w:szCs w:val="22"/>
            </w:rPr>
            <w:t>Academy</w:t>
          </w:r>
        </w:smartTag>
        <w:r w:rsidRPr="00303766">
          <w:rPr>
            <w:rFonts w:ascii="Arial" w:hAnsi="Arial" w:cs="Arial"/>
            <w:sz w:val="18"/>
            <w:szCs w:val="22"/>
          </w:rPr>
          <w:t xml:space="preserve"> of </w:t>
        </w:r>
        <w:smartTag w:uri="urn:schemas-microsoft-com:office:smarttags" w:element="PlaceName">
          <w:r w:rsidRPr="00303766">
            <w:rPr>
              <w:rFonts w:ascii="Arial" w:hAnsi="Arial" w:cs="Arial"/>
              <w:sz w:val="18"/>
              <w:szCs w:val="22"/>
            </w:rPr>
            <w:t>Pediatrics Committee</w:t>
          </w:r>
        </w:smartTag>
      </w:smartTag>
      <w:r w:rsidRPr="00303766">
        <w:rPr>
          <w:rFonts w:ascii="Arial" w:hAnsi="Arial" w:cs="Arial"/>
          <w:sz w:val="18"/>
          <w:szCs w:val="22"/>
        </w:rPr>
        <w:t xml:space="preserve"> on Early Childhood, Adoption and Dependent Care. “Developmental Issues for Young Children in Foster Care.” </w:t>
      </w:r>
      <w:r w:rsidRPr="00303766">
        <w:rPr>
          <w:rFonts w:ascii="Arial" w:hAnsi="Arial" w:cs="Arial"/>
          <w:i/>
          <w:sz w:val="18"/>
          <w:szCs w:val="22"/>
        </w:rPr>
        <w:t>Pediatrics</w:t>
      </w:r>
      <w:r w:rsidRPr="00303766">
        <w:rPr>
          <w:rFonts w:ascii="Arial" w:hAnsi="Arial" w:cs="Arial"/>
          <w:sz w:val="18"/>
          <w:szCs w:val="22"/>
        </w:rPr>
        <w:t xml:space="preserve"> 105(5), 2000, 1146).  Maintaining consistent contact between the child and his or her parents and siblings is critical unless visits would harm the child (</w:t>
      </w:r>
      <w:smartTag w:uri="urn:schemas-microsoft-com:office:smarttags" w:element="place">
        <w:smartTag w:uri="urn:schemas-microsoft-com:office:smarttags" w:element="PlaceName">
          <w:r w:rsidRPr="00303766">
            <w:rPr>
              <w:rFonts w:ascii="Arial" w:hAnsi="Arial" w:cs="Arial"/>
              <w:sz w:val="18"/>
              <w:szCs w:val="22"/>
            </w:rPr>
            <w:t>American</w:t>
          </w:r>
        </w:smartTag>
        <w:r w:rsidRPr="00303766">
          <w:rPr>
            <w:rFonts w:ascii="Arial" w:hAnsi="Arial" w:cs="Arial"/>
            <w:sz w:val="18"/>
            <w:szCs w:val="22"/>
          </w:rPr>
          <w:t xml:space="preserve"> </w:t>
        </w:r>
        <w:smartTag w:uri="urn:schemas-microsoft-com:office:smarttags" w:element="PlaceType">
          <w:r w:rsidRPr="00303766">
            <w:rPr>
              <w:rFonts w:ascii="Arial" w:hAnsi="Arial" w:cs="Arial"/>
              <w:sz w:val="18"/>
              <w:szCs w:val="22"/>
            </w:rPr>
            <w:t>Academy</w:t>
          </w:r>
        </w:smartTag>
      </w:smartTag>
      <w:r w:rsidRPr="00303766">
        <w:rPr>
          <w:rFonts w:ascii="Arial" w:hAnsi="Arial" w:cs="Arial"/>
          <w:sz w:val="18"/>
          <w:szCs w:val="22"/>
        </w:rPr>
        <w:t xml:space="preserve"> of Pediatrics Committee on Early Childhood, Adoption and Dependent Care. “Developmental Issues for Young Children in Foster Care.” {Policy Statement} </w:t>
      </w:r>
      <w:r w:rsidRPr="00303766">
        <w:rPr>
          <w:rFonts w:ascii="Arial" w:hAnsi="Arial" w:cs="Arial"/>
          <w:i/>
          <w:sz w:val="18"/>
          <w:szCs w:val="22"/>
        </w:rPr>
        <w:t>Pediatrics</w:t>
      </w:r>
      <w:r w:rsidRPr="00303766">
        <w:rPr>
          <w:rFonts w:ascii="Arial" w:hAnsi="Arial" w:cs="Arial"/>
          <w:sz w:val="18"/>
          <w:szCs w:val="22"/>
        </w:rPr>
        <w:t xml:space="preserve"> 106(5), 2000, 1145-1150).  In fact, parent-child contact is the number one indicator of reunification (</w:t>
      </w:r>
      <w:smartTag w:uri="urn:schemas-microsoft-com:office:smarttags" w:element="place">
        <w:smartTag w:uri="urn:schemas-microsoft-com:office:smarttags" w:element="City">
          <w:r w:rsidRPr="00303766">
            <w:rPr>
              <w:rFonts w:ascii="Arial" w:hAnsi="Arial" w:cs="Arial"/>
              <w:sz w:val="18"/>
              <w:szCs w:val="22"/>
            </w:rPr>
            <w:t>Ginther</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N.M.</w:t>
          </w:r>
        </w:smartTag>
      </w:smartTag>
      <w:r w:rsidRPr="00303766">
        <w:rPr>
          <w:rFonts w:ascii="Arial" w:hAnsi="Arial" w:cs="Arial"/>
          <w:sz w:val="18"/>
          <w:szCs w:val="22"/>
        </w:rPr>
        <w:t xml:space="preserve"> and J.D. Ginther, “Family Interaction: The Expressway to Permanency – Facilitating Successful Visitation” Presentation prepared for Western Training Partnership at the University of Wisconsin River Falls, 2005, 12-13).  Family contact and interaction is important and the relationship between the foster family and biological family can be crucial.</w:t>
      </w:r>
    </w:p>
    <w:p w14:paraId="4E48543A"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Because physical proximity with the caregiver is central to the attachment process for infants and toddlers (Ohio Caseload Analysis Initiative, </w:t>
      </w:r>
      <w:r w:rsidRPr="00303766">
        <w:rPr>
          <w:rFonts w:ascii="Arial" w:hAnsi="Arial" w:cs="Arial"/>
          <w:i/>
          <w:sz w:val="18"/>
          <w:szCs w:val="22"/>
        </w:rPr>
        <w:t>Visitation/Family Access Guide: A Best Practice Model for Social Workers and Agencies</w:t>
      </w:r>
      <w:r w:rsidRPr="00303766">
        <w:rPr>
          <w:rFonts w:ascii="Arial" w:hAnsi="Arial" w:cs="Arial"/>
          <w:sz w:val="18"/>
          <w:szCs w:val="22"/>
        </w:rPr>
        <w:t xml:space="preserve">, 2005, 14), </w:t>
      </w:r>
      <w:r w:rsidRPr="00303766">
        <w:rPr>
          <w:rFonts w:ascii="Arial" w:hAnsi="Arial" w:cs="Arial"/>
          <w:b/>
          <w:sz w:val="18"/>
          <w:szCs w:val="22"/>
          <w:u w:val="single"/>
        </w:rPr>
        <w:t>an infant should ideally spend time with the parent(s) daily, and a toddler should see the parent(s) at least every two to three days</w:t>
      </w:r>
      <w:r w:rsidRPr="00303766">
        <w:rPr>
          <w:rFonts w:ascii="Arial" w:hAnsi="Arial" w:cs="Arial"/>
          <w:sz w:val="18"/>
          <w:szCs w:val="22"/>
        </w:rPr>
        <w:t xml:space="preserve"> (Ginther and Ginther, 2005, 10, 21).  [Emphasis added].  To reduce the trauma of sudden separation, the first parent-child visit should occur as soon as possible and no later than 48 hours after the child is removed from the home (Wright, Lois E. </w:t>
      </w:r>
      <w:r w:rsidRPr="00303766">
        <w:rPr>
          <w:rFonts w:ascii="Arial" w:hAnsi="Arial" w:cs="Arial"/>
          <w:i/>
          <w:sz w:val="18"/>
          <w:szCs w:val="22"/>
        </w:rPr>
        <w:t>Toolbox No. 1: Using Visitation to Support Permanency</w:t>
      </w:r>
      <w:r w:rsidRPr="00303766">
        <w:rPr>
          <w:rFonts w:ascii="Arial" w:hAnsi="Arial" w:cs="Arial"/>
          <w:sz w:val="18"/>
          <w:szCs w:val="22"/>
        </w:rPr>
        <w:t xml:space="preserve">.  </w:t>
      </w:r>
      <w:smartTag w:uri="urn:schemas-microsoft-com:office:smarttags" w:element="City">
        <w:r w:rsidRPr="00303766">
          <w:rPr>
            <w:rFonts w:ascii="Arial" w:hAnsi="Arial" w:cs="Arial"/>
            <w:sz w:val="18"/>
            <w:szCs w:val="22"/>
          </w:rPr>
          <w:t>Washington</w:t>
        </w:r>
      </w:smartTag>
      <w:r w:rsidRPr="00303766">
        <w:rPr>
          <w:rFonts w:ascii="Arial" w:hAnsi="Arial" w:cs="Arial"/>
          <w:sz w:val="18"/>
          <w:szCs w:val="22"/>
        </w:rPr>
        <w:t xml:space="preserve"> </w:t>
      </w:r>
      <w:smartTag w:uri="urn:schemas-microsoft-com:office:smarttags" w:element="State">
        <w:r w:rsidRPr="00303766">
          <w:rPr>
            <w:rFonts w:ascii="Arial" w:hAnsi="Arial" w:cs="Arial"/>
            <w:sz w:val="18"/>
            <w:szCs w:val="22"/>
          </w:rPr>
          <w:t>DC</w:t>
        </w:r>
      </w:smartTag>
      <w:r w:rsidRPr="00303766">
        <w:rPr>
          <w:rFonts w:ascii="Arial" w:hAnsi="Arial" w:cs="Arial"/>
          <w:sz w:val="18"/>
          <w:szCs w:val="22"/>
        </w:rPr>
        <w:t xml:space="preserve">: CWLA Press, 2001; </w:t>
      </w:r>
      <w:smartTag w:uri="urn:schemas-microsoft-com:office:smarttags" w:element="place">
        <w:smartTag w:uri="urn:schemas-microsoft-com:office:smarttags" w:element="State">
          <w:r w:rsidRPr="00303766">
            <w:rPr>
              <w:rFonts w:ascii="Arial" w:hAnsi="Arial" w:cs="Arial"/>
              <w:sz w:val="18"/>
              <w:szCs w:val="22"/>
            </w:rPr>
            <w:t>Ohio</w:t>
          </w:r>
        </w:smartTag>
      </w:smartTag>
      <w:r w:rsidRPr="00303766">
        <w:rPr>
          <w:rFonts w:ascii="Arial" w:hAnsi="Arial" w:cs="Arial"/>
          <w:sz w:val="18"/>
          <w:szCs w:val="22"/>
        </w:rPr>
        <w:t xml:space="preserve"> Caseload Analysis Initiative, 2005, 16).</w:t>
      </w:r>
    </w:p>
    <w:p w14:paraId="47D410DB"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Visits should promote parent-child attachment and be an opportunity to model good parenting skills.  The length and frequency of visits should reflect the child’s developmental stages and gradually increase as the parent shows she is able to respond to her child’s cues in consistent and nurturing ways, soothe her child, and attend to her child’s needs.  During the initial phase, limiting visits to one-to-two hours allows the parent to experience small successes without becoming overwhelmed.  By the transition phase, as the family </w:t>
      </w:r>
      <w:r w:rsidRPr="00303766">
        <w:rPr>
          <w:rFonts w:ascii="Arial" w:hAnsi="Arial" w:cs="Arial"/>
          <w:sz w:val="18"/>
          <w:szCs w:val="22"/>
        </w:rPr>
        <w:lastRenderedPageBreak/>
        <w:t>approaches reunification, unsupervised, all-day, overnight and weekend visits should be completed (Wright 2001; Ohio Caseload Initiative Analysis, 2005).</w:t>
      </w:r>
    </w:p>
    <w:p w14:paraId="2D978EF5"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A young child’s emotional dysregulation following a visit does not necessarily mean the parent did something harmful during the visit (Goldsmith </w:t>
      </w:r>
      <w:r w:rsidRPr="00303766">
        <w:rPr>
          <w:rFonts w:ascii="Arial" w:hAnsi="Arial" w:cs="Arial"/>
          <w:i/>
          <w:sz w:val="18"/>
          <w:szCs w:val="22"/>
        </w:rPr>
        <w:t>et al.</w:t>
      </w:r>
      <w:r w:rsidRPr="00303766">
        <w:rPr>
          <w:rFonts w:ascii="Arial" w:hAnsi="Arial" w:cs="Arial"/>
          <w:sz w:val="18"/>
          <w:szCs w:val="22"/>
        </w:rPr>
        <w:t>, 2004, 2; Wright, 2001, 28-32).  Visitation can be extremely upsetting for children, and it is important to understand the developmental context of their feelings and behaviors.  Very young children cannot understand the separation, and they tend to respond with bewilderment, sadness and grief.  During visits, they may cling or cry, act out, or withdraw from their parent.  At the end of a visit, when another separation is imminent, they may become confused, sad or angry.  Following visits, infants and toddlers may show regressive behaviors, depression, physical symptoms, or behavioral problems.  Foster caregivers may need information to help them understand and support young children who are distressed after a visit.</w:t>
      </w:r>
    </w:p>
    <w:p w14:paraId="2A5407F9"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 xml:space="preserve">Parents also find visits to be a time of emotional upheaval, particularly during the first phase of placement.  Parents often experience pain and sadness resulting from the separation.  They may feel shame, guilt, depression, denial that there is a problem. Anger and/or worry about the child.  During the first visits, the parent is likely to be awkward, tense, and uncertain.  Visit coaches, caseworkers, and foster parents should help the parent process her emotions and help her interact with her child (Wright 2001, 23-28; Haight, W.L. </w:t>
      </w:r>
      <w:r w:rsidRPr="00303766">
        <w:rPr>
          <w:rFonts w:ascii="Arial" w:hAnsi="Arial" w:cs="Arial"/>
          <w:i/>
          <w:sz w:val="18"/>
          <w:szCs w:val="22"/>
        </w:rPr>
        <w:t>et al</w:t>
      </w:r>
      <w:r w:rsidRPr="00303766">
        <w:rPr>
          <w:rFonts w:ascii="Arial" w:hAnsi="Arial" w:cs="Arial"/>
          <w:sz w:val="18"/>
          <w:szCs w:val="22"/>
        </w:rPr>
        <w:t xml:space="preserve">. “Making Visits Better: The Perspectives of Parents, Foster Parents and Child Welfare Workers” </w:t>
      </w:r>
      <w:r w:rsidRPr="00303766">
        <w:rPr>
          <w:rFonts w:ascii="Arial" w:hAnsi="Arial" w:cs="Arial"/>
          <w:i/>
          <w:sz w:val="18"/>
          <w:szCs w:val="22"/>
        </w:rPr>
        <w:t>Child Welfare</w:t>
      </w:r>
      <w:r w:rsidRPr="00303766">
        <w:rPr>
          <w:rFonts w:ascii="Arial" w:hAnsi="Arial" w:cs="Arial"/>
          <w:sz w:val="18"/>
          <w:szCs w:val="22"/>
        </w:rPr>
        <w:t xml:space="preserve"> 81(2), 2002, 173-202).</w:t>
      </w:r>
    </w:p>
    <w:p w14:paraId="74C2B36C" w14:textId="77777777" w:rsidR="007C5954" w:rsidRPr="00303766" w:rsidRDefault="007C5954" w:rsidP="007C5954">
      <w:pPr>
        <w:spacing w:before="120"/>
        <w:ind w:left="567" w:right="567"/>
        <w:jc w:val="both"/>
        <w:rPr>
          <w:rFonts w:ascii="Arial" w:hAnsi="Arial" w:cs="Arial"/>
          <w:b/>
          <w:sz w:val="18"/>
          <w:szCs w:val="22"/>
          <w:u w:val="single"/>
        </w:rPr>
      </w:pPr>
      <w:r w:rsidRPr="00303766">
        <w:rPr>
          <w:rFonts w:ascii="Arial" w:hAnsi="Arial" w:cs="Arial"/>
          <w:b/>
          <w:sz w:val="18"/>
          <w:szCs w:val="22"/>
          <w:u w:val="single"/>
        </w:rPr>
        <w:t>Ensure frequent sibling contact</w:t>
      </w:r>
    </w:p>
    <w:p w14:paraId="6C6A1983" w14:textId="77777777" w:rsidR="007C5954" w:rsidRPr="00303766" w:rsidRDefault="007C5954" w:rsidP="007C5954">
      <w:pPr>
        <w:spacing w:before="120"/>
        <w:ind w:left="567" w:right="567"/>
        <w:jc w:val="both"/>
        <w:rPr>
          <w:rFonts w:ascii="Arial" w:hAnsi="Arial" w:cs="Arial"/>
          <w:sz w:val="18"/>
          <w:szCs w:val="22"/>
        </w:rPr>
      </w:pPr>
      <w:r w:rsidRPr="00303766">
        <w:rPr>
          <w:rFonts w:ascii="Arial" w:hAnsi="Arial" w:cs="Arial"/>
          <w:sz w:val="18"/>
          <w:szCs w:val="22"/>
        </w:rPr>
        <w:t>The Fostering Connections to Success and Increasing Adoptions Act of 2008 addresses many issues that promote permanency and affect the health and wellbeing of very young children in foster care, including placing greater priority on keeping siblings together.  While placements that can accommodate a very young child’s siblings should be sought, it may be necessary to separate siblings due to the special needs or circumstances of the very young child.  When siblings are not placed together, the importance of siblings to the young child should not be minimized, especially if there is an established bond.  Ensure frequent sibling visits and opportunities to maintain the sibling bond, especially for toddlers and preschools who may perceive their older siblings as caregivers.</w:t>
      </w:r>
    </w:p>
    <w:p w14:paraId="3D61AA5B" w14:textId="77777777" w:rsidR="007C5954" w:rsidRDefault="007C5954" w:rsidP="007C5954">
      <w:pPr>
        <w:jc w:val="both"/>
        <w:rPr>
          <w:rFonts w:ascii="Arial" w:hAnsi="Arial" w:cs="Arial"/>
          <w:sz w:val="20"/>
        </w:rPr>
      </w:pPr>
    </w:p>
    <w:p w14:paraId="66D130F5" w14:textId="7C76B6D1" w:rsidR="007C5954" w:rsidRPr="00FB0F65" w:rsidRDefault="007C5954" w:rsidP="007C5954">
      <w:pPr>
        <w:jc w:val="both"/>
        <w:rPr>
          <w:rFonts w:ascii="Arial" w:hAnsi="Arial" w:cs="Arial"/>
          <w:sz w:val="20"/>
        </w:rPr>
      </w:pPr>
      <w:r>
        <w:rPr>
          <w:rFonts w:ascii="Arial" w:hAnsi="Arial" w:cs="Arial"/>
          <w:sz w:val="20"/>
        </w:rPr>
        <w:t>These guidelines</w:t>
      </w:r>
      <w:r w:rsidR="00247F8B">
        <w:rPr>
          <w:rFonts w:ascii="Arial" w:hAnsi="Arial" w:cs="Arial"/>
          <w:sz w:val="20"/>
        </w:rPr>
        <w:t xml:space="preserve"> </w:t>
      </w:r>
      <w:r>
        <w:rPr>
          <w:rFonts w:ascii="Arial" w:hAnsi="Arial" w:cs="Arial"/>
          <w:sz w:val="20"/>
        </w:rPr>
        <w:t xml:space="preserve">were prepared by </w:t>
      </w:r>
      <w:r w:rsidR="00EA58A9">
        <w:rPr>
          <w:rFonts w:ascii="Arial" w:hAnsi="Arial" w:cs="Arial"/>
          <w:sz w:val="20"/>
        </w:rPr>
        <w:t>a team of</w:t>
      </w:r>
      <w:r>
        <w:rPr>
          <w:rFonts w:ascii="Arial" w:hAnsi="Arial" w:cs="Arial"/>
          <w:sz w:val="20"/>
        </w:rPr>
        <w:t xml:space="preserve"> lawyers and social scientists.</w:t>
      </w:r>
      <w:r w:rsidR="00247F8B">
        <w:rPr>
          <w:rFonts w:ascii="Arial" w:hAnsi="Arial" w:cs="Arial"/>
          <w:sz w:val="20"/>
        </w:rPr>
        <w:t xml:space="preserve">  T</w:t>
      </w:r>
      <w:r>
        <w:rPr>
          <w:rFonts w:ascii="Arial" w:hAnsi="Arial" w:cs="Arial"/>
          <w:sz w:val="20"/>
        </w:rPr>
        <w:t>he project was overseen by an Advisory Committee consisting of some of the most respected American social scientists and judicial officers.  These include Dr Joy D. Osofsky (Professor of Public Health, Psychiatry &amp; Paediatrics at Louisiana State University Health Sciences Center), Dr</w:t>
      </w:r>
      <w:r w:rsidR="00EA58A9">
        <w:rPr>
          <w:rFonts w:ascii="Arial" w:hAnsi="Arial" w:cs="Arial"/>
          <w:sz w:val="20"/>
        </w:rPr>
        <w:t> </w:t>
      </w:r>
      <w:r>
        <w:rPr>
          <w:rFonts w:ascii="Arial" w:hAnsi="Arial" w:cs="Arial"/>
          <w:sz w:val="20"/>
        </w:rPr>
        <w:t>Sheri L Hill (Early Childhood Policy Specialist Seattle, WA), Dr Brenda Jones Harden (Institute for Child Study, University of Maryland, College Park, MD), The Honorable Pamela L Abernethy (Marion County Circuit Court Salem, OR) and The Honorable Katherine Lucero (Superior Court, Santa Clara County, San Jose, CA).  They are intended for application in the whole of the U.S.A.  As Ju</w:t>
      </w:r>
      <w:r w:rsidR="00C66220">
        <w:rPr>
          <w:rFonts w:ascii="Arial" w:hAnsi="Arial" w:cs="Arial"/>
          <w:sz w:val="20"/>
        </w:rPr>
        <w:t>dge</w:t>
      </w:r>
      <w:r>
        <w:rPr>
          <w:rFonts w:ascii="Arial" w:hAnsi="Arial" w:cs="Arial"/>
          <w:sz w:val="20"/>
        </w:rPr>
        <w:t xml:space="preserve"> Abernethy sa</w:t>
      </w:r>
      <w:r w:rsidR="00EA58A9">
        <w:rPr>
          <w:rFonts w:ascii="Arial" w:hAnsi="Arial" w:cs="Arial"/>
          <w:sz w:val="20"/>
        </w:rPr>
        <w:t>id</w:t>
      </w:r>
      <w:r>
        <w:rPr>
          <w:rFonts w:ascii="Arial" w:hAnsi="Arial" w:cs="Arial"/>
          <w:sz w:val="20"/>
        </w:rPr>
        <w:t xml:space="preserve">: “This guide helps to ensure that </w:t>
      </w:r>
      <w:r w:rsidRPr="00806118">
        <w:rPr>
          <w:rFonts w:ascii="Arial" w:hAnsi="Arial" w:cs="Arial"/>
          <w:b/>
          <w:sz w:val="20"/>
          <w:u w:val="single"/>
        </w:rPr>
        <w:t>as a nation</w:t>
      </w:r>
      <w:r>
        <w:rPr>
          <w:rFonts w:ascii="Arial" w:hAnsi="Arial" w:cs="Arial"/>
          <w:sz w:val="20"/>
        </w:rPr>
        <w:t>, we equip the bench to do better by babies every day.</w:t>
      </w:r>
      <w:r w:rsidR="00247F8B">
        <w:rPr>
          <w:rFonts w:ascii="Arial" w:hAnsi="Arial" w:cs="Arial"/>
          <w:sz w:val="20"/>
        </w:rPr>
        <w:t>” [emphasis added]</w:t>
      </w:r>
    </w:p>
    <w:p w14:paraId="3F12FB8A" w14:textId="77777777" w:rsidR="006F6E4C" w:rsidRDefault="006F6E4C" w:rsidP="006F6E4C">
      <w:pPr>
        <w:jc w:val="both"/>
        <w:rPr>
          <w:rFonts w:ascii="Arial" w:hAnsi="Arial" w:cs="Arial"/>
          <w:color w:val="000000"/>
          <w:sz w:val="20"/>
        </w:rPr>
      </w:pPr>
    </w:p>
    <w:p w14:paraId="75BE3B0F" w14:textId="77777777" w:rsidR="00FB53EB" w:rsidRDefault="00FB53EB" w:rsidP="00FB53EB">
      <w:pPr>
        <w:pStyle w:val="Heading2"/>
        <w:tabs>
          <w:tab w:val="left" w:pos="567"/>
        </w:tabs>
        <w:spacing w:line="240" w:lineRule="auto"/>
        <w:rPr>
          <w:rFonts w:ascii="Arial" w:hAnsi="Arial" w:cs="Arial"/>
          <w:b/>
          <w:bCs/>
        </w:rPr>
      </w:pPr>
      <w:bookmarkStart w:id="1623" w:name="_4.14.4__Contact"/>
      <w:bookmarkStart w:id="1624" w:name="B4144"/>
      <w:bookmarkStart w:id="1625" w:name="_4.15_Cumulative_harm"/>
      <w:bookmarkStart w:id="1626" w:name="B415"/>
      <w:bookmarkEnd w:id="1623"/>
      <w:bookmarkEnd w:id="1624"/>
      <w:bookmarkEnd w:id="1625"/>
      <w:bookmarkEnd w:id="1626"/>
      <w:r>
        <w:rPr>
          <w:rFonts w:ascii="Arial" w:hAnsi="Arial" w:cs="Arial"/>
          <w:b/>
          <w:bCs/>
        </w:rPr>
        <w:t>4.1</w:t>
      </w:r>
      <w:r w:rsidR="00E14F02">
        <w:rPr>
          <w:rFonts w:ascii="Arial" w:hAnsi="Arial" w:cs="Arial"/>
          <w:b/>
          <w:bCs/>
        </w:rPr>
        <w:t>5</w:t>
      </w:r>
      <w:r>
        <w:rPr>
          <w:rFonts w:ascii="Arial" w:hAnsi="Arial" w:cs="Arial"/>
          <w:b/>
          <w:bCs/>
        </w:rPr>
        <w:tab/>
        <w:t>Cumulative harm</w:t>
      </w:r>
    </w:p>
    <w:p w14:paraId="1DECAD01" w14:textId="77777777" w:rsidR="00FB53EB" w:rsidRDefault="00FB53EB" w:rsidP="00FB53EB">
      <w:pPr>
        <w:rPr>
          <w:rFonts w:ascii="Arial" w:hAnsi="Arial" w:cs="Arial"/>
          <w:sz w:val="16"/>
        </w:rPr>
      </w:pPr>
    </w:p>
    <w:p w14:paraId="1BB5D143" w14:textId="77777777" w:rsidR="00FB53EB" w:rsidRDefault="003216F3" w:rsidP="00FB53EB">
      <w:pPr>
        <w:widowControl w:val="0"/>
        <w:jc w:val="both"/>
        <w:rPr>
          <w:rFonts w:ascii="Arial" w:hAnsi="Arial" w:cs="Arial"/>
          <w:sz w:val="20"/>
        </w:rPr>
      </w:pPr>
      <w:r>
        <w:rPr>
          <w:rFonts w:ascii="Arial" w:hAnsi="Arial" w:cs="Arial"/>
          <w:sz w:val="20"/>
        </w:rPr>
        <w:t xml:space="preserve">Section 162(1) of the CYFA sets out </w:t>
      </w:r>
      <w:r w:rsidR="00E55A14">
        <w:rPr>
          <w:rFonts w:ascii="Arial" w:hAnsi="Arial" w:cs="Arial"/>
          <w:sz w:val="20"/>
        </w:rPr>
        <w:t>six</w:t>
      </w:r>
      <w:r>
        <w:rPr>
          <w:rFonts w:ascii="Arial" w:hAnsi="Arial" w:cs="Arial"/>
          <w:sz w:val="20"/>
        </w:rPr>
        <w:t xml:space="preserve"> </w:t>
      </w:r>
      <w:r w:rsidR="00B355F8">
        <w:rPr>
          <w:rFonts w:ascii="Arial" w:hAnsi="Arial" w:cs="Arial"/>
          <w:sz w:val="20"/>
        </w:rPr>
        <w:t>type</w:t>
      </w:r>
      <w:r>
        <w:rPr>
          <w:rFonts w:ascii="Arial" w:hAnsi="Arial" w:cs="Arial"/>
          <w:sz w:val="20"/>
        </w:rPr>
        <w:t xml:space="preserve">s </w:t>
      </w:r>
      <w:r w:rsidR="00B355F8">
        <w:rPr>
          <w:rFonts w:ascii="Arial" w:hAnsi="Arial" w:cs="Arial"/>
          <w:sz w:val="20"/>
        </w:rPr>
        <w:t xml:space="preserve">of harm, any one of which is sufficient to justify a finding that a child is </w:t>
      </w:r>
      <w:r>
        <w:rPr>
          <w:rFonts w:ascii="Arial" w:hAnsi="Arial" w:cs="Arial"/>
          <w:sz w:val="20"/>
        </w:rPr>
        <w:t xml:space="preserve">in need of protection.  These </w:t>
      </w:r>
      <w:r w:rsidR="00B355F8">
        <w:rPr>
          <w:rFonts w:ascii="Arial" w:hAnsi="Arial" w:cs="Arial"/>
          <w:sz w:val="20"/>
        </w:rPr>
        <w:t xml:space="preserve">grounds, which are in identical terms to those </w:t>
      </w:r>
      <w:r w:rsidR="00DD66EE">
        <w:rPr>
          <w:rFonts w:ascii="Arial" w:hAnsi="Arial" w:cs="Arial"/>
          <w:sz w:val="20"/>
        </w:rPr>
        <w:t xml:space="preserve">which were </w:t>
      </w:r>
      <w:r w:rsidR="00B355F8">
        <w:rPr>
          <w:rFonts w:ascii="Arial" w:hAnsi="Arial" w:cs="Arial"/>
          <w:sz w:val="20"/>
        </w:rPr>
        <w:t xml:space="preserve">in s.63 of the CYPA, </w:t>
      </w:r>
      <w:r>
        <w:rPr>
          <w:rFonts w:ascii="Arial" w:hAnsi="Arial" w:cs="Arial"/>
          <w:sz w:val="20"/>
        </w:rPr>
        <w:t>may be summarized as follows:</w:t>
      </w:r>
    </w:p>
    <w:p w14:paraId="2929BF46" w14:textId="77777777" w:rsidR="00693223" w:rsidRDefault="003216F3" w:rsidP="003216F3">
      <w:pPr>
        <w:jc w:val="both"/>
        <w:rPr>
          <w:rFonts w:ascii="Arial" w:hAnsi="Arial" w:cs="Arial"/>
          <w:sz w:val="20"/>
        </w:rPr>
      </w:pPr>
      <w:r w:rsidRPr="003216F3">
        <w:rPr>
          <w:rFonts w:ascii="Arial" w:hAnsi="Arial" w:cs="Arial"/>
          <w:sz w:val="20"/>
        </w:rPr>
        <w:t>(a</w:t>
      </w:r>
      <w:r>
        <w:rPr>
          <w:rFonts w:ascii="Arial" w:hAnsi="Arial" w:cs="Arial"/>
          <w:sz w:val="20"/>
        </w:rPr>
        <w:t>)</w:t>
      </w:r>
      <w:r>
        <w:rPr>
          <w:rFonts w:ascii="Arial" w:hAnsi="Arial" w:cs="Arial"/>
          <w:sz w:val="20"/>
        </w:rPr>
        <w:tab/>
        <w:t>abandonment;</w:t>
      </w:r>
    </w:p>
    <w:p w14:paraId="419BA24B" w14:textId="77777777" w:rsidR="003216F3" w:rsidRDefault="003216F3" w:rsidP="003216F3">
      <w:pPr>
        <w:jc w:val="both"/>
        <w:rPr>
          <w:rFonts w:ascii="Arial" w:hAnsi="Arial" w:cs="Arial"/>
          <w:sz w:val="20"/>
        </w:rPr>
      </w:pPr>
      <w:r>
        <w:rPr>
          <w:rFonts w:ascii="Arial" w:hAnsi="Arial" w:cs="Arial"/>
          <w:sz w:val="20"/>
        </w:rPr>
        <w:t>(b)</w:t>
      </w:r>
      <w:r>
        <w:rPr>
          <w:rFonts w:ascii="Arial" w:hAnsi="Arial" w:cs="Arial"/>
          <w:sz w:val="20"/>
        </w:rPr>
        <w:tab/>
        <w:t>death or incapacity of parent;</w:t>
      </w:r>
    </w:p>
    <w:p w14:paraId="0AADE420" w14:textId="77777777" w:rsidR="003216F3" w:rsidRDefault="003216F3" w:rsidP="003216F3">
      <w:pPr>
        <w:jc w:val="both"/>
        <w:rPr>
          <w:rFonts w:ascii="Arial" w:hAnsi="Arial" w:cs="Arial"/>
          <w:sz w:val="20"/>
        </w:rPr>
      </w:pPr>
      <w:r>
        <w:rPr>
          <w:rFonts w:ascii="Arial" w:hAnsi="Arial" w:cs="Arial"/>
          <w:sz w:val="20"/>
        </w:rPr>
        <w:t>(c)</w:t>
      </w:r>
      <w:r>
        <w:rPr>
          <w:rFonts w:ascii="Arial" w:hAnsi="Arial" w:cs="Arial"/>
          <w:sz w:val="20"/>
        </w:rPr>
        <w:tab/>
        <w:t>physical abuse;</w:t>
      </w:r>
    </w:p>
    <w:p w14:paraId="4C156109" w14:textId="77777777" w:rsidR="003216F3" w:rsidRDefault="003216F3" w:rsidP="003216F3">
      <w:pPr>
        <w:jc w:val="both"/>
        <w:rPr>
          <w:rFonts w:ascii="Arial" w:hAnsi="Arial" w:cs="Arial"/>
          <w:sz w:val="20"/>
        </w:rPr>
      </w:pPr>
      <w:r>
        <w:rPr>
          <w:rFonts w:ascii="Arial" w:hAnsi="Arial" w:cs="Arial"/>
          <w:sz w:val="20"/>
        </w:rPr>
        <w:t>(d)</w:t>
      </w:r>
      <w:r>
        <w:rPr>
          <w:rFonts w:ascii="Arial" w:hAnsi="Arial" w:cs="Arial"/>
          <w:sz w:val="20"/>
        </w:rPr>
        <w:tab/>
        <w:t>sexual abuse;</w:t>
      </w:r>
    </w:p>
    <w:p w14:paraId="6B38860F" w14:textId="77777777" w:rsidR="003216F3" w:rsidRDefault="003216F3" w:rsidP="003216F3">
      <w:pPr>
        <w:jc w:val="both"/>
        <w:rPr>
          <w:rFonts w:ascii="Arial" w:hAnsi="Arial" w:cs="Arial"/>
          <w:sz w:val="20"/>
        </w:rPr>
      </w:pPr>
      <w:r>
        <w:rPr>
          <w:rFonts w:ascii="Arial" w:hAnsi="Arial" w:cs="Arial"/>
          <w:sz w:val="20"/>
        </w:rPr>
        <w:t>(e)</w:t>
      </w:r>
      <w:r>
        <w:rPr>
          <w:rFonts w:ascii="Arial" w:hAnsi="Arial" w:cs="Arial"/>
          <w:sz w:val="20"/>
        </w:rPr>
        <w:tab/>
        <w:t>emotional/psychological abuse; and</w:t>
      </w:r>
    </w:p>
    <w:p w14:paraId="727BEDF3" w14:textId="77777777" w:rsidR="003216F3" w:rsidRDefault="003216F3" w:rsidP="003216F3">
      <w:pPr>
        <w:jc w:val="both"/>
        <w:rPr>
          <w:rFonts w:ascii="Arial" w:hAnsi="Arial" w:cs="Arial"/>
          <w:sz w:val="20"/>
        </w:rPr>
      </w:pPr>
      <w:r>
        <w:rPr>
          <w:rFonts w:ascii="Arial" w:hAnsi="Arial" w:cs="Arial"/>
          <w:sz w:val="20"/>
        </w:rPr>
        <w:t>(f)</w:t>
      </w:r>
      <w:r>
        <w:rPr>
          <w:rFonts w:ascii="Arial" w:hAnsi="Arial" w:cs="Arial"/>
          <w:sz w:val="20"/>
        </w:rPr>
        <w:tab/>
        <w:t>neglect.</w:t>
      </w:r>
    </w:p>
    <w:p w14:paraId="176470E6" w14:textId="77777777" w:rsidR="003216F3" w:rsidRDefault="00B355F8">
      <w:pPr>
        <w:jc w:val="both"/>
        <w:rPr>
          <w:rFonts w:ascii="Arial" w:hAnsi="Arial" w:cs="Arial"/>
          <w:sz w:val="20"/>
        </w:rPr>
      </w:pPr>
      <w:r>
        <w:rPr>
          <w:rFonts w:ascii="Arial" w:hAnsi="Arial" w:cs="Arial"/>
          <w:sz w:val="20"/>
        </w:rPr>
        <w:t>Grounds (c), (d), (e) &amp; (f) may be proved on the basis of actual harm or likelihood of future harm or both.</w:t>
      </w:r>
    </w:p>
    <w:p w14:paraId="034BF782" w14:textId="77777777" w:rsidR="003216F3" w:rsidRDefault="003216F3">
      <w:pPr>
        <w:jc w:val="both"/>
        <w:rPr>
          <w:rFonts w:ascii="Arial" w:hAnsi="Arial" w:cs="Arial"/>
          <w:sz w:val="20"/>
        </w:rPr>
      </w:pPr>
    </w:p>
    <w:p w14:paraId="1462E270" w14:textId="77777777" w:rsidR="00DD66EE" w:rsidRDefault="00B355F8">
      <w:pPr>
        <w:jc w:val="both"/>
        <w:rPr>
          <w:rFonts w:ascii="Arial" w:hAnsi="Arial" w:cs="Arial"/>
          <w:sz w:val="20"/>
        </w:rPr>
      </w:pPr>
      <w:r>
        <w:rPr>
          <w:rFonts w:ascii="Arial" w:hAnsi="Arial" w:cs="Arial"/>
          <w:sz w:val="20"/>
        </w:rPr>
        <w:t xml:space="preserve">Section 162(2) of the CYFA, which had no equivalent in the CYPA, provides that for the purposes of grounds (c), (d), (e) &amp; (f) the harm may be constituted by a single act, omission or circumstance or accumulate through a series of continuing acts, omissions or circumstances.  Although this statutory enactment of the principle of “cumulative harm” dates only from </w:t>
      </w:r>
      <w:smartTag w:uri="urn:schemas-microsoft-com:office:smarttags" w:element="date">
        <w:smartTagPr>
          <w:attr w:name="Year" w:val="2007"/>
          <w:attr w:name="Day" w:val="23"/>
          <w:attr w:name="Month" w:val="4"/>
        </w:smartTagPr>
        <w:r>
          <w:rPr>
            <w:rFonts w:ascii="Arial" w:hAnsi="Arial" w:cs="Arial"/>
            <w:sz w:val="20"/>
          </w:rPr>
          <w:t>23/04/2007</w:t>
        </w:r>
      </w:smartTag>
      <w:r>
        <w:rPr>
          <w:rFonts w:ascii="Arial" w:hAnsi="Arial" w:cs="Arial"/>
          <w:sz w:val="20"/>
        </w:rPr>
        <w:t xml:space="preserve">, the concept of “cumulative harm” is </w:t>
      </w:r>
      <w:r w:rsidRPr="000D2D81">
        <w:rPr>
          <w:rFonts w:ascii="Arial" w:hAnsi="Arial" w:cs="Arial"/>
          <w:sz w:val="20"/>
        </w:rPr>
        <w:t>not</w:t>
      </w:r>
      <w:r>
        <w:rPr>
          <w:rFonts w:ascii="Arial" w:hAnsi="Arial" w:cs="Arial"/>
          <w:sz w:val="20"/>
        </w:rPr>
        <w:t xml:space="preserve"> new.  It has </w:t>
      </w:r>
      <w:r w:rsidR="00C20A4D">
        <w:rPr>
          <w:rFonts w:ascii="Arial" w:hAnsi="Arial" w:cs="Arial"/>
          <w:sz w:val="20"/>
        </w:rPr>
        <w:t xml:space="preserve">long </w:t>
      </w:r>
      <w:r>
        <w:rPr>
          <w:rFonts w:ascii="Arial" w:hAnsi="Arial" w:cs="Arial"/>
          <w:sz w:val="20"/>
        </w:rPr>
        <w:t xml:space="preserve">been accepted and applied both by the Court and by </w:t>
      </w:r>
      <w:r w:rsidR="00785D2D">
        <w:rPr>
          <w:rFonts w:ascii="Arial" w:hAnsi="Arial" w:cs="Arial"/>
          <w:sz w:val="20"/>
        </w:rPr>
        <w:t>DFFH</w:t>
      </w:r>
      <w:r>
        <w:rPr>
          <w:rFonts w:ascii="Arial" w:hAnsi="Arial" w:cs="Arial"/>
          <w:sz w:val="20"/>
        </w:rPr>
        <w:t>.</w:t>
      </w:r>
    </w:p>
    <w:p w14:paraId="30959C9C" w14:textId="77777777" w:rsidR="00DD66EE" w:rsidRDefault="00DD66EE">
      <w:pPr>
        <w:jc w:val="both"/>
        <w:rPr>
          <w:rFonts w:ascii="Arial" w:hAnsi="Arial" w:cs="Arial"/>
          <w:sz w:val="20"/>
        </w:rPr>
      </w:pPr>
    </w:p>
    <w:p w14:paraId="76A5E6CF" w14:textId="112A75A0" w:rsidR="00DD66EE" w:rsidRPr="000D2D81" w:rsidRDefault="00B355F8" w:rsidP="00D74C22">
      <w:pPr>
        <w:jc w:val="both"/>
        <w:rPr>
          <w:rFonts w:ascii="Arial" w:hAnsi="Arial" w:cs="Arial"/>
          <w:sz w:val="16"/>
          <w:szCs w:val="20"/>
        </w:rPr>
      </w:pPr>
      <w:r>
        <w:rPr>
          <w:rFonts w:ascii="Arial" w:hAnsi="Arial" w:cs="Arial"/>
          <w:sz w:val="20"/>
        </w:rPr>
        <w:t>The Department’s Victorian Risk Framework, which ha</w:t>
      </w:r>
      <w:r w:rsidR="000D2D81">
        <w:rPr>
          <w:rFonts w:ascii="Arial" w:hAnsi="Arial" w:cs="Arial"/>
          <w:sz w:val="20"/>
        </w:rPr>
        <w:t>d</w:t>
      </w:r>
      <w:r>
        <w:rPr>
          <w:rFonts w:ascii="Arial" w:hAnsi="Arial" w:cs="Arial"/>
          <w:sz w:val="20"/>
        </w:rPr>
        <w:t xml:space="preserve"> been the risk assessment tool used by </w:t>
      </w:r>
      <w:r w:rsidR="00785D2D">
        <w:rPr>
          <w:rFonts w:ascii="Arial" w:hAnsi="Arial" w:cs="Arial"/>
          <w:sz w:val="20"/>
        </w:rPr>
        <w:t>DFFH</w:t>
      </w:r>
      <w:r>
        <w:rPr>
          <w:rFonts w:ascii="Arial" w:hAnsi="Arial" w:cs="Arial"/>
          <w:sz w:val="20"/>
        </w:rPr>
        <w:t xml:space="preserve"> since 1999, </w:t>
      </w:r>
      <w:r w:rsidR="00C20A4D">
        <w:rPr>
          <w:rFonts w:ascii="Arial" w:hAnsi="Arial" w:cs="Arial"/>
          <w:sz w:val="20"/>
        </w:rPr>
        <w:t>ha</w:t>
      </w:r>
      <w:r w:rsidR="000D2D81">
        <w:rPr>
          <w:rFonts w:ascii="Arial" w:hAnsi="Arial" w:cs="Arial"/>
          <w:sz w:val="20"/>
        </w:rPr>
        <w:t>d</w:t>
      </w:r>
      <w:r w:rsidR="00C20A4D">
        <w:rPr>
          <w:rFonts w:ascii="Arial" w:hAnsi="Arial" w:cs="Arial"/>
          <w:sz w:val="20"/>
        </w:rPr>
        <w:t xml:space="preserve"> a section labelled “Pattern and history of harm” which is part of every intake investigation.  </w:t>
      </w:r>
      <w:r w:rsidR="00D24B43">
        <w:rPr>
          <w:rFonts w:ascii="Arial" w:hAnsi="Arial" w:cs="Arial"/>
          <w:sz w:val="20"/>
        </w:rPr>
        <w:t>Commencing on 20/11/2021 i</w:t>
      </w:r>
      <w:r w:rsidR="000D2D81">
        <w:rPr>
          <w:rFonts w:ascii="Arial" w:hAnsi="Arial" w:cs="Arial"/>
          <w:sz w:val="20"/>
        </w:rPr>
        <w:t>ts successor, the SAFER children framework guide, states at p.34: “</w:t>
      </w:r>
      <w:r w:rsidR="000D2D81" w:rsidRPr="000D2D81">
        <w:rPr>
          <w:rFonts w:ascii="Arial" w:hAnsi="Arial" w:cs="Arial"/>
          <w:sz w:val="20"/>
          <w:szCs w:val="20"/>
          <w:shd w:val="clear" w:color="auto" w:fill="FFFFFF"/>
        </w:rPr>
        <w:t>You can only complete a good-quality, thorough and holistic assessment of safety and risk in child</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protection with sufficient information. We always need to think about the information we have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(including pattern and history to identify</w:t>
      </w:r>
      <w:r w:rsidR="000D2D81">
        <w:rPr>
          <w:rFonts w:ascii="Arial" w:hAnsi="Arial" w:cs="Arial"/>
          <w:sz w:val="20"/>
          <w:szCs w:val="20"/>
          <w:shd w:val="clear" w:color="auto" w:fill="FFFFFF"/>
        </w:rPr>
        <w:t xml:space="preserve"> cumulative harm)</w:t>
      </w:r>
      <w:r w:rsidR="000D2D81" w:rsidRPr="000D2D81">
        <w:rPr>
          <w:rFonts w:ascii="Arial" w:hAnsi="Arial" w:cs="Arial"/>
          <w:sz w:val="20"/>
          <w:szCs w:val="20"/>
          <w:shd w:val="clear" w:color="auto" w:fill="FFFFFF"/>
        </w:rPr>
        <w:t xml:space="preserve"> and whether it is sufficient to make</w:t>
      </w:r>
      <w:r w:rsidR="000D2D81">
        <w:rPr>
          <w:rFonts w:ascii="Arial" w:hAnsi="Arial" w:cs="Arial"/>
          <w:sz w:val="20"/>
          <w:szCs w:val="20"/>
          <w:shd w:val="clear" w:color="auto" w:fill="FFFFFF"/>
        </w:rPr>
        <w:t xml:space="preserve"> </w:t>
      </w:r>
      <w:r w:rsidR="000D2D81" w:rsidRPr="000D2D81">
        <w:rPr>
          <w:rFonts w:ascii="Arial" w:hAnsi="Arial" w:cs="Arial"/>
          <w:sz w:val="20"/>
          <w:szCs w:val="20"/>
          <w:shd w:val="clear" w:color="auto" w:fill="FFFFFF"/>
        </w:rPr>
        <w:t>decisions</w:t>
      </w:r>
      <w:r w:rsidR="000D2D81">
        <w:rPr>
          <w:rFonts w:ascii="Arial" w:hAnsi="Arial" w:cs="Arial"/>
          <w:sz w:val="20"/>
          <w:szCs w:val="20"/>
          <w:shd w:val="clear" w:color="auto" w:fill="FFFFFF"/>
        </w:rPr>
        <w:t xml:space="preserve">.”  </w:t>
      </w:r>
      <w:r w:rsidR="00C20A4D">
        <w:rPr>
          <w:rFonts w:ascii="Arial" w:hAnsi="Arial" w:cs="Arial"/>
          <w:sz w:val="20"/>
        </w:rPr>
        <w:t xml:space="preserve">For many years, the Department’s court reports have included a section listing the </w:t>
      </w:r>
      <w:r w:rsidR="00A54088">
        <w:rPr>
          <w:rFonts w:ascii="Arial" w:hAnsi="Arial" w:cs="Arial"/>
          <w:sz w:val="20"/>
        </w:rPr>
        <w:t>details</w:t>
      </w:r>
      <w:r w:rsidR="00C20A4D">
        <w:rPr>
          <w:rFonts w:ascii="Arial" w:hAnsi="Arial" w:cs="Arial"/>
          <w:sz w:val="20"/>
        </w:rPr>
        <w:t xml:space="preserve"> of any earlier involvement which the Department had had with the subject child &amp; family.</w:t>
      </w:r>
    </w:p>
    <w:p w14:paraId="5D5BF604" w14:textId="77777777" w:rsidR="000D2D81" w:rsidRDefault="000D2D81">
      <w:pPr>
        <w:jc w:val="both"/>
        <w:rPr>
          <w:rFonts w:ascii="Arial" w:hAnsi="Arial" w:cs="Arial"/>
          <w:sz w:val="20"/>
        </w:rPr>
      </w:pPr>
    </w:p>
    <w:p w14:paraId="3D1BE871" w14:textId="77777777" w:rsidR="00B355F8" w:rsidRDefault="00DD66EE">
      <w:pPr>
        <w:jc w:val="both"/>
        <w:rPr>
          <w:rFonts w:ascii="Arial" w:hAnsi="Arial" w:cs="Arial"/>
          <w:sz w:val="20"/>
        </w:rPr>
      </w:pPr>
      <w:r>
        <w:rPr>
          <w:rFonts w:ascii="Arial" w:hAnsi="Arial" w:cs="Arial"/>
          <w:sz w:val="20"/>
        </w:rPr>
        <w:t>F</w:t>
      </w:r>
      <w:r w:rsidR="00C20A4D">
        <w:rPr>
          <w:rFonts w:ascii="Arial" w:hAnsi="Arial" w:cs="Arial"/>
          <w:sz w:val="20"/>
        </w:rPr>
        <w:t>or its part, the Court ha</w:t>
      </w:r>
      <w:r w:rsidR="00A54088">
        <w:rPr>
          <w:rFonts w:ascii="Arial" w:hAnsi="Arial" w:cs="Arial"/>
          <w:sz w:val="20"/>
        </w:rPr>
        <w:t>s</w:t>
      </w:r>
      <w:r w:rsidR="00C20A4D">
        <w:rPr>
          <w:rFonts w:ascii="Arial" w:hAnsi="Arial" w:cs="Arial"/>
          <w:sz w:val="20"/>
        </w:rPr>
        <w:t xml:space="preserve"> </w:t>
      </w:r>
      <w:r w:rsidR="00DC7D04">
        <w:rPr>
          <w:rFonts w:ascii="Arial" w:hAnsi="Arial" w:cs="Arial"/>
          <w:sz w:val="20"/>
        </w:rPr>
        <w:t>regularly</w:t>
      </w:r>
      <w:r w:rsidR="00C20A4D">
        <w:rPr>
          <w:rFonts w:ascii="Arial" w:hAnsi="Arial" w:cs="Arial"/>
          <w:sz w:val="20"/>
        </w:rPr>
        <w:t xml:space="preserve"> </w:t>
      </w:r>
      <w:r>
        <w:rPr>
          <w:rFonts w:ascii="Arial" w:hAnsi="Arial" w:cs="Arial"/>
          <w:sz w:val="20"/>
        </w:rPr>
        <w:t>taken into account the notion</w:t>
      </w:r>
      <w:r w:rsidR="00796994">
        <w:rPr>
          <w:rFonts w:ascii="Arial" w:hAnsi="Arial" w:cs="Arial"/>
          <w:sz w:val="20"/>
        </w:rPr>
        <w:t>s</w:t>
      </w:r>
      <w:r>
        <w:rPr>
          <w:rFonts w:ascii="Arial" w:hAnsi="Arial" w:cs="Arial"/>
          <w:sz w:val="20"/>
        </w:rPr>
        <w:t xml:space="preserve"> of cumulative harm</w:t>
      </w:r>
      <w:r w:rsidR="00796994">
        <w:rPr>
          <w:rFonts w:ascii="Arial" w:hAnsi="Arial" w:cs="Arial"/>
          <w:sz w:val="20"/>
        </w:rPr>
        <w:t xml:space="preserve"> and cumulative risk of harm</w:t>
      </w:r>
      <w:r>
        <w:rPr>
          <w:rFonts w:ascii="Arial" w:hAnsi="Arial" w:cs="Arial"/>
          <w:sz w:val="20"/>
        </w:rPr>
        <w:t xml:space="preserve">, </w:t>
      </w:r>
      <w:r w:rsidR="00C20A4D">
        <w:rPr>
          <w:rFonts w:ascii="Arial" w:hAnsi="Arial" w:cs="Arial"/>
          <w:sz w:val="20"/>
        </w:rPr>
        <w:t>appl</w:t>
      </w:r>
      <w:r>
        <w:rPr>
          <w:rFonts w:ascii="Arial" w:hAnsi="Arial" w:cs="Arial"/>
          <w:sz w:val="20"/>
        </w:rPr>
        <w:t>ying where appropriate</w:t>
      </w:r>
      <w:r w:rsidR="00C20A4D">
        <w:rPr>
          <w:rFonts w:ascii="Arial" w:hAnsi="Arial" w:cs="Arial"/>
          <w:sz w:val="20"/>
        </w:rPr>
        <w:t xml:space="preserve"> dicta of Lord Nicholls of Birkenhead (with whom Lord Goff of Chiefly &amp; Lord Mustill agreed) in </w:t>
      </w:r>
      <w:r w:rsidR="00B355F8">
        <w:rPr>
          <w:rFonts w:ascii="Arial" w:hAnsi="Arial" w:cs="Arial"/>
          <w:i/>
          <w:iCs/>
          <w:sz w:val="20"/>
        </w:rPr>
        <w:t>In re H. &amp; Others (Minors)(Sexual Abuse: Standard of Proof)</w:t>
      </w:r>
      <w:r w:rsidR="00C20A4D">
        <w:rPr>
          <w:rFonts w:ascii="Arial" w:hAnsi="Arial" w:cs="Arial"/>
          <w:sz w:val="20"/>
        </w:rPr>
        <w:t xml:space="preserve"> [1996] AC 563 </w:t>
      </w:r>
      <w:r w:rsidR="00B355F8">
        <w:rPr>
          <w:rFonts w:ascii="Arial" w:hAnsi="Arial" w:cs="Arial"/>
          <w:sz w:val="20"/>
        </w:rPr>
        <w:t>at p.5</w:t>
      </w:r>
      <w:r w:rsidR="00C20A4D">
        <w:rPr>
          <w:rFonts w:ascii="Arial" w:hAnsi="Arial" w:cs="Arial"/>
          <w:sz w:val="20"/>
        </w:rPr>
        <w:t>91</w:t>
      </w:r>
      <w:r w:rsidR="00B355F8">
        <w:rPr>
          <w:rFonts w:ascii="Arial" w:hAnsi="Arial" w:cs="Arial"/>
          <w:sz w:val="20"/>
        </w:rPr>
        <w:t>:</w:t>
      </w:r>
    </w:p>
    <w:p w14:paraId="72B114B5" w14:textId="77777777" w:rsidR="00C20A4D" w:rsidRDefault="00C20A4D" w:rsidP="00D74C22">
      <w:pPr>
        <w:spacing w:before="60"/>
        <w:ind w:left="567" w:right="567"/>
        <w:jc w:val="both"/>
        <w:rPr>
          <w:rFonts w:ascii="Arial" w:hAnsi="Arial" w:cs="Arial"/>
          <w:sz w:val="20"/>
        </w:rPr>
      </w:pPr>
      <w:r>
        <w:rPr>
          <w:rFonts w:ascii="Arial" w:hAnsi="Arial" w:cs="Arial"/>
          <w:sz w:val="20"/>
        </w:rPr>
        <w:t>“The range of facts which may properly be taken into account [in determining whether a child is in need of protection] is infinite.  Facts include the history of members of the family, the state of relationships within a family, proposed changes within the membership of a</w:t>
      </w:r>
      <w:r w:rsidR="00A54088">
        <w:rPr>
          <w:rFonts w:ascii="Arial" w:hAnsi="Arial" w:cs="Arial"/>
          <w:sz w:val="20"/>
        </w:rPr>
        <w:t xml:space="preserve"> family, parental attitudes, and omissions which might not reasonably have been expected, just as much as actual physical assaults.  They include threats, and abnormal behaviour by a child…</w:t>
      </w:r>
      <w:r w:rsidR="00A54088" w:rsidRPr="0078379C">
        <w:rPr>
          <w:rFonts w:ascii="Arial" w:hAnsi="Arial" w:cs="Arial"/>
          <w:b/>
          <w:sz w:val="20"/>
          <w:u w:val="single"/>
        </w:rPr>
        <w:t>And facts which are minor or even trivial if considered in isolation, when taken together, may suffice to satisfy the court of the likelihood of future harm.</w:t>
      </w:r>
      <w:r w:rsidR="00A54088">
        <w:rPr>
          <w:rFonts w:ascii="Arial" w:hAnsi="Arial" w:cs="Arial"/>
          <w:sz w:val="20"/>
        </w:rPr>
        <w:t xml:space="preserve">” [emphasis </w:t>
      </w:r>
      <w:r w:rsidR="0078379C">
        <w:rPr>
          <w:rFonts w:ascii="Arial" w:hAnsi="Arial" w:cs="Arial"/>
          <w:sz w:val="20"/>
        </w:rPr>
        <w:t>by the writer</w:t>
      </w:r>
      <w:r w:rsidR="00A54088">
        <w:rPr>
          <w:rFonts w:ascii="Arial" w:hAnsi="Arial" w:cs="Arial"/>
          <w:sz w:val="20"/>
        </w:rPr>
        <w:t>]</w:t>
      </w:r>
    </w:p>
    <w:p w14:paraId="0E7465E8" w14:textId="77777777" w:rsidR="00B355F8" w:rsidRDefault="00B355F8">
      <w:pPr>
        <w:jc w:val="both"/>
        <w:rPr>
          <w:rFonts w:ascii="Arial" w:hAnsi="Arial" w:cs="Arial"/>
          <w:sz w:val="20"/>
        </w:rPr>
      </w:pPr>
    </w:p>
    <w:p w14:paraId="22763C64" w14:textId="77777777" w:rsidR="00A54088" w:rsidRDefault="00DD66EE">
      <w:pPr>
        <w:jc w:val="both"/>
        <w:rPr>
          <w:rFonts w:ascii="Arial" w:hAnsi="Arial" w:cs="Arial"/>
          <w:sz w:val="20"/>
        </w:rPr>
      </w:pPr>
      <w:r>
        <w:rPr>
          <w:rFonts w:ascii="Arial" w:hAnsi="Arial" w:cs="Arial"/>
          <w:sz w:val="20"/>
        </w:rPr>
        <w:t xml:space="preserve">Why, then, was it deemed necessary to include a specific statutory provision to deal with the issue of cumulative harm?  The explanation given by Ms Robyn Miller at p.11 of her paper “Cumulative </w:t>
      </w:r>
      <w:r w:rsidR="002572B5">
        <w:rPr>
          <w:rFonts w:ascii="Arial" w:hAnsi="Arial" w:cs="Arial"/>
          <w:sz w:val="20"/>
        </w:rPr>
        <w:t>H</w:t>
      </w:r>
      <w:r>
        <w:rPr>
          <w:rFonts w:ascii="Arial" w:hAnsi="Arial" w:cs="Arial"/>
          <w:sz w:val="20"/>
        </w:rPr>
        <w:t xml:space="preserve">arm: </w:t>
      </w:r>
      <w:r w:rsidR="002572B5">
        <w:rPr>
          <w:rFonts w:ascii="Arial" w:hAnsi="Arial" w:cs="Arial"/>
          <w:sz w:val="20"/>
        </w:rPr>
        <w:t>A</w:t>
      </w:r>
      <w:r>
        <w:rPr>
          <w:rFonts w:ascii="Arial" w:hAnsi="Arial" w:cs="Arial"/>
          <w:sz w:val="20"/>
        </w:rPr>
        <w:t xml:space="preserve"> </w:t>
      </w:r>
      <w:r w:rsidR="002572B5">
        <w:rPr>
          <w:rFonts w:ascii="Arial" w:hAnsi="Arial" w:cs="Arial"/>
          <w:sz w:val="20"/>
        </w:rPr>
        <w:t>C</w:t>
      </w:r>
      <w:r>
        <w:rPr>
          <w:rFonts w:ascii="Arial" w:hAnsi="Arial" w:cs="Arial"/>
          <w:sz w:val="20"/>
        </w:rPr>
        <w:t xml:space="preserve">onceptual </w:t>
      </w:r>
      <w:r w:rsidR="002572B5">
        <w:rPr>
          <w:rFonts w:ascii="Arial" w:hAnsi="Arial" w:cs="Arial"/>
          <w:sz w:val="20"/>
        </w:rPr>
        <w:t>O</w:t>
      </w:r>
      <w:r>
        <w:rPr>
          <w:rFonts w:ascii="Arial" w:hAnsi="Arial" w:cs="Arial"/>
          <w:sz w:val="20"/>
        </w:rPr>
        <w:t xml:space="preserve">verview” </w:t>
      </w:r>
      <w:r w:rsidR="0055674E">
        <w:rPr>
          <w:rFonts w:ascii="Arial" w:hAnsi="Arial" w:cs="Arial"/>
          <w:sz w:val="20"/>
        </w:rPr>
        <w:t>dated December 2006</w:t>
      </w:r>
      <w:r w:rsidR="007726E2">
        <w:rPr>
          <w:rFonts w:ascii="Arial" w:hAnsi="Arial" w:cs="Arial"/>
          <w:sz w:val="20"/>
        </w:rPr>
        <w:t xml:space="preserve"> </w:t>
      </w:r>
      <w:r>
        <w:rPr>
          <w:rFonts w:ascii="Arial" w:hAnsi="Arial" w:cs="Arial"/>
          <w:sz w:val="20"/>
        </w:rPr>
        <w:t>is as follows:</w:t>
      </w:r>
    </w:p>
    <w:p w14:paraId="2CF78A44" w14:textId="77777777" w:rsidR="00DD66EE" w:rsidRDefault="00DD66EE" w:rsidP="00D74C22">
      <w:pPr>
        <w:spacing w:before="60"/>
        <w:ind w:left="567" w:right="567"/>
        <w:jc w:val="both"/>
        <w:rPr>
          <w:rFonts w:ascii="Arial" w:hAnsi="Arial" w:cs="Arial"/>
          <w:sz w:val="20"/>
        </w:rPr>
      </w:pPr>
      <w:r>
        <w:rPr>
          <w:rFonts w:ascii="Arial" w:hAnsi="Arial" w:cs="Arial"/>
          <w:sz w:val="20"/>
        </w:rPr>
        <w:t xml:space="preserve">“The intention of the previous Act was to respond to vulnerable children and families in respectful, appropriate ways using the minimum intervention required.  One of the </w:t>
      </w:r>
      <w:r w:rsidRPr="00DD66EE">
        <w:rPr>
          <w:rFonts w:ascii="Arial" w:hAnsi="Arial" w:cs="Arial"/>
          <w:b/>
          <w:sz w:val="20"/>
        </w:rPr>
        <w:t>unintended</w:t>
      </w:r>
      <w:r>
        <w:rPr>
          <w:rFonts w:ascii="Arial" w:hAnsi="Arial" w:cs="Arial"/>
          <w:sz w:val="20"/>
        </w:rPr>
        <w:t xml:space="preserve"> consequences of the practice, which developed from the </w:t>
      </w:r>
      <w:r w:rsidRPr="00DD66EE">
        <w:rPr>
          <w:rFonts w:ascii="Arial" w:hAnsi="Arial" w:cs="Arial"/>
          <w:i/>
          <w:sz w:val="20"/>
        </w:rPr>
        <w:t>Children and Young Persons Act 1989</w:t>
      </w:r>
      <w:r>
        <w:rPr>
          <w:rFonts w:ascii="Arial" w:hAnsi="Arial" w:cs="Arial"/>
          <w:sz w:val="20"/>
        </w:rPr>
        <w:t>, is that intake and initial investigations were increasingly based on episodic assessments, which were focused on immediate risk and safety, and less focussed on the developmental wellbeing of children, and patterns of abuse and neglect over time.”</w:t>
      </w:r>
    </w:p>
    <w:p w14:paraId="2F80268D" w14:textId="77777777" w:rsidR="00DD66EE" w:rsidRDefault="00DD66EE">
      <w:pPr>
        <w:jc w:val="both"/>
        <w:rPr>
          <w:rFonts w:ascii="Arial" w:hAnsi="Arial" w:cs="Arial"/>
          <w:sz w:val="20"/>
        </w:rPr>
      </w:pPr>
    </w:p>
    <w:p w14:paraId="6253AC83" w14:textId="77777777" w:rsidR="00DD66EE" w:rsidRDefault="007726E2">
      <w:pPr>
        <w:jc w:val="both"/>
        <w:rPr>
          <w:rFonts w:ascii="Arial" w:hAnsi="Arial" w:cs="Arial"/>
          <w:sz w:val="20"/>
        </w:rPr>
      </w:pPr>
      <w:r>
        <w:rPr>
          <w:rFonts w:ascii="Arial" w:hAnsi="Arial" w:cs="Arial"/>
          <w:sz w:val="20"/>
        </w:rPr>
        <w:t xml:space="preserve">It is not the experience of </w:t>
      </w:r>
      <w:r w:rsidR="009A1245">
        <w:rPr>
          <w:rFonts w:ascii="Arial" w:hAnsi="Arial" w:cs="Arial"/>
          <w:sz w:val="20"/>
        </w:rPr>
        <w:t xml:space="preserve">former </w:t>
      </w:r>
      <w:r w:rsidR="0036761C">
        <w:rPr>
          <w:rFonts w:ascii="Arial" w:hAnsi="Arial" w:cs="Arial"/>
          <w:sz w:val="20"/>
        </w:rPr>
        <w:t>Magistrate Power</w:t>
      </w:r>
      <w:r>
        <w:rPr>
          <w:rFonts w:ascii="Arial" w:hAnsi="Arial" w:cs="Arial"/>
          <w:sz w:val="20"/>
        </w:rPr>
        <w:t xml:space="preserve"> that in Court cases the Department’s focus was so restricted but it must be remembered that only a </w:t>
      </w:r>
      <w:r w:rsidR="00796994">
        <w:rPr>
          <w:rFonts w:ascii="Arial" w:hAnsi="Arial" w:cs="Arial"/>
          <w:sz w:val="20"/>
        </w:rPr>
        <w:t xml:space="preserve">comparatively </w:t>
      </w:r>
      <w:r>
        <w:rPr>
          <w:rFonts w:ascii="Arial" w:hAnsi="Arial" w:cs="Arial"/>
          <w:sz w:val="20"/>
        </w:rPr>
        <w:t xml:space="preserve">small percentage of reports of child abuse eventually find their way to a Court </w:t>
      </w:r>
      <w:r w:rsidR="0036761C">
        <w:rPr>
          <w:rFonts w:ascii="Arial" w:hAnsi="Arial" w:cs="Arial"/>
          <w:sz w:val="20"/>
        </w:rPr>
        <w:t>case and an even smaller percentage find their way to a contested Court hearing</w:t>
      </w:r>
      <w:r>
        <w:rPr>
          <w:rFonts w:ascii="Arial" w:hAnsi="Arial" w:cs="Arial"/>
          <w:sz w:val="20"/>
        </w:rPr>
        <w:t>.</w:t>
      </w:r>
    </w:p>
    <w:p w14:paraId="3F0E0DC2" w14:textId="77777777" w:rsidR="00DD66EE" w:rsidRDefault="00DD66EE">
      <w:pPr>
        <w:jc w:val="both"/>
        <w:rPr>
          <w:rFonts w:ascii="Arial" w:hAnsi="Arial" w:cs="Arial"/>
          <w:sz w:val="20"/>
        </w:rPr>
      </w:pPr>
    </w:p>
    <w:p w14:paraId="1932A219" w14:textId="2CD01340" w:rsidR="00DD66EE" w:rsidRDefault="007726E2">
      <w:pPr>
        <w:jc w:val="both"/>
        <w:rPr>
          <w:rFonts w:ascii="Arial" w:hAnsi="Arial" w:cs="Arial"/>
          <w:sz w:val="20"/>
        </w:rPr>
      </w:pPr>
      <w:r>
        <w:rPr>
          <w:rFonts w:ascii="Arial" w:hAnsi="Arial" w:cs="Arial"/>
          <w:sz w:val="20"/>
        </w:rPr>
        <w:t xml:space="preserve">In her paper Ms Robyn Miller defines </w:t>
      </w:r>
      <w:r w:rsidR="00C45717">
        <w:rPr>
          <w:rFonts w:ascii="Arial" w:hAnsi="Arial" w:cs="Arial"/>
          <w:sz w:val="20"/>
        </w:rPr>
        <w:t>cumulative harm as “the effects of patterns of circumstances in a child’s life, which diminish a child’s sense of safety, stability and wellbeing” resulting from “compounded experiences of multiple episodes of abuse or ‘layers’ of neglect”.</w:t>
      </w:r>
      <w:r w:rsidR="009E48F2">
        <w:rPr>
          <w:rFonts w:ascii="Arial" w:hAnsi="Arial" w:cs="Arial"/>
          <w:sz w:val="20"/>
        </w:rPr>
        <w:t xml:space="preserve">  She goes on to discuss various manifestations of </w:t>
      </w:r>
      <w:r>
        <w:rPr>
          <w:rFonts w:ascii="Arial" w:hAnsi="Arial" w:cs="Arial"/>
          <w:sz w:val="20"/>
        </w:rPr>
        <w:t>cumulative harm and provides a conceptual overview of the issue.  The hist</w:t>
      </w:r>
      <w:r w:rsidR="009E48F2">
        <w:rPr>
          <w:rFonts w:ascii="Arial" w:hAnsi="Arial" w:cs="Arial"/>
          <w:sz w:val="20"/>
        </w:rPr>
        <w:t xml:space="preserve">orical context is discussed, </w:t>
      </w:r>
      <w:r>
        <w:rPr>
          <w:rFonts w:ascii="Arial" w:hAnsi="Arial" w:cs="Arial"/>
          <w:sz w:val="20"/>
        </w:rPr>
        <w:t xml:space="preserve">the theoretical underpinnings </w:t>
      </w:r>
      <w:r w:rsidR="009E48F2">
        <w:rPr>
          <w:rFonts w:ascii="Arial" w:hAnsi="Arial" w:cs="Arial"/>
          <w:sz w:val="20"/>
        </w:rPr>
        <w:t xml:space="preserve">are </w:t>
      </w:r>
      <w:r>
        <w:rPr>
          <w:rFonts w:ascii="Arial" w:hAnsi="Arial" w:cs="Arial"/>
          <w:sz w:val="20"/>
        </w:rPr>
        <w:t>explored and a range of relevant paradigms and research is presented under various headings, including:</w:t>
      </w:r>
    </w:p>
    <w:p w14:paraId="46814BA9"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Culture</w:t>
      </w:r>
    </w:p>
    <w:p w14:paraId="69405D2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cumulative harm on early brain development</w:t>
      </w:r>
    </w:p>
    <w:p w14:paraId="65434576"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childhood trauma</w:t>
      </w:r>
    </w:p>
    <w:p w14:paraId="60CCAFF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impact of nurture on nature</w:t>
      </w:r>
    </w:p>
    <w:p w14:paraId="2787400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Cumulative harm and neglect</w:t>
      </w:r>
    </w:p>
    <w:p w14:paraId="0AAFB685"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The cumulative impact of family violence on development</w:t>
      </w:r>
    </w:p>
    <w:p w14:paraId="11F9B05C"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Early childhood development and cumulative harm</w:t>
      </w:r>
    </w:p>
    <w:p w14:paraId="32EF7B0F" w14:textId="77777777" w:rsidR="007726E2" w:rsidRDefault="007726E2" w:rsidP="00BA6FBE">
      <w:pPr>
        <w:numPr>
          <w:ilvl w:val="0"/>
          <w:numId w:val="3"/>
        </w:numPr>
        <w:ind w:left="284" w:hanging="284"/>
        <w:jc w:val="both"/>
        <w:rPr>
          <w:rFonts w:ascii="Arial" w:hAnsi="Arial" w:cs="Arial"/>
          <w:sz w:val="20"/>
        </w:rPr>
      </w:pPr>
      <w:r>
        <w:rPr>
          <w:rFonts w:ascii="Arial" w:hAnsi="Arial" w:cs="Arial"/>
          <w:sz w:val="20"/>
        </w:rPr>
        <w:t>Broad practice implications</w:t>
      </w:r>
    </w:p>
    <w:p w14:paraId="2850CCC9" w14:textId="77777777" w:rsidR="007726E2" w:rsidRDefault="00C45717">
      <w:pPr>
        <w:jc w:val="both"/>
        <w:rPr>
          <w:rFonts w:ascii="Arial" w:hAnsi="Arial" w:cs="Arial"/>
          <w:sz w:val="20"/>
        </w:rPr>
      </w:pPr>
      <w:r>
        <w:rPr>
          <w:rFonts w:ascii="Arial" w:hAnsi="Arial" w:cs="Arial"/>
          <w:sz w:val="20"/>
        </w:rPr>
        <w:t>While the paper presents an academic discussion of the issues relating to cumulative harm, its aim is to engage workers in the field with the experience of children and young people whose lives are dynamic, evolving and vulnerable to cumulative harm, particularly at the hands of those who are meant to care for and protect them.</w:t>
      </w:r>
    </w:p>
    <w:p w14:paraId="3ECD08CC" w14:textId="77777777" w:rsidR="003216F3" w:rsidRDefault="003216F3">
      <w:pPr>
        <w:jc w:val="both"/>
        <w:rPr>
          <w:rFonts w:ascii="Arial" w:hAnsi="Arial" w:cs="Arial"/>
          <w:sz w:val="20"/>
        </w:rPr>
      </w:pPr>
    </w:p>
    <w:p w14:paraId="5AD7426A" w14:textId="77777777" w:rsidR="00796994" w:rsidRDefault="00796994">
      <w:pPr>
        <w:jc w:val="both"/>
        <w:rPr>
          <w:rFonts w:ascii="Arial" w:hAnsi="Arial" w:cs="Arial"/>
          <w:sz w:val="20"/>
        </w:rPr>
      </w:pPr>
      <w:r>
        <w:rPr>
          <w:rFonts w:ascii="Arial" w:hAnsi="Arial" w:cs="Arial"/>
          <w:sz w:val="20"/>
        </w:rPr>
        <w:lastRenderedPageBreak/>
        <w:t xml:space="preserve">In </w:t>
      </w:r>
      <w:r w:rsidRPr="00796994">
        <w:rPr>
          <w:rFonts w:ascii="Arial" w:hAnsi="Arial" w:cs="Arial"/>
          <w:i/>
          <w:sz w:val="20"/>
        </w:rPr>
        <w:t>DOHS v Mr D &amp; Ms W</w:t>
      </w:r>
      <w:r>
        <w:rPr>
          <w:rFonts w:ascii="Arial" w:hAnsi="Arial" w:cs="Arial"/>
          <w:sz w:val="20"/>
        </w:rPr>
        <w:t xml:space="preserve"> [2009] </w:t>
      </w:r>
      <w:r w:rsidR="00C74768">
        <w:rPr>
          <w:rFonts w:ascii="Arial" w:hAnsi="Arial" w:cs="Arial"/>
          <w:sz w:val="20"/>
        </w:rPr>
        <w:t xml:space="preserve">VChC 1 </w:t>
      </w:r>
      <w:r>
        <w:rPr>
          <w:rFonts w:ascii="Arial" w:hAnsi="Arial" w:cs="Arial"/>
          <w:sz w:val="20"/>
        </w:rPr>
        <w:t>at pp.94-95, Power M discuss</w:t>
      </w:r>
      <w:r w:rsidR="002572B5">
        <w:rPr>
          <w:rFonts w:ascii="Arial" w:hAnsi="Arial" w:cs="Arial"/>
          <w:sz w:val="20"/>
        </w:rPr>
        <w:t>ed</w:t>
      </w:r>
      <w:r>
        <w:rPr>
          <w:rFonts w:ascii="Arial" w:hAnsi="Arial" w:cs="Arial"/>
          <w:sz w:val="20"/>
        </w:rPr>
        <w:t xml:space="preserve"> what he termed “The Misunderstood Concept of ‘Cumulative Harm’”:</w:t>
      </w:r>
    </w:p>
    <w:p w14:paraId="0F1BC137" w14:textId="77777777" w:rsidR="00796994" w:rsidRPr="00DC7D04" w:rsidRDefault="00796994" w:rsidP="00F04E13">
      <w:pPr>
        <w:spacing w:before="60"/>
        <w:ind w:left="567" w:right="567"/>
        <w:jc w:val="both"/>
        <w:rPr>
          <w:rFonts w:ascii="Arial" w:hAnsi="Arial" w:cs="Arial"/>
          <w:sz w:val="20"/>
        </w:rPr>
      </w:pPr>
      <w:r>
        <w:rPr>
          <w:rFonts w:ascii="Arial" w:hAnsi="Arial" w:cs="Arial"/>
          <w:sz w:val="20"/>
        </w:rPr>
        <w:t xml:space="preserve">“In their reports [the protective workers] have cut and pasted part of Robyn Miller’s paper </w:t>
      </w:r>
      <w:r w:rsidR="00F83923">
        <w:rPr>
          <w:rFonts w:ascii="Arial" w:hAnsi="Arial" w:cs="Arial"/>
          <w:sz w:val="20"/>
        </w:rPr>
        <w:t>‘</w:t>
      </w:r>
      <w:r w:rsidR="00DC7D04" w:rsidRPr="00DC7D04">
        <w:rPr>
          <w:rFonts w:ascii="Arial" w:hAnsi="Arial" w:cs="Arial"/>
          <w:sz w:val="20"/>
        </w:rPr>
        <w:t xml:space="preserve">Cumulative Harm: </w:t>
      </w:r>
      <w:r w:rsidR="0055674E">
        <w:rPr>
          <w:rFonts w:ascii="Arial" w:hAnsi="Arial" w:cs="Arial"/>
          <w:sz w:val="20"/>
        </w:rPr>
        <w:t>A</w:t>
      </w:r>
      <w:r w:rsidR="00DC7D04" w:rsidRPr="00DC7D04">
        <w:rPr>
          <w:rFonts w:ascii="Arial" w:hAnsi="Arial" w:cs="Arial"/>
          <w:sz w:val="20"/>
        </w:rPr>
        <w:t xml:space="preserve"> Co</w:t>
      </w:r>
      <w:r w:rsidR="002572B5">
        <w:rPr>
          <w:rFonts w:ascii="Arial" w:hAnsi="Arial" w:cs="Arial"/>
          <w:sz w:val="20"/>
        </w:rPr>
        <w:t>nceptual Overview</w:t>
      </w:r>
      <w:r w:rsidR="00F83923">
        <w:rPr>
          <w:rFonts w:ascii="Arial" w:hAnsi="Arial" w:cs="Arial"/>
          <w:sz w:val="20"/>
        </w:rPr>
        <w:t>’</w:t>
      </w:r>
      <w:r w:rsidR="002572B5">
        <w:rPr>
          <w:rFonts w:ascii="Arial" w:hAnsi="Arial" w:cs="Arial"/>
          <w:sz w:val="20"/>
        </w:rPr>
        <w:t xml:space="preserve">, </w:t>
      </w:r>
      <w:r w:rsidR="00DC7D04" w:rsidRPr="00DC7D04">
        <w:rPr>
          <w:rFonts w:ascii="Arial" w:hAnsi="Arial" w:cs="Arial"/>
          <w:sz w:val="20"/>
        </w:rPr>
        <w:t>December 2006</w:t>
      </w:r>
      <w:r w:rsidR="002572B5">
        <w:rPr>
          <w:rFonts w:ascii="Arial" w:hAnsi="Arial" w:cs="Arial"/>
          <w:sz w:val="20"/>
        </w:rPr>
        <w:t>,</w:t>
      </w:r>
      <w:r w:rsidR="00DC7D04" w:rsidRPr="00DC7D04">
        <w:rPr>
          <w:rFonts w:ascii="Arial" w:hAnsi="Arial" w:cs="Arial"/>
          <w:sz w:val="20"/>
        </w:rPr>
        <w:t xml:space="preserve"> p.3</w:t>
      </w:r>
      <w:r w:rsidR="00DC7D04">
        <w:rPr>
          <w:rFonts w:ascii="Arial" w:hAnsi="Arial" w:cs="Arial"/>
          <w:sz w:val="20"/>
        </w:rPr>
        <w:t>:</w:t>
      </w:r>
    </w:p>
    <w:p w14:paraId="36D01341" w14:textId="77777777" w:rsidR="00796994" w:rsidRPr="002572B5" w:rsidRDefault="00F83923" w:rsidP="00F04E13">
      <w:pPr>
        <w:spacing w:before="60"/>
        <w:ind w:left="1134" w:right="1134"/>
        <w:jc w:val="both"/>
        <w:rPr>
          <w:rFonts w:ascii="Arial" w:hAnsi="Arial" w:cs="Arial"/>
          <w:i/>
          <w:sz w:val="20"/>
          <w:u w:val="single"/>
        </w:rPr>
      </w:pPr>
      <w:r>
        <w:rPr>
          <w:rFonts w:ascii="Arial" w:hAnsi="Arial" w:cs="Arial"/>
          <w:i/>
          <w:sz w:val="20"/>
        </w:rPr>
        <w:t>‘</w:t>
      </w:r>
      <w:r w:rsidR="00796994" w:rsidRPr="00DC7D04">
        <w:rPr>
          <w:rFonts w:ascii="Arial" w:hAnsi="Arial" w:cs="Arial"/>
          <w:i/>
          <w:sz w:val="20"/>
        </w:rPr>
        <w:t xml:space="preserve">Cumulative harm refers to the effects of patterns of circumstances and events in a child’s life which diminishes a child’s sense of safety, stability and wellbeing.  Cumulative harm is the existence of compounded experiences of multiple episodes of abuse or layers of neglect.  The unremitting daily impact on the child can be profound and exponential, covering multiple dimensions of the child’s life.  Cumulative harm </w:t>
      </w:r>
      <w:r w:rsidR="00796994" w:rsidRPr="002572B5">
        <w:rPr>
          <w:rFonts w:ascii="Arial" w:hAnsi="Arial" w:cs="Arial"/>
          <w:i/>
          <w:sz w:val="20"/>
          <w:u w:val="single"/>
        </w:rPr>
        <w:t>is</w:t>
      </w:r>
      <w:r w:rsidR="00796994" w:rsidRPr="00DC7D04">
        <w:rPr>
          <w:rFonts w:ascii="Arial" w:hAnsi="Arial" w:cs="Arial"/>
          <w:i/>
          <w:sz w:val="20"/>
        </w:rPr>
        <w:t xml:space="preserve"> experienced by a child as a result of a pattern of harmful events and experiences that may be historical, or ongoing with the strong possibility of the risk factors being multiple, interrelated and co-existing over critical developmental periods</w:t>
      </w:r>
      <w:r w:rsidR="00FF670C">
        <w:rPr>
          <w:rFonts w:ascii="Arial" w:hAnsi="Arial" w:cs="Arial"/>
          <w:i/>
          <w:sz w:val="20"/>
        </w:rPr>
        <w:t>’</w:t>
      </w:r>
      <w:r w:rsidR="002572B5">
        <w:rPr>
          <w:rFonts w:ascii="Arial" w:hAnsi="Arial" w:cs="Arial"/>
          <w:i/>
          <w:sz w:val="20"/>
        </w:rPr>
        <w:t xml:space="preserve"> [emphasis by Power M]</w:t>
      </w:r>
    </w:p>
    <w:p w14:paraId="677F67E6" w14:textId="77777777" w:rsidR="00DC7D04" w:rsidRPr="00DC7D04" w:rsidRDefault="00DC7D04" w:rsidP="00D74C22">
      <w:pPr>
        <w:spacing w:before="120"/>
        <w:ind w:left="567" w:right="567"/>
        <w:jc w:val="both"/>
        <w:rPr>
          <w:rFonts w:ascii="Arial" w:hAnsi="Arial" w:cs="Arial"/>
          <w:sz w:val="20"/>
        </w:rPr>
      </w:pPr>
      <w:r>
        <w:rPr>
          <w:rFonts w:ascii="Arial" w:hAnsi="Arial" w:cs="Arial"/>
          <w:sz w:val="20"/>
        </w:rPr>
        <w:t xml:space="preserve">They have also urged that the protection application be proved on [what </w:t>
      </w:r>
      <w:r w:rsidR="002572B5">
        <w:rPr>
          <w:rFonts w:ascii="Arial" w:hAnsi="Arial" w:cs="Arial"/>
          <w:sz w:val="20"/>
        </w:rPr>
        <w:t>wa</w:t>
      </w:r>
      <w:r>
        <w:rPr>
          <w:rFonts w:ascii="Arial" w:hAnsi="Arial" w:cs="Arial"/>
          <w:sz w:val="20"/>
        </w:rPr>
        <w:t>s said to be] the ground set out in s.162(2) of the CYFA which provides:</w:t>
      </w:r>
    </w:p>
    <w:p w14:paraId="1DC1C0BE" w14:textId="00FFA666"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For the purposes of subsections (1)(c) to (1)(f), the harm may be constituted by a single act, omission or circumstance or accumulate through a series of acts, omissions or circumstances.</w:t>
      </w:r>
      <w:r>
        <w:rPr>
          <w:rFonts w:ascii="Arial" w:hAnsi="Arial" w:cs="Arial"/>
          <w:i/>
          <w:sz w:val="20"/>
        </w:rPr>
        <w:t>’</w:t>
      </w:r>
    </w:p>
    <w:p w14:paraId="2D0BF8DD" w14:textId="77777777" w:rsidR="00DC7D04" w:rsidRPr="00DC7D04" w:rsidRDefault="00DC7D04" w:rsidP="00806118">
      <w:pPr>
        <w:spacing w:before="120"/>
        <w:ind w:left="567" w:right="567"/>
        <w:jc w:val="both"/>
        <w:rPr>
          <w:rFonts w:ascii="Arial" w:hAnsi="Arial" w:cs="Arial"/>
          <w:sz w:val="20"/>
        </w:rPr>
      </w:pPr>
      <w:r w:rsidRPr="00DC7D04">
        <w:rPr>
          <w:rFonts w:ascii="Arial" w:hAnsi="Arial" w:cs="Arial"/>
          <w:sz w:val="20"/>
        </w:rPr>
        <w:t xml:space="preserve">The concept expressed in s.162(2) is neither new nor revolutionary.  For as long as I can remember this Court has regularly taken into account the notion of cumulative risk of harm, applying where appropriate dicta of Lord Nicholls of Birkenhead (with whom Lord Goff of Chiefly &amp; Lord Mustill agreed) in </w:t>
      </w:r>
      <w:r w:rsidRPr="00DC7D04">
        <w:rPr>
          <w:rFonts w:ascii="Arial" w:hAnsi="Arial" w:cs="Arial"/>
          <w:i/>
          <w:iCs/>
          <w:sz w:val="20"/>
        </w:rPr>
        <w:t>In re H. &amp; Others (Minors)(Sexual Abuse: Standard of Proof)</w:t>
      </w:r>
      <w:r>
        <w:rPr>
          <w:rFonts w:ascii="Arial" w:hAnsi="Arial" w:cs="Arial"/>
          <w:sz w:val="20"/>
        </w:rPr>
        <w:t xml:space="preserve"> [1996] AC 563,591:</w:t>
      </w:r>
    </w:p>
    <w:p w14:paraId="3F5706D5" w14:textId="77777777" w:rsidR="00DC7D04" w:rsidRPr="00DC7D04" w:rsidRDefault="00F83923" w:rsidP="00DC7D04">
      <w:pPr>
        <w:spacing w:before="60"/>
        <w:ind w:left="1134" w:right="1134"/>
        <w:jc w:val="both"/>
        <w:rPr>
          <w:rFonts w:ascii="Arial" w:hAnsi="Arial" w:cs="Arial"/>
          <w:i/>
          <w:sz w:val="20"/>
        </w:rPr>
      </w:pPr>
      <w:r>
        <w:rPr>
          <w:rFonts w:ascii="Arial" w:hAnsi="Arial" w:cs="Arial"/>
          <w:i/>
          <w:sz w:val="20"/>
        </w:rPr>
        <w:t>‘</w:t>
      </w:r>
      <w:r w:rsidR="00DC7D04">
        <w:rPr>
          <w:rFonts w:ascii="Arial" w:hAnsi="Arial" w:cs="Arial"/>
          <w:i/>
          <w:sz w:val="20"/>
        </w:rPr>
        <w:t>Facts which are minor or even trivial if considered in isolation, when taken together, may suffice to satisfy the court of the likelihood of future harm.</w:t>
      </w:r>
      <w:r>
        <w:rPr>
          <w:rFonts w:ascii="Arial" w:hAnsi="Arial" w:cs="Arial"/>
          <w:i/>
          <w:sz w:val="20"/>
        </w:rPr>
        <w:t>’</w:t>
      </w:r>
    </w:p>
    <w:p w14:paraId="08ADFD56" w14:textId="77777777" w:rsidR="00DC7D04" w:rsidRDefault="00862834" w:rsidP="00606909">
      <w:pPr>
        <w:spacing w:before="120"/>
        <w:ind w:left="567" w:right="567"/>
        <w:jc w:val="both"/>
        <w:rPr>
          <w:rFonts w:ascii="Arial" w:hAnsi="Arial" w:cs="Arial"/>
          <w:sz w:val="20"/>
        </w:rPr>
      </w:pPr>
      <w:r w:rsidRPr="00862834">
        <w:rPr>
          <w:rFonts w:ascii="Arial" w:hAnsi="Arial" w:cs="Arial"/>
          <w:sz w:val="20"/>
        </w:rPr>
        <w:t>And</w:t>
      </w:r>
      <w:r w:rsidR="002572B5">
        <w:rPr>
          <w:rFonts w:ascii="Arial" w:hAnsi="Arial" w:cs="Arial"/>
          <w:sz w:val="20"/>
        </w:rPr>
        <w:t>,</w:t>
      </w:r>
      <w:r w:rsidRPr="00862834">
        <w:rPr>
          <w:rFonts w:ascii="Arial" w:hAnsi="Arial" w:cs="Arial"/>
          <w:sz w:val="20"/>
        </w:rPr>
        <w:t xml:space="preserve"> of course</w:t>
      </w:r>
      <w:r w:rsidR="002572B5">
        <w:rPr>
          <w:rFonts w:ascii="Arial" w:hAnsi="Arial" w:cs="Arial"/>
          <w:sz w:val="20"/>
        </w:rPr>
        <w:t>,</w:t>
      </w:r>
      <w:r w:rsidRPr="00862834">
        <w:rPr>
          <w:rFonts w:ascii="Arial" w:hAnsi="Arial" w:cs="Arial"/>
          <w:sz w:val="20"/>
        </w:rPr>
        <w:t xml:space="preserve"> the less minor and less trivial the multiple facts, the more likely it is that their accumulation will suffice to satisfy the court to the requisite level.</w:t>
      </w:r>
    </w:p>
    <w:p w14:paraId="15DC8B8F" w14:textId="6A9F564B" w:rsidR="00862834" w:rsidRDefault="00862834" w:rsidP="00606909">
      <w:pPr>
        <w:spacing w:before="120"/>
        <w:ind w:left="567" w:right="567"/>
        <w:jc w:val="both"/>
        <w:rPr>
          <w:rFonts w:ascii="Arial" w:hAnsi="Arial" w:cs="Arial"/>
          <w:sz w:val="20"/>
        </w:rPr>
      </w:pPr>
      <w:r w:rsidRPr="00862834">
        <w:rPr>
          <w:rFonts w:ascii="Arial" w:hAnsi="Arial" w:cs="Arial"/>
          <w:sz w:val="20"/>
        </w:rPr>
        <w:t>But s</w:t>
      </w:r>
      <w:r>
        <w:rPr>
          <w:rFonts w:ascii="Arial" w:hAnsi="Arial" w:cs="Arial"/>
          <w:sz w:val="20"/>
        </w:rPr>
        <w:t>.</w:t>
      </w:r>
      <w:r w:rsidRPr="00862834">
        <w:rPr>
          <w:rFonts w:ascii="Arial" w:hAnsi="Arial" w:cs="Arial"/>
          <w:sz w:val="20"/>
        </w:rPr>
        <w:t xml:space="preserve">162(2) of the </w:t>
      </w:r>
      <w:r w:rsidRPr="00862834">
        <w:rPr>
          <w:rFonts w:ascii="Arial" w:hAnsi="Arial" w:cs="Arial"/>
          <w:i/>
          <w:sz w:val="20"/>
        </w:rPr>
        <w:t>CYFA</w:t>
      </w:r>
      <w:r w:rsidRPr="00862834">
        <w:rPr>
          <w:rFonts w:ascii="Arial" w:hAnsi="Arial" w:cs="Arial"/>
          <w:sz w:val="20"/>
        </w:rPr>
        <w:t xml:space="preserve"> does not set out a separate ground for proof of a protection application.  It is clear from its wording that it is no more than an evidentiary provision which may, in appropriate circumstances, make it easier for DOHS to prove one or more of the grounds set out in subsections (1)(c) to (1)(f).</w:t>
      </w:r>
    </w:p>
    <w:p w14:paraId="48E2B315" w14:textId="77777777" w:rsidR="00862834" w:rsidRPr="00862834" w:rsidRDefault="00862834" w:rsidP="008D0BD2">
      <w:pPr>
        <w:spacing w:before="120"/>
        <w:ind w:left="567" w:right="567"/>
        <w:jc w:val="both"/>
        <w:rPr>
          <w:rFonts w:ascii="Arial" w:hAnsi="Arial" w:cs="Arial"/>
          <w:sz w:val="20"/>
        </w:rPr>
      </w:pPr>
      <w:r w:rsidRPr="00862834">
        <w:rPr>
          <w:rFonts w:ascii="Arial" w:hAnsi="Arial" w:cs="Arial"/>
          <w:sz w:val="20"/>
          <w:szCs w:val="20"/>
        </w:rPr>
        <w:t xml:space="preserve">Further, there is one thing in the above extract from Robyn Miller’s fine paper with which I disagree.  That is the underlined word </w:t>
      </w:r>
      <w:r w:rsidR="00F83923">
        <w:rPr>
          <w:rFonts w:ascii="Arial" w:hAnsi="Arial" w:cs="Arial"/>
          <w:sz w:val="20"/>
          <w:szCs w:val="20"/>
        </w:rPr>
        <w:t>‘</w:t>
      </w:r>
      <w:r w:rsidRPr="00862834">
        <w:rPr>
          <w:rFonts w:ascii="Arial" w:hAnsi="Arial" w:cs="Arial"/>
          <w:i/>
          <w:sz w:val="20"/>
          <w:szCs w:val="20"/>
          <w:u w:val="single"/>
        </w:rPr>
        <w:t>is</w:t>
      </w:r>
      <w:r w:rsidR="00F83923">
        <w:rPr>
          <w:rFonts w:ascii="Arial" w:hAnsi="Arial" w:cs="Arial"/>
          <w:sz w:val="20"/>
          <w:szCs w:val="20"/>
        </w:rPr>
        <w:t>’</w:t>
      </w:r>
      <w:r w:rsidRPr="00862834">
        <w:rPr>
          <w:rFonts w:ascii="Arial" w:hAnsi="Arial" w:cs="Arial"/>
          <w:sz w:val="20"/>
          <w:szCs w:val="20"/>
        </w:rPr>
        <w:t xml:space="preserve">.  In my view it should read </w:t>
      </w:r>
      <w:r w:rsidR="00F83923">
        <w:rPr>
          <w:rFonts w:ascii="Arial" w:hAnsi="Arial" w:cs="Arial"/>
          <w:sz w:val="20"/>
          <w:szCs w:val="20"/>
        </w:rPr>
        <w:t>‘</w:t>
      </w:r>
      <w:r w:rsidRPr="00862834">
        <w:rPr>
          <w:rFonts w:ascii="Arial" w:hAnsi="Arial" w:cs="Arial"/>
          <w:i/>
          <w:sz w:val="20"/>
          <w:szCs w:val="20"/>
          <w:u w:val="single"/>
        </w:rPr>
        <w:t>may be</w:t>
      </w:r>
      <w:r w:rsidR="00F83923">
        <w:rPr>
          <w:rFonts w:ascii="Arial" w:hAnsi="Arial" w:cs="Arial"/>
          <w:sz w:val="20"/>
          <w:szCs w:val="20"/>
        </w:rPr>
        <w:t>’</w:t>
      </w:r>
      <w:r w:rsidRPr="00862834">
        <w:rPr>
          <w:rFonts w:ascii="Arial" w:hAnsi="Arial" w:cs="Arial"/>
          <w:sz w:val="20"/>
          <w:szCs w:val="20"/>
        </w:rPr>
        <w:t xml:space="preserve">.  To say that harm </w:t>
      </w:r>
      <w:r w:rsidRPr="00862834">
        <w:rPr>
          <w:rFonts w:ascii="Arial" w:hAnsi="Arial" w:cs="Arial"/>
          <w:i/>
          <w:sz w:val="20"/>
          <w:szCs w:val="20"/>
          <w:u w:val="single"/>
        </w:rPr>
        <w:t>is</w:t>
      </w:r>
      <w:r w:rsidRPr="00862834">
        <w:rPr>
          <w:rFonts w:ascii="Arial" w:hAnsi="Arial" w:cs="Arial"/>
          <w:sz w:val="20"/>
          <w:szCs w:val="20"/>
        </w:rPr>
        <w:t xml:space="preserve"> experienced by a child as a result of harmful events and experiences ignores the reality of resilience and treats a child as a automaton.  Some children may be harmed by exposure to relatively minor events.  Other children may not be harmed by exposure to relatively traumatic events.  It all depends on the resilience of the child.  There is no evidence in this case that </w:t>
      </w:r>
      <w:r>
        <w:rPr>
          <w:rFonts w:ascii="Arial" w:hAnsi="Arial" w:cs="Arial"/>
          <w:sz w:val="20"/>
          <w:szCs w:val="20"/>
        </w:rPr>
        <w:t>[any of the three children]</w:t>
      </w:r>
      <w:r w:rsidRPr="00862834">
        <w:rPr>
          <w:rFonts w:ascii="Arial" w:hAnsi="Arial" w:cs="Arial"/>
          <w:sz w:val="20"/>
          <w:szCs w:val="20"/>
        </w:rPr>
        <w:t xml:space="preserve"> have actually been physically harmed or psychologically harmed as yet by exposure to life events.  This suggests to me that they are probably rather robust, resilient children since their life experiences to date could fairly be described as somewhat chaotic.  If they have not yet suffered harm, it makes no sense to speak of them having suffered cumulative harm.  In algebraic terms 0</w:t>
      </w:r>
      <w:r w:rsidRPr="00862834">
        <w:rPr>
          <w:rFonts w:ascii="Arial" w:hAnsi="Arial" w:cs="Arial"/>
          <w:sz w:val="20"/>
          <w:szCs w:val="20"/>
          <w:vertAlign w:val="superscript"/>
        </w:rPr>
        <w:t>x</w:t>
      </w:r>
      <w:r w:rsidRPr="00862834">
        <w:rPr>
          <w:rFonts w:ascii="Arial" w:hAnsi="Arial" w:cs="Arial"/>
          <w:sz w:val="20"/>
          <w:szCs w:val="20"/>
        </w:rPr>
        <w:t xml:space="preserve"> = 0.  The relevance of Robyn Miller’s thesis to the present case is in relation to cumulative </w:t>
      </w:r>
      <w:r w:rsidRPr="00862834">
        <w:rPr>
          <w:rFonts w:ascii="Arial" w:hAnsi="Arial" w:cs="Arial"/>
          <w:sz w:val="20"/>
          <w:szCs w:val="20"/>
          <w:u w:val="single"/>
        </w:rPr>
        <w:t>risk of</w:t>
      </w:r>
      <w:r w:rsidRPr="00862834">
        <w:rPr>
          <w:rFonts w:ascii="Arial" w:hAnsi="Arial" w:cs="Arial"/>
          <w:sz w:val="20"/>
          <w:szCs w:val="20"/>
        </w:rPr>
        <w:t xml:space="preserve"> harm, not to cumulative harm </w:t>
      </w:r>
      <w:r w:rsidRPr="00862834">
        <w:rPr>
          <w:rFonts w:ascii="Arial" w:hAnsi="Arial" w:cs="Arial"/>
          <w:i/>
          <w:sz w:val="20"/>
          <w:szCs w:val="20"/>
        </w:rPr>
        <w:t>per</w:t>
      </w:r>
      <w:r>
        <w:rPr>
          <w:rFonts w:ascii="Arial" w:hAnsi="Arial" w:cs="Arial"/>
          <w:i/>
          <w:sz w:val="20"/>
          <w:szCs w:val="20"/>
        </w:rPr>
        <w:t> </w:t>
      </w:r>
      <w:r w:rsidRPr="00862834">
        <w:rPr>
          <w:rFonts w:ascii="Arial" w:hAnsi="Arial" w:cs="Arial"/>
          <w:i/>
          <w:sz w:val="20"/>
          <w:szCs w:val="20"/>
        </w:rPr>
        <w:t>se</w:t>
      </w:r>
      <w:r w:rsidRPr="00862834">
        <w:rPr>
          <w:rFonts w:ascii="Arial" w:hAnsi="Arial" w:cs="Arial"/>
          <w:sz w:val="20"/>
          <w:szCs w:val="20"/>
        </w:rPr>
        <w:t>.</w:t>
      </w:r>
      <w:r>
        <w:rPr>
          <w:rFonts w:ascii="Arial" w:hAnsi="Arial" w:cs="Arial"/>
          <w:sz w:val="20"/>
          <w:szCs w:val="20"/>
        </w:rPr>
        <w:t>”</w:t>
      </w:r>
    </w:p>
    <w:p w14:paraId="3BFD0711" w14:textId="77777777" w:rsidR="00F034D2" w:rsidRDefault="00F034D2" w:rsidP="00F034D2">
      <w:pPr>
        <w:jc w:val="both"/>
        <w:rPr>
          <w:rFonts w:ascii="Arial" w:hAnsi="Arial" w:cs="Arial"/>
          <w:sz w:val="20"/>
        </w:rPr>
      </w:pPr>
    </w:p>
    <w:p w14:paraId="0BA05FF4" w14:textId="4037C934" w:rsidR="00693223" w:rsidRDefault="00693223" w:rsidP="00CA2663">
      <w:pPr>
        <w:pStyle w:val="Heading2"/>
        <w:keepNext/>
        <w:keepLines/>
        <w:tabs>
          <w:tab w:val="left" w:pos="567"/>
        </w:tabs>
        <w:spacing w:line="240" w:lineRule="auto"/>
        <w:rPr>
          <w:rFonts w:ascii="Arial" w:hAnsi="Arial" w:cs="Arial"/>
          <w:b/>
          <w:bCs/>
        </w:rPr>
      </w:pPr>
      <w:bookmarkStart w:id="1627" w:name="_4.16_Effect_on"/>
      <w:bookmarkStart w:id="1628" w:name="B416"/>
      <w:bookmarkStart w:id="1629" w:name="_4.17_Family_Drug"/>
      <w:bookmarkStart w:id="1630" w:name="B417"/>
      <w:bookmarkStart w:id="1631" w:name="_Toc60736220"/>
      <w:bookmarkEnd w:id="1627"/>
      <w:bookmarkEnd w:id="1628"/>
      <w:bookmarkEnd w:id="1629"/>
      <w:bookmarkEnd w:id="1630"/>
      <w:r>
        <w:rPr>
          <w:rFonts w:ascii="Arial" w:hAnsi="Arial" w:cs="Arial"/>
          <w:b/>
          <w:bCs/>
        </w:rPr>
        <w:t>4.1</w:t>
      </w:r>
      <w:r w:rsidR="00E3723D">
        <w:rPr>
          <w:rFonts w:ascii="Arial" w:hAnsi="Arial" w:cs="Arial"/>
          <w:b/>
          <w:bCs/>
          <w:color w:val="000000"/>
        </w:rPr>
        <w:t>6</w:t>
      </w:r>
      <w:r>
        <w:rPr>
          <w:rFonts w:ascii="Arial" w:hAnsi="Arial" w:cs="Arial"/>
          <w:b/>
          <w:bCs/>
        </w:rPr>
        <w:tab/>
      </w:r>
      <w:bookmarkEnd w:id="1631"/>
      <w:r w:rsidR="00B22DF4">
        <w:rPr>
          <w:rFonts w:ascii="Arial" w:hAnsi="Arial" w:cs="Arial"/>
          <w:b/>
          <w:bCs/>
        </w:rPr>
        <w:t>Family Drug Treatment Court</w:t>
      </w:r>
    </w:p>
    <w:p w14:paraId="228DD38E" w14:textId="77777777" w:rsidR="00693223" w:rsidRDefault="00693223">
      <w:pPr>
        <w:rPr>
          <w:rFonts w:ascii="Arial" w:hAnsi="Arial" w:cs="Arial"/>
          <w:sz w:val="16"/>
        </w:rPr>
      </w:pPr>
    </w:p>
    <w:p w14:paraId="35F9C61A" w14:textId="77777777" w:rsidR="00B22DF4" w:rsidRDefault="00B22DF4" w:rsidP="00B22DF4">
      <w:pPr>
        <w:jc w:val="both"/>
        <w:rPr>
          <w:rFonts w:ascii="Arial" w:hAnsi="Arial" w:cs="Arial"/>
          <w:sz w:val="20"/>
        </w:rPr>
      </w:pPr>
      <w:r>
        <w:rPr>
          <w:rFonts w:ascii="Arial" w:hAnsi="Arial" w:cs="Arial"/>
          <w:sz w:val="20"/>
        </w:rPr>
        <w:t xml:space="preserve">The Family Drug Treatment Court [‘FDTC’] was launched by the Children’s Court of Victoria in May 2014.  It is based on a paper prepared by Magistrate Greg Levine </w:t>
      </w:r>
      <w:r w:rsidR="00EE0D10">
        <w:rPr>
          <w:rFonts w:ascii="Arial" w:hAnsi="Arial" w:cs="Arial"/>
          <w:sz w:val="20"/>
        </w:rPr>
        <w:t xml:space="preserve">OAM </w:t>
      </w:r>
      <w:r>
        <w:rPr>
          <w:rFonts w:ascii="Arial" w:hAnsi="Arial" w:cs="Arial"/>
          <w:sz w:val="20"/>
        </w:rPr>
        <w:t xml:space="preserve">for the purposes of his Churchill Fellowship which details observations made by His Honour of similar ‘problem-solving courts’ </w:t>
      </w:r>
      <w:r w:rsidR="00276528">
        <w:rPr>
          <w:rFonts w:ascii="Arial" w:hAnsi="Arial" w:cs="Arial"/>
          <w:sz w:val="20"/>
        </w:rPr>
        <w:t xml:space="preserve">operating </w:t>
      </w:r>
      <w:r>
        <w:rPr>
          <w:rFonts w:ascii="Arial" w:hAnsi="Arial" w:cs="Arial"/>
          <w:sz w:val="20"/>
        </w:rPr>
        <w:t>in U</w:t>
      </w:r>
      <w:r w:rsidR="008D1A09">
        <w:rPr>
          <w:rFonts w:ascii="Arial" w:hAnsi="Arial" w:cs="Arial"/>
          <w:sz w:val="20"/>
        </w:rPr>
        <w:t>.S.A. &amp; England.</w:t>
      </w:r>
    </w:p>
    <w:p w14:paraId="4A31B347" w14:textId="77777777" w:rsidR="008D1A09" w:rsidRDefault="008D1A09" w:rsidP="00B22DF4">
      <w:pPr>
        <w:jc w:val="both"/>
        <w:rPr>
          <w:rFonts w:ascii="Arial" w:hAnsi="Arial" w:cs="Arial"/>
          <w:sz w:val="20"/>
        </w:rPr>
      </w:pPr>
    </w:p>
    <w:p w14:paraId="6FB790D8" w14:textId="7CBC6189" w:rsidR="008D1A09" w:rsidRDefault="00E81E1D" w:rsidP="00B22DF4">
      <w:pPr>
        <w:jc w:val="both"/>
        <w:rPr>
          <w:rFonts w:ascii="Arial" w:hAnsi="Arial" w:cs="Arial"/>
          <w:sz w:val="20"/>
        </w:rPr>
      </w:pPr>
      <w:r>
        <w:rPr>
          <w:rFonts w:ascii="Arial" w:hAnsi="Arial" w:cs="Arial"/>
          <w:sz w:val="20"/>
        </w:rPr>
        <w:t>The F</w:t>
      </w:r>
      <w:r w:rsidR="008D1A09">
        <w:rPr>
          <w:rFonts w:ascii="Arial" w:hAnsi="Arial" w:cs="Arial"/>
          <w:sz w:val="20"/>
        </w:rPr>
        <w:t>D</w:t>
      </w:r>
      <w:r>
        <w:rPr>
          <w:rFonts w:ascii="Arial" w:hAnsi="Arial" w:cs="Arial"/>
          <w:sz w:val="20"/>
        </w:rPr>
        <w:t>T</w:t>
      </w:r>
      <w:r w:rsidR="008D1A09">
        <w:rPr>
          <w:rFonts w:ascii="Arial" w:hAnsi="Arial" w:cs="Arial"/>
          <w:sz w:val="20"/>
        </w:rPr>
        <w:t xml:space="preserve">C </w:t>
      </w:r>
      <w:r w:rsidR="003D782E">
        <w:rPr>
          <w:rFonts w:ascii="Arial" w:hAnsi="Arial" w:cs="Arial"/>
          <w:sz w:val="20"/>
        </w:rPr>
        <w:t xml:space="preserve">is a </w:t>
      </w:r>
      <w:r w:rsidR="008D1A09">
        <w:rPr>
          <w:rFonts w:ascii="Arial" w:hAnsi="Arial" w:cs="Arial"/>
          <w:sz w:val="20"/>
        </w:rPr>
        <w:t xml:space="preserve">program operating within the Family Division of the Children’s Court.  It engages parents whose </w:t>
      </w:r>
      <w:r w:rsidR="007650BD">
        <w:rPr>
          <w:rFonts w:ascii="Arial" w:hAnsi="Arial" w:cs="Arial"/>
          <w:sz w:val="20"/>
        </w:rPr>
        <w:t>drug and/or alcohol</w:t>
      </w:r>
      <w:r w:rsidR="008D1A09">
        <w:rPr>
          <w:rFonts w:ascii="Arial" w:hAnsi="Arial" w:cs="Arial"/>
          <w:sz w:val="20"/>
        </w:rPr>
        <w:t xml:space="preserve"> misuse/dependence has played a significant part in their </w:t>
      </w:r>
      <w:r w:rsidR="008D1A09">
        <w:rPr>
          <w:rFonts w:ascii="Arial" w:hAnsi="Arial" w:cs="Arial"/>
          <w:sz w:val="20"/>
        </w:rPr>
        <w:lastRenderedPageBreak/>
        <w:t xml:space="preserve">removal of their child/children from their care.  </w:t>
      </w:r>
      <w:r>
        <w:rPr>
          <w:rFonts w:ascii="Arial" w:hAnsi="Arial" w:cs="Arial"/>
          <w:sz w:val="20"/>
        </w:rPr>
        <w:t>Utilising intensive case coordination and therapeutic intervention to address issues of substance misuse/dependence, mental health, housing and deficits in parenting and financial management, amongst other things, the FDTC aims to achieve permanent, sustainable family reunification of children with their parents.</w:t>
      </w:r>
    </w:p>
    <w:p w14:paraId="703C9771" w14:textId="77777777" w:rsidR="00E81E1D" w:rsidRDefault="00E81E1D" w:rsidP="00B22DF4">
      <w:pPr>
        <w:jc w:val="both"/>
        <w:rPr>
          <w:rFonts w:ascii="Arial" w:hAnsi="Arial" w:cs="Arial"/>
          <w:sz w:val="20"/>
        </w:rPr>
      </w:pPr>
    </w:p>
    <w:p w14:paraId="5F8AB652" w14:textId="77777777" w:rsidR="00E81E1D" w:rsidRDefault="00E81E1D" w:rsidP="00B22DF4">
      <w:pPr>
        <w:jc w:val="both"/>
        <w:rPr>
          <w:rFonts w:ascii="Arial" w:hAnsi="Arial" w:cs="Arial"/>
          <w:sz w:val="20"/>
        </w:rPr>
      </w:pPr>
      <w:r>
        <w:rPr>
          <w:rFonts w:ascii="Arial" w:hAnsi="Arial" w:cs="Arial"/>
          <w:sz w:val="20"/>
        </w:rPr>
        <w:t>The FDTC comprises a dedicated multi-disciplinary team of professionals across a variety of government agencies and non-government organisations, led by a dedicated Children’s Court judicial officer.  By combining such a diverse range of professionals, the underpinning philosophy of collaborative practice is maintained and positive outcomes are more likely to be achieved.</w:t>
      </w:r>
    </w:p>
    <w:p w14:paraId="678153C2" w14:textId="77777777" w:rsidR="00E81E1D" w:rsidRDefault="00E81E1D" w:rsidP="00B22DF4">
      <w:pPr>
        <w:jc w:val="both"/>
        <w:rPr>
          <w:rFonts w:ascii="Arial" w:hAnsi="Arial" w:cs="Arial"/>
          <w:sz w:val="20"/>
        </w:rPr>
      </w:pPr>
    </w:p>
    <w:p w14:paraId="67772FDC" w14:textId="77777777" w:rsidR="00E81E1D" w:rsidRDefault="00E81E1D" w:rsidP="00B22DF4">
      <w:pPr>
        <w:jc w:val="both"/>
        <w:rPr>
          <w:rFonts w:ascii="Arial" w:hAnsi="Arial" w:cs="Arial"/>
          <w:sz w:val="20"/>
        </w:rPr>
      </w:pPr>
      <w:r>
        <w:rPr>
          <w:rFonts w:ascii="Arial" w:hAnsi="Arial" w:cs="Arial"/>
          <w:sz w:val="20"/>
        </w:rPr>
        <w:t>Once a referral to the program has been made, the parent must undergo an eligibility screening conducted by the Court.  This is followed by a clinical assessment to determine the parent’s suitability and identify issues of substance misuse, mental and physical health and a variety of other factors that may have led to the removal of the parent’s child/children.  This assessment forms the basis for the parent’s individual treatment plan whilst on the program.</w:t>
      </w:r>
    </w:p>
    <w:p w14:paraId="62740AD3" w14:textId="77777777" w:rsidR="00E81E1D" w:rsidRDefault="00E81E1D" w:rsidP="00B22DF4">
      <w:pPr>
        <w:jc w:val="both"/>
        <w:rPr>
          <w:rFonts w:ascii="Arial" w:hAnsi="Arial" w:cs="Arial"/>
          <w:sz w:val="20"/>
        </w:rPr>
      </w:pPr>
    </w:p>
    <w:p w14:paraId="18D01CD1" w14:textId="77777777" w:rsidR="00276528" w:rsidRDefault="00E81E1D" w:rsidP="00B22DF4">
      <w:pPr>
        <w:jc w:val="both"/>
        <w:rPr>
          <w:rFonts w:ascii="Arial" w:hAnsi="Arial" w:cs="Arial"/>
          <w:sz w:val="20"/>
        </w:rPr>
      </w:pPr>
      <w:r>
        <w:rPr>
          <w:rFonts w:ascii="Arial" w:hAnsi="Arial" w:cs="Arial"/>
          <w:sz w:val="20"/>
        </w:rPr>
        <w:t xml:space="preserve">Once an individual treatment plan has been formulated and treatment begins the parent is required to participate fully in </w:t>
      </w:r>
      <w:r w:rsidR="00276528">
        <w:rPr>
          <w:rFonts w:ascii="Arial" w:hAnsi="Arial" w:cs="Arial"/>
          <w:sz w:val="20"/>
        </w:rPr>
        <w:t>the activities he/she has agreed to as part of his/her rehabilitation.  These may include-</w:t>
      </w:r>
    </w:p>
    <w:p w14:paraId="02EE4171" w14:textId="77777777" w:rsidR="00E81E1D" w:rsidRDefault="00276528">
      <w:pPr>
        <w:numPr>
          <w:ilvl w:val="0"/>
          <w:numId w:val="39"/>
        </w:numPr>
        <w:ind w:left="357" w:hanging="357"/>
        <w:jc w:val="both"/>
        <w:rPr>
          <w:rFonts w:ascii="Arial" w:hAnsi="Arial" w:cs="Arial"/>
          <w:sz w:val="20"/>
        </w:rPr>
      </w:pPr>
      <w:r>
        <w:rPr>
          <w:rFonts w:ascii="Arial" w:hAnsi="Arial" w:cs="Arial"/>
          <w:sz w:val="20"/>
        </w:rPr>
        <w:t>regular court appearances to facilitate monitoring of progress by the FDTC judicial officer;</w:t>
      </w:r>
    </w:p>
    <w:p w14:paraId="0951326B" w14:textId="77777777" w:rsidR="00276528" w:rsidRDefault="00276528">
      <w:pPr>
        <w:numPr>
          <w:ilvl w:val="0"/>
          <w:numId w:val="39"/>
        </w:numPr>
        <w:ind w:left="357" w:hanging="357"/>
        <w:jc w:val="both"/>
        <w:rPr>
          <w:rFonts w:ascii="Arial" w:hAnsi="Arial" w:cs="Arial"/>
          <w:sz w:val="20"/>
        </w:rPr>
      </w:pPr>
      <w:r>
        <w:rPr>
          <w:rFonts w:ascii="Arial" w:hAnsi="Arial" w:cs="Arial"/>
          <w:sz w:val="20"/>
        </w:rPr>
        <w:t>participating in regular tests for the use of non-prescribed substances; and</w:t>
      </w:r>
    </w:p>
    <w:p w14:paraId="0B07E65A" w14:textId="77777777" w:rsidR="00276528" w:rsidRDefault="00276528">
      <w:pPr>
        <w:numPr>
          <w:ilvl w:val="0"/>
          <w:numId w:val="39"/>
        </w:numPr>
        <w:ind w:left="357" w:hanging="357"/>
        <w:jc w:val="both"/>
        <w:rPr>
          <w:rFonts w:ascii="Arial" w:hAnsi="Arial" w:cs="Arial"/>
          <w:sz w:val="20"/>
        </w:rPr>
      </w:pPr>
      <w:r>
        <w:rPr>
          <w:rFonts w:ascii="Arial" w:hAnsi="Arial" w:cs="Arial"/>
          <w:sz w:val="20"/>
        </w:rPr>
        <w:t>attending a range of treatment and case management services as well as parenting support programs.</w:t>
      </w:r>
    </w:p>
    <w:p w14:paraId="70F13A10" w14:textId="77777777" w:rsidR="00276528" w:rsidRDefault="00276528" w:rsidP="00276528">
      <w:pPr>
        <w:jc w:val="both"/>
        <w:rPr>
          <w:rFonts w:ascii="Arial" w:hAnsi="Arial" w:cs="Arial"/>
          <w:sz w:val="20"/>
        </w:rPr>
      </w:pPr>
    </w:p>
    <w:p w14:paraId="714D728B" w14:textId="77777777" w:rsidR="00276528" w:rsidRDefault="00276528" w:rsidP="00276528">
      <w:pPr>
        <w:jc w:val="both"/>
        <w:rPr>
          <w:rFonts w:ascii="Arial" w:hAnsi="Arial" w:cs="Arial"/>
          <w:sz w:val="20"/>
        </w:rPr>
      </w:pPr>
      <w:r>
        <w:rPr>
          <w:rFonts w:ascii="Arial" w:hAnsi="Arial" w:cs="Arial"/>
          <w:sz w:val="20"/>
        </w:rPr>
        <w:t>Once a parent has achieved significant progress in his/her recovery, the FDTC team will work with that parent to prepare for incremental reunification of the children with the parent.  Parents fully graduate from the program once unconditional reunification of the family has been achieved.  This process is generally expected to take approximately 12 months.</w:t>
      </w:r>
    </w:p>
    <w:p w14:paraId="43302CB7" w14:textId="77777777" w:rsidR="00276528" w:rsidRDefault="00276528" w:rsidP="00276528">
      <w:pPr>
        <w:jc w:val="both"/>
        <w:rPr>
          <w:rFonts w:ascii="Arial" w:hAnsi="Arial" w:cs="Arial"/>
          <w:sz w:val="20"/>
        </w:rPr>
      </w:pPr>
    </w:p>
    <w:p w14:paraId="2A3049D0" w14:textId="77777777" w:rsidR="00276528" w:rsidRDefault="00276528" w:rsidP="00276528">
      <w:pPr>
        <w:jc w:val="both"/>
        <w:rPr>
          <w:rFonts w:ascii="Arial" w:hAnsi="Arial" w:cs="Arial"/>
          <w:sz w:val="20"/>
        </w:rPr>
      </w:pPr>
      <w:r>
        <w:rPr>
          <w:rFonts w:ascii="Arial" w:hAnsi="Arial" w:cs="Arial"/>
          <w:sz w:val="20"/>
        </w:rPr>
        <w:t>Parents who are unable to achieve unconditional family reunification at the end of their involvement in the FDTC program may have their children placed permanently in out of home care and any further court involvement with the family’s case will be heard in the mainstream Family Division of the Children’s Court.</w:t>
      </w:r>
    </w:p>
    <w:p w14:paraId="198C8888" w14:textId="77777777" w:rsidR="00276528" w:rsidRDefault="00276528" w:rsidP="00276528">
      <w:pPr>
        <w:jc w:val="both"/>
        <w:rPr>
          <w:rFonts w:ascii="Arial" w:hAnsi="Arial" w:cs="Arial"/>
          <w:sz w:val="20"/>
        </w:rPr>
      </w:pPr>
    </w:p>
    <w:p w14:paraId="3F5E8653" w14:textId="705B489F" w:rsidR="003D782E" w:rsidRDefault="003D782E" w:rsidP="00276528">
      <w:pPr>
        <w:jc w:val="both"/>
        <w:rPr>
          <w:rFonts w:ascii="Arial" w:hAnsi="Arial" w:cs="Arial"/>
          <w:sz w:val="20"/>
        </w:rPr>
      </w:pPr>
      <w:r>
        <w:rPr>
          <w:rFonts w:ascii="Arial" w:hAnsi="Arial" w:cs="Arial"/>
          <w:sz w:val="20"/>
        </w:rPr>
        <w:t>In 2019 the FDTC received the Robin Clark ‘Making a Difference’ award at the Victorian Protecting Children Awards ceremony. The award recognises an individual, team or group within the child and family service sector that has made an exceptional contribution to directly improve the lives of children, young people and families in Victoria.  It is the first time this kind of award has been conferred on a court-based program.</w:t>
      </w:r>
    </w:p>
    <w:p w14:paraId="2853EB7B" w14:textId="77777777" w:rsidR="003D782E" w:rsidRDefault="003D782E" w:rsidP="00276528">
      <w:pPr>
        <w:jc w:val="both"/>
        <w:rPr>
          <w:rFonts w:ascii="Arial" w:hAnsi="Arial" w:cs="Arial"/>
          <w:sz w:val="20"/>
        </w:rPr>
      </w:pPr>
    </w:p>
    <w:p w14:paraId="367D928B" w14:textId="6F98F22A" w:rsidR="00EE0D10" w:rsidRDefault="00EE0D10" w:rsidP="00EE0D10">
      <w:pPr>
        <w:jc w:val="both"/>
        <w:rPr>
          <w:rFonts w:ascii="Arial" w:hAnsi="Arial" w:cs="Arial"/>
          <w:sz w:val="20"/>
        </w:rPr>
      </w:pPr>
      <w:r>
        <w:rPr>
          <w:rFonts w:ascii="Arial" w:hAnsi="Arial" w:cs="Arial"/>
          <w:sz w:val="20"/>
        </w:rPr>
        <w:t xml:space="preserve">The FDTC operates only in respect of cases involving </w:t>
      </w:r>
      <w:r w:rsidR="00785D2D">
        <w:rPr>
          <w:rFonts w:ascii="Arial" w:hAnsi="Arial" w:cs="Arial"/>
          <w:sz w:val="20"/>
        </w:rPr>
        <w:t>DFFH</w:t>
      </w:r>
      <w:r>
        <w:rPr>
          <w:rFonts w:ascii="Arial" w:hAnsi="Arial" w:cs="Arial"/>
          <w:sz w:val="20"/>
        </w:rPr>
        <w:t>’</w:t>
      </w:r>
      <w:r w:rsidR="003D782E">
        <w:rPr>
          <w:rFonts w:ascii="Arial" w:hAnsi="Arial" w:cs="Arial"/>
          <w:sz w:val="20"/>
        </w:rPr>
        <w:t>s</w:t>
      </w:r>
      <w:r>
        <w:rPr>
          <w:rFonts w:ascii="Arial" w:hAnsi="Arial" w:cs="Arial"/>
          <w:sz w:val="20"/>
        </w:rPr>
        <w:t xml:space="preserve"> Preston </w:t>
      </w:r>
      <w:r w:rsidR="00D24154">
        <w:rPr>
          <w:rFonts w:ascii="Arial" w:hAnsi="Arial" w:cs="Arial"/>
          <w:sz w:val="20"/>
        </w:rPr>
        <w:t xml:space="preserve">&amp; Shepparton </w:t>
      </w:r>
      <w:r>
        <w:rPr>
          <w:rFonts w:ascii="Arial" w:hAnsi="Arial" w:cs="Arial"/>
          <w:sz w:val="20"/>
        </w:rPr>
        <w:t>office</w:t>
      </w:r>
      <w:r w:rsidR="00D24154">
        <w:rPr>
          <w:rFonts w:ascii="Arial" w:hAnsi="Arial" w:cs="Arial"/>
          <w:sz w:val="20"/>
        </w:rPr>
        <w:t>s</w:t>
      </w:r>
      <w:r>
        <w:rPr>
          <w:rFonts w:ascii="Arial" w:hAnsi="Arial" w:cs="Arial"/>
          <w:sz w:val="20"/>
        </w:rPr>
        <w:t>.</w:t>
      </w:r>
      <w:r w:rsidR="009E418F">
        <w:rPr>
          <w:rFonts w:ascii="Arial" w:hAnsi="Arial" w:cs="Arial"/>
          <w:sz w:val="20"/>
        </w:rPr>
        <w:t xml:space="preserve"> It</w:t>
      </w:r>
      <w:r w:rsidR="00CE1749">
        <w:rPr>
          <w:rFonts w:ascii="Arial" w:hAnsi="Arial" w:cs="Arial"/>
          <w:sz w:val="20"/>
        </w:rPr>
        <w:t> </w:t>
      </w:r>
      <w:r w:rsidR="009E418F">
        <w:rPr>
          <w:rFonts w:ascii="Arial" w:hAnsi="Arial" w:cs="Arial"/>
          <w:sz w:val="20"/>
        </w:rPr>
        <w:t>originally sat in Melbourne but since November 2015 it has sat at the new Broadmeadows Children’s Court.</w:t>
      </w:r>
      <w:r w:rsidR="00D24154">
        <w:rPr>
          <w:rFonts w:ascii="Arial" w:hAnsi="Arial" w:cs="Arial"/>
          <w:sz w:val="20"/>
        </w:rPr>
        <w:t xml:space="preserve">  </w:t>
      </w:r>
      <w:r w:rsidR="003D782E">
        <w:rPr>
          <w:rFonts w:ascii="Arial" w:hAnsi="Arial" w:cs="Arial"/>
          <w:sz w:val="20"/>
        </w:rPr>
        <w:t xml:space="preserve">It now also sits </w:t>
      </w:r>
      <w:r w:rsidR="00D24154">
        <w:rPr>
          <w:rFonts w:ascii="Arial" w:hAnsi="Arial" w:cs="Arial"/>
          <w:sz w:val="20"/>
        </w:rPr>
        <w:t>at Shepparton Children’s Court.</w:t>
      </w:r>
    </w:p>
    <w:p w14:paraId="0A6BB591" w14:textId="77777777" w:rsidR="00B22DF4" w:rsidRDefault="00B22DF4" w:rsidP="00B22DF4">
      <w:pPr>
        <w:rPr>
          <w:rFonts w:ascii="Arial" w:hAnsi="Arial" w:cs="Arial"/>
          <w:sz w:val="16"/>
        </w:rPr>
      </w:pPr>
    </w:p>
    <w:p w14:paraId="612131B3" w14:textId="77777777" w:rsidR="00D24154" w:rsidRDefault="00D24154" w:rsidP="00B22DF4">
      <w:pPr>
        <w:rPr>
          <w:rFonts w:ascii="Arial" w:hAnsi="Arial" w:cs="Arial"/>
          <w:sz w:val="20"/>
          <w:szCs w:val="32"/>
        </w:rPr>
      </w:pPr>
      <w:r w:rsidRPr="00D24154">
        <w:rPr>
          <w:rFonts w:ascii="Arial" w:hAnsi="Arial" w:cs="Arial"/>
          <w:sz w:val="20"/>
          <w:szCs w:val="32"/>
        </w:rPr>
        <w:t xml:space="preserve">In the Children’s Court of Victoria 2018/19 Annual Report the </w:t>
      </w:r>
      <w:r>
        <w:rPr>
          <w:rFonts w:ascii="Arial" w:hAnsi="Arial" w:cs="Arial"/>
          <w:sz w:val="20"/>
          <w:szCs w:val="32"/>
        </w:rPr>
        <w:t>following information is provided about the FDTC:</w:t>
      </w:r>
    </w:p>
    <w:p w14:paraId="517C7871" w14:textId="77777777" w:rsidR="00D24154" w:rsidRPr="00D24154" w:rsidRDefault="00D24154" w:rsidP="00D24154">
      <w:pPr>
        <w:spacing w:before="60"/>
        <w:ind w:left="567" w:right="567"/>
        <w:jc w:val="both"/>
        <w:rPr>
          <w:rFonts w:ascii="Arial" w:hAnsi="Arial" w:cs="Arial"/>
          <w:sz w:val="20"/>
          <w:szCs w:val="32"/>
        </w:rPr>
      </w:pPr>
      <w:r>
        <w:rPr>
          <w:rFonts w:ascii="Arial" w:hAnsi="Arial" w:cs="Arial"/>
          <w:sz w:val="20"/>
          <w:szCs w:val="32"/>
        </w:rPr>
        <w:t>“Throughout 2018-19, the FDTC program received 65 referrals and worked with 56 parents of 85 children across Broadmeadows and Shepparton.  It is too early into the program for meaningful outcome data from Shepparton but in the 2018-19 period 52% of the parents on the program achieved reunification with their children.  A total of 80% of program participants who maintained engagement for at least 9 months of the 12 month program have achieved reunification with their children.”</w:t>
      </w:r>
    </w:p>
    <w:p w14:paraId="2F256DC7" w14:textId="77777777" w:rsidR="003D782E" w:rsidRDefault="003D782E" w:rsidP="003D782E">
      <w:pPr>
        <w:rPr>
          <w:rFonts w:ascii="Arial" w:hAnsi="Arial" w:cs="Arial"/>
          <w:sz w:val="16"/>
        </w:rPr>
      </w:pPr>
    </w:p>
    <w:p w14:paraId="49F14641" w14:textId="02529EAF" w:rsidR="003D782E" w:rsidRDefault="003D782E" w:rsidP="003D782E">
      <w:pPr>
        <w:rPr>
          <w:rFonts w:ascii="Arial" w:hAnsi="Arial" w:cs="Arial"/>
          <w:sz w:val="20"/>
          <w:szCs w:val="32"/>
        </w:rPr>
      </w:pPr>
      <w:r w:rsidRPr="00D24154">
        <w:rPr>
          <w:rFonts w:ascii="Arial" w:hAnsi="Arial" w:cs="Arial"/>
          <w:sz w:val="20"/>
          <w:szCs w:val="32"/>
        </w:rPr>
        <w:t>In the 201</w:t>
      </w:r>
      <w:r>
        <w:rPr>
          <w:rFonts w:ascii="Arial" w:hAnsi="Arial" w:cs="Arial"/>
          <w:sz w:val="20"/>
          <w:szCs w:val="32"/>
        </w:rPr>
        <w:t>9</w:t>
      </w:r>
      <w:r w:rsidRPr="00D24154">
        <w:rPr>
          <w:rFonts w:ascii="Arial" w:hAnsi="Arial" w:cs="Arial"/>
          <w:sz w:val="20"/>
          <w:szCs w:val="32"/>
        </w:rPr>
        <w:t>/</w:t>
      </w:r>
      <w:r>
        <w:rPr>
          <w:rFonts w:ascii="Arial" w:hAnsi="Arial" w:cs="Arial"/>
          <w:sz w:val="20"/>
          <w:szCs w:val="32"/>
        </w:rPr>
        <w:t>20</w:t>
      </w:r>
      <w:r w:rsidRPr="00D24154">
        <w:rPr>
          <w:rFonts w:ascii="Arial" w:hAnsi="Arial" w:cs="Arial"/>
          <w:sz w:val="20"/>
          <w:szCs w:val="32"/>
        </w:rPr>
        <w:t xml:space="preserve"> Annual Report the </w:t>
      </w:r>
      <w:r>
        <w:rPr>
          <w:rFonts w:ascii="Arial" w:hAnsi="Arial" w:cs="Arial"/>
          <w:sz w:val="20"/>
          <w:szCs w:val="32"/>
        </w:rPr>
        <w:t>following information is provided about the FDTC:</w:t>
      </w:r>
    </w:p>
    <w:p w14:paraId="48211915" w14:textId="77777777" w:rsidR="003D782E" w:rsidRDefault="003D782E" w:rsidP="003D782E">
      <w:pPr>
        <w:spacing w:before="60"/>
        <w:ind w:left="567" w:right="567"/>
        <w:jc w:val="both"/>
        <w:rPr>
          <w:rFonts w:ascii="Arial" w:hAnsi="Arial" w:cs="Arial"/>
          <w:sz w:val="20"/>
          <w:szCs w:val="32"/>
        </w:rPr>
      </w:pPr>
      <w:r>
        <w:rPr>
          <w:rFonts w:ascii="Arial" w:hAnsi="Arial" w:cs="Arial"/>
          <w:sz w:val="20"/>
          <w:szCs w:val="32"/>
        </w:rPr>
        <w:t>“</w:t>
      </w:r>
      <w:r w:rsidR="00026072">
        <w:rPr>
          <w:rFonts w:ascii="Arial" w:hAnsi="Arial" w:cs="Arial"/>
          <w:sz w:val="20"/>
          <w:szCs w:val="32"/>
        </w:rPr>
        <w:t xml:space="preserve">During the reporting period, the </w:t>
      </w:r>
      <w:r>
        <w:rPr>
          <w:rFonts w:ascii="Arial" w:hAnsi="Arial" w:cs="Arial"/>
          <w:sz w:val="20"/>
          <w:szCs w:val="32"/>
        </w:rPr>
        <w:t xml:space="preserve">FDTC </w:t>
      </w:r>
      <w:r w:rsidR="00026072">
        <w:rPr>
          <w:rFonts w:ascii="Arial" w:hAnsi="Arial" w:cs="Arial"/>
          <w:sz w:val="20"/>
          <w:szCs w:val="32"/>
        </w:rPr>
        <w:t xml:space="preserve">program received referrals for 62 parents of 118 children across both the Broadmeadows and Shepparton program locations, leading to the induction into the program of 30 parents of 59 children.  Of the total number of FDTC participants (inclusive of those inducted prior to the commencement of the 2019-20 year) 57% achieved reunification with their </w:t>
      </w:r>
      <w:r w:rsidR="00026072">
        <w:rPr>
          <w:rFonts w:ascii="Arial" w:hAnsi="Arial" w:cs="Arial"/>
          <w:sz w:val="20"/>
          <w:szCs w:val="32"/>
        </w:rPr>
        <w:lastRenderedPageBreak/>
        <w:t>children.  There is a notable difference in the reunification rate between participants in Broadmeadows (71% reunification rate) and Shepparton (36%).  The reunification gap can be attributed to the Broadmeadows FDTC program being delivered within a specialist Children’s Court context, whereas the Shepparton FDTC program operates with more limited capacity.</w:t>
      </w:r>
    </w:p>
    <w:p w14:paraId="38CC22EE" w14:textId="77777777" w:rsidR="00026072" w:rsidRPr="00D24154" w:rsidRDefault="00026072" w:rsidP="003D782E">
      <w:pPr>
        <w:spacing w:before="60"/>
        <w:ind w:left="567" w:right="567"/>
        <w:jc w:val="both"/>
        <w:rPr>
          <w:rFonts w:ascii="Arial" w:hAnsi="Arial" w:cs="Arial"/>
          <w:sz w:val="20"/>
          <w:szCs w:val="32"/>
        </w:rPr>
      </w:pPr>
      <w:r>
        <w:rPr>
          <w:rFonts w:ascii="Arial" w:hAnsi="Arial" w:cs="Arial"/>
          <w:sz w:val="20"/>
          <w:szCs w:val="32"/>
        </w:rPr>
        <w:t>Since the FDTC program moved online from March 2020, limited access to technology, and generally poorer internet connectivity compared with metropolitan Melbourne may also have reduced program efficacy in Shepparton.”</w:t>
      </w:r>
    </w:p>
    <w:p w14:paraId="0A64D84F" w14:textId="77777777" w:rsidR="002520EE" w:rsidRDefault="002520EE" w:rsidP="002520EE">
      <w:pPr>
        <w:rPr>
          <w:rFonts w:ascii="Arial" w:hAnsi="Arial" w:cs="Arial"/>
          <w:sz w:val="16"/>
        </w:rPr>
      </w:pPr>
    </w:p>
    <w:p w14:paraId="59CB0BFD" w14:textId="369E421E" w:rsidR="002520EE" w:rsidRDefault="002520EE" w:rsidP="002520EE">
      <w:pPr>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20</w:t>
      </w:r>
      <w:r w:rsidRPr="00D24154">
        <w:rPr>
          <w:rFonts w:ascii="Arial" w:hAnsi="Arial" w:cs="Arial"/>
          <w:sz w:val="20"/>
          <w:szCs w:val="32"/>
        </w:rPr>
        <w:t>/</w:t>
      </w:r>
      <w:r>
        <w:rPr>
          <w:rFonts w:ascii="Arial" w:hAnsi="Arial" w:cs="Arial"/>
          <w:sz w:val="20"/>
          <w:szCs w:val="32"/>
        </w:rPr>
        <w:t>21</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5D97D914" w14:textId="77777777" w:rsidR="002520EE" w:rsidRDefault="002520EE" w:rsidP="002520EE">
      <w:pPr>
        <w:spacing w:before="60"/>
        <w:ind w:left="567" w:right="567"/>
        <w:jc w:val="both"/>
        <w:rPr>
          <w:rFonts w:ascii="Arial" w:hAnsi="Arial" w:cs="Arial"/>
          <w:sz w:val="20"/>
          <w:szCs w:val="32"/>
        </w:rPr>
      </w:pPr>
      <w:r>
        <w:rPr>
          <w:rFonts w:ascii="Arial" w:hAnsi="Arial" w:cs="Arial"/>
          <w:sz w:val="20"/>
          <w:szCs w:val="32"/>
        </w:rPr>
        <w:t>“Despite the challenges of online operations in response to COVID-19, the FDTC has continued to achieve great success in assisting participants to achieve a level of recovery that has enhanced rates of sustainable reunification of parents to children.  Inductions into the FDTC grew over the reporting period with 19 parents of 38 children inducted at Broadmeadows and 17 parents of 34 children inducted at Shepparton.</w:t>
      </w:r>
    </w:p>
    <w:p w14:paraId="256FAAE2" w14:textId="77777777" w:rsidR="002520EE" w:rsidRDefault="001E0C00" w:rsidP="002520EE">
      <w:pPr>
        <w:spacing w:before="60"/>
        <w:ind w:left="567" w:right="567"/>
        <w:jc w:val="both"/>
        <w:rPr>
          <w:rFonts w:ascii="Arial" w:hAnsi="Arial" w:cs="Arial"/>
          <w:sz w:val="20"/>
          <w:szCs w:val="32"/>
        </w:rPr>
      </w:pPr>
      <w:r>
        <w:rPr>
          <w:rFonts w:ascii="Arial" w:hAnsi="Arial" w:cs="Arial"/>
          <w:sz w:val="20"/>
          <w:szCs w:val="32"/>
        </w:rPr>
        <w:t>Reunification rates amongst FDTC participants continue to exceed the rate of reunification for children removed from parental care due to drug and alcohol use whose cases are heard in mainstream courts (estimated at 43% through a matched sample).  Reunification rates increase significantly the longer parents engage with the FDTC program, with 59% of participants who engaged for over 6 months achieving reunification in the reporting period.”</w:t>
      </w:r>
    </w:p>
    <w:p w14:paraId="25C5F5D9" w14:textId="77777777" w:rsidR="00B361C8" w:rsidRPr="00D306A9" w:rsidRDefault="00B361C8" w:rsidP="00B361C8">
      <w:pPr>
        <w:jc w:val="both"/>
        <w:rPr>
          <w:rFonts w:ascii="Arial" w:hAnsi="Arial" w:cs="Arial"/>
          <w:sz w:val="16"/>
          <w:szCs w:val="20"/>
        </w:rPr>
      </w:pPr>
    </w:p>
    <w:p w14:paraId="36755E79" w14:textId="7FBFF623" w:rsidR="00B361C8" w:rsidRDefault="00B361C8" w:rsidP="00B361C8">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21</w:t>
      </w:r>
      <w:r w:rsidRPr="00D24154">
        <w:rPr>
          <w:rFonts w:ascii="Arial" w:hAnsi="Arial" w:cs="Arial"/>
          <w:sz w:val="20"/>
          <w:szCs w:val="32"/>
        </w:rPr>
        <w:t>/</w:t>
      </w:r>
      <w:r>
        <w:rPr>
          <w:rFonts w:ascii="Arial" w:hAnsi="Arial" w:cs="Arial"/>
          <w:sz w:val="20"/>
          <w:szCs w:val="32"/>
        </w:rPr>
        <w:t>22</w:t>
      </w:r>
      <w:r w:rsidRPr="00D24154">
        <w:rPr>
          <w:rFonts w:ascii="Arial" w:hAnsi="Arial" w:cs="Arial"/>
          <w:sz w:val="20"/>
          <w:szCs w:val="32"/>
        </w:rPr>
        <w:t xml:space="preserve"> Annual Report </w:t>
      </w:r>
      <w:r>
        <w:rPr>
          <w:rFonts w:ascii="Arial" w:hAnsi="Arial" w:cs="Arial"/>
          <w:sz w:val="20"/>
          <w:szCs w:val="32"/>
        </w:rPr>
        <w:t xml:space="preserve">contains </w:t>
      </w:r>
      <w:r w:rsidRPr="00D24154">
        <w:rPr>
          <w:rFonts w:ascii="Arial" w:hAnsi="Arial" w:cs="Arial"/>
          <w:sz w:val="20"/>
          <w:szCs w:val="32"/>
        </w:rPr>
        <w:t xml:space="preserve">the </w:t>
      </w:r>
      <w:r>
        <w:rPr>
          <w:rFonts w:ascii="Arial" w:hAnsi="Arial" w:cs="Arial"/>
          <w:sz w:val="20"/>
          <w:szCs w:val="32"/>
        </w:rPr>
        <w:t>following information about the FDTC:</w:t>
      </w:r>
    </w:p>
    <w:p w14:paraId="4FB61D3A" w14:textId="08BAC263" w:rsidR="00B361C8" w:rsidRDefault="00B361C8" w:rsidP="00B361C8">
      <w:pPr>
        <w:spacing w:before="60"/>
        <w:ind w:left="567" w:right="567"/>
        <w:jc w:val="both"/>
        <w:rPr>
          <w:noProof/>
          <w:color w:val="000000"/>
        </w:rPr>
      </w:pPr>
      <w:r>
        <w:rPr>
          <w:rFonts w:ascii="Arial" w:hAnsi="Arial" w:cs="Arial"/>
          <w:sz w:val="20"/>
          <w:szCs w:val="32"/>
        </w:rPr>
        <w:t>“Throughout 2021/22, the FDTC has supported 64 parents in working to address their drug and alcohol use with a view to achieving safe and sustainable reunification with their children.  To date, greater than 80% of all participants who completed the 12-month FDTC program have achieved reunification with their children.  Overall, 94% of program graduates have achieved reunification.  In</w:t>
      </w:r>
      <w:r w:rsidR="00CE1749">
        <w:rPr>
          <w:rFonts w:ascii="Arial" w:hAnsi="Arial" w:cs="Arial"/>
          <w:sz w:val="20"/>
          <w:szCs w:val="32"/>
        </w:rPr>
        <w:t xml:space="preserve"> </w:t>
      </w:r>
      <w:r>
        <w:rPr>
          <w:rFonts w:ascii="Arial" w:hAnsi="Arial" w:cs="Arial"/>
          <w:sz w:val="20"/>
          <w:szCs w:val="32"/>
        </w:rPr>
        <w:t>each of Broadmeadows and Shepparton 23 parents were newly inducted in the FDTC during 2021/22.”</w:t>
      </w:r>
      <w:r w:rsidRPr="00C87CED">
        <w:rPr>
          <w:noProof/>
          <w:color w:val="000000"/>
        </w:rPr>
        <w:t xml:space="preserve"> </w:t>
      </w:r>
    </w:p>
    <w:p w14:paraId="47FB790B" w14:textId="38D9B34F" w:rsidR="00D74C22" w:rsidRPr="00CE7BF6" w:rsidRDefault="00D74C22" w:rsidP="00D74C22">
      <w:pPr>
        <w:jc w:val="both"/>
        <w:rPr>
          <w:rFonts w:ascii="Arial" w:hAnsi="Arial" w:cs="Arial"/>
          <w:sz w:val="16"/>
          <w:szCs w:val="20"/>
        </w:rPr>
      </w:pPr>
    </w:p>
    <w:p w14:paraId="5BAA4016" w14:textId="00E5E129" w:rsidR="007650BD" w:rsidRDefault="00D306A9" w:rsidP="007650BD">
      <w:pPr>
        <w:jc w:val="both"/>
        <w:rPr>
          <w:rFonts w:ascii="Arial" w:hAnsi="Arial" w:cs="Arial"/>
          <w:sz w:val="20"/>
          <w:szCs w:val="32"/>
        </w:rPr>
      </w:pPr>
      <w:r>
        <w:rPr>
          <w:rFonts w:ascii="Arial" w:hAnsi="Arial" w:cs="Arial"/>
          <w:sz w:val="20"/>
          <w:szCs w:val="32"/>
        </w:rPr>
        <w:t>T</w:t>
      </w:r>
      <w:r w:rsidRPr="00D24154">
        <w:rPr>
          <w:rFonts w:ascii="Arial" w:hAnsi="Arial" w:cs="Arial"/>
          <w:sz w:val="20"/>
          <w:szCs w:val="32"/>
        </w:rPr>
        <w:t>he 20</w:t>
      </w:r>
      <w:r>
        <w:rPr>
          <w:rFonts w:ascii="Arial" w:hAnsi="Arial" w:cs="Arial"/>
          <w:sz w:val="20"/>
          <w:szCs w:val="32"/>
        </w:rPr>
        <w:t>2</w:t>
      </w:r>
      <w:r w:rsidR="00B361C8">
        <w:rPr>
          <w:rFonts w:ascii="Arial" w:hAnsi="Arial" w:cs="Arial"/>
          <w:sz w:val="20"/>
          <w:szCs w:val="32"/>
        </w:rPr>
        <w:t>2</w:t>
      </w:r>
      <w:r w:rsidRPr="00D24154">
        <w:rPr>
          <w:rFonts w:ascii="Arial" w:hAnsi="Arial" w:cs="Arial"/>
          <w:sz w:val="20"/>
          <w:szCs w:val="32"/>
        </w:rPr>
        <w:t>/</w:t>
      </w:r>
      <w:r>
        <w:rPr>
          <w:rFonts w:ascii="Arial" w:hAnsi="Arial" w:cs="Arial"/>
          <w:sz w:val="20"/>
          <w:szCs w:val="32"/>
        </w:rPr>
        <w:t>2</w:t>
      </w:r>
      <w:r w:rsidR="00B361C8">
        <w:rPr>
          <w:rFonts w:ascii="Arial" w:hAnsi="Arial" w:cs="Arial"/>
          <w:sz w:val="20"/>
          <w:szCs w:val="32"/>
        </w:rPr>
        <w:t>3</w:t>
      </w:r>
      <w:r w:rsidRPr="00D24154">
        <w:rPr>
          <w:rFonts w:ascii="Arial" w:hAnsi="Arial" w:cs="Arial"/>
          <w:sz w:val="20"/>
          <w:szCs w:val="32"/>
        </w:rPr>
        <w:t xml:space="preserve"> Annual Report </w:t>
      </w:r>
      <w:r w:rsidR="007650BD">
        <w:rPr>
          <w:rFonts w:ascii="Arial" w:hAnsi="Arial" w:cs="Arial"/>
          <w:sz w:val="20"/>
          <w:szCs w:val="32"/>
        </w:rPr>
        <w:t>notes that during 2022/23:</w:t>
      </w:r>
    </w:p>
    <w:p w14:paraId="0CBE4CC6" w14:textId="787F27D7" w:rsidR="007650BD" w:rsidRDefault="007650BD">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4FE7FAF2" w14:textId="205FBF8E" w:rsidR="007650BD" w:rsidRDefault="007650BD">
      <w:pPr>
        <w:pStyle w:val="ListParagraph"/>
        <w:numPr>
          <w:ilvl w:val="0"/>
          <w:numId w:val="100"/>
        </w:numPr>
        <w:ind w:left="357" w:hanging="357"/>
        <w:jc w:val="both"/>
        <w:rPr>
          <w:rFonts w:ascii="Arial" w:hAnsi="Arial" w:cs="Arial"/>
          <w:sz w:val="20"/>
          <w:szCs w:val="32"/>
        </w:rPr>
      </w:pPr>
      <w:r>
        <w:rPr>
          <w:rFonts w:ascii="Arial" w:hAnsi="Arial" w:cs="Arial"/>
          <w:sz w:val="20"/>
          <w:szCs w:val="32"/>
        </w:rPr>
        <w:t xml:space="preserve">the FDTC program received referrals for </w:t>
      </w:r>
      <w:r w:rsidR="00C84871">
        <w:rPr>
          <w:rFonts w:ascii="Arial" w:hAnsi="Arial" w:cs="Arial"/>
          <w:sz w:val="20"/>
          <w:szCs w:val="32"/>
        </w:rPr>
        <w:t>84</w:t>
      </w:r>
      <w:r>
        <w:rPr>
          <w:rFonts w:ascii="Arial" w:hAnsi="Arial" w:cs="Arial"/>
          <w:sz w:val="20"/>
          <w:szCs w:val="32"/>
        </w:rPr>
        <w:t xml:space="preserve"> parents, leading to </w:t>
      </w:r>
      <w:r w:rsidR="00C84871">
        <w:rPr>
          <w:rFonts w:ascii="Arial" w:hAnsi="Arial" w:cs="Arial"/>
          <w:sz w:val="20"/>
          <w:szCs w:val="32"/>
        </w:rPr>
        <w:t xml:space="preserve">40 inductions as follows: </w:t>
      </w:r>
      <w:r w:rsidR="00C84871" w:rsidRPr="00C84871">
        <w:rPr>
          <w:rFonts w:ascii="Arial" w:hAnsi="Arial" w:cs="Arial"/>
          <w:b/>
          <w:bCs/>
          <w:sz w:val="20"/>
          <w:szCs w:val="32"/>
        </w:rPr>
        <w:t>Broadmeadows</w:t>
      </w:r>
      <w:r w:rsidR="00C84871">
        <w:rPr>
          <w:rFonts w:ascii="Arial" w:hAnsi="Arial" w:cs="Arial"/>
          <w:sz w:val="20"/>
          <w:szCs w:val="32"/>
        </w:rPr>
        <w:t xml:space="preserve">: 48 referrals/17 inductions – </w:t>
      </w:r>
      <w:r w:rsidR="00C84871" w:rsidRPr="00C84871">
        <w:rPr>
          <w:rFonts w:ascii="Arial" w:hAnsi="Arial" w:cs="Arial"/>
          <w:b/>
          <w:bCs/>
          <w:sz w:val="20"/>
          <w:szCs w:val="32"/>
        </w:rPr>
        <w:t>Shepparton</w:t>
      </w:r>
      <w:r w:rsidR="00C84871">
        <w:rPr>
          <w:rFonts w:ascii="Arial" w:hAnsi="Arial" w:cs="Arial"/>
          <w:sz w:val="20"/>
          <w:szCs w:val="32"/>
        </w:rPr>
        <w:t xml:space="preserve"> 36 referrals/23 inductions.</w:t>
      </w:r>
    </w:p>
    <w:p w14:paraId="4E74A1CF" w14:textId="77777777" w:rsidR="00BA7079" w:rsidRPr="00CE7BF6" w:rsidRDefault="00BA7079" w:rsidP="00BA7079">
      <w:pPr>
        <w:jc w:val="both"/>
        <w:rPr>
          <w:rFonts w:ascii="Arial" w:hAnsi="Arial" w:cs="Arial"/>
          <w:sz w:val="16"/>
          <w:szCs w:val="20"/>
        </w:rPr>
      </w:pPr>
    </w:p>
    <w:p w14:paraId="64326A8F" w14:textId="77777777" w:rsidR="009F297A" w:rsidRDefault="00880806" w:rsidP="00BA7079">
      <w:pPr>
        <w:jc w:val="both"/>
        <w:rPr>
          <w:rFonts w:ascii="Arial" w:hAnsi="Arial" w:cs="Arial"/>
          <w:sz w:val="20"/>
        </w:rPr>
      </w:pPr>
      <w:r>
        <w:rPr>
          <w:rFonts w:ascii="Arial" w:hAnsi="Arial" w:cs="Arial"/>
          <w:sz w:val="20"/>
        </w:rPr>
        <w:t>The 2023/24 Annual Report notes that during 2023/24</w:t>
      </w:r>
      <w:r w:rsidR="009F297A">
        <w:rPr>
          <w:rFonts w:ascii="Arial" w:hAnsi="Arial" w:cs="Arial"/>
          <w:sz w:val="20"/>
        </w:rPr>
        <w:t>:</w:t>
      </w:r>
    </w:p>
    <w:p w14:paraId="1F0F60E3" w14:textId="4A1749C3" w:rsidR="009F297A" w:rsidRPr="009F297A" w:rsidRDefault="009F297A" w:rsidP="009F297A">
      <w:pPr>
        <w:pStyle w:val="ListParagraph"/>
        <w:numPr>
          <w:ilvl w:val="0"/>
          <w:numId w:val="100"/>
        </w:numPr>
        <w:ind w:left="357" w:hanging="357"/>
        <w:jc w:val="both"/>
        <w:rPr>
          <w:rFonts w:ascii="Arial" w:hAnsi="Arial" w:cs="Arial"/>
          <w:sz w:val="20"/>
          <w:szCs w:val="32"/>
        </w:rPr>
      </w:pPr>
      <w:r w:rsidRPr="007650BD">
        <w:rPr>
          <w:rFonts w:ascii="Arial" w:hAnsi="Arial" w:cs="Arial"/>
          <w:sz w:val="20"/>
          <w:szCs w:val="32"/>
        </w:rPr>
        <w:t xml:space="preserve">“the FDTC has supported 76 parents to address their drug and alcohol use </w:t>
      </w:r>
      <w:r>
        <w:rPr>
          <w:rFonts w:ascii="Arial" w:hAnsi="Arial" w:cs="Arial"/>
          <w:sz w:val="20"/>
          <w:szCs w:val="32"/>
        </w:rPr>
        <w:t>with a view to achieving safe and sustainable reunification with their children”; and</w:t>
      </w:r>
    </w:p>
    <w:p w14:paraId="08C367C1" w14:textId="3EF7E658" w:rsidR="009F297A" w:rsidRDefault="009F297A" w:rsidP="009F297A">
      <w:pPr>
        <w:pStyle w:val="ListParagraph"/>
        <w:numPr>
          <w:ilvl w:val="0"/>
          <w:numId w:val="100"/>
        </w:numPr>
        <w:ind w:left="357" w:hanging="357"/>
        <w:jc w:val="both"/>
        <w:rPr>
          <w:rFonts w:ascii="Arial" w:hAnsi="Arial" w:cs="Arial"/>
          <w:sz w:val="20"/>
          <w:szCs w:val="32"/>
        </w:rPr>
      </w:pPr>
      <w:r>
        <w:rPr>
          <w:rFonts w:ascii="Arial" w:hAnsi="Arial" w:cs="Arial"/>
          <w:sz w:val="20"/>
        </w:rPr>
        <w:t xml:space="preserve">the FDTC program received referrals for 83 parents, leading to 50 inductions as follows: </w:t>
      </w:r>
      <w:r w:rsidRPr="00C84871">
        <w:rPr>
          <w:rFonts w:ascii="Arial" w:hAnsi="Arial" w:cs="Arial"/>
          <w:b/>
          <w:bCs/>
          <w:sz w:val="20"/>
          <w:szCs w:val="32"/>
        </w:rPr>
        <w:t>Broadmeadows</w:t>
      </w:r>
      <w:r>
        <w:rPr>
          <w:rFonts w:ascii="Arial" w:hAnsi="Arial" w:cs="Arial"/>
          <w:sz w:val="20"/>
          <w:szCs w:val="32"/>
        </w:rPr>
        <w:t xml:space="preserve">: 49 referrals/26 inductions – </w:t>
      </w:r>
      <w:r w:rsidRPr="00C84871">
        <w:rPr>
          <w:rFonts w:ascii="Arial" w:hAnsi="Arial" w:cs="Arial"/>
          <w:b/>
          <w:bCs/>
          <w:sz w:val="20"/>
          <w:szCs w:val="32"/>
        </w:rPr>
        <w:t>Shepparton</w:t>
      </w:r>
      <w:r>
        <w:rPr>
          <w:rFonts w:ascii="Arial" w:hAnsi="Arial" w:cs="Arial"/>
          <w:sz w:val="20"/>
          <w:szCs w:val="32"/>
        </w:rPr>
        <w:t xml:space="preserve"> 34 referrals/24 inductions.</w:t>
      </w:r>
    </w:p>
    <w:p w14:paraId="52D3D949" w14:textId="77777777" w:rsidR="00880806" w:rsidRDefault="00880806" w:rsidP="00BA7079">
      <w:pPr>
        <w:jc w:val="both"/>
        <w:rPr>
          <w:rFonts w:ascii="Arial" w:hAnsi="Arial" w:cs="Arial"/>
          <w:sz w:val="20"/>
        </w:rPr>
      </w:pPr>
    </w:p>
    <w:p w14:paraId="6B7054EB" w14:textId="5503A098" w:rsidR="00BA7079" w:rsidRDefault="00BA7079" w:rsidP="00BA7079">
      <w:pPr>
        <w:pStyle w:val="Heading2"/>
        <w:keepNext/>
        <w:keepLines/>
        <w:widowControl/>
        <w:tabs>
          <w:tab w:val="left" w:pos="567"/>
        </w:tabs>
        <w:spacing w:line="240" w:lineRule="auto"/>
        <w:rPr>
          <w:rFonts w:ascii="Arial" w:hAnsi="Arial" w:cs="Arial"/>
          <w:b/>
          <w:bCs/>
        </w:rPr>
      </w:pPr>
      <w:bookmarkStart w:id="1632" w:name="_4.17_Working_with"/>
      <w:bookmarkEnd w:id="1632"/>
      <w:r>
        <w:rPr>
          <w:rFonts w:ascii="Arial" w:hAnsi="Arial" w:cs="Arial"/>
          <w:b/>
          <w:bCs/>
        </w:rPr>
        <w:t>4.1</w:t>
      </w:r>
      <w:r>
        <w:rPr>
          <w:rFonts w:ascii="Arial" w:hAnsi="Arial" w:cs="Arial"/>
          <w:b/>
          <w:bCs/>
          <w:color w:val="000000"/>
        </w:rPr>
        <w:t>7</w:t>
      </w:r>
      <w:r>
        <w:rPr>
          <w:rFonts w:ascii="Arial" w:hAnsi="Arial" w:cs="Arial"/>
          <w:b/>
          <w:bCs/>
        </w:rPr>
        <w:tab/>
        <w:t>Working with children checks</w:t>
      </w:r>
    </w:p>
    <w:p w14:paraId="4F76A997" w14:textId="77777777" w:rsidR="00BA7079" w:rsidRDefault="00BA7079" w:rsidP="00BA7079">
      <w:pPr>
        <w:keepNext/>
        <w:keepLines/>
        <w:rPr>
          <w:rFonts w:ascii="Arial" w:hAnsi="Arial" w:cs="Arial"/>
          <w:sz w:val="16"/>
        </w:rPr>
      </w:pPr>
    </w:p>
    <w:p w14:paraId="1C6549C7" w14:textId="65396868" w:rsidR="00BA7079" w:rsidRPr="002B574E" w:rsidRDefault="00E666FB" w:rsidP="00BA7079">
      <w:pPr>
        <w:keepNext/>
        <w:keepLines/>
        <w:jc w:val="both"/>
        <w:rPr>
          <w:rFonts w:ascii="Arial" w:hAnsi="Arial" w:cs="Arial"/>
          <w:sz w:val="20"/>
          <w:szCs w:val="20"/>
        </w:rPr>
      </w:pPr>
      <w:bookmarkStart w:id="1633" w:name="_Hlk174375436"/>
      <w:r>
        <w:rPr>
          <w:rFonts w:ascii="Arial" w:hAnsi="Arial" w:cs="Arial"/>
          <w:sz w:val="20"/>
          <w:szCs w:val="20"/>
        </w:rPr>
        <w:t xml:space="preserve">The Victorian statutory regime in relation to working with children [WWC] checks is contained in the </w:t>
      </w:r>
      <w:r w:rsidRPr="00E666FB">
        <w:rPr>
          <w:rFonts w:ascii="Arial" w:hAnsi="Arial" w:cs="Arial"/>
          <w:i/>
          <w:iCs/>
          <w:sz w:val="20"/>
          <w:szCs w:val="20"/>
        </w:rPr>
        <w:t>Worker Screening Act 2020</w:t>
      </w:r>
      <w:r>
        <w:rPr>
          <w:rFonts w:ascii="Arial" w:hAnsi="Arial" w:cs="Arial"/>
          <w:sz w:val="20"/>
          <w:szCs w:val="20"/>
        </w:rPr>
        <w:t xml:space="preserve"> [WSA].  </w:t>
      </w:r>
      <w:r w:rsidR="00BA7079" w:rsidRPr="002B574E">
        <w:rPr>
          <w:rFonts w:ascii="Arial" w:hAnsi="Arial" w:cs="Arial"/>
          <w:sz w:val="20"/>
          <w:szCs w:val="20"/>
        </w:rPr>
        <w:t xml:space="preserve">In </w:t>
      </w:r>
      <w:r w:rsidR="002B574E" w:rsidRPr="002B574E">
        <w:rPr>
          <w:rFonts w:ascii="Arial" w:hAnsi="Arial" w:cs="Arial"/>
          <w:i/>
          <w:iCs/>
          <w:sz w:val="20"/>
          <w:szCs w:val="20"/>
        </w:rPr>
        <w:t>Secretary to the Department of Justice and Community Safety v TXD (a pseudonym) &amp; VCAT</w:t>
      </w:r>
      <w:r w:rsidR="002B574E" w:rsidRPr="002B574E">
        <w:rPr>
          <w:rFonts w:ascii="Arial" w:hAnsi="Arial" w:cs="Arial"/>
          <w:sz w:val="20"/>
          <w:szCs w:val="20"/>
        </w:rPr>
        <w:t xml:space="preserve"> [2024] VSCA 169 </w:t>
      </w:r>
      <w:r w:rsidR="002B574E">
        <w:rPr>
          <w:rFonts w:ascii="Arial" w:hAnsi="Arial" w:cs="Arial"/>
          <w:sz w:val="20"/>
          <w:szCs w:val="20"/>
        </w:rPr>
        <w:t>the Court of Appeal (M</w:t>
      </w:r>
      <w:r w:rsidR="002B574E" w:rsidRPr="002B574E">
        <w:rPr>
          <w:rFonts w:ascii="Arial" w:hAnsi="Arial" w:cs="Arial"/>
          <w:sz w:val="20"/>
          <w:szCs w:val="20"/>
        </w:rPr>
        <w:t>c</w:t>
      </w:r>
      <w:r w:rsidR="002B574E">
        <w:rPr>
          <w:rFonts w:ascii="Arial" w:hAnsi="Arial" w:cs="Arial"/>
          <w:sz w:val="20"/>
          <w:szCs w:val="20"/>
        </w:rPr>
        <w:t>L</w:t>
      </w:r>
      <w:r w:rsidR="002B574E" w:rsidRPr="002B574E">
        <w:rPr>
          <w:rFonts w:ascii="Arial" w:hAnsi="Arial" w:cs="Arial"/>
          <w:sz w:val="20"/>
          <w:szCs w:val="20"/>
        </w:rPr>
        <w:t>eish, M</w:t>
      </w:r>
      <w:r w:rsidR="002B574E">
        <w:rPr>
          <w:rFonts w:ascii="Arial" w:hAnsi="Arial" w:cs="Arial"/>
          <w:sz w:val="20"/>
          <w:szCs w:val="20"/>
        </w:rPr>
        <w:t>acaulay &amp; Lyons</w:t>
      </w:r>
      <w:r w:rsidR="002B574E" w:rsidRPr="002B574E">
        <w:rPr>
          <w:rFonts w:ascii="Arial" w:hAnsi="Arial" w:cs="Arial"/>
          <w:sz w:val="20"/>
          <w:szCs w:val="20"/>
        </w:rPr>
        <w:t xml:space="preserve"> JJA</w:t>
      </w:r>
      <w:r w:rsidR="002B574E">
        <w:rPr>
          <w:rFonts w:ascii="Arial" w:hAnsi="Arial" w:cs="Arial"/>
          <w:sz w:val="20"/>
          <w:szCs w:val="20"/>
        </w:rPr>
        <w:t>) said</w:t>
      </w:r>
      <w:r w:rsidR="00FC7121">
        <w:rPr>
          <w:rFonts w:ascii="Arial" w:hAnsi="Arial" w:cs="Arial"/>
          <w:sz w:val="20"/>
          <w:szCs w:val="20"/>
        </w:rPr>
        <w:t xml:space="preserve"> </w:t>
      </w:r>
      <w:r w:rsidR="00FC7121" w:rsidRPr="002B574E">
        <w:rPr>
          <w:rFonts w:ascii="Arial" w:hAnsi="Arial" w:cs="Arial"/>
          <w:sz w:val="20"/>
          <w:szCs w:val="20"/>
        </w:rPr>
        <w:t>at [8]</w:t>
      </w:r>
      <w:r w:rsidR="00FC7121">
        <w:rPr>
          <w:rFonts w:ascii="Arial" w:hAnsi="Arial" w:cs="Arial"/>
          <w:sz w:val="20"/>
          <w:szCs w:val="20"/>
        </w:rPr>
        <w:t>-</w:t>
      </w:r>
      <w:r w:rsidR="00FC7121" w:rsidRPr="002B574E">
        <w:rPr>
          <w:rFonts w:ascii="Arial" w:hAnsi="Arial" w:cs="Arial"/>
          <w:sz w:val="20"/>
          <w:szCs w:val="20"/>
        </w:rPr>
        <w:t>[9]</w:t>
      </w:r>
      <w:r w:rsidR="002B574E">
        <w:rPr>
          <w:rFonts w:ascii="Arial" w:hAnsi="Arial" w:cs="Arial"/>
          <w:sz w:val="20"/>
          <w:szCs w:val="20"/>
        </w:rPr>
        <w:t>:</w:t>
      </w:r>
    </w:p>
    <w:bookmarkEnd w:id="1633"/>
    <w:p w14:paraId="1654E731" w14:textId="74EB18EF" w:rsidR="00BA7079" w:rsidRDefault="00BA7079" w:rsidP="00116AA0">
      <w:pPr>
        <w:spacing w:before="60"/>
        <w:ind w:left="567" w:right="567"/>
        <w:jc w:val="both"/>
        <w:rPr>
          <w:rFonts w:ascii="Arial" w:hAnsi="Arial" w:cs="Arial"/>
          <w:sz w:val="20"/>
          <w:szCs w:val="32"/>
        </w:rPr>
      </w:pPr>
      <w:r>
        <w:rPr>
          <w:rFonts w:ascii="Arial" w:hAnsi="Arial" w:cs="Arial"/>
          <w:sz w:val="20"/>
        </w:rPr>
        <w:t xml:space="preserve">[8] “One of the main purposes of the </w:t>
      </w:r>
      <w:r w:rsidRPr="00BA7079">
        <w:rPr>
          <w:rFonts w:ascii="Arial" w:hAnsi="Arial" w:cs="Arial"/>
          <w:i/>
          <w:iCs/>
          <w:sz w:val="20"/>
        </w:rPr>
        <w:t>Worker Screening Act 2020</w:t>
      </w:r>
      <w:r>
        <w:rPr>
          <w:rFonts w:ascii="Arial" w:hAnsi="Arial" w:cs="Arial"/>
          <w:sz w:val="20"/>
        </w:rPr>
        <w:t xml:space="preserve">, which repeals the previous </w:t>
      </w:r>
      <w:r w:rsidRPr="00BA7079">
        <w:rPr>
          <w:rFonts w:ascii="Arial" w:hAnsi="Arial" w:cs="Arial"/>
          <w:i/>
          <w:iCs/>
          <w:sz w:val="20"/>
        </w:rPr>
        <w:t>Working with Children Act 2005</w:t>
      </w:r>
      <w:r>
        <w:rPr>
          <w:rFonts w:ascii="Arial" w:hAnsi="Arial" w:cs="Arial"/>
          <w:sz w:val="20"/>
        </w:rPr>
        <w:t xml:space="preserve">, is ‘to assist in </w:t>
      </w:r>
      <w:r w:rsidRPr="00BA7079">
        <w:rPr>
          <w:rFonts w:ascii="Arial" w:hAnsi="Arial" w:cs="Arial"/>
          <w:sz w:val="20"/>
          <w:szCs w:val="32"/>
        </w:rPr>
        <w:t>protecting children from sexual and physical harm by providing for screening of persons who work with, or care for, children</w:t>
      </w:r>
      <w:r>
        <w:rPr>
          <w:rFonts w:ascii="Arial" w:hAnsi="Arial" w:cs="Arial"/>
          <w:sz w:val="20"/>
          <w:szCs w:val="32"/>
        </w:rPr>
        <w:t xml:space="preserve">’: </w:t>
      </w:r>
      <w:r w:rsidR="00E666FB">
        <w:rPr>
          <w:rFonts w:ascii="Arial" w:hAnsi="Arial" w:cs="Arial"/>
          <w:sz w:val="20"/>
          <w:szCs w:val="32"/>
        </w:rPr>
        <w:t xml:space="preserve">see ss.1(a)-(b).  Section </w:t>
      </w:r>
      <w:r w:rsidR="002B574E">
        <w:rPr>
          <w:rFonts w:ascii="Arial" w:hAnsi="Arial" w:cs="Arial"/>
          <w:sz w:val="20"/>
          <w:szCs w:val="32"/>
        </w:rPr>
        <w:t xml:space="preserve">11 of the WSA provides </w:t>
      </w:r>
      <w:r w:rsidR="002B574E" w:rsidRPr="00BA7079">
        <w:rPr>
          <w:rFonts w:ascii="Arial" w:hAnsi="Arial" w:cs="Arial"/>
          <w:sz w:val="20"/>
          <w:szCs w:val="32"/>
        </w:rPr>
        <w:t>that when the Secretary or the Tribunal makes a decision or takes action under the WS</w:t>
      </w:r>
      <w:r w:rsidR="00E666FB">
        <w:rPr>
          <w:rFonts w:ascii="Arial" w:hAnsi="Arial" w:cs="Arial"/>
          <w:sz w:val="20"/>
          <w:szCs w:val="32"/>
        </w:rPr>
        <w:t xml:space="preserve">A </w:t>
      </w:r>
      <w:r w:rsidR="002B574E" w:rsidRPr="00BA7079">
        <w:rPr>
          <w:rFonts w:ascii="Arial" w:hAnsi="Arial" w:cs="Arial"/>
          <w:sz w:val="20"/>
          <w:szCs w:val="32"/>
        </w:rPr>
        <w:t xml:space="preserve">in relation to an applicant for a </w:t>
      </w:r>
      <w:r w:rsidR="00E666FB">
        <w:rPr>
          <w:rFonts w:ascii="Arial" w:hAnsi="Arial" w:cs="Arial"/>
          <w:sz w:val="20"/>
          <w:szCs w:val="32"/>
        </w:rPr>
        <w:t xml:space="preserve">working with children check </w:t>
      </w:r>
      <w:r w:rsidR="002B574E" w:rsidRPr="00BA7079">
        <w:rPr>
          <w:rFonts w:ascii="Arial" w:hAnsi="Arial" w:cs="Arial"/>
          <w:sz w:val="20"/>
          <w:szCs w:val="32"/>
        </w:rPr>
        <w:t>or the holder of a WWC clearance ‘the protection of children from sexual or physical harm must be the paramount consideration’.</w:t>
      </w:r>
    </w:p>
    <w:p w14:paraId="1C89AEFB" w14:textId="7927403D" w:rsidR="002B574E" w:rsidRDefault="002B574E" w:rsidP="002B574E">
      <w:pPr>
        <w:spacing w:before="60"/>
        <w:ind w:left="567" w:right="567"/>
        <w:jc w:val="both"/>
        <w:rPr>
          <w:rFonts w:ascii="Arial" w:hAnsi="Arial" w:cs="Arial"/>
          <w:sz w:val="20"/>
        </w:rPr>
      </w:pPr>
      <w:r>
        <w:rPr>
          <w:rFonts w:ascii="Arial" w:hAnsi="Arial" w:cs="Arial"/>
          <w:sz w:val="20"/>
          <w:szCs w:val="32"/>
        </w:rPr>
        <w:t xml:space="preserve">[9] </w:t>
      </w:r>
      <w:r w:rsidRPr="00BA7079">
        <w:rPr>
          <w:rFonts w:ascii="Arial" w:hAnsi="Arial" w:cs="Arial"/>
          <w:sz w:val="20"/>
          <w:szCs w:val="32"/>
        </w:rPr>
        <w:t>Chapter 3 of the WS</w:t>
      </w:r>
      <w:r w:rsidR="00EF6D3C">
        <w:rPr>
          <w:rFonts w:ascii="Arial" w:hAnsi="Arial" w:cs="Arial"/>
          <w:sz w:val="20"/>
          <w:szCs w:val="32"/>
        </w:rPr>
        <w:t>A</w:t>
      </w:r>
      <w:r w:rsidRPr="00BA7079">
        <w:rPr>
          <w:rFonts w:ascii="Arial" w:hAnsi="Arial" w:cs="Arial"/>
          <w:sz w:val="20"/>
          <w:szCs w:val="32"/>
        </w:rPr>
        <w:t xml:space="preserve"> establishes a process for the Secretary, upon receiving an application, to assess or re-assess whether a person may engage in ‘child-related work’ (‘WWC check’). </w:t>
      </w:r>
      <w:r w:rsidR="00EF6D3C">
        <w:rPr>
          <w:rFonts w:ascii="Arial" w:hAnsi="Arial" w:cs="Arial"/>
          <w:sz w:val="20"/>
          <w:szCs w:val="32"/>
        </w:rPr>
        <w:t xml:space="preserve"> </w:t>
      </w:r>
      <w:r w:rsidRPr="00BA7079">
        <w:rPr>
          <w:rFonts w:ascii="Arial" w:hAnsi="Arial" w:cs="Arial"/>
          <w:sz w:val="20"/>
          <w:szCs w:val="32"/>
        </w:rPr>
        <w:t xml:space="preserve">In brief, a successful WWC check entitles the person </w:t>
      </w:r>
      <w:r w:rsidRPr="00BA7079">
        <w:rPr>
          <w:rFonts w:ascii="Arial" w:hAnsi="Arial" w:cs="Arial"/>
          <w:sz w:val="20"/>
          <w:szCs w:val="32"/>
        </w:rPr>
        <w:lastRenderedPageBreak/>
        <w:t>to be issued with a WWC clearance, permitting that person to engage in child related-work</w:t>
      </w:r>
      <w:r w:rsidR="00EF6D3C">
        <w:rPr>
          <w:rFonts w:ascii="Arial" w:hAnsi="Arial" w:cs="Arial"/>
          <w:sz w:val="20"/>
          <w:szCs w:val="32"/>
        </w:rPr>
        <w:t>: see s.68(1) &amp; Part 4.3</w:t>
      </w:r>
      <w:r w:rsidRPr="00BA7079">
        <w:rPr>
          <w:rFonts w:ascii="Arial" w:hAnsi="Arial" w:cs="Arial"/>
          <w:sz w:val="20"/>
          <w:szCs w:val="32"/>
        </w:rPr>
        <w:t xml:space="preserve">. </w:t>
      </w:r>
      <w:r w:rsidR="00EF6D3C">
        <w:rPr>
          <w:rFonts w:ascii="Arial" w:hAnsi="Arial" w:cs="Arial"/>
          <w:sz w:val="20"/>
          <w:szCs w:val="32"/>
        </w:rPr>
        <w:t xml:space="preserve"> </w:t>
      </w:r>
      <w:r w:rsidRPr="00BA7079">
        <w:rPr>
          <w:rFonts w:ascii="Arial" w:hAnsi="Arial" w:cs="Arial"/>
          <w:sz w:val="20"/>
          <w:szCs w:val="32"/>
        </w:rPr>
        <w:t>Conversely, the Secretary must give a WWC exclusion to an applicant who is refused a WWC clearance</w:t>
      </w:r>
      <w:r w:rsidR="00EF6D3C">
        <w:rPr>
          <w:rFonts w:ascii="Arial" w:hAnsi="Arial" w:cs="Arial"/>
          <w:sz w:val="20"/>
          <w:szCs w:val="32"/>
        </w:rPr>
        <w:t xml:space="preserve"> [s.68(2)]</w:t>
      </w:r>
      <w:r w:rsidRPr="00BA7079">
        <w:rPr>
          <w:rFonts w:ascii="Arial" w:hAnsi="Arial" w:cs="Arial"/>
          <w:sz w:val="20"/>
          <w:szCs w:val="32"/>
        </w:rPr>
        <w:t xml:space="preserve"> or whose WWC clearance has been revoked</w:t>
      </w:r>
      <w:r w:rsidR="00EF6D3C">
        <w:rPr>
          <w:rFonts w:ascii="Arial" w:hAnsi="Arial" w:cs="Arial"/>
          <w:sz w:val="20"/>
          <w:szCs w:val="32"/>
        </w:rPr>
        <w:t xml:space="preserve"> [ss.89-91]</w:t>
      </w:r>
      <w:r w:rsidRPr="00BA7079">
        <w:rPr>
          <w:rFonts w:ascii="Arial" w:hAnsi="Arial" w:cs="Arial"/>
          <w:sz w:val="20"/>
          <w:szCs w:val="32"/>
        </w:rPr>
        <w:t>, which prohibits that person’s engagement in such work</w:t>
      </w:r>
      <w:r w:rsidR="00EF6D3C">
        <w:rPr>
          <w:rFonts w:ascii="Arial" w:hAnsi="Arial" w:cs="Arial"/>
          <w:sz w:val="20"/>
          <w:szCs w:val="32"/>
        </w:rPr>
        <w:t xml:space="preserve"> [ss.121-122]</w:t>
      </w:r>
      <w:r w:rsidRPr="00BA7079">
        <w:rPr>
          <w:rFonts w:ascii="Arial" w:hAnsi="Arial" w:cs="Arial"/>
          <w:sz w:val="20"/>
          <w:szCs w:val="32"/>
        </w:rPr>
        <w:t>.</w:t>
      </w:r>
      <w:r w:rsidR="00EF6D3C">
        <w:rPr>
          <w:rFonts w:ascii="Arial" w:hAnsi="Arial" w:cs="Arial"/>
          <w:sz w:val="20"/>
          <w:szCs w:val="32"/>
        </w:rPr>
        <w:t>”</w:t>
      </w:r>
    </w:p>
    <w:p w14:paraId="3A645EB0" w14:textId="77777777" w:rsidR="00BA7079" w:rsidRDefault="00BA7079" w:rsidP="00BA7079">
      <w:pPr>
        <w:jc w:val="both"/>
        <w:rPr>
          <w:rFonts w:ascii="Arial" w:hAnsi="Arial" w:cs="Arial"/>
          <w:sz w:val="20"/>
          <w:szCs w:val="32"/>
        </w:rPr>
      </w:pPr>
    </w:p>
    <w:p w14:paraId="5F36A569" w14:textId="5260EB97" w:rsidR="00BA7079" w:rsidRDefault="00FC7121" w:rsidP="00BA7079">
      <w:pPr>
        <w:jc w:val="both"/>
        <w:rPr>
          <w:rFonts w:ascii="Arial" w:hAnsi="Arial" w:cs="Arial"/>
          <w:sz w:val="20"/>
          <w:szCs w:val="32"/>
        </w:rPr>
      </w:pPr>
      <w:r>
        <w:rPr>
          <w:rFonts w:ascii="Arial" w:hAnsi="Arial" w:cs="Arial"/>
          <w:sz w:val="20"/>
          <w:szCs w:val="32"/>
        </w:rPr>
        <w:t>The most relevant provisions of the WSA for Children’ Court Family Division purposes are probably ss.7</w:t>
      </w:r>
      <w:r w:rsidR="00621D13">
        <w:rPr>
          <w:rFonts w:ascii="Arial" w:hAnsi="Arial" w:cs="Arial"/>
          <w:sz w:val="20"/>
          <w:szCs w:val="32"/>
        </w:rPr>
        <w:t xml:space="preserve"> [especially s.7(6)]</w:t>
      </w:r>
      <w:r>
        <w:rPr>
          <w:rFonts w:ascii="Arial" w:hAnsi="Arial" w:cs="Arial"/>
          <w:sz w:val="20"/>
          <w:szCs w:val="32"/>
        </w:rPr>
        <w:t>, 111(1) &amp; 121</w:t>
      </w:r>
      <w:r w:rsidR="00E6194D">
        <w:rPr>
          <w:rFonts w:ascii="Arial" w:hAnsi="Arial" w:cs="Arial"/>
          <w:sz w:val="20"/>
          <w:szCs w:val="32"/>
        </w:rPr>
        <w:t>.</w:t>
      </w:r>
    </w:p>
    <w:p w14:paraId="6F697FCC" w14:textId="63C7C70B"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 7</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r w:rsidR="00621D13">
        <w:rPr>
          <w:rFonts w:ascii="Arial" w:hAnsi="Arial" w:cs="Arial"/>
          <w:sz w:val="20"/>
        </w:rPr>
        <w:t xml:space="preserve"> so far as is relevant</w:t>
      </w:r>
      <w:r w:rsidRPr="00FC7121">
        <w:rPr>
          <w:rFonts w:ascii="Arial" w:hAnsi="Arial" w:cs="Arial"/>
          <w:sz w:val="20"/>
        </w:rPr>
        <w:t>:</w:t>
      </w:r>
    </w:p>
    <w:p w14:paraId="1BC445B8" w14:textId="59B73295" w:rsidR="00621D13" w:rsidRDefault="00621D13" w:rsidP="00116AA0">
      <w:pPr>
        <w:pStyle w:val="DraftHeading2"/>
        <w:tabs>
          <w:tab w:val="right" w:pos="1247"/>
        </w:tabs>
        <w:spacing w:before="60"/>
        <w:ind w:left="1491" w:right="567" w:hanging="567"/>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 xml:space="preserve">Subject to subsection (2), in this Act, </w:t>
      </w:r>
      <w:r w:rsidRPr="00621D13">
        <w:rPr>
          <w:rFonts w:ascii="Arial" w:hAnsi="Arial" w:cs="Arial"/>
          <w:b/>
          <w:bCs/>
          <w:i/>
          <w:iCs/>
          <w:sz w:val="20"/>
        </w:rPr>
        <w:t>child-related work</w:t>
      </w:r>
      <w:r>
        <w:rPr>
          <w:rFonts w:ascii="Arial" w:hAnsi="Arial" w:cs="Arial"/>
          <w:sz w:val="20"/>
        </w:rPr>
        <w:t xml:space="preserve"> means work</w:t>
      </w:r>
      <w:r w:rsidRPr="00FC7121">
        <w:rPr>
          <w:rFonts w:ascii="Arial" w:hAnsi="Arial" w:cs="Arial"/>
          <w:sz w:val="20"/>
        </w:rPr>
        <w:t>—</w:t>
      </w:r>
    </w:p>
    <w:p w14:paraId="08AD31E6" w14:textId="561BFF8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at or for a service, body or place, or that involves an activity specified in subsection (3)</w:t>
      </w:r>
      <w:r w:rsidRPr="00FC7121">
        <w:rPr>
          <w:rFonts w:ascii="Arial" w:hAnsi="Arial" w:cs="Arial"/>
          <w:sz w:val="20"/>
        </w:rPr>
        <w:t>; and</w:t>
      </w:r>
    </w:p>
    <w:p w14:paraId="776005D0" w14:textId="6DBD9A91" w:rsidR="00621D13"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r>
      <w:r>
        <w:rPr>
          <w:rFonts w:ascii="Arial" w:hAnsi="Arial" w:cs="Arial"/>
          <w:sz w:val="20"/>
        </w:rPr>
        <w:t>that usually involves direct contact with a child.</w:t>
      </w:r>
    </w:p>
    <w:p w14:paraId="276A462E" w14:textId="12383D54"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(2)</w:t>
      </w:r>
      <w:r>
        <w:rPr>
          <w:rFonts w:ascii="Arial" w:hAnsi="Arial" w:cs="Arial"/>
          <w:sz w:val="20"/>
        </w:rPr>
        <w:tab/>
      </w:r>
      <w:r>
        <w:rPr>
          <w:rFonts w:ascii="Arial" w:hAnsi="Arial" w:cs="Arial"/>
          <w:sz w:val="20"/>
        </w:rPr>
        <w:tab/>
        <w:t xml:space="preserve">For the purposes of this Act, work is not </w:t>
      </w:r>
      <w:r w:rsidRPr="00621D13">
        <w:rPr>
          <w:rFonts w:ascii="Arial" w:hAnsi="Arial" w:cs="Arial"/>
          <w:sz w:val="20"/>
        </w:rPr>
        <w:t xml:space="preserve">child-related work </w:t>
      </w:r>
      <w:r>
        <w:rPr>
          <w:rFonts w:ascii="Arial" w:hAnsi="Arial" w:cs="Arial"/>
          <w:sz w:val="20"/>
        </w:rPr>
        <w:t>by reason only of occasional direct contact with children that is incidental to the work.</w:t>
      </w:r>
    </w:p>
    <w:p w14:paraId="33131AA5" w14:textId="2D3465A6" w:rsidR="00621D13" w:rsidRDefault="00621D13" w:rsidP="00621D13">
      <w:pPr>
        <w:pStyle w:val="DraftHeading2"/>
        <w:tabs>
          <w:tab w:val="right" w:pos="1247"/>
        </w:tabs>
        <w:spacing w:before="60"/>
        <w:ind w:left="1491" w:right="567" w:hanging="567"/>
        <w:jc w:val="both"/>
        <w:rPr>
          <w:rFonts w:ascii="Arial" w:hAnsi="Arial" w:cs="Arial"/>
          <w:sz w:val="20"/>
        </w:rPr>
      </w:pPr>
      <w:r>
        <w:rPr>
          <w:rFonts w:ascii="Arial" w:hAnsi="Arial" w:cs="Arial"/>
          <w:sz w:val="20"/>
        </w:rPr>
        <w:t>(3)</w:t>
      </w:r>
      <w:r>
        <w:rPr>
          <w:rFonts w:ascii="Arial" w:hAnsi="Arial" w:cs="Arial"/>
          <w:sz w:val="20"/>
        </w:rPr>
        <w:tab/>
      </w:r>
      <w:r>
        <w:rPr>
          <w:rFonts w:ascii="Arial" w:hAnsi="Arial" w:cs="Arial"/>
          <w:sz w:val="20"/>
        </w:rPr>
        <w:tab/>
        <w:t>For the purposes of subsection (1)(a), the following services, bodies, places or activities are specified</w:t>
      </w:r>
      <w:r w:rsidRPr="00FC7121">
        <w:rPr>
          <w:rFonts w:ascii="Arial" w:hAnsi="Arial" w:cs="Arial"/>
          <w:sz w:val="20"/>
        </w:rPr>
        <w:t>—</w:t>
      </w:r>
    </w:p>
    <w:p w14:paraId="14239526" w14:textId="47024BEB"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r>
      <w:r>
        <w:rPr>
          <w:rFonts w:ascii="Arial" w:hAnsi="Arial" w:cs="Arial"/>
          <w:sz w:val="20"/>
        </w:rPr>
        <w:t>child protection services;</w:t>
      </w:r>
    </w:p>
    <w:p w14:paraId="341D9425" w14:textId="4F4DDD93" w:rsidR="00621D13" w:rsidRPr="00FC7121" w:rsidRDefault="00621D13" w:rsidP="00621D1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r>
      <w:r>
        <w:rPr>
          <w:rFonts w:ascii="Arial" w:hAnsi="Arial" w:cs="Arial"/>
          <w:sz w:val="20"/>
        </w:rPr>
        <w:t>…</w:t>
      </w:r>
    </w:p>
    <w:p w14:paraId="3D58AAAC" w14:textId="2B3E9AC5" w:rsidR="00FC7121" w:rsidRPr="00FC7121" w:rsidRDefault="00FC7121" w:rsidP="000B76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(6)</w:t>
      </w:r>
      <w:r w:rsidRPr="00FC7121">
        <w:rPr>
          <w:rFonts w:ascii="Arial" w:hAnsi="Arial" w:cs="Arial"/>
          <w:sz w:val="20"/>
        </w:rPr>
        <w:tab/>
      </w:r>
      <w:r>
        <w:rPr>
          <w:rFonts w:ascii="Arial" w:hAnsi="Arial" w:cs="Arial"/>
          <w:sz w:val="20"/>
        </w:rPr>
        <w:tab/>
      </w:r>
      <w:r w:rsidRPr="00FC7121">
        <w:rPr>
          <w:rFonts w:ascii="Arial" w:hAnsi="Arial" w:cs="Arial"/>
          <w:sz w:val="20"/>
        </w:rPr>
        <w:t>Despite any other provision of this section, a person is engaged in child-related work if—</w:t>
      </w:r>
    </w:p>
    <w:p w14:paraId="0D98622D" w14:textId="3D009566"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is a family member or other person of significance to a child other than a parent; and</w:t>
      </w:r>
    </w:p>
    <w:p w14:paraId="29FB1C16" w14:textId="57353C2E" w:rsidR="00FC7121" w:rsidRDefault="00FC7121" w:rsidP="00FC7121">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child is placed in the out of home care of that person under the </w:t>
      </w:r>
      <w:r w:rsidRPr="00FC7121">
        <w:rPr>
          <w:rFonts w:ascii="Arial" w:hAnsi="Arial" w:cs="Arial"/>
          <w:b/>
          <w:bCs/>
          <w:sz w:val="20"/>
        </w:rPr>
        <w:t>Children, Youth and Families Act 2005</w:t>
      </w:r>
      <w:r w:rsidRPr="00FC7121">
        <w:rPr>
          <w:rFonts w:ascii="Arial" w:hAnsi="Arial" w:cs="Arial"/>
          <w:sz w:val="20"/>
        </w:rPr>
        <w:t>.</w:t>
      </w:r>
    </w:p>
    <w:p w14:paraId="5C50E40F" w14:textId="1BAFE241" w:rsidR="00FC7121" w:rsidRPr="00FC7121" w:rsidRDefault="00FC7121">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sidR="000B762E">
        <w:rPr>
          <w:rFonts w:ascii="Arial" w:hAnsi="Arial" w:cs="Arial"/>
          <w:b/>
          <w:bCs/>
          <w:sz w:val="20"/>
        </w:rPr>
        <w:t xml:space="preserve"> </w:t>
      </w:r>
      <w:r>
        <w:rPr>
          <w:rFonts w:ascii="Arial" w:hAnsi="Arial" w:cs="Arial"/>
          <w:b/>
          <w:bCs/>
          <w:sz w:val="20"/>
        </w:rPr>
        <w:t>111(1)</w:t>
      </w:r>
      <w:r w:rsidRPr="00FC7121">
        <w:rPr>
          <w:rFonts w:ascii="Arial" w:hAnsi="Arial" w:cs="Arial"/>
          <w:sz w:val="20"/>
        </w:rPr>
        <w:t xml:space="preserve"> of the</w:t>
      </w:r>
      <w:r>
        <w:rPr>
          <w:rFonts w:ascii="Arial" w:hAnsi="Arial" w:cs="Arial"/>
          <w:sz w:val="20"/>
        </w:rPr>
        <w:t xml:space="preserve"> WSA </w:t>
      </w:r>
      <w:r w:rsidRPr="00FC7121">
        <w:rPr>
          <w:rFonts w:ascii="Arial" w:hAnsi="Arial" w:cs="Arial"/>
          <w:sz w:val="20"/>
        </w:rPr>
        <w:t>provides:</w:t>
      </w:r>
    </w:p>
    <w:p w14:paraId="37EA4AB9" w14:textId="7FB8FE57" w:rsidR="00FC7121" w:rsidRPr="00FC7121" w:rsidRDefault="00FC7121" w:rsidP="00F67FBF">
      <w:pPr>
        <w:pStyle w:val="DraftHeading1"/>
        <w:tabs>
          <w:tab w:val="right" w:pos="680"/>
        </w:tabs>
        <w:spacing w:before="60"/>
        <w:ind w:left="1491" w:hanging="567"/>
        <w:rPr>
          <w:rFonts w:ascii="Arial" w:hAnsi="Arial" w:cs="Arial"/>
          <w:sz w:val="20"/>
          <w:szCs w:val="20"/>
        </w:rPr>
      </w:pPr>
      <w:bookmarkStart w:id="1634" w:name="_Toc158273983"/>
      <w:r w:rsidRPr="00FC7121">
        <w:rPr>
          <w:rFonts w:ascii="Arial" w:hAnsi="Arial" w:cs="Arial"/>
          <w:sz w:val="20"/>
          <w:szCs w:val="20"/>
        </w:rPr>
        <w:t>111</w:t>
      </w:r>
      <w:r w:rsidRPr="00FC7121">
        <w:rPr>
          <w:rFonts w:ascii="Arial" w:hAnsi="Arial" w:cs="Arial"/>
          <w:sz w:val="20"/>
          <w:szCs w:val="20"/>
        </w:rPr>
        <w:tab/>
        <w:t>Person working with closely related child</w:t>
      </w:r>
      <w:bookmarkEnd w:id="1634"/>
      <w:r w:rsidRPr="00FC7121">
        <w:rPr>
          <w:rFonts w:ascii="Arial" w:hAnsi="Arial" w:cs="Arial"/>
          <w:sz w:val="20"/>
          <w:szCs w:val="20"/>
        </w:rPr>
        <w:t xml:space="preserve"> </w:t>
      </w:r>
    </w:p>
    <w:p w14:paraId="4E23E0CB" w14:textId="53052992" w:rsidR="000B762E"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0B762E">
        <w:rPr>
          <w:rFonts w:ascii="Arial" w:hAnsi="Arial" w:cs="Arial"/>
          <w:sz w:val="20"/>
        </w:rPr>
        <w:tab/>
      </w:r>
      <w:r w:rsidRPr="00FC7121">
        <w:rPr>
          <w:rFonts w:ascii="Arial" w:hAnsi="Arial" w:cs="Arial"/>
          <w:sz w:val="20"/>
        </w:rPr>
        <w:t>A person engaging in child-related work (other than a person who engages in child-related work described in section 7(6)) where each child with whom the person is required to have direct contact during the work is a child who is closely related to that person is exempt from a WWC check in respect of that work.</w:t>
      </w:r>
    </w:p>
    <w:p w14:paraId="34916018" w14:textId="007D4B93" w:rsidR="000B762E" w:rsidRPr="00FC7121" w:rsidRDefault="000B762E">
      <w:pPr>
        <w:pStyle w:val="DraftHeading2"/>
        <w:numPr>
          <w:ilvl w:val="0"/>
          <w:numId w:val="113"/>
        </w:numPr>
        <w:tabs>
          <w:tab w:val="right" w:pos="1247"/>
        </w:tabs>
        <w:spacing w:before="80"/>
        <w:ind w:left="924" w:hanging="357"/>
        <w:jc w:val="both"/>
        <w:rPr>
          <w:rFonts w:ascii="Arial" w:hAnsi="Arial" w:cs="Arial"/>
          <w:sz w:val="20"/>
        </w:rPr>
      </w:pPr>
      <w:r w:rsidRPr="00FC7121">
        <w:rPr>
          <w:rFonts w:ascii="Arial" w:hAnsi="Arial" w:cs="Arial"/>
          <w:b/>
          <w:bCs/>
          <w:sz w:val="20"/>
        </w:rPr>
        <w:t>Section</w:t>
      </w:r>
      <w:r>
        <w:rPr>
          <w:rFonts w:ascii="Arial" w:hAnsi="Arial" w:cs="Arial"/>
          <w:b/>
          <w:bCs/>
          <w:sz w:val="20"/>
        </w:rPr>
        <w:t xml:space="preserve"> 121</w:t>
      </w:r>
      <w:r w:rsidRPr="00FC7121">
        <w:rPr>
          <w:rFonts w:ascii="Arial" w:hAnsi="Arial" w:cs="Arial"/>
          <w:sz w:val="20"/>
        </w:rPr>
        <w:t xml:space="preserve"> provides</w:t>
      </w:r>
      <w:r w:rsidR="00F64DBF">
        <w:rPr>
          <w:rFonts w:ascii="Arial" w:hAnsi="Arial" w:cs="Arial"/>
          <w:sz w:val="20"/>
        </w:rPr>
        <w:t xml:space="preserve"> in relation to </w:t>
      </w:r>
      <w:r w:rsidR="00EF2AF2">
        <w:rPr>
          <w:rFonts w:ascii="Arial" w:hAnsi="Arial" w:cs="Arial"/>
          <w:sz w:val="20"/>
        </w:rPr>
        <w:t>an offence under the WSA</w:t>
      </w:r>
      <w:r w:rsidRPr="00FC7121">
        <w:rPr>
          <w:rFonts w:ascii="Arial" w:hAnsi="Arial" w:cs="Arial"/>
          <w:sz w:val="20"/>
        </w:rPr>
        <w:t>:</w:t>
      </w:r>
    </w:p>
    <w:p w14:paraId="482056D4" w14:textId="68A5D748" w:rsidR="000B762E" w:rsidRPr="00FC7121" w:rsidRDefault="000B762E" w:rsidP="00F67FBF">
      <w:pPr>
        <w:pStyle w:val="DraftHeading1"/>
        <w:tabs>
          <w:tab w:val="right" w:pos="680"/>
        </w:tabs>
        <w:spacing w:before="60"/>
        <w:ind w:left="1491" w:hanging="567"/>
        <w:rPr>
          <w:rFonts w:ascii="Arial" w:hAnsi="Arial" w:cs="Arial"/>
          <w:sz w:val="20"/>
          <w:szCs w:val="20"/>
        </w:rPr>
      </w:pPr>
      <w:r w:rsidRPr="00FC7121">
        <w:rPr>
          <w:rFonts w:ascii="Arial" w:hAnsi="Arial" w:cs="Arial"/>
          <w:sz w:val="20"/>
          <w:szCs w:val="20"/>
        </w:rPr>
        <w:t>1</w:t>
      </w:r>
      <w:r>
        <w:rPr>
          <w:rFonts w:ascii="Arial" w:hAnsi="Arial" w:cs="Arial"/>
          <w:sz w:val="20"/>
          <w:szCs w:val="20"/>
        </w:rPr>
        <w:t>2</w:t>
      </w:r>
      <w:r w:rsidRPr="00FC7121">
        <w:rPr>
          <w:rFonts w:ascii="Arial" w:hAnsi="Arial" w:cs="Arial"/>
          <w:sz w:val="20"/>
          <w:szCs w:val="20"/>
        </w:rPr>
        <w:t>1</w:t>
      </w:r>
      <w:r w:rsidRPr="00FC7121">
        <w:rPr>
          <w:rFonts w:ascii="Arial" w:hAnsi="Arial" w:cs="Arial"/>
          <w:sz w:val="20"/>
          <w:szCs w:val="20"/>
        </w:rPr>
        <w:tab/>
        <w:t>Engaging in child-related work without a WWC clearance</w:t>
      </w:r>
    </w:p>
    <w:p w14:paraId="60A3A758" w14:textId="32840AAF" w:rsidR="00F67FBF" w:rsidRPr="00FC7121" w:rsidRDefault="00FC7121" w:rsidP="00CF4A2E">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(1)</w:t>
      </w:r>
      <w:r w:rsidRPr="00FC7121">
        <w:rPr>
          <w:rFonts w:ascii="Arial" w:hAnsi="Arial" w:cs="Arial"/>
          <w:sz w:val="20"/>
        </w:rPr>
        <w:tab/>
      </w:r>
      <w:r w:rsidR="00F67FBF">
        <w:rPr>
          <w:rFonts w:ascii="Arial" w:hAnsi="Arial" w:cs="Arial"/>
          <w:sz w:val="20"/>
        </w:rPr>
        <w:tab/>
      </w:r>
      <w:r w:rsidRPr="00FC7121">
        <w:rPr>
          <w:rFonts w:ascii="Arial" w:hAnsi="Arial" w:cs="Arial"/>
          <w:sz w:val="20"/>
        </w:rPr>
        <w:t>A person must not engage in child-related work if—</w:t>
      </w:r>
    </w:p>
    <w:p w14:paraId="1FE979DE" w14:textId="77777777" w:rsidR="00F67FBF"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does not have a current WWC clearance; and</w:t>
      </w:r>
    </w:p>
    <w:p w14:paraId="75A2DFC9" w14:textId="2BC83C49"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 xml:space="preserve">the person engages in the work knowing that it is child-related work; </w:t>
      </w:r>
      <w:r w:rsidR="00EF2AF2">
        <w:rPr>
          <w:rFonts w:ascii="Arial" w:hAnsi="Arial" w:cs="Arial"/>
          <w:sz w:val="20"/>
        </w:rPr>
        <w:t>and</w:t>
      </w:r>
    </w:p>
    <w:p w14:paraId="04700FA5"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the person knows that they do not have a current WWC clearance or is reckless as to whether or not they have one.</w:t>
      </w:r>
    </w:p>
    <w:p w14:paraId="5A14D686" w14:textId="77777777" w:rsidR="00FC7121" w:rsidRPr="00FC7121" w:rsidRDefault="00FC7121" w:rsidP="00CF4A2E">
      <w:pPr>
        <w:pStyle w:val="DraftPenalty2"/>
        <w:tabs>
          <w:tab w:val="clear" w:pos="851"/>
          <w:tab w:val="clear" w:pos="1361"/>
          <w:tab w:val="clear" w:pos="1871"/>
          <w:tab w:val="clear" w:pos="2381"/>
          <w:tab w:val="clear" w:pos="2892"/>
          <w:tab w:val="clear" w:pos="3402"/>
        </w:tabs>
        <w:spacing w:before="60"/>
        <w:ind w:left="2455" w:right="567" w:hanging="924"/>
        <w:jc w:val="both"/>
        <w:rPr>
          <w:rFonts w:ascii="Arial" w:hAnsi="Arial" w:cs="Arial"/>
          <w:sz w:val="20"/>
        </w:rPr>
      </w:pPr>
      <w:r w:rsidRPr="00FC7121">
        <w:rPr>
          <w:rFonts w:ascii="Arial" w:hAnsi="Arial" w:cs="Arial"/>
          <w:sz w:val="20"/>
        </w:rPr>
        <w:t>Penalty:</w:t>
      </w:r>
      <w:r w:rsidRPr="00FC7121">
        <w:rPr>
          <w:rFonts w:ascii="Arial" w:hAnsi="Arial" w:cs="Arial"/>
          <w:sz w:val="20"/>
        </w:rPr>
        <w:tab/>
        <w:t>Level 7 imprisonment (2 years maximum) or a level 7 fine (240 penalty units maximum) or both.</w:t>
      </w:r>
    </w:p>
    <w:p w14:paraId="444258CB" w14:textId="074234DE" w:rsidR="00DB5165" w:rsidRPr="00FC7121" w:rsidRDefault="00DB5165" w:rsidP="00CF4A2E">
      <w:pPr>
        <w:pStyle w:val="DraftHeading2"/>
        <w:tabs>
          <w:tab w:val="right" w:pos="1247"/>
        </w:tabs>
        <w:spacing w:before="60"/>
        <w:ind w:left="1491" w:right="567" w:hanging="567"/>
        <w:jc w:val="both"/>
        <w:rPr>
          <w:rFonts w:ascii="Arial" w:hAnsi="Arial" w:cs="Arial"/>
          <w:sz w:val="20"/>
        </w:rPr>
      </w:pPr>
      <w:r>
        <w:rPr>
          <w:rFonts w:ascii="Arial" w:hAnsi="Arial" w:cs="Arial"/>
          <w:sz w:val="20"/>
        </w:rPr>
        <w:t>(</w:t>
      </w:r>
      <w:r w:rsidR="00FC7121" w:rsidRPr="00FC7121">
        <w:rPr>
          <w:rFonts w:ascii="Arial" w:hAnsi="Arial" w:cs="Arial"/>
          <w:sz w:val="20"/>
        </w:rPr>
        <w:t>2)</w:t>
      </w:r>
      <w:r w:rsidR="00FC7121" w:rsidRPr="00FC7121">
        <w:rPr>
          <w:rFonts w:ascii="Arial" w:hAnsi="Arial" w:cs="Arial"/>
          <w:sz w:val="20"/>
        </w:rPr>
        <w:tab/>
      </w:r>
      <w:r>
        <w:rPr>
          <w:rFonts w:ascii="Arial" w:hAnsi="Arial" w:cs="Arial"/>
          <w:sz w:val="20"/>
        </w:rPr>
        <w:tab/>
      </w:r>
      <w:r w:rsidR="00FC7121" w:rsidRPr="00FC7121">
        <w:rPr>
          <w:rFonts w:ascii="Arial" w:hAnsi="Arial" w:cs="Arial"/>
          <w:sz w:val="20"/>
        </w:rPr>
        <w:t>A person is not guilty of an offence against subsection (1) if, at the time the offence is alleged to have been committed, the accused—</w:t>
      </w:r>
    </w:p>
    <w:p w14:paraId="719E6637" w14:textId="77777777" w:rsidR="00FC7121" w:rsidRPr="00FC7121" w:rsidRDefault="00FC7121" w:rsidP="003C44FB">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had applied for a WWC check and the application had not been finally decided or withdrawn and the person—</w:t>
      </w:r>
    </w:p>
    <w:p w14:paraId="64C4364D" w14:textId="70F85FFA" w:rsidR="00FC7121"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3C44FB">
        <w:rPr>
          <w:rFonts w:ascii="Arial" w:hAnsi="Arial" w:cs="Arial"/>
          <w:sz w:val="20"/>
        </w:rPr>
        <w:tab/>
      </w:r>
      <w:r w:rsidRPr="00FC7121">
        <w:rPr>
          <w:rFonts w:ascii="Arial" w:hAnsi="Arial" w:cs="Arial"/>
          <w:sz w:val="20"/>
        </w:rPr>
        <w:t>had not at any time been given a WWC exclusion or, having been given a WWC exclusion, had subsequently been given a WWC clearance; and</w:t>
      </w:r>
    </w:p>
    <w:p w14:paraId="123B0142" w14:textId="28AD5CF0"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3C44FB">
        <w:rPr>
          <w:rFonts w:ascii="Arial" w:hAnsi="Arial" w:cs="Arial"/>
          <w:sz w:val="20"/>
        </w:rPr>
        <w:tab/>
      </w:r>
      <w:r w:rsidRPr="00FC7121">
        <w:rPr>
          <w:rFonts w:ascii="Arial" w:hAnsi="Arial" w:cs="Arial"/>
          <w:sz w:val="20"/>
        </w:rPr>
        <w:t>was not excluded from child-related work under a corresponding working with children law; and</w:t>
      </w:r>
    </w:p>
    <w:p w14:paraId="28FA990D" w14:textId="30925AF1"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(iii)</w:t>
      </w:r>
      <w:r w:rsidRPr="00FC7121">
        <w:rPr>
          <w:rFonts w:ascii="Arial" w:hAnsi="Arial" w:cs="Arial"/>
          <w:sz w:val="20"/>
        </w:rPr>
        <w:tab/>
      </w:r>
      <w:r w:rsidR="003C44FB">
        <w:rPr>
          <w:rFonts w:ascii="Arial" w:hAnsi="Arial" w:cs="Arial"/>
          <w:sz w:val="20"/>
        </w:rPr>
        <w:tab/>
      </w:r>
      <w:r w:rsidRPr="00FC7121">
        <w:rPr>
          <w:rFonts w:ascii="Arial" w:hAnsi="Arial" w:cs="Arial"/>
          <w:sz w:val="20"/>
        </w:rPr>
        <w:t>was not subject to an obligation or order specified in clause 1 of Schedule 5; and</w:t>
      </w:r>
    </w:p>
    <w:p w14:paraId="713BB81E" w14:textId="045E9B45" w:rsidR="003C44FB" w:rsidRPr="00FC7121" w:rsidRDefault="00FC7121" w:rsidP="003C44FB">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lastRenderedPageBreak/>
        <w:t>(iv)</w:t>
      </w:r>
      <w:r w:rsidRPr="00FC7121">
        <w:rPr>
          <w:rFonts w:ascii="Arial" w:hAnsi="Arial" w:cs="Arial"/>
          <w:sz w:val="20"/>
        </w:rPr>
        <w:tab/>
      </w:r>
      <w:r w:rsidR="003C44FB">
        <w:rPr>
          <w:rFonts w:ascii="Arial" w:hAnsi="Arial" w:cs="Arial"/>
          <w:sz w:val="20"/>
        </w:rPr>
        <w:tab/>
      </w:r>
      <w:r w:rsidRPr="00FC7121">
        <w:rPr>
          <w:rFonts w:ascii="Arial" w:hAnsi="Arial" w:cs="Arial"/>
          <w:sz w:val="20"/>
        </w:rPr>
        <w:t>was not charged with or had not been convicted or found guilty of an offence specified in clause 2 of Schedule 5; or</w:t>
      </w:r>
    </w:p>
    <w:p w14:paraId="58741286"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was exempt from a WWC check in respect of the work under Chapter 5 and the accused was not subject to an obligation or order specified in clause 1 of Schedule 5; or</w:t>
      </w:r>
    </w:p>
    <w:p w14:paraId="77F78734" w14:textId="77777777" w:rsidR="00FC7121" w:rsidRPr="00FC7121" w:rsidRDefault="00FC7121" w:rsidP="00166173">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(c)</w:t>
      </w:r>
      <w:r w:rsidRPr="00FC7121">
        <w:rPr>
          <w:rFonts w:ascii="Arial" w:hAnsi="Arial" w:cs="Arial"/>
          <w:sz w:val="20"/>
        </w:rPr>
        <w:tab/>
        <w:t>unless engaging in the work as a volunteer or undertaking practical training—</w:t>
      </w:r>
    </w:p>
    <w:p w14:paraId="12FC7D33" w14:textId="30609ABF"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w:t>
      </w:r>
      <w:r w:rsidRPr="00FC7121">
        <w:rPr>
          <w:rFonts w:ascii="Arial" w:hAnsi="Arial" w:cs="Arial"/>
          <w:sz w:val="20"/>
        </w:rPr>
        <w:tab/>
      </w:r>
      <w:r w:rsidR="00F64DBF">
        <w:rPr>
          <w:rFonts w:ascii="Arial" w:hAnsi="Arial" w:cs="Arial"/>
          <w:sz w:val="20"/>
        </w:rPr>
        <w:tab/>
      </w:r>
      <w:r w:rsidRPr="00FC7121">
        <w:rPr>
          <w:rFonts w:ascii="Arial" w:hAnsi="Arial" w:cs="Arial"/>
          <w:sz w:val="20"/>
        </w:rPr>
        <w:t>having applied for a WWC check and been given a WWC exclusion, had notified their employer of the giving of that WWC exclusion; and</w:t>
      </w:r>
    </w:p>
    <w:p w14:paraId="051D605D" w14:textId="4DD6EC44" w:rsidR="00F64DBF" w:rsidRPr="00FC7121" w:rsidRDefault="00FC7121" w:rsidP="00F64DBF">
      <w:pPr>
        <w:pStyle w:val="DraftHeading4"/>
        <w:tabs>
          <w:tab w:val="right" w:pos="2268"/>
        </w:tabs>
        <w:spacing w:before="60"/>
        <w:ind w:left="2438" w:right="567" w:hanging="567"/>
        <w:jc w:val="both"/>
        <w:rPr>
          <w:rFonts w:ascii="Arial" w:hAnsi="Arial" w:cs="Arial"/>
          <w:sz w:val="20"/>
        </w:rPr>
      </w:pPr>
      <w:r w:rsidRPr="00FC7121">
        <w:rPr>
          <w:rFonts w:ascii="Arial" w:hAnsi="Arial" w:cs="Arial"/>
          <w:sz w:val="20"/>
        </w:rPr>
        <w:t>(ii)</w:t>
      </w:r>
      <w:r w:rsidRPr="00FC7121">
        <w:rPr>
          <w:rFonts w:ascii="Arial" w:hAnsi="Arial" w:cs="Arial"/>
          <w:sz w:val="20"/>
        </w:rPr>
        <w:tab/>
      </w:r>
      <w:r w:rsidR="00F64DBF">
        <w:rPr>
          <w:rFonts w:ascii="Arial" w:hAnsi="Arial" w:cs="Arial"/>
          <w:sz w:val="20"/>
        </w:rPr>
        <w:tab/>
      </w:r>
      <w:r w:rsidRPr="00FC7121">
        <w:rPr>
          <w:rFonts w:ascii="Arial" w:hAnsi="Arial" w:cs="Arial"/>
          <w:sz w:val="20"/>
        </w:rPr>
        <w:t>the accused's employer was in the process of—</w:t>
      </w:r>
    </w:p>
    <w:p w14:paraId="1C3CA5C2" w14:textId="74B9EED5" w:rsidR="00FC7121" w:rsidRPr="00FC7121" w:rsidRDefault="00EF2AF2" w:rsidP="00EF2AF2">
      <w:pPr>
        <w:pStyle w:val="DraftHeading5"/>
        <w:tabs>
          <w:tab w:val="right" w:pos="2722"/>
        </w:tabs>
        <w:spacing w:before="60"/>
        <w:ind w:left="2892" w:right="567" w:hanging="2892"/>
        <w:jc w:val="both"/>
        <w:rPr>
          <w:rFonts w:ascii="Arial" w:hAnsi="Arial" w:cs="Arial"/>
          <w:sz w:val="20"/>
        </w:rPr>
      </w:pPr>
      <w:r>
        <w:rPr>
          <w:rFonts w:ascii="Arial" w:hAnsi="Arial" w:cs="Arial"/>
          <w:sz w:val="20"/>
        </w:rPr>
        <w:tab/>
      </w:r>
      <w:r w:rsidR="00FC7121" w:rsidRPr="00FC7121">
        <w:rPr>
          <w:rFonts w:ascii="Arial" w:hAnsi="Arial" w:cs="Arial"/>
          <w:sz w:val="20"/>
        </w:rPr>
        <w:t>(A)</w:t>
      </w:r>
      <w:r w:rsidR="00FC7121" w:rsidRPr="00FC7121">
        <w:rPr>
          <w:rFonts w:ascii="Arial" w:hAnsi="Arial" w:cs="Arial"/>
          <w:sz w:val="20"/>
        </w:rPr>
        <w:tab/>
        <w:t>transferring the accused to work that was not child-related work; or</w:t>
      </w:r>
    </w:p>
    <w:p w14:paraId="5DAFCE41" w14:textId="77777777" w:rsidR="00FC7121" w:rsidRPr="00FC7121" w:rsidRDefault="00FC7121" w:rsidP="00EF2AF2">
      <w:pPr>
        <w:pStyle w:val="DraftHeading5"/>
        <w:tabs>
          <w:tab w:val="right" w:pos="2722"/>
        </w:tabs>
        <w:spacing w:before="60"/>
        <w:ind w:left="2892" w:right="567" w:hanging="2892"/>
        <w:jc w:val="both"/>
        <w:rPr>
          <w:rFonts w:ascii="Arial" w:hAnsi="Arial" w:cs="Arial"/>
          <w:sz w:val="20"/>
        </w:rPr>
      </w:pPr>
      <w:r w:rsidRPr="00FC7121">
        <w:rPr>
          <w:rFonts w:ascii="Arial" w:hAnsi="Arial" w:cs="Arial"/>
          <w:sz w:val="20"/>
        </w:rPr>
        <w:tab/>
        <w:t>(B)</w:t>
      </w:r>
      <w:r w:rsidRPr="00FC7121">
        <w:rPr>
          <w:rFonts w:ascii="Arial" w:hAnsi="Arial" w:cs="Arial"/>
          <w:sz w:val="20"/>
        </w:rPr>
        <w:tab/>
        <w:t>terminating the accused's employment in accordance with the requirements of the Fair Work Act 2009 of the Commonwealth.</w:t>
      </w:r>
    </w:p>
    <w:p w14:paraId="46EB2274" w14:textId="09DA8A28"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(3)</w:t>
      </w:r>
      <w:r w:rsidRPr="00FC7121">
        <w:rPr>
          <w:rFonts w:ascii="Arial" w:hAnsi="Arial" w:cs="Arial"/>
          <w:sz w:val="20"/>
        </w:rPr>
        <w:tab/>
      </w:r>
      <w:r w:rsidR="00EF2AF2">
        <w:rPr>
          <w:rFonts w:ascii="Arial" w:hAnsi="Arial" w:cs="Arial"/>
          <w:sz w:val="20"/>
        </w:rPr>
        <w:tab/>
      </w:r>
      <w:r w:rsidRPr="00FC7121">
        <w:rPr>
          <w:rFonts w:ascii="Arial" w:hAnsi="Arial" w:cs="Arial"/>
          <w:sz w:val="20"/>
        </w:rPr>
        <w:t>A person is not guilty of an offence against subsection (1) if, at the time the offence is alleged to have been committed—</w:t>
      </w:r>
    </w:p>
    <w:p w14:paraId="5A73FA72"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the person had been given a WWC exclusion by the Secretary and had applied to VCAT under section 106(1) for a WWC clearance; and</w:t>
      </w:r>
    </w:p>
    <w:p w14:paraId="2E5BDD6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decision of the Secretary was the subject of an order by VCAT staying the operation of the decision.</w:t>
      </w:r>
    </w:p>
    <w:p w14:paraId="120326D8" w14:textId="7C2CFDA0" w:rsidR="00EF2AF2" w:rsidRPr="00FC7121" w:rsidRDefault="00FC7121" w:rsidP="00EF2AF2">
      <w:pPr>
        <w:pStyle w:val="DraftHeading2"/>
        <w:tabs>
          <w:tab w:val="right" w:pos="1247"/>
        </w:tabs>
        <w:spacing w:before="60"/>
        <w:ind w:left="1491" w:right="567" w:hanging="567"/>
        <w:jc w:val="both"/>
        <w:rPr>
          <w:rFonts w:ascii="Arial" w:hAnsi="Arial" w:cs="Arial"/>
          <w:sz w:val="20"/>
        </w:rPr>
      </w:pPr>
      <w:r w:rsidRPr="00FC7121">
        <w:rPr>
          <w:rFonts w:ascii="Arial" w:hAnsi="Arial" w:cs="Arial"/>
          <w:sz w:val="20"/>
        </w:rPr>
        <w:t>(4)</w:t>
      </w:r>
      <w:r w:rsidR="00EF2AF2">
        <w:rPr>
          <w:rFonts w:ascii="Arial" w:hAnsi="Arial" w:cs="Arial"/>
          <w:sz w:val="20"/>
        </w:rPr>
        <w:tab/>
      </w:r>
      <w:r w:rsidRPr="00FC7121">
        <w:rPr>
          <w:rFonts w:ascii="Arial" w:hAnsi="Arial" w:cs="Arial"/>
          <w:sz w:val="20"/>
        </w:rPr>
        <w:tab/>
        <w:t>A person is not guilty of an offence against subsection (1) if—</w:t>
      </w:r>
    </w:p>
    <w:p w14:paraId="6576CCCC"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(a)</w:t>
      </w:r>
      <w:r w:rsidRPr="00FC7121">
        <w:rPr>
          <w:rFonts w:ascii="Arial" w:hAnsi="Arial" w:cs="Arial"/>
          <w:sz w:val="20"/>
        </w:rPr>
        <w:tab/>
        <w:t>at the time the offence is alleged to have been committed, the work engaged in is child-related work described in section 7(6); and</w:t>
      </w:r>
    </w:p>
    <w:p w14:paraId="199B961D" w14:textId="77777777" w:rsidR="00FC7121" w:rsidRPr="00FC7121" w:rsidRDefault="00FC7121" w:rsidP="00CF4A2E">
      <w:pPr>
        <w:pStyle w:val="DraftHeading3"/>
        <w:tabs>
          <w:tab w:val="right" w:pos="1757"/>
        </w:tabs>
        <w:spacing w:before="60"/>
        <w:ind w:left="1871" w:right="567" w:hanging="1871"/>
        <w:jc w:val="both"/>
        <w:rPr>
          <w:rFonts w:ascii="Arial" w:hAnsi="Arial" w:cs="Arial"/>
          <w:sz w:val="20"/>
        </w:rPr>
      </w:pPr>
      <w:r w:rsidRPr="00FC7121">
        <w:rPr>
          <w:rFonts w:ascii="Arial" w:hAnsi="Arial" w:cs="Arial"/>
          <w:sz w:val="20"/>
        </w:rPr>
        <w:tab/>
        <w:t>(b)</w:t>
      </w:r>
      <w:r w:rsidRPr="00FC7121">
        <w:rPr>
          <w:rFonts w:ascii="Arial" w:hAnsi="Arial" w:cs="Arial"/>
          <w:sz w:val="20"/>
        </w:rPr>
        <w:tab/>
        <w:t>the person applies, within 21 days after first engaging in that work, for a WWC check to be carried out.</w:t>
      </w:r>
    </w:p>
    <w:p w14:paraId="583677E5" w14:textId="77777777" w:rsidR="00116AA0" w:rsidRDefault="00116AA0" w:rsidP="00116AA0">
      <w:pPr>
        <w:jc w:val="both"/>
        <w:rPr>
          <w:rFonts w:ascii="Arial" w:hAnsi="Arial" w:cs="Arial"/>
          <w:sz w:val="20"/>
          <w:szCs w:val="32"/>
        </w:rPr>
      </w:pPr>
    </w:p>
    <w:p w14:paraId="704C3C28" w14:textId="230B52C0" w:rsidR="00EF2AF2" w:rsidRPr="00FC7121" w:rsidRDefault="00EF2AF2" w:rsidP="00116AA0">
      <w:pPr>
        <w:jc w:val="both"/>
        <w:rPr>
          <w:rFonts w:ascii="Arial" w:hAnsi="Arial" w:cs="Arial"/>
          <w:sz w:val="20"/>
          <w:szCs w:val="20"/>
        </w:rPr>
      </w:pPr>
      <w:r>
        <w:rPr>
          <w:rFonts w:ascii="Arial" w:hAnsi="Arial" w:cs="Arial"/>
          <w:sz w:val="20"/>
          <w:szCs w:val="20"/>
        </w:rPr>
        <w:t>The Explanatory Memorandum to s.121 says in relation to ss.121(2)(a) &amp; 121(4):</w:t>
      </w:r>
    </w:p>
    <w:p w14:paraId="333E438E" w14:textId="63AB4121" w:rsidR="00EF2AF2" w:rsidRPr="00EF2AF2" w:rsidRDefault="00EF2AF2" w:rsidP="00EF2AF2">
      <w:pPr>
        <w:pStyle w:val="DraftHeading1"/>
        <w:tabs>
          <w:tab w:val="right" w:pos="680"/>
        </w:tabs>
        <w:spacing w:before="60"/>
        <w:ind w:left="567" w:right="567"/>
        <w:jc w:val="both"/>
        <w:rPr>
          <w:rFonts w:ascii="Arial" w:hAnsi="Arial" w:cs="Arial"/>
          <w:b w:val="0"/>
          <w:bCs/>
          <w:sz w:val="20"/>
          <w:szCs w:val="20"/>
        </w:rPr>
      </w:pPr>
      <w:r w:rsidRPr="00EF2AF2">
        <w:rPr>
          <w:rFonts w:ascii="Arial" w:hAnsi="Arial" w:cs="Arial"/>
          <w:b w:val="0"/>
          <w:bCs/>
          <w:sz w:val="20"/>
          <w:szCs w:val="20"/>
        </w:rPr>
        <w:t>“The defence at subclause (2)(a) operates to allow most applicants to ‘work on a receipt’ and enables a person to engage in child-related work without a current WWC clearance if certain conditions are met, specifically that the person had applied for a WWC check and the application had not been finally decided or withdrawn and the person [fits within paragraphs (i) to (iv) of s.121(2)(a)].  Subclause (4) provides a distinct exception to an offence against subclause (1) for kinship carers by providing such a person with 21 days following their commencement as a kinship carer before they are required to apply for a WWC check… This acknowledges the unique and challenging situations that often give rise to a kinship care placement, such as through emergency placements.”</w:t>
      </w:r>
    </w:p>
    <w:p w14:paraId="6735F121" w14:textId="77777777" w:rsidR="00116AA0" w:rsidRPr="00921CA0" w:rsidRDefault="00116AA0" w:rsidP="00116AA0">
      <w:pPr>
        <w:rPr>
          <w:rFonts w:ascii="Arial" w:hAnsi="Arial" w:cs="Arial"/>
          <w:sz w:val="20"/>
          <w:szCs w:val="20"/>
        </w:rPr>
      </w:pPr>
    </w:p>
    <w:p w14:paraId="19FA27C8" w14:textId="4CBC3D32" w:rsidR="00EE5A03" w:rsidRPr="00EE5A03" w:rsidRDefault="00EE5A03" w:rsidP="00EE5A03">
      <w:pPr>
        <w:jc w:val="both"/>
        <w:rPr>
          <w:sz w:val="20"/>
          <w:szCs w:val="20"/>
        </w:rPr>
      </w:pPr>
      <w:r w:rsidRPr="00EE5A03">
        <w:rPr>
          <w:rFonts w:ascii="Arial" w:hAnsi="Arial" w:cs="Arial"/>
          <w:sz w:val="20"/>
          <w:szCs w:val="20"/>
        </w:rPr>
        <w:t xml:space="preserve">The circumstances detailed in ss.121(2)(b), 121(2)(c) &amp; 121(3) </w:t>
      </w:r>
      <w:r w:rsidR="00790EB2">
        <w:rPr>
          <w:rFonts w:ascii="Arial" w:hAnsi="Arial" w:cs="Arial"/>
          <w:sz w:val="20"/>
          <w:szCs w:val="20"/>
        </w:rPr>
        <w:t>WSA</w:t>
      </w:r>
      <w:r w:rsidRPr="00EE5A03">
        <w:rPr>
          <w:rFonts w:ascii="Arial" w:hAnsi="Arial" w:cs="Arial"/>
          <w:sz w:val="20"/>
          <w:szCs w:val="20"/>
        </w:rPr>
        <w:t xml:space="preserve"> also give rise to a defence to a charge laid under s.121(1) WSA but are fairly unlikely to be encountered in practice in cases</w:t>
      </w:r>
      <w:r>
        <w:rPr>
          <w:rFonts w:ascii="Arial" w:hAnsi="Arial" w:cs="Arial"/>
          <w:sz w:val="20"/>
          <w:szCs w:val="20"/>
        </w:rPr>
        <w:t xml:space="preserve"> in the Children’s Court</w:t>
      </w:r>
      <w:r w:rsidRPr="00EE5A03">
        <w:rPr>
          <w:rFonts w:ascii="Arial" w:hAnsi="Arial" w:cs="Arial"/>
          <w:sz w:val="20"/>
          <w:szCs w:val="20"/>
        </w:rPr>
        <w:t>.</w:t>
      </w:r>
    </w:p>
    <w:p w14:paraId="03CF59C3" w14:textId="77777777" w:rsidR="00EE5A03" w:rsidRPr="00921CA0" w:rsidRDefault="00EE5A03" w:rsidP="00EE5A03">
      <w:pPr>
        <w:pStyle w:val="DraftHeading2"/>
        <w:tabs>
          <w:tab w:val="right" w:pos="1247"/>
        </w:tabs>
        <w:spacing w:before="0"/>
        <w:ind w:left="1361" w:hanging="1361"/>
        <w:jc w:val="both"/>
        <w:rPr>
          <w:rFonts w:ascii="Arial" w:hAnsi="Arial" w:cs="Arial"/>
          <w:sz w:val="20"/>
          <w:szCs w:val="16"/>
        </w:rPr>
      </w:pPr>
    </w:p>
    <w:p w14:paraId="3DA4522A" w14:textId="4CA9F92F" w:rsidR="00EE5A03" w:rsidRPr="00EE5A03" w:rsidRDefault="00EE5A03" w:rsidP="00EE5A03">
      <w:pPr>
        <w:jc w:val="both"/>
        <w:rPr>
          <w:rFonts w:ascii="Arial" w:hAnsi="Arial" w:cs="Arial"/>
          <w:b/>
          <w:bCs/>
          <w:sz w:val="20"/>
          <w:szCs w:val="20"/>
        </w:rPr>
      </w:pPr>
      <w:r>
        <w:rPr>
          <w:rFonts w:ascii="Arial" w:hAnsi="Arial" w:cs="Arial"/>
          <w:b/>
          <w:bCs/>
          <w:sz w:val="20"/>
          <w:szCs w:val="20"/>
        </w:rPr>
        <w:t>I</w:t>
      </w:r>
      <w:r w:rsidRPr="00EE5A03">
        <w:rPr>
          <w:rFonts w:ascii="Arial" w:hAnsi="Arial" w:cs="Arial"/>
          <w:b/>
          <w:bCs/>
          <w:sz w:val="20"/>
          <w:szCs w:val="20"/>
        </w:rPr>
        <w:t>n summary, a non-parent family member/significant person who does not have a current WWC clearance but who is the carer for a child pursuant to an order under the CYFA is not at risk of a penalty under s.121(1) of the WSA–</w:t>
      </w:r>
    </w:p>
    <w:p w14:paraId="63F0F5C3" w14:textId="77777777"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the first 21 days of caring for the child; and</w:t>
      </w:r>
    </w:p>
    <w:p w14:paraId="2E11383F" w14:textId="7F479540" w:rsidR="00EE5A03" w:rsidRPr="00EE5A03" w:rsidRDefault="00EE5A03">
      <w:pPr>
        <w:pStyle w:val="DraftHeading2"/>
        <w:numPr>
          <w:ilvl w:val="0"/>
          <w:numId w:val="112"/>
        </w:numPr>
        <w:spacing w:before="0"/>
        <w:ind w:left="357" w:hanging="357"/>
        <w:jc w:val="both"/>
        <w:rPr>
          <w:rFonts w:ascii="Arial" w:hAnsi="Arial" w:cs="Arial"/>
          <w:b/>
          <w:bCs/>
          <w:sz w:val="20"/>
          <w:szCs w:val="16"/>
        </w:rPr>
      </w:pPr>
      <w:r w:rsidRPr="00EE5A03">
        <w:rPr>
          <w:rFonts w:ascii="Arial" w:hAnsi="Arial" w:cs="Arial"/>
          <w:b/>
          <w:bCs/>
          <w:sz w:val="20"/>
          <w:szCs w:val="16"/>
        </w:rPr>
        <w:t>for any further consecutive days of caring for the child provided that the person fits within paragraphs (i) to (iv) of s.121(2)(a) and had applied for a WWC check before or during the first 21 days but the application had not yet been determined.</w:t>
      </w:r>
    </w:p>
    <w:p w14:paraId="0A8717A2" w14:textId="77777777" w:rsidR="00473105" w:rsidRDefault="00473105" w:rsidP="00473105">
      <w:pPr>
        <w:rPr>
          <w:rFonts w:ascii="Arial" w:hAnsi="Arial" w:cs="Arial"/>
          <w:sz w:val="20"/>
        </w:rPr>
      </w:pPr>
    </w:p>
    <w:p w14:paraId="74C9A1FB" w14:textId="693DB49B" w:rsidR="007F48F0" w:rsidRDefault="007F48F0" w:rsidP="007F48F0">
      <w:pPr>
        <w:jc w:val="both"/>
        <w:rPr>
          <w:rFonts w:ascii="Arial" w:hAnsi="Arial" w:cs="Arial"/>
          <w:sz w:val="20"/>
        </w:rPr>
      </w:pPr>
      <w:r>
        <w:rPr>
          <w:rFonts w:ascii="Arial" w:hAnsi="Arial" w:cs="Arial"/>
          <w:sz w:val="20"/>
        </w:rPr>
        <w:t xml:space="preserve">A person who is aggrieved by a decision in relation to a WWC check may seek review of the decision </w:t>
      </w:r>
      <w:r w:rsidR="001F48FC">
        <w:rPr>
          <w:rFonts w:ascii="Arial" w:hAnsi="Arial" w:cs="Arial"/>
          <w:sz w:val="20"/>
        </w:rPr>
        <w:t>by</w:t>
      </w:r>
      <w:r>
        <w:rPr>
          <w:rFonts w:ascii="Arial" w:hAnsi="Arial" w:cs="Arial"/>
          <w:sz w:val="20"/>
        </w:rPr>
        <w:t xml:space="preserve"> the Victorian Civil and Administrative Tribunal [VCAT]. In </w:t>
      </w:r>
      <w:r w:rsidRPr="007F48F0">
        <w:rPr>
          <w:rFonts w:ascii="Arial" w:hAnsi="Arial" w:cs="Arial"/>
          <w:i/>
          <w:iCs/>
          <w:sz w:val="20"/>
        </w:rPr>
        <w:t>XX v Secretary to the Department of Government Services</w:t>
      </w:r>
      <w:r>
        <w:rPr>
          <w:rFonts w:ascii="Arial" w:hAnsi="Arial" w:cs="Arial"/>
          <w:sz w:val="20"/>
        </w:rPr>
        <w:t xml:space="preserve"> the applicant was the grandfather of 4 children aged </w:t>
      </w:r>
      <w:r w:rsidR="00A422DA">
        <w:rPr>
          <w:rFonts w:ascii="Arial" w:hAnsi="Arial" w:cs="Arial"/>
          <w:sz w:val="20"/>
        </w:rPr>
        <w:t xml:space="preserve">between 8 &amp; </w:t>
      </w:r>
      <w:r>
        <w:rPr>
          <w:rFonts w:ascii="Arial" w:hAnsi="Arial" w:cs="Arial"/>
          <w:sz w:val="20"/>
        </w:rPr>
        <w:t xml:space="preserve">14. His WWC clearance had been </w:t>
      </w:r>
      <w:r w:rsidR="00A422DA">
        <w:rPr>
          <w:rFonts w:ascii="Arial" w:hAnsi="Arial" w:cs="Arial"/>
          <w:sz w:val="20"/>
        </w:rPr>
        <w:t>revok</w:t>
      </w:r>
      <w:r>
        <w:rPr>
          <w:rFonts w:ascii="Arial" w:hAnsi="Arial" w:cs="Arial"/>
          <w:sz w:val="20"/>
        </w:rPr>
        <w:t xml:space="preserve">ed by the respondent and he sought a review of that decision. </w:t>
      </w:r>
      <w:r w:rsidR="00A422DA">
        <w:rPr>
          <w:rFonts w:ascii="Arial" w:hAnsi="Arial" w:cs="Arial"/>
          <w:sz w:val="20"/>
        </w:rPr>
        <w:t xml:space="preserve">Subsequently VCAT </w:t>
      </w:r>
      <w:r>
        <w:rPr>
          <w:rFonts w:ascii="Arial" w:hAnsi="Arial" w:cs="Arial"/>
          <w:sz w:val="20"/>
        </w:rPr>
        <w:t xml:space="preserve">made the following </w:t>
      </w:r>
      <w:r w:rsidR="00D216F3">
        <w:rPr>
          <w:rFonts w:ascii="Arial" w:hAnsi="Arial" w:cs="Arial"/>
          <w:sz w:val="20"/>
        </w:rPr>
        <w:t xml:space="preserve">interim </w:t>
      </w:r>
      <w:r>
        <w:rPr>
          <w:rFonts w:ascii="Arial" w:hAnsi="Arial" w:cs="Arial"/>
          <w:sz w:val="20"/>
        </w:rPr>
        <w:t>stay order by consent:</w:t>
      </w:r>
    </w:p>
    <w:p w14:paraId="6E956FA6" w14:textId="0BC4615B" w:rsidR="007F48F0" w:rsidRDefault="007F48F0" w:rsidP="00D216F3">
      <w:pPr>
        <w:pStyle w:val="DraftHeading1"/>
        <w:numPr>
          <w:ilvl w:val="3"/>
          <w:numId w:val="47"/>
        </w:numPr>
        <w:tabs>
          <w:tab w:val="right" w:pos="680"/>
        </w:tabs>
        <w:spacing w:before="60"/>
        <w:ind w:right="567"/>
        <w:jc w:val="both"/>
        <w:rPr>
          <w:rFonts w:ascii="Arial" w:hAnsi="Arial" w:cs="Arial"/>
          <w:b w:val="0"/>
          <w:bCs/>
          <w:sz w:val="20"/>
          <w:szCs w:val="20"/>
        </w:rPr>
      </w:pPr>
      <w:r>
        <w:rPr>
          <w:rFonts w:ascii="Arial" w:hAnsi="Arial" w:cs="Arial"/>
          <w:b w:val="0"/>
          <w:bCs/>
          <w:sz w:val="20"/>
          <w:szCs w:val="20"/>
        </w:rPr>
        <w:lastRenderedPageBreak/>
        <w:t xml:space="preserve">Under s.50 of the </w:t>
      </w:r>
      <w:r w:rsidRPr="001D43CC">
        <w:rPr>
          <w:rFonts w:ascii="Arial" w:hAnsi="Arial" w:cs="Arial"/>
          <w:b w:val="0"/>
          <w:bCs/>
          <w:i/>
          <w:iCs/>
          <w:sz w:val="20"/>
          <w:szCs w:val="20"/>
        </w:rPr>
        <w:t xml:space="preserve">Victorian Civil and Administrative </w:t>
      </w:r>
      <w:r w:rsidR="00D216F3" w:rsidRPr="001D43CC">
        <w:rPr>
          <w:rFonts w:ascii="Arial" w:hAnsi="Arial" w:cs="Arial"/>
          <w:b w:val="0"/>
          <w:bCs/>
          <w:i/>
          <w:iCs/>
          <w:sz w:val="20"/>
          <w:szCs w:val="20"/>
        </w:rPr>
        <w:t>Tribunal Act 1998</w:t>
      </w:r>
      <w:r w:rsidR="00D216F3">
        <w:rPr>
          <w:rFonts w:ascii="Arial" w:hAnsi="Arial" w:cs="Arial"/>
          <w:b w:val="0"/>
          <w:bCs/>
          <w:sz w:val="20"/>
          <w:szCs w:val="20"/>
        </w:rPr>
        <w:t xml:space="preserve"> (Vic), VCAT conditionally stays the respondent’s decision made on </w:t>
      </w:r>
      <w:r w:rsidR="00A422DA">
        <w:rPr>
          <w:rFonts w:ascii="Arial" w:hAnsi="Arial" w:cs="Arial"/>
          <w:b w:val="0"/>
          <w:bCs/>
          <w:sz w:val="20"/>
          <w:szCs w:val="20"/>
        </w:rPr>
        <w:t>[date]</w:t>
      </w:r>
      <w:r w:rsidR="00D216F3">
        <w:rPr>
          <w:rFonts w:ascii="Arial" w:hAnsi="Arial" w:cs="Arial"/>
          <w:b w:val="0"/>
          <w:bCs/>
          <w:sz w:val="20"/>
          <w:szCs w:val="20"/>
        </w:rPr>
        <w:t xml:space="preserve"> until the hearing and determination of this proceeding or further order.</w:t>
      </w:r>
    </w:p>
    <w:p w14:paraId="19851D35" w14:textId="75D79670" w:rsidR="00D216F3" w:rsidRPr="00D216F3" w:rsidRDefault="00D216F3" w:rsidP="00D216F3">
      <w:pPr>
        <w:pStyle w:val="ListParagraph"/>
        <w:numPr>
          <w:ilvl w:val="3"/>
          <w:numId w:val="47"/>
        </w:numPr>
        <w:spacing w:before="60"/>
        <w:ind w:left="714" w:hanging="357"/>
        <w:jc w:val="both"/>
        <w:rPr>
          <w:rFonts w:ascii="Arial" w:hAnsi="Arial" w:cs="Arial"/>
          <w:sz w:val="20"/>
        </w:rPr>
      </w:pPr>
      <w:r w:rsidRPr="00D216F3">
        <w:rPr>
          <w:rFonts w:ascii="Arial" w:hAnsi="Arial" w:cs="Arial"/>
          <w:sz w:val="20"/>
        </w:rPr>
        <w:t>The condition to be applied is as follows:</w:t>
      </w:r>
    </w:p>
    <w:p w14:paraId="2B134FA5" w14:textId="7602D4DB" w:rsidR="007F48F0" w:rsidRDefault="00D216F3" w:rsidP="00A422DA">
      <w:pPr>
        <w:spacing w:before="60"/>
        <w:ind w:left="1281" w:right="1021"/>
        <w:jc w:val="both"/>
        <w:rPr>
          <w:rFonts w:ascii="Arial" w:hAnsi="Arial" w:cs="Arial"/>
          <w:sz w:val="20"/>
        </w:rPr>
      </w:pPr>
      <w:r>
        <w:rPr>
          <w:rFonts w:ascii="Arial" w:hAnsi="Arial" w:cs="Arial"/>
          <w:sz w:val="20"/>
        </w:rPr>
        <w:t xml:space="preserve">The applicant’s WWC clearance only applies to the extent necessary to enable him to care for his four grandchildren [identified by date of birth] as a family member or other person of significance to the children, other than a parent, whether or not the grandchildren have been formally placed in his care under the </w:t>
      </w:r>
      <w:r w:rsidRPr="00D216F3">
        <w:rPr>
          <w:rFonts w:ascii="Arial" w:hAnsi="Arial" w:cs="Arial"/>
          <w:i/>
          <w:iCs/>
          <w:sz w:val="20"/>
        </w:rPr>
        <w:t>Children, Youth and Families Act 2005</w:t>
      </w:r>
      <w:r>
        <w:rPr>
          <w:rFonts w:ascii="Arial" w:hAnsi="Arial" w:cs="Arial"/>
          <w:sz w:val="20"/>
        </w:rPr>
        <w:t>.</w:t>
      </w:r>
    </w:p>
    <w:p w14:paraId="17F03F85" w14:textId="77777777" w:rsidR="00D216F3" w:rsidRPr="00473105" w:rsidRDefault="00D216F3" w:rsidP="00473105">
      <w:pPr>
        <w:rPr>
          <w:rFonts w:ascii="Arial" w:hAnsi="Arial" w:cs="Arial"/>
          <w:sz w:val="20"/>
        </w:rPr>
      </w:pPr>
    </w:p>
    <w:p w14:paraId="7BA269EE" w14:textId="77777777" w:rsidR="00473105" w:rsidRPr="00473105" w:rsidRDefault="00473105" w:rsidP="00473105">
      <w:pPr>
        <w:jc w:val="center"/>
        <w:rPr>
          <w:rFonts w:ascii="Arial" w:hAnsi="Arial" w:cs="Arial"/>
          <w:color w:val="000000"/>
          <w:sz w:val="20"/>
        </w:rPr>
      </w:pPr>
      <w:r>
        <w:rPr>
          <w:noProof/>
        </w:rPr>
        <w:drawing>
          <wp:inline distT="0" distB="0" distL="0" distR="0" wp14:anchorId="20C6C5A0" wp14:editId="04984FD7">
            <wp:extent cx="1797050" cy="416560"/>
            <wp:effectExtent l="0" t="0" r="0" b="0"/>
            <wp:docPr id="1863878474" name="Picture 186387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473105" w:rsidRPr="00473105">
      <w:footerReference w:type="default" r:id="rId42"/>
      <w:type w:val="continuous"/>
      <w:pgSz w:w="11906" w:h="16838" w:code="9"/>
      <w:pgMar w:top="1298" w:right="1797" w:bottom="1298"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4E7ED" w14:textId="77777777" w:rsidR="00AA0D88" w:rsidRDefault="00AA0D88">
      <w:r>
        <w:separator/>
      </w:r>
    </w:p>
  </w:endnote>
  <w:endnote w:type="continuationSeparator" w:id="0">
    <w:p w14:paraId="1636D3B9" w14:textId="77777777" w:rsidR="00AA0D88" w:rsidRDefault="00AA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5FD2" w14:textId="77777777" w:rsidR="00FF1EA6" w:rsidRDefault="00FF1EA6">
    <w:pPr>
      <w:pStyle w:val="Footer"/>
      <w:pBdr>
        <w:top w:val="single" w:sz="4" w:space="1" w:color="auto"/>
      </w:pBdr>
      <w:rPr>
        <w:rStyle w:val="PageNumber"/>
        <w:rFonts w:ascii="Arial" w:hAnsi="Arial" w:cs="Arial"/>
        <w:b/>
        <w:bCs/>
        <w:sz w:val="16"/>
      </w:rPr>
    </w:pPr>
    <w:r>
      <w:rPr>
        <w:rStyle w:val="PageNumber"/>
        <w:rFonts w:ascii="Arial" w:hAnsi="Arial" w:cs="Arial"/>
        <w:b/>
        <w:bCs/>
        <w:sz w:val="16"/>
      </w:rPr>
      <w:t xml:space="preserve">Produced by </w:t>
    </w:r>
    <w:r w:rsidR="0058307D">
      <w:rPr>
        <w:rStyle w:val="PageNumber"/>
        <w:rFonts w:ascii="Arial" w:hAnsi="Arial" w:cs="Arial"/>
        <w:b/>
        <w:bCs/>
        <w:sz w:val="16"/>
      </w:rPr>
      <w:t>former</w:t>
    </w:r>
    <w:r w:rsidR="00B874BC">
      <w:rPr>
        <w:rStyle w:val="PageNumber"/>
        <w:rFonts w:ascii="Arial" w:hAnsi="Arial" w:cs="Arial"/>
        <w:b/>
        <w:bCs/>
        <w:sz w:val="16"/>
      </w:rPr>
      <w:t xml:space="preserve"> </w:t>
    </w:r>
    <w:r>
      <w:rPr>
        <w:rStyle w:val="PageNumber"/>
        <w:rFonts w:ascii="Arial" w:hAnsi="Arial" w:cs="Arial"/>
        <w:b/>
        <w:bCs/>
        <w:sz w:val="16"/>
      </w:rPr>
      <w:t>Magistrate Peter Power for the Children's Court of Victoria</w:t>
    </w:r>
  </w:p>
  <w:p w14:paraId="47D9D20E" w14:textId="73C5A75F" w:rsidR="00FF1EA6" w:rsidRPr="00B05537" w:rsidRDefault="00FF1EA6">
    <w:pPr>
      <w:pStyle w:val="Footer"/>
      <w:rPr>
        <w:color w:val="000000"/>
      </w:rPr>
    </w:pPr>
    <w:r w:rsidRPr="00B05537">
      <w:rPr>
        <w:rStyle w:val="PageNumber"/>
        <w:rFonts w:ascii="Arial" w:hAnsi="Arial" w:cs="Arial"/>
        <w:b/>
        <w:bCs/>
        <w:color w:val="000000"/>
        <w:sz w:val="16"/>
      </w:rPr>
      <w:t xml:space="preserve">Last updated </w:t>
    </w:r>
    <w:r w:rsidR="007B6837">
      <w:rPr>
        <w:rStyle w:val="PageNumber"/>
        <w:rFonts w:ascii="Arial" w:hAnsi="Arial" w:cs="Arial"/>
        <w:b/>
        <w:bCs/>
        <w:color w:val="000000"/>
        <w:sz w:val="16"/>
      </w:rPr>
      <w:t>12</w:t>
    </w:r>
    <w:r w:rsidR="0002387D">
      <w:rPr>
        <w:rStyle w:val="PageNumber"/>
        <w:rFonts w:ascii="Arial" w:hAnsi="Arial" w:cs="Arial"/>
        <w:b/>
        <w:bCs/>
        <w:color w:val="000000"/>
        <w:sz w:val="16"/>
      </w:rPr>
      <w:t xml:space="preserve"> May</w:t>
    </w:r>
    <w:r w:rsidR="00DD536E">
      <w:rPr>
        <w:rStyle w:val="PageNumber"/>
        <w:rFonts w:ascii="Arial" w:hAnsi="Arial" w:cs="Arial"/>
        <w:b/>
        <w:bCs/>
        <w:color w:val="000000"/>
        <w:sz w:val="16"/>
      </w:rPr>
      <w:t xml:space="preserve"> 2025</w:t>
    </w:r>
    <w:r w:rsidRPr="00B05537">
      <w:rPr>
        <w:rStyle w:val="PageNumber"/>
        <w:rFonts w:ascii="Arial" w:hAnsi="Arial" w:cs="Arial"/>
        <w:b/>
        <w:bCs/>
        <w:color w:val="000000"/>
        <w:sz w:val="18"/>
      </w:rPr>
      <w:tab/>
    </w:r>
    <w:r w:rsidRPr="00B05537">
      <w:rPr>
        <w:rStyle w:val="PageNumber"/>
        <w:rFonts w:ascii="Arial" w:hAnsi="Arial" w:cs="Arial"/>
        <w:b/>
        <w:bCs/>
        <w:color w:val="000000"/>
      </w:rPr>
      <w:tab/>
    </w:r>
    <w:r w:rsidRPr="00B05537">
      <w:rPr>
        <w:rStyle w:val="PageNumber"/>
        <w:rFonts w:ascii="Arial" w:hAnsi="Arial" w:cs="Arial"/>
        <w:b/>
        <w:bCs/>
        <w:color w:val="000000"/>
        <w:sz w:val="16"/>
      </w:rPr>
      <w:t>4.</w:t>
    </w:r>
    <w:r w:rsidRPr="00B05537">
      <w:rPr>
        <w:rStyle w:val="PageNumber"/>
        <w:rFonts w:ascii="Arial" w:hAnsi="Arial" w:cs="Arial"/>
        <w:b/>
        <w:bCs/>
        <w:color w:val="000000"/>
        <w:sz w:val="16"/>
      </w:rPr>
      <w:fldChar w:fldCharType="begin"/>
    </w:r>
    <w:r w:rsidRPr="00B05537">
      <w:rPr>
        <w:rStyle w:val="PageNumber"/>
        <w:rFonts w:ascii="Arial" w:hAnsi="Arial" w:cs="Arial"/>
        <w:b/>
        <w:bCs/>
        <w:color w:val="000000"/>
        <w:sz w:val="16"/>
      </w:rPr>
      <w:instrText xml:space="preserve"> PAGE </w:instrText>
    </w:r>
    <w:r w:rsidRPr="00B05537">
      <w:rPr>
        <w:rStyle w:val="PageNumber"/>
        <w:rFonts w:ascii="Arial" w:hAnsi="Arial" w:cs="Arial"/>
        <w:b/>
        <w:bCs/>
        <w:color w:val="000000"/>
        <w:sz w:val="16"/>
      </w:rPr>
      <w:fldChar w:fldCharType="separate"/>
    </w:r>
    <w:r w:rsidR="00F47DF6">
      <w:rPr>
        <w:rStyle w:val="PageNumber"/>
        <w:rFonts w:ascii="Arial" w:hAnsi="Arial" w:cs="Arial"/>
        <w:b/>
        <w:bCs/>
        <w:noProof/>
        <w:color w:val="000000"/>
        <w:sz w:val="16"/>
      </w:rPr>
      <w:t>70</w:t>
    </w:r>
    <w:r w:rsidRPr="00B05537">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245AF" w14:textId="77777777" w:rsidR="00AA0D88" w:rsidRDefault="00AA0D88">
      <w:r>
        <w:separator/>
      </w:r>
    </w:p>
  </w:footnote>
  <w:footnote w:type="continuationSeparator" w:id="0">
    <w:p w14:paraId="76131A15" w14:textId="77777777" w:rsidR="00AA0D88" w:rsidRDefault="00AA0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622B28"/>
    <w:lvl w:ilvl="0">
      <w:start w:val="1"/>
      <w:numFmt w:val="decimal"/>
      <w:lvlText w:val="%1"/>
      <w:lvlJc w:val="left"/>
      <w:pPr>
        <w:tabs>
          <w:tab w:val="num" w:pos="0"/>
        </w:tabs>
        <w:ind w:left="720" w:hanging="720"/>
      </w:pPr>
      <w:rPr>
        <w:sz w:val="20"/>
      </w:rPr>
    </w:lvl>
    <w:lvl w:ilvl="1">
      <w:start w:val="1"/>
      <w:numFmt w:val="lowerLetter"/>
      <w:lvlText w:val="(%2)"/>
      <w:lvlJc w:val="left"/>
      <w:pPr>
        <w:tabs>
          <w:tab w:val="num" w:pos="0"/>
        </w:tabs>
        <w:ind w:left="1440" w:hanging="720"/>
      </w:pPr>
    </w:lvl>
    <w:lvl w:ilvl="2">
      <w:start w:val="1"/>
      <w:numFmt w:val="lowerRoman"/>
      <w:lvlText w:val="(%3)"/>
      <w:lvlJc w:val="left"/>
      <w:pPr>
        <w:tabs>
          <w:tab w:val="num" w:pos="0"/>
        </w:tabs>
        <w:ind w:left="2160" w:hanging="720"/>
      </w:pPr>
    </w:lvl>
    <w:lvl w:ilvl="3">
      <w:start w:val="1"/>
      <w:numFmt w:val="lowerLetter"/>
      <w:lvlText w:val="%4)"/>
      <w:lvlJc w:val="left"/>
      <w:pPr>
        <w:tabs>
          <w:tab w:val="num" w:pos="0"/>
        </w:tabs>
        <w:ind w:left="2880" w:hanging="720"/>
      </w:pPr>
    </w:lvl>
    <w:lvl w:ilvl="4">
      <w:start w:val="1"/>
      <w:numFmt w:val="decimal"/>
      <w:pStyle w:val="Heading5"/>
      <w:lvlText w:val="(%5)"/>
      <w:lvlJc w:val="left"/>
      <w:pPr>
        <w:tabs>
          <w:tab w:val="num" w:pos="0"/>
        </w:tabs>
        <w:ind w:left="3600" w:hanging="720"/>
      </w:pPr>
    </w:lvl>
    <w:lvl w:ilvl="5">
      <w:start w:val="1"/>
      <w:numFmt w:val="lowerLetter"/>
      <w:pStyle w:val="Heading6"/>
      <w:lvlText w:val="(%6)"/>
      <w:lvlJc w:val="left"/>
      <w:pPr>
        <w:tabs>
          <w:tab w:val="num" w:pos="0"/>
        </w:tabs>
        <w:ind w:left="4320" w:hanging="720"/>
      </w:pPr>
    </w:lvl>
    <w:lvl w:ilvl="6">
      <w:start w:val="1"/>
      <w:numFmt w:val="lowerRoman"/>
      <w:pStyle w:val="Heading7"/>
      <w:lvlText w:val="(%7)"/>
      <w:lvlJc w:val="left"/>
      <w:pPr>
        <w:tabs>
          <w:tab w:val="num" w:pos="0"/>
        </w:tabs>
        <w:ind w:left="5040" w:hanging="720"/>
      </w:pPr>
    </w:lvl>
    <w:lvl w:ilvl="7">
      <w:start w:val="1"/>
      <w:numFmt w:val="lowerLetter"/>
      <w:pStyle w:val="Heading8"/>
      <w:lvlText w:val="(%8)"/>
      <w:lvlJc w:val="left"/>
      <w:pPr>
        <w:tabs>
          <w:tab w:val="num" w:pos="0"/>
        </w:tabs>
        <w:ind w:left="5760" w:hanging="720"/>
      </w:pPr>
    </w:lvl>
    <w:lvl w:ilvl="8">
      <w:start w:val="1"/>
      <w:numFmt w:val="lowerRoman"/>
      <w:pStyle w:val="Heading9"/>
      <w:lvlText w:val="(%9)"/>
      <w:lvlJc w:val="left"/>
      <w:pPr>
        <w:tabs>
          <w:tab w:val="num" w:pos="0"/>
        </w:tabs>
        <w:ind w:left="6480" w:hanging="720"/>
      </w:pPr>
    </w:lvl>
  </w:abstractNum>
  <w:abstractNum w:abstractNumId="1" w15:restartNumberingAfterBreak="0">
    <w:nsid w:val="0062628D"/>
    <w:multiLevelType w:val="hybridMultilevel"/>
    <w:tmpl w:val="28CA412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3F57A23"/>
    <w:multiLevelType w:val="hybridMultilevel"/>
    <w:tmpl w:val="B988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612227"/>
    <w:multiLevelType w:val="hybridMultilevel"/>
    <w:tmpl w:val="5E568466"/>
    <w:lvl w:ilvl="0" w:tplc="FFFFFFFF">
      <w:start w:val="1"/>
      <w:numFmt w:val="lowerRoman"/>
      <w:lvlText w:val="(%1)"/>
      <w:lvlJc w:val="left"/>
      <w:pPr>
        <w:ind w:left="1434" w:hanging="72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 w15:restartNumberingAfterBreak="0">
    <w:nsid w:val="04CB1F2F"/>
    <w:multiLevelType w:val="hybridMultilevel"/>
    <w:tmpl w:val="6BA072EA"/>
    <w:lvl w:ilvl="0" w:tplc="498025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9B0579"/>
    <w:multiLevelType w:val="hybridMultilevel"/>
    <w:tmpl w:val="D9F2C79A"/>
    <w:lvl w:ilvl="0" w:tplc="E3CE0E82">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82527D2"/>
    <w:multiLevelType w:val="hybridMultilevel"/>
    <w:tmpl w:val="A990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873C4A"/>
    <w:multiLevelType w:val="hybridMultilevel"/>
    <w:tmpl w:val="36D4F196"/>
    <w:lvl w:ilvl="0" w:tplc="933E5B80">
      <w:start w:val="4"/>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CA34AE"/>
    <w:multiLevelType w:val="hybridMultilevel"/>
    <w:tmpl w:val="35426F98"/>
    <w:lvl w:ilvl="0" w:tplc="B3AC3F0C">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F05ECA"/>
    <w:multiLevelType w:val="hybridMultilevel"/>
    <w:tmpl w:val="606EB91E"/>
    <w:lvl w:ilvl="0" w:tplc="D7906682">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D53731"/>
    <w:multiLevelType w:val="hybridMultilevel"/>
    <w:tmpl w:val="0298D9F6"/>
    <w:lvl w:ilvl="0" w:tplc="5032E154">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751069"/>
    <w:multiLevelType w:val="hybridMultilevel"/>
    <w:tmpl w:val="727445E2"/>
    <w:lvl w:ilvl="0" w:tplc="FFFFFFFF">
      <w:start w:val="1"/>
      <w:numFmt w:val="bullet"/>
      <w:lvlText w:val=""/>
      <w:lvlJc w:val="left"/>
      <w:pPr>
        <w:tabs>
          <w:tab w:val="num" w:pos="420"/>
        </w:tabs>
        <w:ind w:left="420" w:hanging="360"/>
      </w:pPr>
      <w:rPr>
        <w:rFonts w:ascii="Symbol" w:hAnsi="Symbol" w:hint="default"/>
        <w:b/>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3" w15:restartNumberingAfterBreak="0">
    <w:nsid w:val="0E160478"/>
    <w:multiLevelType w:val="hybridMultilevel"/>
    <w:tmpl w:val="ADF4EDC8"/>
    <w:lvl w:ilvl="0" w:tplc="261E947A">
      <w:start w:val="1"/>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2929B5"/>
    <w:multiLevelType w:val="hybridMultilevel"/>
    <w:tmpl w:val="37D077F8"/>
    <w:lvl w:ilvl="0" w:tplc="FFFFFFFF">
      <w:start w:val="1"/>
      <w:numFmt w:val="decimal"/>
      <w:lvlText w:val="%1."/>
      <w:lvlJc w:val="left"/>
      <w:pPr>
        <w:ind w:left="720" w:hanging="360"/>
      </w:pPr>
      <w:rPr>
        <w:rFonts w:ascii="Arial" w:hAnsi="Arial" w:cs="Arial" w:hint="default"/>
        <w:b w:val="0"/>
        <w:bCs/>
        <w:i w:val="0"/>
        <w:iCs w:val="0"/>
        <w:color w:val="auto"/>
        <w:sz w:val="20"/>
        <w:szCs w:val="22"/>
      </w:rPr>
    </w:lvl>
    <w:lvl w:ilvl="1" w:tplc="F7504868">
      <w:start w:val="1"/>
      <w:numFmt w:val="lowerLetter"/>
      <w:lvlText w:val="%2."/>
      <w:lvlJc w:val="left"/>
      <w:pPr>
        <w:ind w:left="1440" w:hanging="360"/>
      </w:pPr>
      <w:rPr>
        <w:rFonts w:ascii="Arial" w:hAnsi="Arial" w:hint="default"/>
        <w:b w:val="0"/>
        <w:bCs/>
        <w:color w:val="auto"/>
        <w:sz w:val="2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3DC2BBD8">
      <w:start w:val="1"/>
      <w:numFmt w:val="lowerRoman"/>
      <w:lvlText w:val="(%5)"/>
      <w:lvlJc w:val="left"/>
      <w:pPr>
        <w:ind w:left="3960" w:hanging="720"/>
      </w:pPr>
      <w:rPr>
        <w:rFonts w:hint="default"/>
        <w:sz w:val="2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3455A7"/>
    <w:multiLevelType w:val="hybridMultilevel"/>
    <w:tmpl w:val="41920140"/>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7258DB"/>
    <w:multiLevelType w:val="hybridMultilevel"/>
    <w:tmpl w:val="FE5A5C48"/>
    <w:lvl w:ilvl="0" w:tplc="6F4A0374">
      <w:start w:val="1"/>
      <w:numFmt w:val="decimal"/>
      <w:lvlText w:val="%1."/>
      <w:lvlJc w:val="left"/>
      <w:pPr>
        <w:ind w:left="720" w:hanging="360"/>
      </w:pPr>
      <w:rPr>
        <w:rFonts w:ascii="Arial" w:hAnsi="Arial" w:cs="Arial" w:hint="default"/>
        <w:b w:val="0"/>
        <w:bCs/>
        <w:i w:val="0"/>
        <w:iCs w:val="0"/>
        <w:color w:val="auto"/>
        <w:sz w:val="20"/>
        <w:szCs w:val="22"/>
      </w:rPr>
    </w:lvl>
    <w:lvl w:ilvl="1" w:tplc="192299A2">
      <w:start w:val="1"/>
      <w:numFmt w:val="lowerLetter"/>
      <w:lvlText w:val="%2."/>
      <w:lvlJc w:val="left"/>
      <w:pPr>
        <w:ind w:left="1440" w:hanging="360"/>
      </w:pPr>
      <w:rPr>
        <w:b w:val="0"/>
        <w:bCs/>
        <w:color w:val="auto"/>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C25341"/>
    <w:multiLevelType w:val="hybridMultilevel"/>
    <w:tmpl w:val="4B86B22A"/>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8C20AB1"/>
    <w:multiLevelType w:val="hybridMultilevel"/>
    <w:tmpl w:val="CA04A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62497F"/>
    <w:multiLevelType w:val="hybridMultilevel"/>
    <w:tmpl w:val="AA48F702"/>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CAA635C"/>
    <w:multiLevelType w:val="hybridMultilevel"/>
    <w:tmpl w:val="0B760346"/>
    <w:lvl w:ilvl="0" w:tplc="5E403910">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1542A2"/>
    <w:multiLevelType w:val="hybridMultilevel"/>
    <w:tmpl w:val="19367B96"/>
    <w:lvl w:ilvl="0" w:tplc="191236A6">
      <w:start w:val="2"/>
      <w:numFmt w:val="bullet"/>
      <w:lvlText w:val=""/>
      <w:lvlJc w:val="left"/>
      <w:pPr>
        <w:tabs>
          <w:tab w:val="num" w:pos="420"/>
        </w:tabs>
        <w:ind w:left="60" w:firstLine="0"/>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1EB957DA"/>
    <w:multiLevelType w:val="hybridMultilevel"/>
    <w:tmpl w:val="B5A4C90C"/>
    <w:lvl w:ilvl="0" w:tplc="F7CC06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ED21B0B"/>
    <w:multiLevelType w:val="hybridMultilevel"/>
    <w:tmpl w:val="467C84D6"/>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1EF60D39"/>
    <w:multiLevelType w:val="hybridMultilevel"/>
    <w:tmpl w:val="CC403574"/>
    <w:lvl w:ilvl="0" w:tplc="36E2E596">
      <w:start w:val="2"/>
      <w:numFmt w:val="bullet"/>
      <w:lvlText w:val=""/>
      <w:lvlJc w:val="left"/>
      <w:pPr>
        <w:tabs>
          <w:tab w:val="num" w:pos="735"/>
        </w:tabs>
        <w:ind w:left="735" w:hanging="363"/>
      </w:pPr>
      <w:rPr>
        <w:rFonts w:ascii="Wingdings 2" w:hAnsi="Wingdings 2" w:hint="default"/>
        <w:sz w:val="20"/>
      </w:rPr>
    </w:lvl>
    <w:lvl w:ilvl="1" w:tplc="04090019" w:tentative="1">
      <w:start w:val="1"/>
      <w:numFmt w:val="lowerLetter"/>
      <w:lvlText w:val="%2."/>
      <w:lvlJc w:val="left"/>
      <w:pPr>
        <w:tabs>
          <w:tab w:val="num" w:pos="1452"/>
        </w:tabs>
        <w:ind w:left="1452" w:hanging="360"/>
      </w:pPr>
    </w:lvl>
    <w:lvl w:ilvl="2" w:tplc="0409001B" w:tentative="1">
      <w:start w:val="1"/>
      <w:numFmt w:val="lowerRoman"/>
      <w:lvlText w:val="%3."/>
      <w:lvlJc w:val="right"/>
      <w:pPr>
        <w:tabs>
          <w:tab w:val="num" w:pos="2172"/>
        </w:tabs>
        <w:ind w:left="2172" w:hanging="180"/>
      </w:pPr>
    </w:lvl>
    <w:lvl w:ilvl="3" w:tplc="0409000F" w:tentative="1">
      <w:start w:val="1"/>
      <w:numFmt w:val="decimal"/>
      <w:lvlText w:val="%4."/>
      <w:lvlJc w:val="left"/>
      <w:pPr>
        <w:tabs>
          <w:tab w:val="num" w:pos="2892"/>
        </w:tabs>
        <w:ind w:left="2892" w:hanging="360"/>
      </w:pPr>
    </w:lvl>
    <w:lvl w:ilvl="4" w:tplc="04090019" w:tentative="1">
      <w:start w:val="1"/>
      <w:numFmt w:val="lowerLetter"/>
      <w:lvlText w:val="%5."/>
      <w:lvlJc w:val="left"/>
      <w:pPr>
        <w:tabs>
          <w:tab w:val="num" w:pos="3612"/>
        </w:tabs>
        <w:ind w:left="3612" w:hanging="360"/>
      </w:pPr>
    </w:lvl>
    <w:lvl w:ilvl="5" w:tplc="0409001B" w:tentative="1">
      <w:start w:val="1"/>
      <w:numFmt w:val="lowerRoman"/>
      <w:lvlText w:val="%6."/>
      <w:lvlJc w:val="right"/>
      <w:pPr>
        <w:tabs>
          <w:tab w:val="num" w:pos="4332"/>
        </w:tabs>
        <w:ind w:left="4332" w:hanging="180"/>
      </w:pPr>
    </w:lvl>
    <w:lvl w:ilvl="6" w:tplc="0409000F" w:tentative="1">
      <w:start w:val="1"/>
      <w:numFmt w:val="decimal"/>
      <w:lvlText w:val="%7."/>
      <w:lvlJc w:val="left"/>
      <w:pPr>
        <w:tabs>
          <w:tab w:val="num" w:pos="5052"/>
        </w:tabs>
        <w:ind w:left="5052" w:hanging="360"/>
      </w:pPr>
    </w:lvl>
    <w:lvl w:ilvl="7" w:tplc="04090019" w:tentative="1">
      <w:start w:val="1"/>
      <w:numFmt w:val="lowerLetter"/>
      <w:lvlText w:val="%8."/>
      <w:lvlJc w:val="left"/>
      <w:pPr>
        <w:tabs>
          <w:tab w:val="num" w:pos="5772"/>
        </w:tabs>
        <w:ind w:left="5772" w:hanging="360"/>
      </w:pPr>
    </w:lvl>
    <w:lvl w:ilvl="8" w:tplc="0409001B" w:tentative="1">
      <w:start w:val="1"/>
      <w:numFmt w:val="lowerRoman"/>
      <w:lvlText w:val="%9."/>
      <w:lvlJc w:val="right"/>
      <w:pPr>
        <w:tabs>
          <w:tab w:val="num" w:pos="6492"/>
        </w:tabs>
        <w:ind w:left="6492" w:hanging="180"/>
      </w:pPr>
    </w:lvl>
  </w:abstractNum>
  <w:abstractNum w:abstractNumId="2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40606"/>
    <w:multiLevelType w:val="hybridMultilevel"/>
    <w:tmpl w:val="71F8CA7C"/>
    <w:lvl w:ilvl="0" w:tplc="6EA074FC">
      <w:start w:val="1"/>
      <w:numFmt w:val="bullet"/>
      <w:lvlText w:val=""/>
      <w:lvlJc w:val="left"/>
      <w:pPr>
        <w:ind w:left="144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E1988"/>
    <w:multiLevelType w:val="hybridMultilevel"/>
    <w:tmpl w:val="ECF03A7E"/>
    <w:lvl w:ilvl="0" w:tplc="00982926">
      <w:start w:val="19"/>
      <w:numFmt w:val="decimal"/>
      <w:pStyle w:val="NumberList1"/>
      <w:lvlText w:val="%1."/>
      <w:lvlJc w:val="left"/>
      <w:pPr>
        <w:tabs>
          <w:tab w:val="num" w:pos="720"/>
        </w:tabs>
        <w:ind w:left="720" w:hanging="360"/>
      </w:pPr>
      <w:rPr>
        <w:rFonts w:hint="default"/>
        <w:b w:val="0"/>
        <w:i w:val="0"/>
        <w:color w:val="auto"/>
      </w:rPr>
    </w:lvl>
    <w:lvl w:ilvl="1" w:tplc="8A020FF6">
      <w:start w:val="1"/>
      <w:numFmt w:val="lowerLetter"/>
      <w:lvlText w:val="%2."/>
      <w:lvlJc w:val="left"/>
      <w:pPr>
        <w:tabs>
          <w:tab w:val="num" w:pos="1440"/>
        </w:tabs>
        <w:ind w:left="1440" w:hanging="360"/>
      </w:pPr>
      <w:rPr>
        <w:i w:val="0"/>
        <w:color w:val="auto"/>
      </w:rPr>
    </w:lvl>
    <w:lvl w:ilvl="2" w:tplc="23863806">
      <w:start w:val="1"/>
      <w:numFmt w:val="lowerRoman"/>
      <w:lvlText w:val="%3."/>
      <w:lvlJc w:val="right"/>
      <w:pPr>
        <w:tabs>
          <w:tab w:val="num" w:pos="2160"/>
        </w:tabs>
        <w:ind w:left="2160" w:hanging="180"/>
      </w:pPr>
      <w:rPr>
        <w:rFonts w:ascii="Arial" w:eastAsia="Times New Roman" w:hAnsi="Arial" w:cs="Times New Roman"/>
        <w:color w:val="auto"/>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22CB0D59"/>
    <w:multiLevelType w:val="hybridMultilevel"/>
    <w:tmpl w:val="9E7A390A"/>
    <w:lvl w:ilvl="0" w:tplc="D7E625BE">
      <w:start w:val="1"/>
      <w:numFmt w:val="upperLetter"/>
      <w:lvlText w:val="%1."/>
      <w:lvlJc w:val="left"/>
      <w:pPr>
        <w:ind w:left="144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1F2832"/>
    <w:multiLevelType w:val="hybridMultilevel"/>
    <w:tmpl w:val="4F9C6E86"/>
    <w:lvl w:ilvl="0" w:tplc="98E89B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7B6395"/>
    <w:multiLevelType w:val="hybridMultilevel"/>
    <w:tmpl w:val="8DAA2878"/>
    <w:lvl w:ilvl="0" w:tplc="04463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B32F9B"/>
    <w:multiLevelType w:val="hybridMultilevel"/>
    <w:tmpl w:val="EC9CE662"/>
    <w:lvl w:ilvl="0" w:tplc="0C3CC648">
      <w:start w:val="1"/>
      <w:numFmt w:val="lowerRoman"/>
      <w:pStyle w:val="ListNumber"/>
      <w:lvlText w:val="%1."/>
      <w:lvlJc w:val="left"/>
      <w:pPr>
        <w:tabs>
          <w:tab w:val="num" w:pos="720"/>
        </w:tabs>
        <w:ind w:left="363" w:hanging="363"/>
      </w:pPr>
      <w:rPr>
        <w:rFont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AFB1D9E"/>
    <w:multiLevelType w:val="hybridMultilevel"/>
    <w:tmpl w:val="B9D6BF8E"/>
    <w:lvl w:ilvl="0" w:tplc="0409000F">
      <w:start w:val="1"/>
      <w:numFmt w:val="decimal"/>
      <w:lvlText w:val="%1."/>
      <w:lvlJc w:val="left"/>
      <w:pPr>
        <w:tabs>
          <w:tab w:val="num" w:pos="720"/>
        </w:tabs>
        <w:ind w:left="720" w:hanging="360"/>
      </w:pPr>
    </w:lvl>
    <w:lvl w:ilvl="1" w:tplc="44C0FEB8">
      <w:start w:val="1"/>
      <w:numFmt w:val="lowerLetter"/>
      <w:lvlText w:val="(%2)"/>
      <w:lvlJc w:val="left"/>
      <w:pPr>
        <w:tabs>
          <w:tab w:val="num" w:pos="1800"/>
        </w:tabs>
        <w:ind w:left="1800" w:hanging="720"/>
      </w:pPr>
      <w:rPr>
        <w:rFonts w:hint="default"/>
      </w:rPr>
    </w:lvl>
    <w:lvl w:ilvl="2" w:tplc="2642369E">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D1E0D74"/>
    <w:multiLevelType w:val="hybridMultilevel"/>
    <w:tmpl w:val="A2F4E46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D3F096A"/>
    <w:multiLevelType w:val="hybridMultilevel"/>
    <w:tmpl w:val="BC522DD6"/>
    <w:lvl w:ilvl="0" w:tplc="7402E1C2">
      <w:start w:val="1"/>
      <w:numFmt w:val="bullet"/>
      <w:lvlText w:val=""/>
      <w:lvlJc w:val="left"/>
      <w:pPr>
        <w:tabs>
          <w:tab w:val="num" w:pos="0"/>
        </w:tabs>
        <w:ind w:left="1003" w:hanging="283"/>
      </w:pPr>
      <w:rPr>
        <w:rFonts w:ascii="Symbol" w:hAnsi="Symbol" w:hint="default"/>
        <w:color w:val="000000"/>
      </w:rPr>
    </w:lvl>
    <w:lvl w:ilvl="1" w:tplc="E4DC48A8">
      <w:start w:val="1"/>
      <w:numFmt w:val="bullet"/>
      <w:lvlText w:val=""/>
      <w:lvlJc w:val="left"/>
      <w:pPr>
        <w:tabs>
          <w:tab w:val="num" w:pos="1020"/>
        </w:tabs>
        <w:ind w:left="1363" w:hanging="283"/>
      </w:pPr>
      <w:rPr>
        <w:rFonts w:ascii="Symbol" w:hAnsi="Symbol" w:hint="default"/>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F42AD"/>
    <w:multiLevelType w:val="hybridMultilevel"/>
    <w:tmpl w:val="5B58A964"/>
    <w:lvl w:ilvl="0" w:tplc="8FF2C78C">
      <w:start w:val="2"/>
      <w:numFmt w:val="bullet"/>
      <w:lvlText w:val=""/>
      <w:lvlJc w:val="left"/>
      <w:pPr>
        <w:tabs>
          <w:tab w:val="num" w:pos="363"/>
        </w:tabs>
        <w:ind w:left="363" w:hanging="363"/>
      </w:pPr>
      <w:rPr>
        <w:rFonts w:ascii="Wingdings 2" w:hAnsi="Wingdings 2" w:hint="default"/>
        <w:sz w:val="20"/>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42CFA"/>
    <w:multiLevelType w:val="hybridMultilevel"/>
    <w:tmpl w:val="7460ED10"/>
    <w:lvl w:ilvl="0" w:tplc="D5AE1E46">
      <w:start w:val="1"/>
      <w:numFmt w:val="lowerLetter"/>
      <w:lvlText w:val="(%1)"/>
      <w:lvlJc w:val="left"/>
      <w:pPr>
        <w:ind w:left="9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9B1FE1"/>
    <w:multiLevelType w:val="singleLevel"/>
    <w:tmpl w:val="FFFFFFFF"/>
    <w:lvl w:ilvl="0">
      <w:start w:val="1"/>
      <w:numFmt w:val="bullet"/>
      <w:lvlText w:val=""/>
      <w:legacy w:legacy="1" w:legacySpace="0" w:legacyIndent="283"/>
      <w:lvlJc w:val="left"/>
      <w:pPr>
        <w:ind w:left="1003" w:hanging="283"/>
      </w:pPr>
      <w:rPr>
        <w:rFonts w:ascii="Symbol" w:hAnsi="Symbol" w:hint="default"/>
      </w:rPr>
    </w:lvl>
  </w:abstractNum>
  <w:abstractNum w:abstractNumId="38" w15:restartNumberingAfterBreak="0">
    <w:nsid w:val="300615A2"/>
    <w:multiLevelType w:val="hybridMultilevel"/>
    <w:tmpl w:val="390030FA"/>
    <w:lvl w:ilvl="0" w:tplc="1A9EA4FE">
      <w:numFmt w:val="bullet"/>
      <w:lvlText w:val=""/>
      <w:lvlJc w:val="left"/>
      <w:pPr>
        <w:tabs>
          <w:tab w:val="num" w:pos="644"/>
        </w:tabs>
        <w:ind w:left="644" w:hanging="360"/>
      </w:pPr>
      <w:rPr>
        <w:rFonts w:ascii="Wingdings" w:hAnsi="Wingdings" w:cs="Times New Roman" w:hint="default"/>
        <w:color w:val="000000"/>
        <w:sz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28839F4"/>
    <w:multiLevelType w:val="hybridMultilevel"/>
    <w:tmpl w:val="03181AE8"/>
    <w:lvl w:ilvl="0" w:tplc="84A637BA">
      <w:start w:val="1"/>
      <w:numFmt w:val="bullet"/>
      <w:lvlText w:val=""/>
      <w:lvlJc w:val="left"/>
      <w:pPr>
        <w:ind w:left="1174" w:hanging="360"/>
      </w:pPr>
      <w:rPr>
        <w:rFonts w:ascii="Symbol" w:hAnsi="Symbol" w:hint="default"/>
        <w:color w:val="000000" w:themeColor="text1"/>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1" w15:restartNumberingAfterBreak="0">
    <w:nsid w:val="349E5B05"/>
    <w:multiLevelType w:val="hybridMultilevel"/>
    <w:tmpl w:val="5E568466"/>
    <w:lvl w:ilvl="0" w:tplc="ACA01BF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2" w15:restartNumberingAfterBreak="0">
    <w:nsid w:val="35B4767E"/>
    <w:multiLevelType w:val="hybridMultilevel"/>
    <w:tmpl w:val="24CE7CA0"/>
    <w:lvl w:ilvl="0" w:tplc="CBECD572">
      <w:start w:val="1"/>
      <w:numFmt w:val="decimal"/>
      <w:lvlText w:val="%1."/>
      <w:lvlJc w:val="left"/>
      <w:pPr>
        <w:tabs>
          <w:tab w:val="num" w:pos="928"/>
        </w:tabs>
        <w:ind w:left="928" w:hanging="36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3" w15:restartNumberingAfterBreak="0">
    <w:nsid w:val="38637B2A"/>
    <w:multiLevelType w:val="hybridMultilevel"/>
    <w:tmpl w:val="6F6E4DDE"/>
    <w:lvl w:ilvl="0" w:tplc="E4DC48A8">
      <w:start w:val="1"/>
      <w:numFmt w:val="bullet"/>
      <w:lvlText w:val=""/>
      <w:lvlJc w:val="left"/>
      <w:pPr>
        <w:ind w:left="1434" w:hanging="360"/>
      </w:pPr>
      <w:rPr>
        <w:rFonts w:ascii="Symbol" w:hAnsi="Symbol" w:hint="default"/>
        <w:color w:val="000000"/>
        <w:sz w:val="20"/>
        <w:szCs w:val="24"/>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4" w15:restartNumberingAfterBreak="0">
    <w:nsid w:val="39A34FEE"/>
    <w:multiLevelType w:val="hybridMultilevel"/>
    <w:tmpl w:val="261C787A"/>
    <w:lvl w:ilvl="0" w:tplc="9B24430C">
      <w:start w:val="4"/>
      <w:numFmt w:val="lowerLetter"/>
      <w:lvlText w:val="(%1)"/>
      <w:lvlJc w:val="left"/>
      <w:pPr>
        <w:tabs>
          <w:tab w:val="num" w:pos="1267"/>
        </w:tabs>
        <w:ind w:left="1267"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A3308DD"/>
    <w:multiLevelType w:val="hybridMultilevel"/>
    <w:tmpl w:val="84D2F7C6"/>
    <w:lvl w:ilvl="0" w:tplc="01E4F2F2">
      <w:start w:val="1"/>
      <w:numFmt w:val="decimal"/>
      <w:lvlText w:val="%1."/>
      <w:lvlJc w:val="left"/>
      <w:pPr>
        <w:tabs>
          <w:tab w:val="num" w:pos="930"/>
        </w:tabs>
        <w:ind w:left="930" w:hanging="363"/>
      </w:pPr>
      <w:rPr>
        <w:rFonts w:hint="default"/>
      </w:rPr>
    </w:lvl>
    <w:lvl w:ilvl="1" w:tplc="04090019" w:tentative="1">
      <w:start w:val="1"/>
      <w:numFmt w:val="lowerLetter"/>
      <w:lvlText w:val="%2."/>
      <w:lvlJc w:val="left"/>
      <w:pPr>
        <w:tabs>
          <w:tab w:val="num" w:pos="1806"/>
        </w:tabs>
        <w:ind w:left="1806" w:hanging="360"/>
      </w:pPr>
    </w:lvl>
    <w:lvl w:ilvl="2" w:tplc="0409001B" w:tentative="1">
      <w:start w:val="1"/>
      <w:numFmt w:val="lowerRoman"/>
      <w:lvlText w:val="%3."/>
      <w:lvlJc w:val="right"/>
      <w:pPr>
        <w:tabs>
          <w:tab w:val="num" w:pos="2526"/>
        </w:tabs>
        <w:ind w:left="2526" w:hanging="180"/>
      </w:pPr>
    </w:lvl>
    <w:lvl w:ilvl="3" w:tplc="0409000F" w:tentative="1">
      <w:start w:val="1"/>
      <w:numFmt w:val="decimal"/>
      <w:lvlText w:val="%4."/>
      <w:lvlJc w:val="left"/>
      <w:pPr>
        <w:tabs>
          <w:tab w:val="num" w:pos="3246"/>
        </w:tabs>
        <w:ind w:left="3246" w:hanging="360"/>
      </w:pPr>
    </w:lvl>
    <w:lvl w:ilvl="4" w:tplc="04090019" w:tentative="1">
      <w:start w:val="1"/>
      <w:numFmt w:val="lowerLetter"/>
      <w:lvlText w:val="%5."/>
      <w:lvlJc w:val="left"/>
      <w:pPr>
        <w:tabs>
          <w:tab w:val="num" w:pos="3966"/>
        </w:tabs>
        <w:ind w:left="3966" w:hanging="360"/>
      </w:pPr>
    </w:lvl>
    <w:lvl w:ilvl="5" w:tplc="0409001B" w:tentative="1">
      <w:start w:val="1"/>
      <w:numFmt w:val="lowerRoman"/>
      <w:lvlText w:val="%6."/>
      <w:lvlJc w:val="right"/>
      <w:pPr>
        <w:tabs>
          <w:tab w:val="num" w:pos="4686"/>
        </w:tabs>
        <w:ind w:left="4686" w:hanging="180"/>
      </w:pPr>
    </w:lvl>
    <w:lvl w:ilvl="6" w:tplc="0409000F" w:tentative="1">
      <w:start w:val="1"/>
      <w:numFmt w:val="decimal"/>
      <w:lvlText w:val="%7."/>
      <w:lvlJc w:val="left"/>
      <w:pPr>
        <w:tabs>
          <w:tab w:val="num" w:pos="5406"/>
        </w:tabs>
        <w:ind w:left="5406" w:hanging="360"/>
      </w:pPr>
    </w:lvl>
    <w:lvl w:ilvl="7" w:tplc="04090019" w:tentative="1">
      <w:start w:val="1"/>
      <w:numFmt w:val="lowerLetter"/>
      <w:lvlText w:val="%8."/>
      <w:lvlJc w:val="left"/>
      <w:pPr>
        <w:tabs>
          <w:tab w:val="num" w:pos="6126"/>
        </w:tabs>
        <w:ind w:left="6126" w:hanging="360"/>
      </w:pPr>
    </w:lvl>
    <w:lvl w:ilvl="8" w:tplc="0409001B" w:tentative="1">
      <w:start w:val="1"/>
      <w:numFmt w:val="lowerRoman"/>
      <w:lvlText w:val="%9."/>
      <w:lvlJc w:val="right"/>
      <w:pPr>
        <w:tabs>
          <w:tab w:val="num" w:pos="6846"/>
        </w:tabs>
        <w:ind w:left="6846" w:hanging="180"/>
      </w:pPr>
    </w:lvl>
  </w:abstractNum>
  <w:abstractNum w:abstractNumId="46" w15:restartNumberingAfterBreak="0">
    <w:nsid w:val="3BFE509F"/>
    <w:multiLevelType w:val="hybridMultilevel"/>
    <w:tmpl w:val="2FEC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D110219"/>
    <w:multiLevelType w:val="hybridMultilevel"/>
    <w:tmpl w:val="A78E7928"/>
    <w:lvl w:ilvl="0" w:tplc="7D3A7BFA">
      <w:start w:val="1"/>
      <w:numFmt w:val="bullet"/>
      <w:lvlText w:val=""/>
      <w:lvlJc w:val="left"/>
      <w:pPr>
        <w:tabs>
          <w:tab w:val="num" w:pos="0"/>
        </w:tabs>
        <w:ind w:left="283" w:hanging="283"/>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DAB79E8"/>
    <w:multiLevelType w:val="hybridMultilevel"/>
    <w:tmpl w:val="EE90966C"/>
    <w:lvl w:ilvl="0" w:tplc="6F76619C">
      <w:start w:val="1"/>
      <w:numFmt w:val="decimal"/>
      <w:lvlText w:val="%1."/>
      <w:lvlJc w:val="left"/>
      <w:pPr>
        <w:ind w:left="720" w:hanging="360"/>
      </w:pPr>
      <w:rPr>
        <w:rFonts w:ascii="Arial" w:hAnsi="Arial" w:cs="Arial" w:hint="default"/>
        <w:b w:val="0"/>
        <w:bCs/>
        <w:i w:val="0"/>
        <w:iCs w:val="0"/>
        <w:color w:val="auto"/>
        <w:sz w:val="20"/>
        <w:szCs w:val="22"/>
      </w:rPr>
    </w:lvl>
    <w:lvl w:ilvl="1" w:tplc="73785160">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41663602">
      <w:start w:val="2"/>
      <w:numFmt w:val="lowerLetter"/>
      <w:lvlText w:val="(%5)"/>
      <w:lvlJc w:val="left"/>
      <w:pPr>
        <w:ind w:left="3904" w:hanging="360"/>
      </w:pPr>
      <w:rPr>
        <w:rFonts w:hint="default"/>
      </w:rPr>
    </w:lvl>
    <w:lvl w:ilvl="5" w:tplc="F9B0590E">
      <w:start w:val="1"/>
      <w:numFmt w:val="decimal"/>
      <w:lvlText w:val="(%6)"/>
      <w:lvlJc w:val="left"/>
      <w:pPr>
        <w:ind w:left="4590" w:hanging="450"/>
      </w:pPr>
      <w:rPr>
        <w:rFonts w:hint="default"/>
      </w:rPr>
    </w:lvl>
    <w:lvl w:ilvl="6" w:tplc="89DC53CE">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EC37320"/>
    <w:multiLevelType w:val="hybridMultilevel"/>
    <w:tmpl w:val="50E4B654"/>
    <w:lvl w:ilvl="0" w:tplc="FAC27E20">
      <w:start w:val="1"/>
      <w:numFmt w:val="decimal"/>
      <w:lvlText w:val="%1."/>
      <w:lvlJc w:val="left"/>
      <w:pPr>
        <w:ind w:left="720" w:hanging="360"/>
      </w:pPr>
      <w:rPr>
        <w:rFonts w:ascii="Arial" w:hAnsi="Arial" w:cs="Arial" w:hint="default"/>
        <w:b w:val="0"/>
        <w:bCs/>
        <w:i w:val="0"/>
        <w:iCs w:val="0"/>
        <w:color w:val="auto"/>
        <w:sz w:val="20"/>
        <w:szCs w:val="22"/>
      </w:rPr>
    </w:lvl>
    <w:lvl w:ilvl="1" w:tplc="1DD4A9DC">
      <w:start w:val="1"/>
      <w:numFmt w:val="lowerLetter"/>
      <w:lvlText w:val="%2."/>
      <w:lvlJc w:val="left"/>
      <w:pPr>
        <w:ind w:left="1440" w:hanging="360"/>
      </w:pPr>
      <w:rPr>
        <w:rFonts w:hint="default"/>
        <w:b w:val="0"/>
        <w:bCs/>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F043D60"/>
    <w:multiLevelType w:val="hybridMultilevel"/>
    <w:tmpl w:val="759423BE"/>
    <w:lvl w:ilvl="0" w:tplc="8A7C522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03A2461"/>
    <w:multiLevelType w:val="hybridMultilevel"/>
    <w:tmpl w:val="01A2E77C"/>
    <w:lvl w:ilvl="0" w:tplc="4CFCCEEE">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2" w15:restartNumberingAfterBreak="0">
    <w:nsid w:val="40496ECD"/>
    <w:multiLevelType w:val="hybridMultilevel"/>
    <w:tmpl w:val="0F4C54E6"/>
    <w:lvl w:ilvl="0" w:tplc="0C090001">
      <w:start w:val="1"/>
      <w:numFmt w:val="bullet"/>
      <w:lvlText w:val=""/>
      <w:lvlJc w:val="left"/>
      <w:pPr>
        <w:tabs>
          <w:tab w:val="num" w:pos="720"/>
        </w:tabs>
        <w:ind w:left="720" w:hanging="360"/>
      </w:pPr>
      <w:rPr>
        <w:rFonts w:ascii="Symbol" w:hAnsi="Symbol" w:hint="default"/>
        <w:b w:val="0"/>
        <w:i w:val="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1466EF6"/>
    <w:multiLevelType w:val="hybridMultilevel"/>
    <w:tmpl w:val="39248AE2"/>
    <w:lvl w:ilvl="0" w:tplc="5C78E8CA">
      <w:start w:val="1"/>
      <w:numFmt w:val="bullet"/>
      <w:lvlText w:val=""/>
      <w:lvlJc w:val="left"/>
      <w:pPr>
        <w:tabs>
          <w:tab w:val="num" w:pos="0"/>
        </w:tabs>
        <w:ind w:left="1003" w:hanging="283"/>
      </w:pPr>
      <w:rPr>
        <w:rFonts w:ascii="Symbol" w:hAnsi="Symbol" w:hint="default"/>
        <w:color w:val="FF0000"/>
      </w:rPr>
    </w:lvl>
    <w:lvl w:ilvl="1" w:tplc="AF0AA450">
      <w:start w:val="1"/>
      <w:numFmt w:val="bullet"/>
      <w:lvlText w:val=""/>
      <w:lvlJc w:val="left"/>
      <w:pPr>
        <w:tabs>
          <w:tab w:val="num" w:pos="1020"/>
        </w:tabs>
        <w:ind w:left="1363" w:hanging="283"/>
      </w:pPr>
      <w:rPr>
        <w:rFonts w:ascii="Symbol" w:hAnsi="Symbol" w:hint="default"/>
        <w:b/>
        <w:i w:val="0"/>
        <w:color w:val="000000"/>
        <w:sz w:val="20"/>
        <w:szCs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C522D2"/>
    <w:multiLevelType w:val="hybridMultilevel"/>
    <w:tmpl w:val="BE86B702"/>
    <w:lvl w:ilvl="0" w:tplc="FFFFFFFF">
      <w:start w:val="1"/>
      <w:numFmt w:val="lowerLetter"/>
      <w:lvlText w:val="(%1)"/>
      <w:lvlJc w:val="left"/>
      <w:pPr>
        <w:ind w:left="1290" w:hanging="57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3F5635A"/>
    <w:multiLevelType w:val="hybridMultilevel"/>
    <w:tmpl w:val="913044F4"/>
    <w:lvl w:ilvl="0" w:tplc="D4C416FA">
      <w:start w:val="3"/>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46650DA"/>
    <w:multiLevelType w:val="hybridMultilevel"/>
    <w:tmpl w:val="718A3076"/>
    <w:lvl w:ilvl="0" w:tplc="FFFFFFFF">
      <w:start w:val="1"/>
      <w:numFmt w:val="lowerLetter"/>
      <w:lvlText w:val="(%1)"/>
      <w:lvlJc w:val="left"/>
      <w:pPr>
        <w:ind w:left="1287" w:hanging="360"/>
      </w:pPr>
      <w:rPr>
        <w:rFonts w:ascii="Arial" w:hAnsi="Arial" w:hint="default"/>
        <w:sz w:val="20"/>
      </w:rPr>
    </w:lvl>
    <w:lvl w:ilvl="1" w:tplc="72582C2E">
      <w:start w:val="1"/>
      <w:numFmt w:val="lowerLetter"/>
      <w:lvlText w:val="(%2)"/>
      <w:lvlJc w:val="left"/>
      <w:pPr>
        <w:ind w:left="1440" w:hanging="360"/>
      </w:pPr>
      <w:rPr>
        <w:rFonts w:hint="default"/>
        <w:sz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5B8565F"/>
    <w:multiLevelType w:val="hybridMultilevel"/>
    <w:tmpl w:val="9D7045E2"/>
    <w:lvl w:ilvl="0" w:tplc="07B86B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6723F60"/>
    <w:multiLevelType w:val="hybridMultilevel"/>
    <w:tmpl w:val="1562A16A"/>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6D1087C"/>
    <w:multiLevelType w:val="hybridMultilevel"/>
    <w:tmpl w:val="60A2C560"/>
    <w:lvl w:ilvl="0" w:tplc="00028DA6">
      <w:start w:val="2"/>
      <w:numFmt w:val="bullet"/>
      <w:lvlText w:val=""/>
      <w:lvlJc w:val="left"/>
      <w:pPr>
        <w:ind w:left="720" w:hanging="360"/>
      </w:pPr>
      <w:rPr>
        <w:rFonts w:ascii="Wingdings 2" w:hAnsi="Wingdings 2"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7C336C6"/>
    <w:multiLevelType w:val="hybridMultilevel"/>
    <w:tmpl w:val="201A03A2"/>
    <w:lvl w:ilvl="0" w:tplc="520C0BC8">
      <w:start w:val="2"/>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9076036"/>
    <w:multiLevelType w:val="hybridMultilevel"/>
    <w:tmpl w:val="74D20DAA"/>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5E3DCF"/>
    <w:multiLevelType w:val="hybridMultilevel"/>
    <w:tmpl w:val="E55C844A"/>
    <w:lvl w:ilvl="0" w:tplc="23A00F4C">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BF77E59"/>
    <w:multiLevelType w:val="hybridMultilevel"/>
    <w:tmpl w:val="C4C2CD8A"/>
    <w:lvl w:ilvl="0" w:tplc="7D083FE4">
      <w:start w:val="8"/>
      <w:numFmt w:val="decimal"/>
      <w:lvlText w:val="%1."/>
      <w:lvlJc w:val="left"/>
      <w:pPr>
        <w:ind w:left="720" w:hanging="360"/>
      </w:pPr>
      <w:rPr>
        <w:rFonts w:ascii="Arial" w:hAnsi="Arial" w:cs="Arial" w:hint="default"/>
        <w:b w:val="0"/>
        <w:bCs/>
        <w:i w:val="0"/>
        <w:iCs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D6F51FA"/>
    <w:multiLevelType w:val="hybridMultilevel"/>
    <w:tmpl w:val="8EB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125BA4"/>
    <w:multiLevelType w:val="hybridMultilevel"/>
    <w:tmpl w:val="D976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1A34E8"/>
    <w:multiLevelType w:val="hybridMultilevel"/>
    <w:tmpl w:val="BE1E2D28"/>
    <w:lvl w:ilvl="0" w:tplc="39C0D2FA">
      <w:start w:val="1"/>
      <w:numFmt w:val="bullet"/>
      <w:lvlText w:val=""/>
      <w:lvlJc w:val="left"/>
      <w:pPr>
        <w:tabs>
          <w:tab w:val="num" w:pos="420"/>
        </w:tabs>
        <w:ind w:left="420" w:hanging="360"/>
      </w:pPr>
      <w:rPr>
        <w:rFonts w:ascii="Symbol" w:hAnsi="Symbol"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501F6E88"/>
    <w:multiLevelType w:val="hybridMultilevel"/>
    <w:tmpl w:val="68282B7C"/>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48627B"/>
    <w:multiLevelType w:val="hybridMultilevel"/>
    <w:tmpl w:val="87A8A800"/>
    <w:lvl w:ilvl="0" w:tplc="BA2CE0AC">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0" w15:restartNumberingAfterBreak="0">
    <w:nsid w:val="5373336C"/>
    <w:multiLevelType w:val="hybridMultilevel"/>
    <w:tmpl w:val="EF46D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A33DAC"/>
    <w:multiLevelType w:val="hybridMultilevel"/>
    <w:tmpl w:val="6054E888"/>
    <w:lvl w:ilvl="0" w:tplc="3B12B2F6">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4FB6D85"/>
    <w:multiLevelType w:val="hybridMultilevel"/>
    <w:tmpl w:val="9126F05A"/>
    <w:lvl w:ilvl="0" w:tplc="9230E7EC">
      <w:start w:val="2"/>
      <w:numFmt w:val="decimal"/>
      <w:lvlText w:val="(%1)"/>
      <w:lvlJc w:val="left"/>
      <w:pPr>
        <w:ind w:left="459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13069D"/>
    <w:multiLevelType w:val="hybridMultilevel"/>
    <w:tmpl w:val="B1A494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53F24CC"/>
    <w:multiLevelType w:val="hybridMultilevel"/>
    <w:tmpl w:val="E2C2B5D6"/>
    <w:lvl w:ilvl="0" w:tplc="38E62AF0">
      <w:start w:val="1"/>
      <w:numFmt w:val="lowerLetter"/>
      <w:lvlText w:val="%1."/>
      <w:lvlJc w:val="left"/>
      <w:pPr>
        <w:ind w:left="144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61C3078"/>
    <w:multiLevelType w:val="hybridMultilevel"/>
    <w:tmpl w:val="5C56E2E0"/>
    <w:lvl w:ilvl="0" w:tplc="C396CF08">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2722C1"/>
    <w:multiLevelType w:val="hybridMultilevel"/>
    <w:tmpl w:val="566CC7E2"/>
    <w:lvl w:ilvl="0" w:tplc="DB388C22">
      <w:start w:val="1"/>
      <w:numFmt w:val="decimal"/>
      <w:lvlText w:val="%1."/>
      <w:lvlJc w:val="left"/>
      <w:pPr>
        <w:tabs>
          <w:tab w:val="num" w:pos="1494"/>
        </w:tabs>
        <w:ind w:left="1494" w:hanging="360"/>
      </w:pPr>
      <w:rPr>
        <w:rFonts w:hint="default"/>
      </w:rPr>
    </w:lvl>
    <w:lvl w:ilvl="1" w:tplc="0C090019" w:tentative="1">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77" w15:restartNumberingAfterBreak="0">
    <w:nsid w:val="59A56628"/>
    <w:multiLevelType w:val="hybridMultilevel"/>
    <w:tmpl w:val="95AC7D3C"/>
    <w:lvl w:ilvl="0" w:tplc="D6F86FCC">
      <w:start w:val="7"/>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9A60287"/>
    <w:multiLevelType w:val="hybridMultilevel"/>
    <w:tmpl w:val="2FDA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AA0979"/>
    <w:multiLevelType w:val="hybridMultilevel"/>
    <w:tmpl w:val="4CBADBFA"/>
    <w:lvl w:ilvl="0" w:tplc="CC8EEF54">
      <w:start w:val="1"/>
      <w:numFmt w:val="bullet"/>
      <w:lvlText w:val=""/>
      <w:lvlJc w:val="left"/>
      <w:pPr>
        <w:ind w:left="774" w:hanging="360"/>
      </w:pPr>
      <w:rPr>
        <w:rFonts w:ascii="Symbol" w:hAnsi="Symbol" w:hint="default"/>
        <w:color w:val="000000" w:themeColor="text1"/>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5DBF304D"/>
    <w:multiLevelType w:val="hybridMultilevel"/>
    <w:tmpl w:val="8308342A"/>
    <w:lvl w:ilvl="0" w:tplc="B5503FE0">
      <w:start w:val="9"/>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A82456"/>
    <w:multiLevelType w:val="multilevel"/>
    <w:tmpl w:val="3466A0DE"/>
    <w:lvl w:ilvl="0">
      <w:start w:val="1"/>
      <w:numFmt w:val="decimal"/>
      <w:lvlText w:val="%1."/>
      <w:lvlJc w:val="left"/>
      <w:pPr>
        <w:ind w:left="720" w:hanging="360"/>
      </w:pPr>
      <w:rPr>
        <w:rFonts w:ascii="Arial" w:hAnsi="Arial" w:cs="Arial" w:hint="default"/>
        <w:b w:val="0"/>
        <w:bCs/>
        <w:i w:val="0"/>
        <w:iCs w:val="0"/>
        <w:color w:val="auto"/>
        <w:sz w:val="20"/>
        <w:szCs w:val="22"/>
      </w:rPr>
    </w:lvl>
    <w:lvl w:ilvl="1">
      <w:start w:val="4"/>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623E28A5"/>
    <w:multiLevelType w:val="hybridMultilevel"/>
    <w:tmpl w:val="1640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2A76E56"/>
    <w:multiLevelType w:val="hybridMultilevel"/>
    <w:tmpl w:val="56069132"/>
    <w:lvl w:ilvl="0" w:tplc="A9744BC6">
      <w:start w:val="1"/>
      <w:numFmt w:val="decimal"/>
      <w:lvlText w:val="(%1)"/>
      <w:lvlJc w:val="left"/>
      <w:pPr>
        <w:tabs>
          <w:tab w:val="num" w:pos="360"/>
        </w:tabs>
        <w:ind w:left="360" w:hanging="360"/>
      </w:pPr>
      <w:rPr>
        <w:rFonts w:ascii="Arial" w:hAnsi="Arial" w:cs="Book Antiqua" w:hint="default"/>
        <w:b w:val="0"/>
        <w:i w:val="0"/>
        <w:strike w:val="0"/>
        <w:dstrike w:val="0"/>
        <w:color w:val="000000"/>
        <w:sz w:val="20"/>
        <w:szCs w:val="22"/>
        <w:u w:val="none" w:color="000000"/>
        <w:vertAlign w:val="baseline"/>
      </w:rPr>
    </w:lvl>
    <w:lvl w:ilvl="1" w:tplc="D8ACE6D2">
      <w:start w:val="1"/>
      <w:numFmt w:val="bullet"/>
      <w:lvlText w:val="o"/>
      <w:lvlJc w:val="left"/>
      <w:pPr>
        <w:tabs>
          <w:tab w:val="num" w:pos="1080"/>
        </w:tabs>
        <w:ind w:left="1080" w:hanging="360"/>
      </w:pPr>
      <w:rPr>
        <w:rFonts w:ascii="Courier New" w:hAnsi="Courier New" w:hint="default"/>
        <w:sz w:val="20"/>
      </w:rPr>
    </w:lvl>
    <w:lvl w:ilvl="2" w:tplc="8806F04E" w:tentative="1">
      <w:start w:val="1"/>
      <w:numFmt w:val="bullet"/>
      <w:lvlText w:val=""/>
      <w:lvlJc w:val="left"/>
      <w:pPr>
        <w:tabs>
          <w:tab w:val="num" w:pos="1800"/>
        </w:tabs>
        <w:ind w:left="1800" w:hanging="360"/>
      </w:pPr>
      <w:rPr>
        <w:rFonts w:ascii="Wingdings" w:hAnsi="Wingdings" w:hint="default"/>
        <w:sz w:val="20"/>
      </w:rPr>
    </w:lvl>
    <w:lvl w:ilvl="3" w:tplc="7BE20F6C" w:tentative="1">
      <w:start w:val="1"/>
      <w:numFmt w:val="bullet"/>
      <w:lvlText w:val=""/>
      <w:lvlJc w:val="left"/>
      <w:pPr>
        <w:tabs>
          <w:tab w:val="num" w:pos="2520"/>
        </w:tabs>
        <w:ind w:left="2520" w:hanging="360"/>
      </w:pPr>
      <w:rPr>
        <w:rFonts w:ascii="Wingdings" w:hAnsi="Wingdings" w:hint="default"/>
        <w:sz w:val="20"/>
      </w:rPr>
    </w:lvl>
    <w:lvl w:ilvl="4" w:tplc="FCBEACEE" w:tentative="1">
      <w:start w:val="1"/>
      <w:numFmt w:val="bullet"/>
      <w:lvlText w:val=""/>
      <w:lvlJc w:val="left"/>
      <w:pPr>
        <w:tabs>
          <w:tab w:val="num" w:pos="3240"/>
        </w:tabs>
        <w:ind w:left="3240" w:hanging="360"/>
      </w:pPr>
      <w:rPr>
        <w:rFonts w:ascii="Wingdings" w:hAnsi="Wingdings" w:hint="default"/>
        <w:sz w:val="20"/>
      </w:rPr>
    </w:lvl>
    <w:lvl w:ilvl="5" w:tplc="AC4ED528" w:tentative="1">
      <w:start w:val="1"/>
      <w:numFmt w:val="bullet"/>
      <w:lvlText w:val=""/>
      <w:lvlJc w:val="left"/>
      <w:pPr>
        <w:tabs>
          <w:tab w:val="num" w:pos="3960"/>
        </w:tabs>
        <w:ind w:left="3960" w:hanging="360"/>
      </w:pPr>
      <w:rPr>
        <w:rFonts w:ascii="Wingdings" w:hAnsi="Wingdings" w:hint="default"/>
        <w:sz w:val="20"/>
      </w:rPr>
    </w:lvl>
    <w:lvl w:ilvl="6" w:tplc="0C627F2C" w:tentative="1">
      <w:start w:val="1"/>
      <w:numFmt w:val="bullet"/>
      <w:lvlText w:val=""/>
      <w:lvlJc w:val="left"/>
      <w:pPr>
        <w:tabs>
          <w:tab w:val="num" w:pos="4680"/>
        </w:tabs>
        <w:ind w:left="4680" w:hanging="360"/>
      </w:pPr>
      <w:rPr>
        <w:rFonts w:ascii="Wingdings" w:hAnsi="Wingdings" w:hint="default"/>
        <w:sz w:val="20"/>
      </w:rPr>
    </w:lvl>
    <w:lvl w:ilvl="7" w:tplc="1F36BC5E" w:tentative="1">
      <w:start w:val="1"/>
      <w:numFmt w:val="bullet"/>
      <w:lvlText w:val=""/>
      <w:lvlJc w:val="left"/>
      <w:pPr>
        <w:tabs>
          <w:tab w:val="num" w:pos="5400"/>
        </w:tabs>
        <w:ind w:left="5400" w:hanging="360"/>
      </w:pPr>
      <w:rPr>
        <w:rFonts w:ascii="Wingdings" w:hAnsi="Wingdings" w:hint="default"/>
        <w:sz w:val="20"/>
      </w:rPr>
    </w:lvl>
    <w:lvl w:ilvl="8" w:tplc="135879CA"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47103B6"/>
    <w:multiLevelType w:val="hybridMultilevel"/>
    <w:tmpl w:val="31BC7CC8"/>
    <w:lvl w:ilvl="0" w:tplc="7714D114">
      <w:numFmt w:val="bullet"/>
      <w:lvlText w:val=""/>
      <w:lvlJc w:val="left"/>
      <w:pPr>
        <w:tabs>
          <w:tab w:val="num" w:pos="1634"/>
        </w:tabs>
        <w:ind w:left="1634" w:hanging="287"/>
      </w:pPr>
      <w:rPr>
        <w:rFonts w:ascii="Wingdings" w:hAnsi="Wingdings" w:cs="Times New Roman" w:hint="default"/>
        <w:color w:val="000000"/>
        <w:sz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666174D3"/>
    <w:multiLevelType w:val="hybridMultilevel"/>
    <w:tmpl w:val="2C729958"/>
    <w:lvl w:ilvl="0" w:tplc="9ACAC0A4">
      <w:start w:val="4"/>
      <w:numFmt w:val="lowerLetter"/>
      <w:lvlText w:val="(%1)"/>
      <w:lvlJc w:val="left"/>
      <w:pPr>
        <w:ind w:left="36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9007B51"/>
    <w:multiLevelType w:val="hybridMultilevel"/>
    <w:tmpl w:val="53B48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8" w15:restartNumberingAfterBreak="0">
    <w:nsid w:val="6A550FCC"/>
    <w:multiLevelType w:val="hybridMultilevel"/>
    <w:tmpl w:val="F98E431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B235A47"/>
    <w:multiLevelType w:val="hybridMultilevel"/>
    <w:tmpl w:val="53404A38"/>
    <w:lvl w:ilvl="0" w:tplc="FC84FB98">
      <w:start w:val="1"/>
      <w:numFmt w:val="bullet"/>
      <w:lvlText w:val=""/>
      <w:lvlJc w:val="left"/>
      <w:pPr>
        <w:tabs>
          <w:tab w:val="num" w:pos="1647"/>
        </w:tabs>
        <w:ind w:left="1647" w:hanging="360"/>
      </w:pPr>
      <w:rPr>
        <w:rFonts w:ascii="Symbol" w:hAnsi="Symbol" w:hint="default"/>
        <w:b w:val="0"/>
        <w:i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B4C2142"/>
    <w:multiLevelType w:val="hybridMultilevel"/>
    <w:tmpl w:val="838E7AC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BFA6E70">
      <w:start w:val="1"/>
      <w:numFmt w:val="decimal"/>
      <w:lvlText w:val="%4."/>
      <w:lvlJc w:val="left"/>
      <w:pPr>
        <w:ind w:left="720" w:hanging="360"/>
      </w:pPr>
      <w:rPr>
        <w:rFonts w:ascii="Arial" w:hAnsi="Arial" w:hint="default"/>
        <w:b w:val="0"/>
        <w:i w:val="0"/>
        <w:sz w:val="20"/>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6CA246CA"/>
    <w:multiLevelType w:val="hybridMultilevel"/>
    <w:tmpl w:val="A2B4595C"/>
    <w:lvl w:ilvl="0" w:tplc="CA187D8A">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6D3C53AB"/>
    <w:multiLevelType w:val="hybridMultilevel"/>
    <w:tmpl w:val="283A8808"/>
    <w:lvl w:ilvl="0" w:tplc="90CA1818">
      <w:start w:val="4"/>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3D7A9A"/>
    <w:multiLevelType w:val="hybridMultilevel"/>
    <w:tmpl w:val="965A9110"/>
    <w:lvl w:ilvl="0" w:tplc="FFFFFFFF">
      <w:start w:val="1"/>
      <w:numFmt w:val="lowerLetter"/>
      <w:lvlText w:val="%1."/>
      <w:lvlJc w:val="left"/>
      <w:pPr>
        <w:ind w:left="720" w:hanging="360"/>
      </w:pPr>
      <w:rPr>
        <w:rFonts w:hint="default"/>
        <w:b w:val="0"/>
        <w:bCs/>
        <w:color w:val="auto"/>
      </w:rPr>
    </w:lvl>
    <w:lvl w:ilvl="1" w:tplc="B7F6D38C">
      <w:start w:val="1"/>
      <w:numFmt w:val="lowerLetter"/>
      <w:lvlText w:val="(%2)"/>
      <w:lvlJc w:val="left"/>
      <w:pPr>
        <w:ind w:left="1530" w:hanging="4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4F7BBA"/>
    <w:multiLevelType w:val="hybridMultilevel"/>
    <w:tmpl w:val="E64A3C98"/>
    <w:lvl w:ilvl="0" w:tplc="D56E8F06">
      <w:start w:val="11"/>
      <w:numFmt w:val="lowerLetter"/>
      <w:lvlText w:val="(%1)"/>
      <w:lvlJc w:val="left"/>
      <w:pPr>
        <w:ind w:left="129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07D3C69"/>
    <w:multiLevelType w:val="hybridMultilevel"/>
    <w:tmpl w:val="7A047FF2"/>
    <w:lvl w:ilvl="0" w:tplc="A9BAC308">
      <w:start w:val="1"/>
      <w:numFmt w:val="bullet"/>
      <w:lvlText w:val=""/>
      <w:lvlJc w:val="left"/>
      <w:pPr>
        <w:tabs>
          <w:tab w:val="num" w:pos="-60"/>
        </w:tabs>
        <w:ind w:left="283" w:hanging="283"/>
      </w:pPr>
      <w:rPr>
        <w:rFonts w:ascii="Symbol" w:hAnsi="Symbol" w:hint="default"/>
        <w:color w:val="000000"/>
        <w:sz w:val="20"/>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363B59"/>
    <w:multiLevelType w:val="hybridMultilevel"/>
    <w:tmpl w:val="F692E98C"/>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64013E"/>
    <w:multiLevelType w:val="hybridMultilevel"/>
    <w:tmpl w:val="1018A438"/>
    <w:lvl w:ilvl="0" w:tplc="3CB6A1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3C65470"/>
    <w:multiLevelType w:val="hybridMultilevel"/>
    <w:tmpl w:val="40EE7298"/>
    <w:lvl w:ilvl="0" w:tplc="4034651C">
      <w:start w:val="1"/>
      <w:numFmt w:val="lowerLetter"/>
      <w:lvlText w:val="(%1)"/>
      <w:lvlJc w:val="left"/>
      <w:pPr>
        <w:tabs>
          <w:tab w:val="num" w:pos="1062"/>
        </w:tabs>
        <w:ind w:left="1062" w:hanging="495"/>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99" w15:restartNumberingAfterBreak="0">
    <w:nsid w:val="74814B08"/>
    <w:multiLevelType w:val="hybridMultilevel"/>
    <w:tmpl w:val="44922A88"/>
    <w:lvl w:ilvl="0" w:tplc="95209046">
      <w:start w:val="1"/>
      <w:numFmt w:val="bullet"/>
      <w:lvlText w:val=""/>
      <w:lvlJc w:val="left"/>
      <w:pPr>
        <w:ind w:left="144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66D013F"/>
    <w:multiLevelType w:val="hybridMultilevel"/>
    <w:tmpl w:val="6B8E9EE4"/>
    <w:lvl w:ilvl="0" w:tplc="41081C7A">
      <w:start w:val="1"/>
      <w:numFmt w:val="lowerLetter"/>
      <w:lvlText w:val="(%1)"/>
      <w:lvlJc w:val="left"/>
      <w:pPr>
        <w:tabs>
          <w:tab w:val="num" w:pos="1070"/>
        </w:tabs>
        <w:ind w:left="1070" w:hanging="360"/>
      </w:pPr>
      <w:rPr>
        <w:rFonts w:ascii="Arial" w:hAnsi="Arial" w:cs="Times New Roman" w:hint="default"/>
      </w:rPr>
    </w:lvl>
    <w:lvl w:ilvl="1" w:tplc="0C090019" w:tentative="1">
      <w:start w:val="1"/>
      <w:numFmt w:val="lowerLetter"/>
      <w:lvlText w:val="%2."/>
      <w:lvlJc w:val="left"/>
      <w:pPr>
        <w:tabs>
          <w:tab w:val="num" w:pos="1790"/>
        </w:tabs>
        <w:ind w:left="1790" w:hanging="360"/>
      </w:pPr>
    </w:lvl>
    <w:lvl w:ilvl="2" w:tplc="0C09001B" w:tentative="1">
      <w:start w:val="1"/>
      <w:numFmt w:val="lowerRoman"/>
      <w:lvlText w:val="%3."/>
      <w:lvlJc w:val="right"/>
      <w:pPr>
        <w:tabs>
          <w:tab w:val="num" w:pos="2510"/>
        </w:tabs>
        <w:ind w:left="2510" w:hanging="180"/>
      </w:pPr>
    </w:lvl>
    <w:lvl w:ilvl="3" w:tplc="0C09000F" w:tentative="1">
      <w:start w:val="1"/>
      <w:numFmt w:val="decimal"/>
      <w:lvlText w:val="%4."/>
      <w:lvlJc w:val="left"/>
      <w:pPr>
        <w:tabs>
          <w:tab w:val="num" w:pos="3230"/>
        </w:tabs>
        <w:ind w:left="3230" w:hanging="360"/>
      </w:pPr>
    </w:lvl>
    <w:lvl w:ilvl="4" w:tplc="0C090019" w:tentative="1">
      <w:start w:val="1"/>
      <w:numFmt w:val="lowerLetter"/>
      <w:lvlText w:val="%5."/>
      <w:lvlJc w:val="left"/>
      <w:pPr>
        <w:tabs>
          <w:tab w:val="num" w:pos="3950"/>
        </w:tabs>
        <w:ind w:left="3950" w:hanging="360"/>
      </w:pPr>
    </w:lvl>
    <w:lvl w:ilvl="5" w:tplc="0C09001B" w:tentative="1">
      <w:start w:val="1"/>
      <w:numFmt w:val="lowerRoman"/>
      <w:lvlText w:val="%6."/>
      <w:lvlJc w:val="right"/>
      <w:pPr>
        <w:tabs>
          <w:tab w:val="num" w:pos="4670"/>
        </w:tabs>
        <w:ind w:left="4670" w:hanging="180"/>
      </w:pPr>
    </w:lvl>
    <w:lvl w:ilvl="6" w:tplc="0C09000F" w:tentative="1">
      <w:start w:val="1"/>
      <w:numFmt w:val="decimal"/>
      <w:lvlText w:val="%7."/>
      <w:lvlJc w:val="left"/>
      <w:pPr>
        <w:tabs>
          <w:tab w:val="num" w:pos="5390"/>
        </w:tabs>
        <w:ind w:left="5390" w:hanging="360"/>
      </w:pPr>
    </w:lvl>
    <w:lvl w:ilvl="7" w:tplc="0C090019" w:tentative="1">
      <w:start w:val="1"/>
      <w:numFmt w:val="lowerLetter"/>
      <w:lvlText w:val="%8."/>
      <w:lvlJc w:val="left"/>
      <w:pPr>
        <w:tabs>
          <w:tab w:val="num" w:pos="6110"/>
        </w:tabs>
        <w:ind w:left="6110" w:hanging="360"/>
      </w:pPr>
    </w:lvl>
    <w:lvl w:ilvl="8" w:tplc="0C09001B" w:tentative="1">
      <w:start w:val="1"/>
      <w:numFmt w:val="lowerRoman"/>
      <w:lvlText w:val="%9."/>
      <w:lvlJc w:val="right"/>
      <w:pPr>
        <w:tabs>
          <w:tab w:val="num" w:pos="6830"/>
        </w:tabs>
        <w:ind w:left="6830" w:hanging="180"/>
      </w:pPr>
    </w:lvl>
  </w:abstractNum>
  <w:abstractNum w:abstractNumId="101" w15:restartNumberingAfterBreak="0">
    <w:nsid w:val="776834AE"/>
    <w:multiLevelType w:val="hybridMultilevel"/>
    <w:tmpl w:val="1DE2EF46"/>
    <w:lvl w:ilvl="0" w:tplc="63705CDC">
      <w:start w:val="1"/>
      <w:numFmt w:val="bullet"/>
      <w:lvlText w:val=""/>
      <w:lvlJc w:val="left"/>
      <w:pPr>
        <w:tabs>
          <w:tab w:val="num" w:pos="360"/>
        </w:tabs>
        <w:ind w:left="0" w:firstLine="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7B72EF"/>
    <w:multiLevelType w:val="hybridMultilevel"/>
    <w:tmpl w:val="180AAD70"/>
    <w:lvl w:ilvl="0" w:tplc="2B1C2A8E">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83F62BC"/>
    <w:multiLevelType w:val="hybridMultilevel"/>
    <w:tmpl w:val="03AC2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CF6A44"/>
    <w:multiLevelType w:val="hybridMultilevel"/>
    <w:tmpl w:val="7D8826FC"/>
    <w:lvl w:ilvl="0" w:tplc="911A290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BF646A"/>
    <w:multiLevelType w:val="hybridMultilevel"/>
    <w:tmpl w:val="0298D9F6"/>
    <w:lvl w:ilvl="0" w:tplc="FFFFFFFF">
      <w:start w:val="1"/>
      <w:numFmt w:val="lowerLetter"/>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07" w15:restartNumberingAfterBreak="0">
    <w:nsid w:val="7A876E9A"/>
    <w:multiLevelType w:val="multilevel"/>
    <w:tmpl w:val="C3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BC17483"/>
    <w:multiLevelType w:val="multilevel"/>
    <w:tmpl w:val="F8987542"/>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C4820AF"/>
    <w:multiLevelType w:val="hybridMultilevel"/>
    <w:tmpl w:val="199857A8"/>
    <w:lvl w:ilvl="0" w:tplc="D6806E6C">
      <w:start w:val="1"/>
      <w:numFmt w:val="lowerRoman"/>
      <w:lvlText w:val="%1."/>
      <w:lvlJc w:val="left"/>
      <w:pPr>
        <w:tabs>
          <w:tab w:val="num" w:pos="1083"/>
        </w:tabs>
        <w:ind w:left="720"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0" w15:restartNumberingAfterBreak="0">
    <w:nsid w:val="7E914F9B"/>
    <w:multiLevelType w:val="hybridMultilevel"/>
    <w:tmpl w:val="537C4B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1" w15:restartNumberingAfterBreak="0">
    <w:nsid w:val="7F900781"/>
    <w:multiLevelType w:val="hybridMultilevel"/>
    <w:tmpl w:val="FC749922"/>
    <w:lvl w:ilvl="0" w:tplc="1DD4A9DC">
      <w:start w:val="1"/>
      <w:numFmt w:val="lowerLetter"/>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FB21B0D"/>
    <w:multiLevelType w:val="hybridMultilevel"/>
    <w:tmpl w:val="EDEE50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272085749">
    <w:abstractNumId w:val="35"/>
  </w:num>
  <w:num w:numId="2" w16cid:durableId="537427637">
    <w:abstractNumId w:val="40"/>
  </w:num>
  <w:num w:numId="3" w16cid:durableId="1157919316">
    <w:abstractNumId w:val="47"/>
  </w:num>
  <w:num w:numId="4" w16cid:durableId="1581449325">
    <w:abstractNumId w:val="101"/>
  </w:num>
  <w:num w:numId="5" w16cid:durableId="1341274011">
    <w:abstractNumId w:val="45"/>
  </w:num>
  <w:num w:numId="6" w16cid:durableId="54547052">
    <w:abstractNumId w:val="37"/>
  </w:num>
  <w:num w:numId="7" w16cid:durableId="780146371">
    <w:abstractNumId w:val="17"/>
  </w:num>
  <w:num w:numId="8" w16cid:durableId="1993095879">
    <w:abstractNumId w:val="66"/>
  </w:num>
  <w:num w:numId="9" w16cid:durableId="1268655812">
    <w:abstractNumId w:val="61"/>
  </w:num>
  <w:num w:numId="10" w16cid:durableId="618535251">
    <w:abstractNumId w:val="75"/>
  </w:num>
  <w:num w:numId="11" w16cid:durableId="1700626281">
    <w:abstractNumId w:val="19"/>
  </w:num>
  <w:num w:numId="12" w16cid:durableId="1844079464">
    <w:abstractNumId w:val="21"/>
  </w:num>
  <w:num w:numId="13" w16cid:durableId="1518351421">
    <w:abstractNumId w:val="32"/>
  </w:num>
  <w:num w:numId="14" w16cid:durableId="120658375">
    <w:abstractNumId w:val="96"/>
  </w:num>
  <w:num w:numId="15" w16cid:durableId="2010325439">
    <w:abstractNumId w:val="31"/>
  </w:num>
  <w:num w:numId="16" w16cid:durableId="1698309263">
    <w:abstractNumId w:val="24"/>
  </w:num>
  <w:num w:numId="17" w16cid:durableId="1587110854">
    <w:abstractNumId w:val="0"/>
  </w:num>
  <w:num w:numId="18" w16cid:durableId="292832713">
    <w:abstractNumId w:val="110"/>
  </w:num>
  <w:num w:numId="19" w16cid:durableId="494683296">
    <w:abstractNumId w:val="42"/>
  </w:num>
  <w:num w:numId="20" w16cid:durableId="234169626">
    <w:abstractNumId w:val="88"/>
  </w:num>
  <w:num w:numId="21" w16cid:durableId="418989168">
    <w:abstractNumId w:val="98"/>
  </w:num>
  <w:num w:numId="22" w16cid:durableId="1700157453">
    <w:abstractNumId w:val="91"/>
  </w:num>
  <w:num w:numId="23" w16cid:durableId="1423451149">
    <w:abstractNumId w:val="76"/>
  </w:num>
  <w:num w:numId="24" w16cid:durableId="1999267889">
    <w:abstractNumId w:val="62"/>
  </w:num>
  <w:num w:numId="25" w16cid:durableId="2133207479">
    <w:abstractNumId w:val="95"/>
  </w:num>
  <w:num w:numId="26" w16cid:durableId="2096172206">
    <w:abstractNumId w:val="5"/>
  </w:num>
  <w:num w:numId="27" w16cid:durableId="1047143516">
    <w:abstractNumId w:val="34"/>
  </w:num>
  <w:num w:numId="28" w16cid:durableId="1117526697">
    <w:abstractNumId w:val="53"/>
  </w:num>
  <w:num w:numId="29" w16cid:durableId="1632327283">
    <w:abstractNumId w:val="51"/>
  </w:num>
  <w:num w:numId="30" w16cid:durableId="99036178">
    <w:abstractNumId w:val="44"/>
  </w:num>
  <w:num w:numId="31" w16cid:durableId="1670214916">
    <w:abstractNumId w:val="12"/>
  </w:num>
  <w:num w:numId="32" w16cid:durableId="1279407397">
    <w:abstractNumId w:val="100"/>
  </w:num>
  <w:num w:numId="33" w16cid:durableId="693533085">
    <w:abstractNumId w:val="38"/>
  </w:num>
  <w:num w:numId="34" w16cid:durableId="1284537955">
    <w:abstractNumId w:val="109"/>
  </w:num>
  <w:num w:numId="35" w16cid:durableId="117071711">
    <w:abstractNumId w:val="85"/>
  </w:num>
  <w:num w:numId="36" w16cid:durableId="1905484697">
    <w:abstractNumId w:val="67"/>
  </w:num>
  <w:num w:numId="37" w16cid:durableId="381365331">
    <w:abstractNumId w:val="106"/>
  </w:num>
  <w:num w:numId="38" w16cid:durableId="1525972204">
    <w:abstractNumId w:val="4"/>
  </w:num>
  <w:num w:numId="39" w16cid:durableId="228613177">
    <w:abstractNumId w:val="112"/>
  </w:num>
  <w:num w:numId="40" w16cid:durableId="1463384338">
    <w:abstractNumId w:val="69"/>
  </w:num>
  <w:num w:numId="41" w16cid:durableId="868877733">
    <w:abstractNumId w:val="2"/>
  </w:num>
  <w:num w:numId="42" w16cid:durableId="1901670395">
    <w:abstractNumId w:val="50"/>
  </w:num>
  <w:num w:numId="43" w16cid:durableId="261305108">
    <w:abstractNumId w:val="81"/>
  </w:num>
  <w:num w:numId="44" w16cid:durableId="1957787955">
    <w:abstractNumId w:val="11"/>
  </w:num>
  <w:num w:numId="45" w16cid:durableId="2104452428">
    <w:abstractNumId w:val="18"/>
  </w:num>
  <w:num w:numId="46" w16cid:durableId="575020010">
    <w:abstractNumId w:val="25"/>
  </w:num>
  <w:num w:numId="47" w16cid:durableId="802380934">
    <w:abstractNumId w:val="90"/>
  </w:num>
  <w:num w:numId="48" w16cid:durableId="136920619">
    <w:abstractNumId w:val="30"/>
  </w:num>
  <w:num w:numId="49" w16cid:durableId="1931431766">
    <w:abstractNumId w:val="87"/>
  </w:num>
  <w:num w:numId="50" w16cid:durableId="1016493323">
    <w:abstractNumId w:val="52"/>
  </w:num>
  <w:num w:numId="51" w16cid:durableId="1545554178">
    <w:abstractNumId w:val="102"/>
  </w:num>
  <w:num w:numId="52" w16cid:durableId="1645816857">
    <w:abstractNumId w:val="104"/>
  </w:num>
  <w:num w:numId="53" w16cid:durableId="1668900009">
    <w:abstractNumId w:val="89"/>
  </w:num>
  <w:num w:numId="54" w16cid:durableId="1359507875">
    <w:abstractNumId w:val="6"/>
  </w:num>
  <w:num w:numId="55" w16cid:durableId="482046512">
    <w:abstractNumId w:val="73"/>
  </w:num>
  <w:num w:numId="56" w16cid:durableId="905457583">
    <w:abstractNumId w:val="84"/>
  </w:num>
  <w:num w:numId="57" w16cid:durableId="301422969">
    <w:abstractNumId w:val="78"/>
  </w:num>
  <w:num w:numId="58" w16cid:durableId="280309859">
    <w:abstractNumId w:val="27"/>
  </w:num>
  <w:num w:numId="59" w16cid:durableId="556938741">
    <w:abstractNumId w:val="16"/>
  </w:num>
  <w:num w:numId="60" w16cid:durableId="1711564744">
    <w:abstractNumId w:val="57"/>
  </w:num>
  <w:num w:numId="61" w16cid:durableId="1048846092">
    <w:abstractNumId w:val="49"/>
  </w:num>
  <w:num w:numId="62" w16cid:durableId="49380131">
    <w:abstractNumId w:val="82"/>
  </w:num>
  <w:num w:numId="63" w16cid:durableId="689835664">
    <w:abstractNumId w:val="111"/>
  </w:num>
  <w:num w:numId="64" w16cid:durableId="667710506">
    <w:abstractNumId w:val="48"/>
  </w:num>
  <w:num w:numId="65" w16cid:durableId="1087310743">
    <w:abstractNumId w:val="74"/>
  </w:num>
  <w:num w:numId="66" w16cid:durableId="790125729">
    <w:abstractNumId w:val="15"/>
  </w:num>
  <w:num w:numId="67" w16cid:durableId="2133860611">
    <w:abstractNumId w:val="13"/>
  </w:num>
  <w:num w:numId="68" w16cid:durableId="1236207145">
    <w:abstractNumId w:val="10"/>
  </w:num>
  <w:num w:numId="69" w16cid:durableId="448403718">
    <w:abstractNumId w:val="105"/>
  </w:num>
  <w:num w:numId="70" w16cid:durableId="35395417">
    <w:abstractNumId w:val="63"/>
  </w:num>
  <w:num w:numId="71" w16cid:durableId="1421755513">
    <w:abstractNumId w:val="93"/>
  </w:num>
  <w:num w:numId="72" w16cid:durableId="1958832005">
    <w:abstractNumId w:val="14"/>
  </w:num>
  <w:num w:numId="73" w16cid:durableId="52581302">
    <w:abstractNumId w:val="79"/>
  </w:num>
  <w:num w:numId="74" w16cid:durableId="2054308320">
    <w:abstractNumId w:val="86"/>
  </w:num>
  <w:num w:numId="75" w16cid:durableId="481964812">
    <w:abstractNumId w:val="8"/>
  </w:num>
  <w:num w:numId="76" w16cid:durableId="763691135">
    <w:abstractNumId w:val="43"/>
  </w:num>
  <w:num w:numId="77" w16cid:durableId="1036151799">
    <w:abstractNumId w:val="68"/>
  </w:num>
  <w:num w:numId="78" w16cid:durableId="453333730">
    <w:abstractNumId w:val="26"/>
  </w:num>
  <w:num w:numId="79" w16cid:durableId="1576547952">
    <w:abstractNumId w:val="99"/>
  </w:num>
  <w:num w:numId="80" w16cid:durableId="1748110429">
    <w:abstractNumId w:val="28"/>
  </w:num>
  <w:num w:numId="81" w16cid:durableId="803814925">
    <w:abstractNumId w:val="36"/>
  </w:num>
  <w:num w:numId="82" w16cid:durableId="1300064451">
    <w:abstractNumId w:val="71"/>
  </w:num>
  <w:num w:numId="83" w16cid:durableId="1895893107">
    <w:abstractNumId w:val="55"/>
  </w:num>
  <w:num w:numId="84" w16cid:durableId="968172983">
    <w:abstractNumId w:val="20"/>
  </w:num>
  <w:num w:numId="85" w16cid:durableId="1380207717">
    <w:abstractNumId w:val="7"/>
  </w:num>
  <w:num w:numId="86" w16cid:durableId="1311052918">
    <w:abstractNumId w:val="39"/>
  </w:num>
  <w:num w:numId="87" w16cid:durableId="1422990538">
    <w:abstractNumId w:val="103"/>
  </w:num>
  <w:num w:numId="88" w16cid:durableId="58209345">
    <w:abstractNumId w:val="9"/>
  </w:num>
  <w:num w:numId="89" w16cid:durableId="874273156">
    <w:abstractNumId w:val="83"/>
  </w:num>
  <w:num w:numId="90" w16cid:durableId="663584382">
    <w:abstractNumId w:val="108"/>
  </w:num>
  <w:num w:numId="91" w16cid:durableId="790051573">
    <w:abstractNumId w:val="1"/>
  </w:num>
  <w:num w:numId="92" w16cid:durableId="389427764">
    <w:abstractNumId w:val="33"/>
  </w:num>
  <w:num w:numId="93" w16cid:durableId="2003122254">
    <w:abstractNumId w:val="29"/>
  </w:num>
  <w:num w:numId="94" w16cid:durableId="1999570327">
    <w:abstractNumId w:val="97"/>
  </w:num>
  <w:num w:numId="95" w16cid:durableId="2083717164">
    <w:abstractNumId w:val="72"/>
  </w:num>
  <w:num w:numId="96" w16cid:durableId="966592980">
    <w:abstractNumId w:val="60"/>
  </w:num>
  <w:num w:numId="97" w16cid:durableId="323974106">
    <w:abstractNumId w:val="56"/>
  </w:num>
  <w:num w:numId="98" w16cid:durableId="2135512958">
    <w:abstractNumId w:val="58"/>
  </w:num>
  <w:num w:numId="99" w16cid:durableId="681318380">
    <w:abstractNumId w:val="107"/>
  </w:num>
  <w:num w:numId="100" w16cid:durableId="2132939690">
    <w:abstractNumId w:val="23"/>
  </w:num>
  <w:num w:numId="101" w16cid:durableId="412556041">
    <w:abstractNumId w:val="54"/>
  </w:num>
  <w:num w:numId="102" w16cid:durableId="1418867413">
    <w:abstractNumId w:val="80"/>
  </w:num>
  <w:num w:numId="103" w16cid:durableId="1208838747">
    <w:abstractNumId w:val="94"/>
  </w:num>
  <w:num w:numId="104" w16cid:durableId="1898273572">
    <w:abstractNumId w:val="77"/>
  </w:num>
  <w:num w:numId="105" w16cid:durableId="1080634378">
    <w:abstractNumId w:val="92"/>
  </w:num>
  <w:num w:numId="106" w16cid:durableId="1339428189">
    <w:abstractNumId w:val="64"/>
  </w:num>
  <w:num w:numId="107" w16cid:durableId="1579249031">
    <w:abstractNumId w:val="46"/>
  </w:num>
  <w:num w:numId="108" w16cid:durableId="495996467">
    <w:abstractNumId w:val="22"/>
  </w:num>
  <w:num w:numId="109" w16cid:durableId="806319355">
    <w:abstractNumId w:val="41"/>
  </w:num>
  <w:num w:numId="110" w16cid:durableId="561065825">
    <w:abstractNumId w:val="3"/>
  </w:num>
  <w:num w:numId="111" w16cid:durableId="179469769">
    <w:abstractNumId w:val="70"/>
  </w:num>
  <w:num w:numId="112" w16cid:durableId="962347169">
    <w:abstractNumId w:val="59"/>
  </w:num>
  <w:num w:numId="113" w16cid:durableId="348874723">
    <w:abstractNumId w:val="65"/>
  </w:num>
  <w:num w:numId="114" w16cid:durableId="1213543640">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characterSpacingControl w:val="doNotCompress"/>
  <w:hdrShapeDefaults>
    <o:shapedefaults v:ext="edit" spidmax="2050">
      <o:colormru v:ext="edit" colors="white,#036,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81"/>
    <w:rsid w:val="00000D28"/>
    <w:rsid w:val="00001F41"/>
    <w:rsid w:val="000042F8"/>
    <w:rsid w:val="00005B83"/>
    <w:rsid w:val="00005E9C"/>
    <w:rsid w:val="00006C35"/>
    <w:rsid w:val="0000786E"/>
    <w:rsid w:val="00007F00"/>
    <w:rsid w:val="00010480"/>
    <w:rsid w:val="00010C54"/>
    <w:rsid w:val="00012D1B"/>
    <w:rsid w:val="00013698"/>
    <w:rsid w:val="00013E4C"/>
    <w:rsid w:val="00013EC4"/>
    <w:rsid w:val="000142BA"/>
    <w:rsid w:val="000151FB"/>
    <w:rsid w:val="00015C77"/>
    <w:rsid w:val="00021C71"/>
    <w:rsid w:val="00022424"/>
    <w:rsid w:val="00022F17"/>
    <w:rsid w:val="00023685"/>
    <w:rsid w:val="00023781"/>
    <w:rsid w:val="00023849"/>
    <w:rsid w:val="0002387D"/>
    <w:rsid w:val="000244BD"/>
    <w:rsid w:val="00024CAF"/>
    <w:rsid w:val="0002583E"/>
    <w:rsid w:val="00026072"/>
    <w:rsid w:val="0002608B"/>
    <w:rsid w:val="00026393"/>
    <w:rsid w:val="00026E60"/>
    <w:rsid w:val="0003013B"/>
    <w:rsid w:val="00030C47"/>
    <w:rsid w:val="00030E96"/>
    <w:rsid w:val="00030EFF"/>
    <w:rsid w:val="0003107A"/>
    <w:rsid w:val="00031B60"/>
    <w:rsid w:val="00032E6E"/>
    <w:rsid w:val="00032ED5"/>
    <w:rsid w:val="00033D59"/>
    <w:rsid w:val="00034F11"/>
    <w:rsid w:val="00035B01"/>
    <w:rsid w:val="00035BE4"/>
    <w:rsid w:val="00036A6F"/>
    <w:rsid w:val="00037AAE"/>
    <w:rsid w:val="00040296"/>
    <w:rsid w:val="000402B6"/>
    <w:rsid w:val="000402DA"/>
    <w:rsid w:val="000403D3"/>
    <w:rsid w:val="000407FE"/>
    <w:rsid w:val="000420E0"/>
    <w:rsid w:val="00043E5F"/>
    <w:rsid w:val="0004455B"/>
    <w:rsid w:val="0004476D"/>
    <w:rsid w:val="0004634A"/>
    <w:rsid w:val="00046C07"/>
    <w:rsid w:val="00047FBE"/>
    <w:rsid w:val="00050C36"/>
    <w:rsid w:val="0005349D"/>
    <w:rsid w:val="000547DB"/>
    <w:rsid w:val="000556AF"/>
    <w:rsid w:val="00056D8F"/>
    <w:rsid w:val="0005775A"/>
    <w:rsid w:val="00057B61"/>
    <w:rsid w:val="000609E5"/>
    <w:rsid w:val="000619EC"/>
    <w:rsid w:val="00061CF0"/>
    <w:rsid w:val="00061DAE"/>
    <w:rsid w:val="000620FA"/>
    <w:rsid w:val="00062432"/>
    <w:rsid w:val="000626D1"/>
    <w:rsid w:val="00062A4F"/>
    <w:rsid w:val="00063C71"/>
    <w:rsid w:val="0006527A"/>
    <w:rsid w:val="00066867"/>
    <w:rsid w:val="000670D4"/>
    <w:rsid w:val="00067B8C"/>
    <w:rsid w:val="000711AB"/>
    <w:rsid w:val="00071E02"/>
    <w:rsid w:val="000730EB"/>
    <w:rsid w:val="000737BF"/>
    <w:rsid w:val="00076222"/>
    <w:rsid w:val="000770AB"/>
    <w:rsid w:val="00080420"/>
    <w:rsid w:val="00080B97"/>
    <w:rsid w:val="00081714"/>
    <w:rsid w:val="00081D5A"/>
    <w:rsid w:val="00082A5E"/>
    <w:rsid w:val="00083FF8"/>
    <w:rsid w:val="000841DD"/>
    <w:rsid w:val="00084EDE"/>
    <w:rsid w:val="0008501B"/>
    <w:rsid w:val="00085234"/>
    <w:rsid w:val="00085C8B"/>
    <w:rsid w:val="00086A15"/>
    <w:rsid w:val="00087D51"/>
    <w:rsid w:val="000922DB"/>
    <w:rsid w:val="00092677"/>
    <w:rsid w:val="0009299C"/>
    <w:rsid w:val="00093EB1"/>
    <w:rsid w:val="00095B7A"/>
    <w:rsid w:val="0009755F"/>
    <w:rsid w:val="0009779A"/>
    <w:rsid w:val="00097A0B"/>
    <w:rsid w:val="00097C38"/>
    <w:rsid w:val="00097FAC"/>
    <w:rsid w:val="000A1E13"/>
    <w:rsid w:val="000A23AC"/>
    <w:rsid w:val="000A26DC"/>
    <w:rsid w:val="000A36D8"/>
    <w:rsid w:val="000A38F6"/>
    <w:rsid w:val="000A3A77"/>
    <w:rsid w:val="000A4419"/>
    <w:rsid w:val="000A4830"/>
    <w:rsid w:val="000A52CA"/>
    <w:rsid w:val="000A5CEC"/>
    <w:rsid w:val="000A63AA"/>
    <w:rsid w:val="000A7107"/>
    <w:rsid w:val="000A7139"/>
    <w:rsid w:val="000A77E8"/>
    <w:rsid w:val="000A7BD0"/>
    <w:rsid w:val="000B0333"/>
    <w:rsid w:val="000B08A2"/>
    <w:rsid w:val="000B10C0"/>
    <w:rsid w:val="000B1850"/>
    <w:rsid w:val="000B1BC5"/>
    <w:rsid w:val="000B2C51"/>
    <w:rsid w:val="000B2E56"/>
    <w:rsid w:val="000B4173"/>
    <w:rsid w:val="000B556B"/>
    <w:rsid w:val="000B5D08"/>
    <w:rsid w:val="000B5FAA"/>
    <w:rsid w:val="000B658C"/>
    <w:rsid w:val="000B6A6D"/>
    <w:rsid w:val="000B6B24"/>
    <w:rsid w:val="000B702A"/>
    <w:rsid w:val="000B72C2"/>
    <w:rsid w:val="000B759F"/>
    <w:rsid w:val="000B762E"/>
    <w:rsid w:val="000C0319"/>
    <w:rsid w:val="000C120E"/>
    <w:rsid w:val="000C259D"/>
    <w:rsid w:val="000C3AB4"/>
    <w:rsid w:val="000C3CF5"/>
    <w:rsid w:val="000C3E4C"/>
    <w:rsid w:val="000C3FC5"/>
    <w:rsid w:val="000C47EE"/>
    <w:rsid w:val="000C49FD"/>
    <w:rsid w:val="000C54CD"/>
    <w:rsid w:val="000D0B7B"/>
    <w:rsid w:val="000D118D"/>
    <w:rsid w:val="000D1A4A"/>
    <w:rsid w:val="000D2D81"/>
    <w:rsid w:val="000D303C"/>
    <w:rsid w:val="000D3252"/>
    <w:rsid w:val="000D35D1"/>
    <w:rsid w:val="000D3DF2"/>
    <w:rsid w:val="000D47D1"/>
    <w:rsid w:val="000D52F1"/>
    <w:rsid w:val="000D5DA7"/>
    <w:rsid w:val="000D65DE"/>
    <w:rsid w:val="000D682D"/>
    <w:rsid w:val="000D7389"/>
    <w:rsid w:val="000E07BF"/>
    <w:rsid w:val="000E08BD"/>
    <w:rsid w:val="000E0F91"/>
    <w:rsid w:val="000E1381"/>
    <w:rsid w:val="000E260E"/>
    <w:rsid w:val="000E3BD9"/>
    <w:rsid w:val="000E481B"/>
    <w:rsid w:val="000E530E"/>
    <w:rsid w:val="000E5E7E"/>
    <w:rsid w:val="000E6292"/>
    <w:rsid w:val="000E6FBD"/>
    <w:rsid w:val="000E7063"/>
    <w:rsid w:val="000E7138"/>
    <w:rsid w:val="000E7640"/>
    <w:rsid w:val="000E7A31"/>
    <w:rsid w:val="000F13CB"/>
    <w:rsid w:val="000F226D"/>
    <w:rsid w:val="000F24E5"/>
    <w:rsid w:val="000F27BB"/>
    <w:rsid w:val="000F4CD8"/>
    <w:rsid w:val="000F5059"/>
    <w:rsid w:val="000F5CC6"/>
    <w:rsid w:val="000F5D4E"/>
    <w:rsid w:val="000F5EE9"/>
    <w:rsid w:val="000F6283"/>
    <w:rsid w:val="000F78EA"/>
    <w:rsid w:val="0010064F"/>
    <w:rsid w:val="00100777"/>
    <w:rsid w:val="0010092D"/>
    <w:rsid w:val="001018B4"/>
    <w:rsid w:val="001018E5"/>
    <w:rsid w:val="00102E30"/>
    <w:rsid w:val="00102E8E"/>
    <w:rsid w:val="00103F02"/>
    <w:rsid w:val="001040F9"/>
    <w:rsid w:val="00106D3A"/>
    <w:rsid w:val="00107B64"/>
    <w:rsid w:val="0011018E"/>
    <w:rsid w:val="00110B6F"/>
    <w:rsid w:val="00111111"/>
    <w:rsid w:val="00112297"/>
    <w:rsid w:val="00112373"/>
    <w:rsid w:val="00112E2B"/>
    <w:rsid w:val="00114761"/>
    <w:rsid w:val="001149D7"/>
    <w:rsid w:val="00114DE8"/>
    <w:rsid w:val="001152F2"/>
    <w:rsid w:val="00115736"/>
    <w:rsid w:val="001167B3"/>
    <w:rsid w:val="00116AA0"/>
    <w:rsid w:val="00117119"/>
    <w:rsid w:val="001202B2"/>
    <w:rsid w:val="001202C2"/>
    <w:rsid w:val="00120454"/>
    <w:rsid w:val="0012075C"/>
    <w:rsid w:val="00120B81"/>
    <w:rsid w:val="00121D44"/>
    <w:rsid w:val="00122549"/>
    <w:rsid w:val="00122A0D"/>
    <w:rsid w:val="00122C59"/>
    <w:rsid w:val="001236B0"/>
    <w:rsid w:val="00123D44"/>
    <w:rsid w:val="00124A2A"/>
    <w:rsid w:val="00130C0F"/>
    <w:rsid w:val="00130E82"/>
    <w:rsid w:val="00131949"/>
    <w:rsid w:val="00132504"/>
    <w:rsid w:val="00132E50"/>
    <w:rsid w:val="00132F1C"/>
    <w:rsid w:val="00135B61"/>
    <w:rsid w:val="001372BD"/>
    <w:rsid w:val="001373A1"/>
    <w:rsid w:val="00137C50"/>
    <w:rsid w:val="001400C9"/>
    <w:rsid w:val="0014086F"/>
    <w:rsid w:val="00140FA4"/>
    <w:rsid w:val="001411EC"/>
    <w:rsid w:val="001411F9"/>
    <w:rsid w:val="001413E6"/>
    <w:rsid w:val="0014199B"/>
    <w:rsid w:val="001423D9"/>
    <w:rsid w:val="00142D55"/>
    <w:rsid w:val="0014387F"/>
    <w:rsid w:val="00144AFD"/>
    <w:rsid w:val="00150328"/>
    <w:rsid w:val="0015101B"/>
    <w:rsid w:val="00151B2E"/>
    <w:rsid w:val="00151F5D"/>
    <w:rsid w:val="001521E7"/>
    <w:rsid w:val="001533B1"/>
    <w:rsid w:val="0015410E"/>
    <w:rsid w:val="001544BF"/>
    <w:rsid w:val="0015616F"/>
    <w:rsid w:val="00156362"/>
    <w:rsid w:val="0015795E"/>
    <w:rsid w:val="00160008"/>
    <w:rsid w:val="001604BA"/>
    <w:rsid w:val="0016069D"/>
    <w:rsid w:val="00160EB1"/>
    <w:rsid w:val="00161AA0"/>
    <w:rsid w:val="001634E5"/>
    <w:rsid w:val="00163791"/>
    <w:rsid w:val="00163A4A"/>
    <w:rsid w:val="00163DB6"/>
    <w:rsid w:val="00164C09"/>
    <w:rsid w:val="00166173"/>
    <w:rsid w:val="00166488"/>
    <w:rsid w:val="00166C52"/>
    <w:rsid w:val="0016757A"/>
    <w:rsid w:val="00170DA8"/>
    <w:rsid w:val="001726EF"/>
    <w:rsid w:val="0017414B"/>
    <w:rsid w:val="00175178"/>
    <w:rsid w:val="00175272"/>
    <w:rsid w:val="00175CDD"/>
    <w:rsid w:val="00176C77"/>
    <w:rsid w:val="00177067"/>
    <w:rsid w:val="00181BB3"/>
    <w:rsid w:val="00182678"/>
    <w:rsid w:val="00183039"/>
    <w:rsid w:val="00184943"/>
    <w:rsid w:val="00184EDB"/>
    <w:rsid w:val="00185CC3"/>
    <w:rsid w:val="001870BB"/>
    <w:rsid w:val="00190850"/>
    <w:rsid w:val="00192251"/>
    <w:rsid w:val="001926BE"/>
    <w:rsid w:val="00193618"/>
    <w:rsid w:val="00193BF2"/>
    <w:rsid w:val="001955C6"/>
    <w:rsid w:val="00196254"/>
    <w:rsid w:val="001966B1"/>
    <w:rsid w:val="001A06D3"/>
    <w:rsid w:val="001A1705"/>
    <w:rsid w:val="001A3C5B"/>
    <w:rsid w:val="001A4C03"/>
    <w:rsid w:val="001A5C38"/>
    <w:rsid w:val="001A62B0"/>
    <w:rsid w:val="001A647B"/>
    <w:rsid w:val="001A66E0"/>
    <w:rsid w:val="001A6DE4"/>
    <w:rsid w:val="001A70CF"/>
    <w:rsid w:val="001A70FC"/>
    <w:rsid w:val="001A7C46"/>
    <w:rsid w:val="001B003A"/>
    <w:rsid w:val="001B04CC"/>
    <w:rsid w:val="001B05E1"/>
    <w:rsid w:val="001B0B3F"/>
    <w:rsid w:val="001B14AB"/>
    <w:rsid w:val="001B168F"/>
    <w:rsid w:val="001B348E"/>
    <w:rsid w:val="001B4618"/>
    <w:rsid w:val="001B734E"/>
    <w:rsid w:val="001C0CAE"/>
    <w:rsid w:val="001C16BF"/>
    <w:rsid w:val="001C277C"/>
    <w:rsid w:val="001C3CD9"/>
    <w:rsid w:val="001C4AF4"/>
    <w:rsid w:val="001C508D"/>
    <w:rsid w:val="001C50AF"/>
    <w:rsid w:val="001C5268"/>
    <w:rsid w:val="001C536D"/>
    <w:rsid w:val="001C645E"/>
    <w:rsid w:val="001C67E6"/>
    <w:rsid w:val="001D0634"/>
    <w:rsid w:val="001D0A37"/>
    <w:rsid w:val="001D0D1F"/>
    <w:rsid w:val="001D1CD9"/>
    <w:rsid w:val="001D204F"/>
    <w:rsid w:val="001D2A19"/>
    <w:rsid w:val="001D3F93"/>
    <w:rsid w:val="001D42F1"/>
    <w:rsid w:val="001D43CC"/>
    <w:rsid w:val="001D5F56"/>
    <w:rsid w:val="001D67B9"/>
    <w:rsid w:val="001D67F1"/>
    <w:rsid w:val="001D7439"/>
    <w:rsid w:val="001D7D27"/>
    <w:rsid w:val="001E0258"/>
    <w:rsid w:val="001E0633"/>
    <w:rsid w:val="001E0C00"/>
    <w:rsid w:val="001E113D"/>
    <w:rsid w:val="001E355A"/>
    <w:rsid w:val="001E38BA"/>
    <w:rsid w:val="001E40AF"/>
    <w:rsid w:val="001E574F"/>
    <w:rsid w:val="001E5D75"/>
    <w:rsid w:val="001E6910"/>
    <w:rsid w:val="001E7017"/>
    <w:rsid w:val="001E7B33"/>
    <w:rsid w:val="001F016F"/>
    <w:rsid w:val="001F09E6"/>
    <w:rsid w:val="001F1104"/>
    <w:rsid w:val="001F173D"/>
    <w:rsid w:val="001F444B"/>
    <w:rsid w:val="001F48FC"/>
    <w:rsid w:val="001F4A54"/>
    <w:rsid w:val="001F4FF5"/>
    <w:rsid w:val="001F5033"/>
    <w:rsid w:val="001F5784"/>
    <w:rsid w:val="001F6450"/>
    <w:rsid w:val="001F6EA3"/>
    <w:rsid w:val="001F7EDE"/>
    <w:rsid w:val="002005EA"/>
    <w:rsid w:val="00203234"/>
    <w:rsid w:val="00204401"/>
    <w:rsid w:val="00204586"/>
    <w:rsid w:val="00205578"/>
    <w:rsid w:val="0021082E"/>
    <w:rsid w:val="00211E08"/>
    <w:rsid w:val="0021232F"/>
    <w:rsid w:val="00212EE1"/>
    <w:rsid w:val="0021434F"/>
    <w:rsid w:val="00214659"/>
    <w:rsid w:val="002152DF"/>
    <w:rsid w:val="00215923"/>
    <w:rsid w:val="00215BFF"/>
    <w:rsid w:val="0021630D"/>
    <w:rsid w:val="00216B97"/>
    <w:rsid w:val="0021700E"/>
    <w:rsid w:val="00217229"/>
    <w:rsid w:val="00217708"/>
    <w:rsid w:val="0021794E"/>
    <w:rsid w:val="00217C89"/>
    <w:rsid w:val="00217E74"/>
    <w:rsid w:val="00221FA6"/>
    <w:rsid w:val="002221CB"/>
    <w:rsid w:val="002229EE"/>
    <w:rsid w:val="002237AE"/>
    <w:rsid w:val="002239D1"/>
    <w:rsid w:val="00225268"/>
    <w:rsid w:val="00225875"/>
    <w:rsid w:val="00226C41"/>
    <w:rsid w:val="002317B1"/>
    <w:rsid w:val="00231CCE"/>
    <w:rsid w:val="0023460F"/>
    <w:rsid w:val="00234612"/>
    <w:rsid w:val="00234C9A"/>
    <w:rsid w:val="00235F10"/>
    <w:rsid w:val="00237A4D"/>
    <w:rsid w:val="00237AC3"/>
    <w:rsid w:val="00237ECF"/>
    <w:rsid w:val="002405DC"/>
    <w:rsid w:val="00240B5E"/>
    <w:rsid w:val="0024101A"/>
    <w:rsid w:val="00241509"/>
    <w:rsid w:val="00241AE0"/>
    <w:rsid w:val="00241BB2"/>
    <w:rsid w:val="00242170"/>
    <w:rsid w:val="002444EA"/>
    <w:rsid w:val="00245BE6"/>
    <w:rsid w:val="00245D7D"/>
    <w:rsid w:val="002469EA"/>
    <w:rsid w:val="00247BF7"/>
    <w:rsid w:val="00247CE5"/>
    <w:rsid w:val="00247F8B"/>
    <w:rsid w:val="002520EE"/>
    <w:rsid w:val="00252F7F"/>
    <w:rsid w:val="0025399B"/>
    <w:rsid w:val="00255040"/>
    <w:rsid w:val="00255AF6"/>
    <w:rsid w:val="00256104"/>
    <w:rsid w:val="002563EE"/>
    <w:rsid w:val="00256834"/>
    <w:rsid w:val="00256A35"/>
    <w:rsid w:val="00256DC5"/>
    <w:rsid w:val="002572B5"/>
    <w:rsid w:val="002573D6"/>
    <w:rsid w:val="0026104F"/>
    <w:rsid w:val="00261DF3"/>
    <w:rsid w:val="00262D84"/>
    <w:rsid w:val="00262E5E"/>
    <w:rsid w:val="002637FD"/>
    <w:rsid w:val="00264FDD"/>
    <w:rsid w:val="00265682"/>
    <w:rsid w:val="0026611B"/>
    <w:rsid w:val="00267046"/>
    <w:rsid w:val="0027027B"/>
    <w:rsid w:val="00272B88"/>
    <w:rsid w:val="00272DD6"/>
    <w:rsid w:val="00272FD2"/>
    <w:rsid w:val="00273798"/>
    <w:rsid w:val="00273AB2"/>
    <w:rsid w:val="0027441A"/>
    <w:rsid w:val="00274B9C"/>
    <w:rsid w:val="00276226"/>
    <w:rsid w:val="00276528"/>
    <w:rsid w:val="00277335"/>
    <w:rsid w:val="002803B1"/>
    <w:rsid w:val="002805B6"/>
    <w:rsid w:val="00281666"/>
    <w:rsid w:val="00281D46"/>
    <w:rsid w:val="00283575"/>
    <w:rsid w:val="0028439F"/>
    <w:rsid w:val="00284783"/>
    <w:rsid w:val="00284BB9"/>
    <w:rsid w:val="00285A4F"/>
    <w:rsid w:val="00286F0B"/>
    <w:rsid w:val="00287157"/>
    <w:rsid w:val="0028753C"/>
    <w:rsid w:val="0029085F"/>
    <w:rsid w:val="002931F4"/>
    <w:rsid w:val="00294327"/>
    <w:rsid w:val="002946F6"/>
    <w:rsid w:val="00295010"/>
    <w:rsid w:val="00295FFA"/>
    <w:rsid w:val="0029634B"/>
    <w:rsid w:val="002971EF"/>
    <w:rsid w:val="002A0B1E"/>
    <w:rsid w:val="002A193B"/>
    <w:rsid w:val="002A22E3"/>
    <w:rsid w:val="002A2752"/>
    <w:rsid w:val="002A4765"/>
    <w:rsid w:val="002A57E6"/>
    <w:rsid w:val="002A5BE5"/>
    <w:rsid w:val="002A6E16"/>
    <w:rsid w:val="002A72C0"/>
    <w:rsid w:val="002A7DC4"/>
    <w:rsid w:val="002B288C"/>
    <w:rsid w:val="002B2C97"/>
    <w:rsid w:val="002B4757"/>
    <w:rsid w:val="002B4834"/>
    <w:rsid w:val="002B5656"/>
    <w:rsid w:val="002B574E"/>
    <w:rsid w:val="002B604A"/>
    <w:rsid w:val="002B758B"/>
    <w:rsid w:val="002B777C"/>
    <w:rsid w:val="002C08FE"/>
    <w:rsid w:val="002C12A1"/>
    <w:rsid w:val="002C1549"/>
    <w:rsid w:val="002C17CA"/>
    <w:rsid w:val="002C1D45"/>
    <w:rsid w:val="002C31FE"/>
    <w:rsid w:val="002C3464"/>
    <w:rsid w:val="002C5743"/>
    <w:rsid w:val="002C7A96"/>
    <w:rsid w:val="002D0DC0"/>
    <w:rsid w:val="002D0FA8"/>
    <w:rsid w:val="002D15BF"/>
    <w:rsid w:val="002D166A"/>
    <w:rsid w:val="002D1FF3"/>
    <w:rsid w:val="002D22FD"/>
    <w:rsid w:val="002D2474"/>
    <w:rsid w:val="002D43A8"/>
    <w:rsid w:val="002D5500"/>
    <w:rsid w:val="002D558D"/>
    <w:rsid w:val="002D6D75"/>
    <w:rsid w:val="002D7330"/>
    <w:rsid w:val="002D7628"/>
    <w:rsid w:val="002E020C"/>
    <w:rsid w:val="002E0E92"/>
    <w:rsid w:val="002E1B7D"/>
    <w:rsid w:val="002E2492"/>
    <w:rsid w:val="002E24B3"/>
    <w:rsid w:val="002E24DD"/>
    <w:rsid w:val="002E264A"/>
    <w:rsid w:val="002E286D"/>
    <w:rsid w:val="002E3908"/>
    <w:rsid w:val="002E5754"/>
    <w:rsid w:val="002E6172"/>
    <w:rsid w:val="002E62A4"/>
    <w:rsid w:val="002E66CD"/>
    <w:rsid w:val="002E7D28"/>
    <w:rsid w:val="002E7E9D"/>
    <w:rsid w:val="002F0A49"/>
    <w:rsid w:val="002F0CE5"/>
    <w:rsid w:val="002F0F8E"/>
    <w:rsid w:val="002F113C"/>
    <w:rsid w:val="002F2310"/>
    <w:rsid w:val="002F2EC1"/>
    <w:rsid w:val="002F3870"/>
    <w:rsid w:val="002F3B51"/>
    <w:rsid w:val="002F4B8C"/>
    <w:rsid w:val="002F4D64"/>
    <w:rsid w:val="002F57B0"/>
    <w:rsid w:val="002F5929"/>
    <w:rsid w:val="002F63E2"/>
    <w:rsid w:val="002F707C"/>
    <w:rsid w:val="002F7CE3"/>
    <w:rsid w:val="00300654"/>
    <w:rsid w:val="00301BB1"/>
    <w:rsid w:val="0030237B"/>
    <w:rsid w:val="003023FF"/>
    <w:rsid w:val="00302E60"/>
    <w:rsid w:val="00303766"/>
    <w:rsid w:val="0030413C"/>
    <w:rsid w:val="00304CA6"/>
    <w:rsid w:val="0030515F"/>
    <w:rsid w:val="0030567B"/>
    <w:rsid w:val="0030576F"/>
    <w:rsid w:val="0031041A"/>
    <w:rsid w:val="00310561"/>
    <w:rsid w:val="003106C7"/>
    <w:rsid w:val="0031178E"/>
    <w:rsid w:val="003126C2"/>
    <w:rsid w:val="00312A74"/>
    <w:rsid w:val="00312B72"/>
    <w:rsid w:val="00313096"/>
    <w:rsid w:val="0031379F"/>
    <w:rsid w:val="00314B0B"/>
    <w:rsid w:val="00315586"/>
    <w:rsid w:val="003155E1"/>
    <w:rsid w:val="00315D52"/>
    <w:rsid w:val="003163C9"/>
    <w:rsid w:val="00316C68"/>
    <w:rsid w:val="00316CB2"/>
    <w:rsid w:val="00316CD0"/>
    <w:rsid w:val="0031744F"/>
    <w:rsid w:val="003178FE"/>
    <w:rsid w:val="00320523"/>
    <w:rsid w:val="00320934"/>
    <w:rsid w:val="003216F3"/>
    <w:rsid w:val="0032173E"/>
    <w:rsid w:val="003218CF"/>
    <w:rsid w:val="0032397C"/>
    <w:rsid w:val="00323B33"/>
    <w:rsid w:val="00323CA3"/>
    <w:rsid w:val="003252C3"/>
    <w:rsid w:val="00326B5A"/>
    <w:rsid w:val="00326D15"/>
    <w:rsid w:val="00327E8D"/>
    <w:rsid w:val="00331F14"/>
    <w:rsid w:val="003325AD"/>
    <w:rsid w:val="00332929"/>
    <w:rsid w:val="00334C46"/>
    <w:rsid w:val="00335125"/>
    <w:rsid w:val="0033684A"/>
    <w:rsid w:val="003400E4"/>
    <w:rsid w:val="00341C47"/>
    <w:rsid w:val="003431A4"/>
    <w:rsid w:val="00343788"/>
    <w:rsid w:val="00345649"/>
    <w:rsid w:val="00345F16"/>
    <w:rsid w:val="00347328"/>
    <w:rsid w:val="003501AF"/>
    <w:rsid w:val="00350997"/>
    <w:rsid w:val="00350F3B"/>
    <w:rsid w:val="003517E7"/>
    <w:rsid w:val="00352577"/>
    <w:rsid w:val="00352F6B"/>
    <w:rsid w:val="00353EA4"/>
    <w:rsid w:val="0035421E"/>
    <w:rsid w:val="0035574D"/>
    <w:rsid w:val="003558AE"/>
    <w:rsid w:val="0035654B"/>
    <w:rsid w:val="0035780D"/>
    <w:rsid w:val="00360A4F"/>
    <w:rsid w:val="00361196"/>
    <w:rsid w:val="00361D59"/>
    <w:rsid w:val="0036326C"/>
    <w:rsid w:val="003633C5"/>
    <w:rsid w:val="00363920"/>
    <w:rsid w:val="003639C5"/>
    <w:rsid w:val="003649FE"/>
    <w:rsid w:val="00365E12"/>
    <w:rsid w:val="00365E63"/>
    <w:rsid w:val="00366055"/>
    <w:rsid w:val="0036761C"/>
    <w:rsid w:val="00367C49"/>
    <w:rsid w:val="00370D20"/>
    <w:rsid w:val="00372242"/>
    <w:rsid w:val="003748B3"/>
    <w:rsid w:val="00374A41"/>
    <w:rsid w:val="00375E1A"/>
    <w:rsid w:val="00375F2B"/>
    <w:rsid w:val="00376E25"/>
    <w:rsid w:val="00377430"/>
    <w:rsid w:val="00377641"/>
    <w:rsid w:val="00380FA8"/>
    <w:rsid w:val="003827FB"/>
    <w:rsid w:val="0038372F"/>
    <w:rsid w:val="00383C39"/>
    <w:rsid w:val="00384718"/>
    <w:rsid w:val="00385B99"/>
    <w:rsid w:val="00385ED7"/>
    <w:rsid w:val="00386569"/>
    <w:rsid w:val="003868C1"/>
    <w:rsid w:val="00387412"/>
    <w:rsid w:val="003908C8"/>
    <w:rsid w:val="00390E49"/>
    <w:rsid w:val="00391E0A"/>
    <w:rsid w:val="00392896"/>
    <w:rsid w:val="0039420D"/>
    <w:rsid w:val="003959CF"/>
    <w:rsid w:val="00397BB2"/>
    <w:rsid w:val="00397F16"/>
    <w:rsid w:val="003A00E5"/>
    <w:rsid w:val="003A03DB"/>
    <w:rsid w:val="003A0888"/>
    <w:rsid w:val="003A0E4A"/>
    <w:rsid w:val="003A13E6"/>
    <w:rsid w:val="003A279C"/>
    <w:rsid w:val="003A4C43"/>
    <w:rsid w:val="003A5277"/>
    <w:rsid w:val="003A58FD"/>
    <w:rsid w:val="003A68FC"/>
    <w:rsid w:val="003A69D1"/>
    <w:rsid w:val="003A7BC5"/>
    <w:rsid w:val="003B040F"/>
    <w:rsid w:val="003B0DD4"/>
    <w:rsid w:val="003B1528"/>
    <w:rsid w:val="003B266F"/>
    <w:rsid w:val="003B2F65"/>
    <w:rsid w:val="003B3DEE"/>
    <w:rsid w:val="003B40AC"/>
    <w:rsid w:val="003B47AB"/>
    <w:rsid w:val="003B4C54"/>
    <w:rsid w:val="003B53AC"/>
    <w:rsid w:val="003B555B"/>
    <w:rsid w:val="003B57E9"/>
    <w:rsid w:val="003B5829"/>
    <w:rsid w:val="003B5C91"/>
    <w:rsid w:val="003B600E"/>
    <w:rsid w:val="003B6EC8"/>
    <w:rsid w:val="003B7A66"/>
    <w:rsid w:val="003C09B3"/>
    <w:rsid w:val="003C0E6A"/>
    <w:rsid w:val="003C2A37"/>
    <w:rsid w:val="003C4430"/>
    <w:rsid w:val="003C44FB"/>
    <w:rsid w:val="003C4FA5"/>
    <w:rsid w:val="003C545B"/>
    <w:rsid w:val="003C58BE"/>
    <w:rsid w:val="003C6877"/>
    <w:rsid w:val="003C6925"/>
    <w:rsid w:val="003C760C"/>
    <w:rsid w:val="003D126A"/>
    <w:rsid w:val="003D2194"/>
    <w:rsid w:val="003D2A7E"/>
    <w:rsid w:val="003D377B"/>
    <w:rsid w:val="003D49A2"/>
    <w:rsid w:val="003D4BCE"/>
    <w:rsid w:val="003D5BB9"/>
    <w:rsid w:val="003D5DFA"/>
    <w:rsid w:val="003D6315"/>
    <w:rsid w:val="003D6604"/>
    <w:rsid w:val="003D6612"/>
    <w:rsid w:val="003D6970"/>
    <w:rsid w:val="003D6D13"/>
    <w:rsid w:val="003D782E"/>
    <w:rsid w:val="003D7C6E"/>
    <w:rsid w:val="003E0D54"/>
    <w:rsid w:val="003E0FD1"/>
    <w:rsid w:val="003E12B3"/>
    <w:rsid w:val="003E1B61"/>
    <w:rsid w:val="003E1D83"/>
    <w:rsid w:val="003E2B31"/>
    <w:rsid w:val="003E3E6C"/>
    <w:rsid w:val="003E411F"/>
    <w:rsid w:val="003E5655"/>
    <w:rsid w:val="003E5CB7"/>
    <w:rsid w:val="003E630C"/>
    <w:rsid w:val="003E7A92"/>
    <w:rsid w:val="003E7D50"/>
    <w:rsid w:val="003E7DEA"/>
    <w:rsid w:val="003F1805"/>
    <w:rsid w:val="003F1B8F"/>
    <w:rsid w:val="003F1FC2"/>
    <w:rsid w:val="003F3B7C"/>
    <w:rsid w:val="003F4F64"/>
    <w:rsid w:val="003F5149"/>
    <w:rsid w:val="003F58BE"/>
    <w:rsid w:val="003F69CC"/>
    <w:rsid w:val="003F7324"/>
    <w:rsid w:val="003F74A9"/>
    <w:rsid w:val="003F7A80"/>
    <w:rsid w:val="003F7DF5"/>
    <w:rsid w:val="0040043D"/>
    <w:rsid w:val="00401A63"/>
    <w:rsid w:val="00403130"/>
    <w:rsid w:val="00403196"/>
    <w:rsid w:val="004035B2"/>
    <w:rsid w:val="00403F1D"/>
    <w:rsid w:val="0040471F"/>
    <w:rsid w:val="00404752"/>
    <w:rsid w:val="00407D0E"/>
    <w:rsid w:val="00411866"/>
    <w:rsid w:val="00411BA1"/>
    <w:rsid w:val="004126CA"/>
    <w:rsid w:val="00412B7F"/>
    <w:rsid w:val="00413A39"/>
    <w:rsid w:val="004141E6"/>
    <w:rsid w:val="004146F9"/>
    <w:rsid w:val="0041519A"/>
    <w:rsid w:val="004162B5"/>
    <w:rsid w:val="00416328"/>
    <w:rsid w:val="00416425"/>
    <w:rsid w:val="00417E90"/>
    <w:rsid w:val="00420450"/>
    <w:rsid w:val="00420BF2"/>
    <w:rsid w:val="00422778"/>
    <w:rsid w:val="00422B51"/>
    <w:rsid w:val="00423E95"/>
    <w:rsid w:val="0042403D"/>
    <w:rsid w:val="00424D39"/>
    <w:rsid w:val="0042505D"/>
    <w:rsid w:val="00425497"/>
    <w:rsid w:val="00425D7E"/>
    <w:rsid w:val="00425E9D"/>
    <w:rsid w:val="004261AF"/>
    <w:rsid w:val="00426392"/>
    <w:rsid w:val="00430345"/>
    <w:rsid w:val="00430652"/>
    <w:rsid w:val="00431CCA"/>
    <w:rsid w:val="004323B2"/>
    <w:rsid w:val="004336D9"/>
    <w:rsid w:val="00433AB4"/>
    <w:rsid w:val="00433B20"/>
    <w:rsid w:val="00436120"/>
    <w:rsid w:val="00436275"/>
    <w:rsid w:val="0043680D"/>
    <w:rsid w:val="00437452"/>
    <w:rsid w:val="00437D4B"/>
    <w:rsid w:val="00440992"/>
    <w:rsid w:val="0044166C"/>
    <w:rsid w:val="0044288C"/>
    <w:rsid w:val="00442DD7"/>
    <w:rsid w:val="004436CC"/>
    <w:rsid w:val="00443CEB"/>
    <w:rsid w:val="00444618"/>
    <w:rsid w:val="00444A4C"/>
    <w:rsid w:val="00445078"/>
    <w:rsid w:val="004467E1"/>
    <w:rsid w:val="0044683D"/>
    <w:rsid w:val="00446894"/>
    <w:rsid w:val="00447CE9"/>
    <w:rsid w:val="00450669"/>
    <w:rsid w:val="00450E55"/>
    <w:rsid w:val="004518FB"/>
    <w:rsid w:val="00451D58"/>
    <w:rsid w:val="004531C6"/>
    <w:rsid w:val="00453A75"/>
    <w:rsid w:val="00453F5C"/>
    <w:rsid w:val="004541B4"/>
    <w:rsid w:val="00454BD5"/>
    <w:rsid w:val="0045766E"/>
    <w:rsid w:val="00461A78"/>
    <w:rsid w:val="00462246"/>
    <w:rsid w:val="004622A1"/>
    <w:rsid w:val="004623DA"/>
    <w:rsid w:val="00464182"/>
    <w:rsid w:val="004657D0"/>
    <w:rsid w:val="004676AE"/>
    <w:rsid w:val="00467735"/>
    <w:rsid w:val="00467C6C"/>
    <w:rsid w:val="00470229"/>
    <w:rsid w:val="00471EFF"/>
    <w:rsid w:val="00473105"/>
    <w:rsid w:val="004743DB"/>
    <w:rsid w:val="004767BE"/>
    <w:rsid w:val="004809F9"/>
    <w:rsid w:val="00480DB1"/>
    <w:rsid w:val="004814C0"/>
    <w:rsid w:val="004818DD"/>
    <w:rsid w:val="00482ACC"/>
    <w:rsid w:val="00482CCF"/>
    <w:rsid w:val="00483341"/>
    <w:rsid w:val="00483E20"/>
    <w:rsid w:val="00484481"/>
    <w:rsid w:val="004844FE"/>
    <w:rsid w:val="0048483D"/>
    <w:rsid w:val="00485292"/>
    <w:rsid w:val="0048529E"/>
    <w:rsid w:val="004862BD"/>
    <w:rsid w:val="0048723F"/>
    <w:rsid w:val="004872EE"/>
    <w:rsid w:val="00487823"/>
    <w:rsid w:val="00487F4A"/>
    <w:rsid w:val="004906DA"/>
    <w:rsid w:val="00490AD2"/>
    <w:rsid w:val="00491337"/>
    <w:rsid w:val="00491485"/>
    <w:rsid w:val="00492E20"/>
    <w:rsid w:val="00492F82"/>
    <w:rsid w:val="00494105"/>
    <w:rsid w:val="004941FA"/>
    <w:rsid w:val="004952D3"/>
    <w:rsid w:val="00495449"/>
    <w:rsid w:val="00495D0A"/>
    <w:rsid w:val="004966B2"/>
    <w:rsid w:val="00497343"/>
    <w:rsid w:val="00497924"/>
    <w:rsid w:val="004A0EA3"/>
    <w:rsid w:val="004A178B"/>
    <w:rsid w:val="004A31E1"/>
    <w:rsid w:val="004A382D"/>
    <w:rsid w:val="004A3DD2"/>
    <w:rsid w:val="004A5217"/>
    <w:rsid w:val="004A5A1E"/>
    <w:rsid w:val="004A5A5D"/>
    <w:rsid w:val="004A5A8C"/>
    <w:rsid w:val="004A6668"/>
    <w:rsid w:val="004A6A71"/>
    <w:rsid w:val="004A6FB7"/>
    <w:rsid w:val="004B0BBE"/>
    <w:rsid w:val="004B1830"/>
    <w:rsid w:val="004B2D5C"/>
    <w:rsid w:val="004B44C6"/>
    <w:rsid w:val="004B4DC2"/>
    <w:rsid w:val="004B5056"/>
    <w:rsid w:val="004B5A4F"/>
    <w:rsid w:val="004B7AF4"/>
    <w:rsid w:val="004C0B7B"/>
    <w:rsid w:val="004C1D81"/>
    <w:rsid w:val="004C24F5"/>
    <w:rsid w:val="004C3906"/>
    <w:rsid w:val="004C495A"/>
    <w:rsid w:val="004C563E"/>
    <w:rsid w:val="004C5BBD"/>
    <w:rsid w:val="004C65F0"/>
    <w:rsid w:val="004C6AED"/>
    <w:rsid w:val="004C770E"/>
    <w:rsid w:val="004D0346"/>
    <w:rsid w:val="004D0C90"/>
    <w:rsid w:val="004D318F"/>
    <w:rsid w:val="004D3673"/>
    <w:rsid w:val="004D46D2"/>
    <w:rsid w:val="004D5D9E"/>
    <w:rsid w:val="004D6CCE"/>
    <w:rsid w:val="004D6E44"/>
    <w:rsid w:val="004E0A16"/>
    <w:rsid w:val="004E1436"/>
    <w:rsid w:val="004E1885"/>
    <w:rsid w:val="004E262E"/>
    <w:rsid w:val="004E2963"/>
    <w:rsid w:val="004E2CB6"/>
    <w:rsid w:val="004E2F32"/>
    <w:rsid w:val="004E4AAE"/>
    <w:rsid w:val="004E4F26"/>
    <w:rsid w:val="004E4FE6"/>
    <w:rsid w:val="004E60E3"/>
    <w:rsid w:val="004E63BA"/>
    <w:rsid w:val="004E7031"/>
    <w:rsid w:val="004E7AF3"/>
    <w:rsid w:val="004E7B22"/>
    <w:rsid w:val="004F0987"/>
    <w:rsid w:val="004F0E1A"/>
    <w:rsid w:val="004F0F4F"/>
    <w:rsid w:val="004F2D87"/>
    <w:rsid w:val="004F3364"/>
    <w:rsid w:val="004F401A"/>
    <w:rsid w:val="004F50B7"/>
    <w:rsid w:val="004F636A"/>
    <w:rsid w:val="004F6FB1"/>
    <w:rsid w:val="004F7054"/>
    <w:rsid w:val="004F72DF"/>
    <w:rsid w:val="004F7CFD"/>
    <w:rsid w:val="004F7E15"/>
    <w:rsid w:val="00501092"/>
    <w:rsid w:val="00502296"/>
    <w:rsid w:val="00502F7D"/>
    <w:rsid w:val="00503032"/>
    <w:rsid w:val="00503285"/>
    <w:rsid w:val="0050331E"/>
    <w:rsid w:val="00504017"/>
    <w:rsid w:val="00504AD4"/>
    <w:rsid w:val="00504C21"/>
    <w:rsid w:val="005058CD"/>
    <w:rsid w:val="00505C3D"/>
    <w:rsid w:val="00506DB0"/>
    <w:rsid w:val="00507332"/>
    <w:rsid w:val="00507D7F"/>
    <w:rsid w:val="00507E47"/>
    <w:rsid w:val="00510086"/>
    <w:rsid w:val="005104B4"/>
    <w:rsid w:val="00510E44"/>
    <w:rsid w:val="0051174D"/>
    <w:rsid w:val="00512A88"/>
    <w:rsid w:val="005132A0"/>
    <w:rsid w:val="00514537"/>
    <w:rsid w:val="00514935"/>
    <w:rsid w:val="00516042"/>
    <w:rsid w:val="00516B86"/>
    <w:rsid w:val="005176B4"/>
    <w:rsid w:val="00517EC1"/>
    <w:rsid w:val="00517FC1"/>
    <w:rsid w:val="00520BE4"/>
    <w:rsid w:val="00522630"/>
    <w:rsid w:val="00525B98"/>
    <w:rsid w:val="0052674B"/>
    <w:rsid w:val="005275AD"/>
    <w:rsid w:val="00527793"/>
    <w:rsid w:val="00531388"/>
    <w:rsid w:val="00531EA8"/>
    <w:rsid w:val="00532D41"/>
    <w:rsid w:val="0053495D"/>
    <w:rsid w:val="0053554B"/>
    <w:rsid w:val="00535682"/>
    <w:rsid w:val="00535BF7"/>
    <w:rsid w:val="00536EE2"/>
    <w:rsid w:val="00540381"/>
    <w:rsid w:val="00540C93"/>
    <w:rsid w:val="00542B23"/>
    <w:rsid w:val="00543BE8"/>
    <w:rsid w:val="00544049"/>
    <w:rsid w:val="00544388"/>
    <w:rsid w:val="00544F20"/>
    <w:rsid w:val="005459D4"/>
    <w:rsid w:val="00545AE4"/>
    <w:rsid w:val="0054646E"/>
    <w:rsid w:val="00547131"/>
    <w:rsid w:val="005477EF"/>
    <w:rsid w:val="00547C2F"/>
    <w:rsid w:val="00547E6C"/>
    <w:rsid w:val="00550390"/>
    <w:rsid w:val="00550B35"/>
    <w:rsid w:val="00551938"/>
    <w:rsid w:val="0055262C"/>
    <w:rsid w:val="00555421"/>
    <w:rsid w:val="00555528"/>
    <w:rsid w:val="00555DCB"/>
    <w:rsid w:val="00555E31"/>
    <w:rsid w:val="0055674E"/>
    <w:rsid w:val="00557433"/>
    <w:rsid w:val="00560327"/>
    <w:rsid w:val="00560380"/>
    <w:rsid w:val="0056075F"/>
    <w:rsid w:val="005623CD"/>
    <w:rsid w:val="00562644"/>
    <w:rsid w:val="00563057"/>
    <w:rsid w:val="005632CF"/>
    <w:rsid w:val="00563451"/>
    <w:rsid w:val="00563531"/>
    <w:rsid w:val="00563D69"/>
    <w:rsid w:val="00564111"/>
    <w:rsid w:val="00564409"/>
    <w:rsid w:val="00565053"/>
    <w:rsid w:val="00565E1B"/>
    <w:rsid w:val="00571F59"/>
    <w:rsid w:val="0057250E"/>
    <w:rsid w:val="00572906"/>
    <w:rsid w:val="00573980"/>
    <w:rsid w:val="00573C66"/>
    <w:rsid w:val="00573D72"/>
    <w:rsid w:val="00575311"/>
    <w:rsid w:val="0057606F"/>
    <w:rsid w:val="00576974"/>
    <w:rsid w:val="005804DD"/>
    <w:rsid w:val="00580B58"/>
    <w:rsid w:val="005829E6"/>
    <w:rsid w:val="00582C0A"/>
    <w:rsid w:val="0058307D"/>
    <w:rsid w:val="005832E7"/>
    <w:rsid w:val="005836D1"/>
    <w:rsid w:val="00583A66"/>
    <w:rsid w:val="00583A9A"/>
    <w:rsid w:val="0058415E"/>
    <w:rsid w:val="00585496"/>
    <w:rsid w:val="00585C21"/>
    <w:rsid w:val="00586291"/>
    <w:rsid w:val="005875FE"/>
    <w:rsid w:val="00590590"/>
    <w:rsid w:val="005908C4"/>
    <w:rsid w:val="005911BB"/>
    <w:rsid w:val="005919CD"/>
    <w:rsid w:val="00592495"/>
    <w:rsid w:val="00593C49"/>
    <w:rsid w:val="00594A86"/>
    <w:rsid w:val="0059514F"/>
    <w:rsid w:val="00595EDE"/>
    <w:rsid w:val="0059647D"/>
    <w:rsid w:val="00596A85"/>
    <w:rsid w:val="00596CBB"/>
    <w:rsid w:val="00597F15"/>
    <w:rsid w:val="005A1F1D"/>
    <w:rsid w:val="005A3F47"/>
    <w:rsid w:val="005A3FD8"/>
    <w:rsid w:val="005A4138"/>
    <w:rsid w:val="005A432C"/>
    <w:rsid w:val="005A4756"/>
    <w:rsid w:val="005A494E"/>
    <w:rsid w:val="005A6770"/>
    <w:rsid w:val="005B21BB"/>
    <w:rsid w:val="005B2205"/>
    <w:rsid w:val="005B2534"/>
    <w:rsid w:val="005B3ECA"/>
    <w:rsid w:val="005B4417"/>
    <w:rsid w:val="005B49DC"/>
    <w:rsid w:val="005B4A74"/>
    <w:rsid w:val="005B50BB"/>
    <w:rsid w:val="005B5B88"/>
    <w:rsid w:val="005B6ACF"/>
    <w:rsid w:val="005B71BA"/>
    <w:rsid w:val="005C0020"/>
    <w:rsid w:val="005C066B"/>
    <w:rsid w:val="005C069A"/>
    <w:rsid w:val="005C21C4"/>
    <w:rsid w:val="005C291D"/>
    <w:rsid w:val="005C2F06"/>
    <w:rsid w:val="005C378C"/>
    <w:rsid w:val="005C40AF"/>
    <w:rsid w:val="005C410C"/>
    <w:rsid w:val="005C4B22"/>
    <w:rsid w:val="005C6830"/>
    <w:rsid w:val="005C6C5C"/>
    <w:rsid w:val="005C7996"/>
    <w:rsid w:val="005D1B82"/>
    <w:rsid w:val="005D33AE"/>
    <w:rsid w:val="005D4F28"/>
    <w:rsid w:val="005D4FF3"/>
    <w:rsid w:val="005D57AF"/>
    <w:rsid w:val="005D7C28"/>
    <w:rsid w:val="005E0F6E"/>
    <w:rsid w:val="005E2695"/>
    <w:rsid w:val="005E2785"/>
    <w:rsid w:val="005E7676"/>
    <w:rsid w:val="005E7E6D"/>
    <w:rsid w:val="005F0461"/>
    <w:rsid w:val="005F0ACD"/>
    <w:rsid w:val="005F100D"/>
    <w:rsid w:val="005F124A"/>
    <w:rsid w:val="005F187E"/>
    <w:rsid w:val="005F33E9"/>
    <w:rsid w:val="005F4435"/>
    <w:rsid w:val="005F4FD6"/>
    <w:rsid w:val="005F6B53"/>
    <w:rsid w:val="005F72F3"/>
    <w:rsid w:val="006021A3"/>
    <w:rsid w:val="0060228E"/>
    <w:rsid w:val="006027DB"/>
    <w:rsid w:val="00602B3C"/>
    <w:rsid w:val="0060302A"/>
    <w:rsid w:val="00604003"/>
    <w:rsid w:val="00604B4D"/>
    <w:rsid w:val="006054BD"/>
    <w:rsid w:val="00606909"/>
    <w:rsid w:val="00607134"/>
    <w:rsid w:val="00610256"/>
    <w:rsid w:val="0061127C"/>
    <w:rsid w:val="00611CF6"/>
    <w:rsid w:val="0061205C"/>
    <w:rsid w:val="00613621"/>
    <w:rsid w:val="00614488"/>
    <w:rsid w:val="00614733"/>
    <w:rsid w:val="006149A5"/>
    <w:rsid w:val="0061568F"/>
    <w:rsid w:val="00616F8E"/>
    <w:rsid w:val="00617055"/>
    <w:rsid w:val="006175A6"/>
    <w:rsid w:val="00617F6D"/>
    <w:rsid w:val="006212DA"/>
    <w:rsid w:val="00621D13"/>
    <w:rsid w:val="00621FA3"/>
    <w:rsid w:val="00623268"/>
    <w:rsid w:val="00623773"/>
    <w:rsid w:val="00625939"/>
    <w:rsid w:val="00625B1E"/>
    <w:rsid w:val="00627859"/>
    <w:rsid w:val="0063057F"/>
    <w:rsid w:val="0063060A"/>
    <w:rsid w:val="0063633F"/>
    <w:rsid w:val="006371DF"/>
    <w:rsid w:val="006411E5"/>
    <w:rsid w:val="006421A8"/>
    <w:rsid w:val="00642457"/>
    <w:rsid w:val="00642E98"/>
    <w:rsid w:val="00642FB1"/>
    <w:rsid w:val="00643466"/>
    <w:rsid w:val="0064460F"/>
    <w:rsid w:val="0064501C"/>
    <w:rsid w:val="00645F15"/>
    <w:rsid w:val="00646166"/>
    <w:rsid w:val="006463CF"/>
    <w:rsid w:val="00646858"/>
    <w:rsid w:val="006468FA"/>
    <w:rsid w:val="00646AA4"/>
    <w:rsid w:val="00646C1A"/>
    <w:rsid w:val="00647846"/>
    <w:rsid w:val="006504F3"/>
    <w:rsid w:val="00653195"/>
    <w:rsid w:val="00655035"/>
    <w:rsid w:val="006551EF"/>
    <w:rsid w:val="006555D8"/>
    <w:rsid w:val="00655A55"/>
    <w:rsid w:val="00655A69"/>
    <w:rsid w:val="00655B47"/>
    <w:rsid w:val="00655B9A"/>
    <w:rsid w:val="0065735E"/>
    <w:rsid w:val="00657490"/>
    <w:rsid w:val="006614D8"/>
    <w:rsid w:val="00662D4F"/>
    <w:rsid w:val="00663643"/>
    <w:rsid w:val="006647A5"/>
    <w:rsid w:val="00664DAE"/>
    <w:rsid w:val="00665C42"/>
    <w:rsid w:val="006662BB"/>
    <w:rsid w:val="00667485"/>
    <w:rsid w:val="006676FF"/>
    <w:rsid w:val="006679D2"/>
    <w:rsid w:val="00667D56"/>
    <w:rsid w:val="006701C6"/>
    <w:rsid w:val="00671889"/>
    <w:rsid w:val="00671AB0"/>
    <w:rsid w:val="0067232D"/>
    <w:rsid w:val="00672504"/>
    <w:rsid w:val="00674508"/>
    <w:rsid w:val="00676E2A"/>
    <w:rsid w:val="0067764C"/>
    <w:rsid w:val="0067764D"/>
    <w:rsid w:val="006778E2"/>
    <w:rsid w:val="00677920"/>
    <w:rsid w:val="00677D27"/>
    <w:rsid w:val="0068011B"/>
    <w:rsid w:val="0068232D"/>
    <w:rsid w:val="00683198"/>
    <w:rsid w:val="00683DD1"/>
    <w:rsid w:val="00684CBA"/>
    <w:rsid w:val="00684D27"/>
    <w:rsid w:val="006858AB"/>
    <w:rsid w:val="00685CB1"/>
    <w:rsid w:val="00686A6F"/>
    <w:rsid w:val="006876EC"/>
    <w:rsid w:val="00687A65"/>
    <w:rsid w:val="00687BBB"/>
    <w:rsid w:val="006909C2"/>
    <w:rsid w:val="006911B0"/>
    <w:rsid w:val="006923D4"/>
    <w:rsid w:val="00692DAD"/>
    <w:rsid w:val="00693223"/>
    <w:rsid w:val="00694B07"/>
    <w:rsid w:val="006950C0"/>
    <w:rsid w:val="00695206"/>
    <w:rsid w:val="00695B74"/>
    <w:rsid w:val="0069602A"/>
    <w:rsid w:val="00696168"/>
    <w:rsid w:val="00696AA8"/>
    <w:rsid w:val="00696D1F"/>
    <w:rsid w:val="0069705D"/>
    <w:rsid w:val="006A0DDA"/>
    <w:rsid w:val="006A1870"/>
    <w:rsid w:val="006A1884"/>
    <w:rsid w:val="006A1AA9"/>
    <w:rsid w:val="006A28AD"/>
    <w:rsid w:val="006A2A6D"/>
    <w:rsid w:val="006A2AF6"/>
    <w:rsid w:val="006A312B"/>
    <w:rsid w:val="006A36ED"/>
    <w:rsid w:val="006A4203"/>
    <w:rsid w:val="006A48FD"/>
    <w:rsid w:val="006A4C82"/>
    <w:rsid w:val="006A5462"/>
    <w:rsid w:val="006A5D64"/>
    <w:rsid w:val="006A733D"/>
    <w:rsid w:val="006B04AA"/>
    <w:rsid w:val="006B0CF1"/>
    <w:rsid w:val="006B1596"/>
    <w:rsid w:val="006B216F"/>
    <w:rsid w:val="006B3024"/>
    <w:rsid w:val="006B39AB"/>
    <w:rsid w:val="006B3A7A"/>
    <w:rsid w:val="006B48BC"/>
    <w:rsid w:val="006B624D"/>
    <w:rsid w:val="006B7708"/>
    <w:rsid w:val="006B7A0D"/>
    <w:rsid w:val="006B7EAD"/>
    <w:rsid w:val="006C0DC2"/>
    <w:rsid w:val="006C1AE0"/>
    <w:rsid w:val="006C1E0E"/>
    <w:rsid w:val="006C4059"/>
    <w:rsid w:val="006C4934"/>
    <w:rsid w:val="006C4D53"/>
    <w:rsid w:val="006C53BA"/>
    <w:rsid w:val="006C64E6"/>
    <w:rsid w:val="006C6C5E"/>
    <w:rsid w:val="006C72B1"/>
    <w:rsid w:val="006D081C"/>
    <w:rsid w:val="006D17EA"/>
    <w:rsid w:val="006D2083"/>
    <w:rsid w:val="006D2D55"/>
    <w:rsid w:val="006D3360"/>
    <w:rsid w:val="006D4CA4"/>
    <w:rsid w:val="006D5042"/>
    <w:rsid w:val="006D5863"/>
    <w:rsid w:val="006D5EC2"/>
    <w:rsid w:val="006D6C25"/>
    <w:rsid w:val="006D6D69"/>
    <w:rsid w:val="006D6F74"/>
    <w:rsid w:val="006D77D4"/>
    <w:rsid w:val="006D7DDB"/>
    <w:rsid w:val="006D7E5E"/>
    <w:rsid w:val="006E14AC"/>
    <w:rsid w:val="006E1BBA"/>
    <w:rsid w:val="006E3804"/>
    <w:rsid w:val="006E3AE6"/>
    <w:rsid w:val="006E57FB"/>
    <w:rsid w:val="006E5B6E"/>
    <w:rsid w:val="006E5EE7"/>
    <w:rsid w:val="006E60F5"/>
    <w:rsid w:val="006E6871"/>
    <w:rsid w:val="006E6D20"/>
    <w:rsid w:val="006E6DAE"/>
    <w:rsid w:val="006E7C08"/>
    <w:rsid w:val="006F0B1B"/>
    <w:rsid w:val="006F0F3D"/>
    <w:rsid w:val="006F1BFF"/>
    <w:rsid w:val="006F28D4"/>
    <w:rsid w:val="006F3C62"/>
    <w:rsid w:val="006F4B48"/>
    <w:rsid w:val="006F6E4C"/>
    <w:rsid w:val="006F7413"/>
    <w:rsid w:val="006F767D"/>
    <w:rsid w:val="00700B0B"/>
    <w:rsid w:val="007011E5"/>
    <w:rsid w:val="007025B2"/>
    <w:rsid w:val="00703D27"/>
    <w:rsid w:val="007045B6"/>
    <w:rsid w:val="00705135"/>
    <w:rsid w:val="007051EC"/>
    <w:rsid w:val="00705C9E"/>
    <w:rsid w:val="00705FED"/>
    <w:rsid w:val="00706650"/>
    <w:rsid w:val="00706F2C"/>
    <w:rsid w:val="00710D41"/>
    <w:rsid w:val="0071271A"/>
    <w:rsid w:val="00712AE9"/>
    <w:rsid w:val="00712E42"/>
    <w:rsid w:val="00713DC8"/>
    <w:rsid w:val="0071427A"/>
    <w:rsid w:val="00715822"/>
    <w:rsid w:val="00715D6B"/>
    <w:rsid w:val="00715FDB"/>
    <w:rsid w:val="00716B54"/>
    <w:rsid w:val="00717886"/>
    <w:rsid w:val="00717D6E"/>
    <w:rsid w:val="007201F7"/>
    <w:rsid w:val="007211B9"/>
    <w:rsid w:val="007229AB"/>
    <w:rsid w:val="00722D9E"/>
    <w:rsid w:val="007233C5"/>
    <w:rsid w:val="00725ECD"/>
    <w:rsid w:val="007270A9"/>
    <w:rsid w:val="00727E96"/>
    <w:rsid w:val="0073029C"/>
    <w:rsid w:val="0073125B"/>
    <w:rsid w:val="00731A43"/>
    <w:rsid w:val="00731E03"/>
    <w:rsid w:val="00733BC0"/>
    <w:rsid w:val="00733EAB"/>
    <w:rsid w:val="0073609F"/>
    <w:rsid w:val="007405BB"/>
    <w:rsid w:val="00742A6C"/>
    <w:rsid w:val="00742B0D"/>
    <w:rsid w:val="007432FD"/>
    <w:rsid w:val="00744879"/>
    <w:rsid w:val="00745D3D"/>
    <w:rsid w:val="00745DEF"/>
    <w:rsid w:val="007510AE"/>
    <w:rsid w:val="00752155"/>
    <w:rsid w:val="00752E45"/>
    <w:rsid w:val="0075380A"/>
    <w:rsid w:val="00753A49"/>
    <w:rsid w:val="00753FA4"/>
    <w:rsid w:val="0075505A"/>
    <w:rsid w:val="007562F1"/>
    <w:rsid w:val="00756688"/>
    <w:rsid w:val="00756752"/>
    <w:rsid w:val="00756E2A"/>
    <w:rsid w:val="007577D4"/>
    <w:rsid w:val="00757A94"/>
    <w:rsid w:val="00757CAC"/>
    <w:rsid w:val="00757DEE"/>
    <w:rsid w:val="00760C81"/>
    <w:rsid w:val="00760E14"/>
    <w:rsid w:val="0076478E"/>
    <w:rsid w:val="007650BD"/>
    <w:rsid w:val="00765B70"/>
    <w:rsid w:val="007660F0"/>
    <w:rsid w:val="007664B7"/>
    <w:rsid w:val="00767CE7"/>
    <w:rsid w:val="00771977"/>
    <w:rsid w:val="00771DEB"/>
    <w:rsid w:val="00771FED"/>
    <w:rsid w:val="0077227D"/>
    <w:rsid w:val="007726E2"/>
    <w:rsid w:val="0077281F"/>
    <w:rsid w:val="00772BBD"/>
    <w:rsid w:val="007737A3"/>
    <w:rsid w:val="00774D82"/>
    <w:rsid w:val="00775B9E"/>
    <w:rsid w:val="00775D4B"/>
    <w:rsid w:val="00775DC6"/>
    <w:rsid w:val="00776997"/>
    <w:rsid w:val="00777477"/>
    <w:rsid w:val="007809DE"/>
    <w:rsid w:val="0078109B"/>
    <w:rsid w:val="0078241F"/>
    <w:rsid w:val="00782D20"/>
    <w:rsid w:val="0078317D"/>
    <w:rsid w:val="0078379C"/>
    <w:rsid w:val="0078413B"/>
    <w:rsid w:val="007849B3"/>
    <w:rsid w:val="00785536"/>
    <w:rsid w:val="00785D2D"/>
    <w:rsid w:val="00785E1A"/>
    <w:rsid w:val="00785EBB"/>
    <w:rsid w:val="007867B3"/>
    <w:rsid w:val="0078693F"/>
    <w:rsid w:val="0078774C"/>
    <w:rsid w:val="00787E9B"/>
    <w:rsid w:val="00790396"/>
    <w:rsid w:val="00790EB2"/>
    <w:rsid w:val="00791AD4"/>
    <w:rsid w:val="0079337D"/>
    <w:rsid w:val="007956AB"/>
    <w:rsid w:val="007968F2"/>
    <w:rsid w:val="00796994"/>
    <w:rsid w:val="00796A19"/>
    <w:rsid w:val="007A15EA"/>
    <w:rsid w:val="007A2801"/>
    <w:rsid w:val="007A2814"/>
    <w:rsid w:val="007A44A4"/>
    <w:rsid w:val="007A585F"/>
    <w:rsid w:val="007A6F97"/>
    <w:rsid w:val="007A7643"/>
    <w:rsid w:val="007A7B63"/>
    <w:rsid w:val="007A7BE3"/>
    <w:rsid w:val="007B475C"/>
    <w:rsid w:val="007B4E62"/>
    <w:rsid w:val="007B4FF6"/>
    <w:rsid w:val="007B5899"/>
    <w:rsid w:val="007B5DE3"/>
    <w:rsid w:val="007B6837"/>
    <w:rsid w:val="007B696C"/>
    <w:rsid w:val="007C03CD"/>
    <w:rsid w:val="007C192E"/>
    <w:rsid w:val="007C35D2"/>
    <w:rsid w:val="007C4C71"/>
    <w:rsid w:val="007C5324"/>
    <w:rsid w:val="007C5527"/>
    <w:rsid w:val="007C5954"/>
    <w:rsid w:val="007C5CC8"/>
    <w:rsid w:val="007C7752"/>
    <w:rsid w:val="007C7845"/>
    <w:rsid w:val="007D0038"/>
    <w:rsid w:val="007D0A43"/>
    <w:rsid w:val="007D20B1"/>
    <w:rsid w:val="007D2F69"/>
    <w:rsid w:val="007D4416"/>
    <w:rsid w:val="007D5321"/>
    <w:rsid w:val="007D6AD3"/>
    <w:rsid w:val="007D7E39"/>
    <w:rsid w:val="007E0725"/>
    <w:rsid w:val="007E2236"/>
    <w:rsid w:val="007E4D84"/>
    <w:rsid w:val="007E5CF4"/>
    <w:rsid w:val="007E7D23"/>
    <w:rsid w:val="007E7E01"/>
    <w:rsid w:val="007E7ECC"/>
    <w:rsid w:val="007F0704"/>
    <w:rsid w:val="007F0CC9"/>
    <w:rsid w:val="007F1C5C"/>
    <w:rsid w:val="007F27A2"/>
    <w:rsid w:val="007F2D3B"/>
    <w:rsid w:val="007F48F0"/>
    <w:rsid w:val="007F57DB"/>
    <w:rsid w:val="007F5F1E"/>
    <w:rsid w:val="007F6144"/>
    <w:rsid w:val="007F6DE5"/>
    <w:rsid w:val="007F7F84"/>
    <w:rsid w:val="00800E1A"/>
    <w:rsid w:val="008019D5"/>
    <w:rsid w:val="00801CD5"/>
    <w:rsid w:val="00802251"/>
    <w:rsid w:val="00802CC2"/>
    <w:rsid w:val="00802EC5"/>
    <w:rsid w:val="008032C5"/>
    <w:rsid w:val="00803503"/>
    <w:rsid w:val="008035A8"/>
    <w:rsid w:val="008051B3"/>
    <w:rsid w:val="00806118"/>
    <w:rsid w:val="00807CE5"/>
    <w:rsid w:val="00810034"/>
    <w:rsid w:val="0081154A"/>
    <w:rsid w:val="008119AB"/>
    <w:rsid w:val="00811BC2"/>
    <w:rsid w:val="00811C5E"/>
    <w:rsid w:val="0081290E"/>
    <w:rsid w:val="00813A34"/>
    <w:rsid w:val="008147AD"/>
    <w:rsid w:val="0081571C"/>
    <w:rsid w:val="00815D00"/>
    <w:rsid w:val="008164EB"/>
    <w:rsid w:val="00816B30"/>
    <w:rsid w:val="008172DA"/>
    <w:rsid w:val="0081737C"/>
    <w:rsid w:val="0082133C"/>
    <w:rsid w:val="0082157D"/>
    <w:rsid w:val="00822213"/>
    <w:rsid w:val="0082297C"/>
    <w:rsid w:val="008234A9"/>
    <w:rsid w:val="00823729"/>
    <w:rsid w:val="0082419B"/>
    <w:rsid w:val="008245B1"/>
    <w:rsid w:val="00824827"/>
    <w:rsid w:val="008253F5"/>
    <w:rsid w:val="00825562"/>
    <w:rsid w:val="0082633A"/>
    <w:rsid w:val="00826542"/>
    <w:rsid w:val="00826714"/>
    <w:rsid w:val="008267E0"/>
    <w:rsid w:val="00826AF4"/>
    <w:rsid w:val="00826C57"/>
    <w:rsid w:val="008306D1"/>
    <w:rsid w:val="008307BE"/>
    <w:rsid w:val="0083103D"/>
    <w:rsid w:val="008329EB"/>
    <w:rsid w:val="0083342B"/>
    <w:rsid w:val="008338EC"/>
    <w:rsid w:val="00835661"/>
    <w:rsid w:val="00835898"/>
    <w:rsid w:val="008358C0"/>
    <w:rsid w:val="00836B16"/>
    <w:rsid w:val="0083712E"/>
    <w:rsid w:val="00837521"/>
    <w:rsid w:val="008401F9"/>
    <w:rsid w:val="008418E7"/>
    <w:rsid w:val="00841A94"/>
    <w:rsid w:val="00841BF2"/>
    <w:rsid w:val="00841D14"/>
    <w:rsid w:val="00842179"/>
    <w:rsid w:val="008435FC"/>
    <w:rsid w:val="008445F8"/>
    <w:rsid w:val="0084503A"/>
    <w:rsid w:val="00845107"/>
    <w:rsid w:val="008461F8"/>
    <w:rsid w:val="00847366"/>
    <w:rsid w:val="0085089D"/>
    <w:rsid w:val="00850EF9"/>
    <w:rsid w:val="008512CC"/>
    <w:rsid w:val="00851FA1"/>
    <w:rsid w:val="008522D0"/>
    <w:rsid w:val="008534CC"/>
    <w:rsid w:val="0085403B"/>
    <w:rsid w:val="00854978"/>
    <w:rsid w:val="00854D1B"/>
    <w:rsid w:val="00855531"/>
    <w:rsid w:val="00855D2E"/>
    <w:rsid w:val="00856E75"/>
    <w:rsid w:val="00861024"/>
    <w:rsid w:val="00861CC5"/>
    <w:rsid w:val="00862712"/>
    <w:rsid w:val="00862720"/>
    <w:rsid w:val="00862742"/>
    <w:rsid w:val="00862834"/>
    <w:rsid w:val="008628E2"/>
    <w:rsid w:val="00862BCE"/>
    <w:rsid w:val="00863BC7"/>
    <w:rsid w:val="00863CAF"/>
    <w:rsid w:val="00864267"/>
    <w:rsid w:val="00864C36"/>
    <w:rsid w:val="008664F6"/>
    <w:rsid w:val="00867E75"/>
    <w:rsid w:val="00870270"/>
    <w:rsid w:val="008708AB"/>
    <w:rsid w:val="008718E0"/>
    <w:rsid w:val="00871976"/>
    <w:rsid w:val="008721AA"/>
    <w:rsid w:val="00872BA8"/>
    <w:rsid w:val="00872E57"/>
    <w:rsid w:val="0087302F"/>
    <w:rsid w:val="008732E5"/>
    <w:rsid w:val="00874A3C"/>
    <w:rsid w:val="00876B84"/>
    <w:rsid w:val="00877394"/>
    <w:rsid w:val="0087758A"/>
    <w:rsid w:val="00880331"/>
    <w:rsid w:val="00880514"/>
    <w:rsid w:val="00880795"/>
    <w:rsid w:val="00880806"/>
    <w:rsid w:val="008826E7"/>
    <w:rsid w:val="00882C6A"/>
    <w:rsid w:val="00883816"/>
    <w:rsid w:val="00884B28"/>
    <w:rsid w:val="00886802"/>
    <w:rsid w:val="00886CC8"/>
    <w:rsid w:val="008878C2"/>
    <w:rsid w:val="00887AA4"/>
    <w:rsid w:val="008905A4"/>
    <w:rsid w:val="00890D42"/>
    <w:rsid w:val="0089457C"/>
    <w:rsid w:val="008975C8"/>
    <w:rsid w:val="008978DB"/>
    <w:rsid w:val="008979DF"/>
    <w:rsid w:val="008A1184"/>
    <w:rsid w:val="008A1744"/>
    <w:rsid w:val="008A2308"/>
    <w:rsid w:val="008A2F26"/>
    <w:rsid w:val="008A4228"/>
    <w:rsid w:val="008A4366"/>
    <w:rsid w:val="008A58C3"/>
    <w:rsid w:val="008A70D2"/>
    <w:rsid w:val="008A7768"/>
    <w:rsid w:val="008B005B"/>
    <w:rsid w:val="008B0555"/>
    <w:rsid w:val="008B1CE9"/>
    <w:rsid w:val="008B2261"/>
    <w:rsid w:val="008B314B"/>
    <w:rsid w:val="008B36BD"/>
    <w:rsid w:val="008B3B03"/>
    <w:rsid w:val="008B4C74"/>
    <w:rsid w:val="008B516B"/>
    <w:rsid w:val="008B55E9"/>
    <w:rsid w:val="008B63E6"/>
    <w:rsid w:val="008B6519"/>
    <w:rsid w:val="008B696F"/>
    <w:rsid w:val="008C1264"/>
    <w:rsid w:val="008C13DE"/>
    <w:rsid w:val="008C23E6"/>
    <w:rsid w:val="008C267B"/>
    <w:rsid w:val="008C5570"/>
    <w:rsid w:val="008C6095"/>
    <w:rsid w:val="008D0628"/>
    <w:rsid w:val="008D0BD2"/>
    <w:rsid w:val="008D1A09"/>
    <w:rsid w:val="008D1FF0"/>
    <w:rsid w:val="008D2AC4"/>
    <w:rsid w:val="008D34B7"/>
    <w:rsid w:val="008D3853"/>
    <w:rsid w:val="008D3A55"/>
    <w:rsid w:val="008D4393"/>
    <w:rsid w:val="008D774D"/>
    <w:rsid w:val="008D785F"/>
    <w:rsid w:val="008D7DF3"/>
    <w:rsid w:val="008D7F61"/>
    <w:rsid w:val="008E0B61"/>
    <w:rsid w:val="008E10E3"/>
    <w:rsid w:val="008E1DE6"/>
    <w:rsid w:val="008E1EF0"/>
    <w:rsid w:val="008E414E"/>
    <w:rsid w:val="008E485D"/>
    <w:rsid w:val="008E4A97"/>
    <w:rsid w:val="008E4C7E"/>
    <w:rsid w:val="008E5F67"/>
    <w:rsid w:val="008E6B91"/>
    <w:rsid w:val="008E744C"/>
    <w:rsid w:val="008F27E7"/>
    <w:rsid w:val="008F3255"/>
    <w:rsid w:val="008F36C2"/>
    <w:rsid w:val="008F45BE"/>
    <w:rsid w:val="008F61E6"/>
    <w:rsid w:val="008F72B2"/>
    <w:rsid w:val="008F79DC"/>
    <w:rsid w:val="008F7E7B"/>
    <w:rsid w:val="009008FE"/>
    <w:rsid w:val="009013EB"/>
    <w:rsid w:val="0090226B"/>
    <w:rsid w:val="00902B25"/>
    <w:rsid w:val="00903B42"/>
    <w:rsid w:val="0090541F"/>
    <w:rsid w:val="0090562B"/>
    <w:rsid w:val="00905998"/>
    <w:rsid w:val="00906F5E"/>
    <w:rsid w:val="009104CC"/>
    <w:rsid w:val="00911E61"/>
    <w:rsid w:val="00913F09"/>
    <w:rsid w:val="00913FD2"/>
    <w:rsid w:val="009140E6"/>
    <w:rsid w:val="0091415A"/>
    <w:rsid w:val="00915213"/>
    <w:rsid w:val="00915A9E"/>
    <w:rsid w:val="00921BCD"/>
    <w:rsid w:val="00921C6A"/>
    <w:rsid w:val="00921CA0"/>
    <w:rsid w:val="00922ECA"/>
    <w:rsid w:val="00923095"/>
    <w:rsid w:val="00923B0D"/>
    <w:rsid w:val="00923FB5"/>
    <w:rsid w:val="0092525C"/>
    <w:rsid w:val="00926EE1"/>
    <w:rsid w:val="00927530"/>
    <w:rsid w:val="009276B1"/>
    <w:rsid w:val="0093104F"/>
    <w:rsid w:val="00931532"/>
    <w:rsid w:val="009328B0"/>
    <w:rsid w:val="00933A07"/>
    <w:rsid w:val="00935D58"/>
    <w:rsid w:val="00936599"/>
    <w:rsid w:val="009371CA"/>
    <w:rsid w:val="00937A30"/>
    <w:rsid w:val="00940B18"/>
    <w:rsid w:val="00940D74"/>
    <w:rsid w:val="0094402D"/>
    <w:rsid w:val="00945A17"/>
    <w:rsid w:val="0094744E"/>
    <w:rsid w:val="00947AA2"/>
    <w:rsid w:val="009511A9"/>
    <w:rsid w:val="00951CEE"/>
    <w:rsid w:val="0095384E"/>
    <w:rsid w:val="00953C4C"/>
    <w:rsid w:val="00953F9E"/>
    <w:rsid w:val="00955EB8"/>
    <w:rsid w:val="0095697C"/>
    <w:rsid w:val="00961575"/>
    <w:rsid w:val="009615CF"/>
    <w:rsid w:val="00962D00"/>
    <w:rsid w:val="00962EF5"/>
    <w:rsid w:val="00963ECB"/>
    <w:rsid w:val="0096449C"/>
    <w:rsid w:val="00965A23"/>
    <w:rsid w:val="009668C4"/>
    <w:rsid w:val="00966DCD"/>
    <w:rsid w:val="009672D0"/>
    <w:rsid w:val="009676A3"/>
    <w:rsid w:val="00967737"/>
    <w:rsid w:val="009702F9"/>
    <w:rsid w:val="00970B6C"/>
    <w:rsid w:val="00970C03"/>
    <w:rsid w:val="009714D0"/>
    <w:rsid w:val="0097170E"/>
    <w:rsid w:val="00971A75"/>
    <w:rsid w:val="00971CFA"/>
    <w:rsid w:val="0097276A"/>
    <w:rsid w:val="0097490B"/>
    <w:rsid w:val="009749E9"/>
    <w:rsid w:val="00974BF5"/>
    <w:rsid w:val="00974D30"/>
    <w:rsid w:val="00977468"/>
    <w:rsid w:val="0098022D"/>
    <w:rsid w:val="009805C2"/>
    <w:rsid w:val="009809A7"/>
    <w:rsid w:val="0098304F"/>
    <w:rsid w:val="00984865"/>
    <w:rsid w:val="009855F0"/>
    <w:rsid w:val="00992491"/>
    <w:rsid w:val="0099333E"/>
    <w:rsid w:val="00993471"/>
    <w:rsid w:val="0099359C"/>
    <w:rsid w:val="0099556F"/>
    <w:rsid w:val="00995964"/>
    <w:rsid w:val="0099596F"/>
    <w:rsid w:val="00995E86"/>
    <w:rsid w:val="00996046"/>
    <w:rsid w:val="00996376"/>
    <w:rsid w:val="009970B7"/>
    <w:rsid w:val="009970EC"/>
    <w:rsid w:val="009974FF"/>
    <w:rsid w:val="00997AEE"/>
    <w:rsid w:val="009A0F0B"/>
    <w:rsid w:val="009A1245"/>
    <w:rsid w:val="009A1D1C"/>
    <w:rsid w:val="009A23A8"/>
    <w:rsid w:val="009A4328"/>
    <w:rsid w:val="009A486A"/>
    <w:rsid w:val="009A491E"/>
    <w:rsid w:val="009A5523"/>
    <w:rsid w:val="009A55B9"/>
    <w:rsid w:val="009A5BB1"/>
    <w:rsid w:val="009A5DF9"/>
    <w:rsid w:val="009A6603"/>
    <w:rsid w:val="009A6707"/>
    <w:rsid w:val="009A703E"/>
    <w:rsid w:val="009B0637"/>
    <w:rsid w:val="009B0994"/>
    <w:rsid w:val="009B0A6B"/>
    <w:rsid w:val="009B178F"/>
    <w:rsid w:val="009B1A5D"/>
    <w:rsid w:val="009B3556"/>
    <w:rsid w:val="009B3652"/>
    <w:rsid w:val="009B3EF9"/>
    <w:rsid w:val="009B41D2"/>
    <w:rsid w:val="009B4939"/>
    <w:rsid w:val="009B510A"/>
    <w:rsid w:val="009B513A"/>
    <w:rsid w:val="009B53F7"/>
    <w:rsid w:val="009B5D36"/>
    <w:rsid w:val="009B633C"/>
    <w:rsid w:val="009B6762"/>
    <w:rsid w:val="009B7030"/>
    <w:rsid w:val="009B7370"/>
    <w:rsid w:val="009B7C5F"/>
    <w:rsid w:val="009C1A40"/>
    <w:rsid w:val="009C5D3C"/>
    <w:rsid w:val="009C6B03"/>
    <w:rsid w:val="009C712F"/>
    <w:rsid w:val="009C7A05"/>
    <w:rsid w:val="009D0675"/>
    <w:rsid w:val="009D1700"/>
    <w:rsid w:val="009D17DB"/>
    <w:rsid w:val="009D1A8A"/>
    <w:rsid w:val="009D34B6"/>
    <w:rsid w:val="009D495F"/>
    <w:rsid w:val="009D4A86"/>
    <w:rsid w:val="009D4B97"/>
    <w:rsid w:val="009D5447"/>
    <w:rsid w:val="009D6EF3"/>
    <w:rsid w:val="009D766C"/>
    <w:rsid w:val="009D7AA9"/>
    <w:rsid w:val="009D7C86"/>
    <w:rsid w:val="009E0C33"/>
    <w:rsid w:val="009E1546"/>
    <w:rsid w:val="009E161D"/>
    <w:rsid w:val="009E171F"/>
    <w:rsid w:val="009E418F"/>
    <w:rsid w:val="009E47CF"/>
    <w:rsid w:val="009E48F2"/>
    <w:rsid w:val="009E55E3"/>
    <w:rsid w:val="009E5DAC"/>
    <w:rsid w:val="009E6554"/>
    <w:rsid w:val="009E68B6"/>
    <w:rsid w:val="009E6906"/>
    <w:rsid w:val="009E6FE8"/>
    <w:rsid w:val="009E745F"/>
    <w:rsid w:val="009E77AD"/>
    <w:rsid w:val="009F06EB"/>
    <w:rsid w:val="009F081A"/>
    <w:rsid w:val="009F16BE"/>
    <w:rsid w:val="009F1F4E"/>
    <w:rsid w:val="009F297A"/>
    <w:rsid w:val="009F3F43"/>
    <w:rsid w:val="009F5266"/>
    <w:rsid w:val="009F56F5"/>
    <w:rsid w:val="009F5B0E"/>
    <w:rsid w:val="009F5EE8"/>
    <w:rsid w:val="009F6564"/>
    <w:rsid w:val="009F72A1"/>
    <w:rsid w:val="009F7D38"/>
    <w:rsid w:val="009F7EDF"/>
    <w:rsid w:val="00A007C5"/>
    <w:rsid w:val="00A03186"/>
    <w:rsid w:val="00A05185"/>
    <w:rsid w:val="00A0604C"/>
    <w:rsid w:val="00A062CB"/>
    <w:rsid w:val="00A06EBC"/>
    <w:rsid w:val="00A072BC"/>
    <w:rsid w:val="00A07795"/>
    <w:rsid w:val="00A078F1"/>
    <w:rsid w:val="00A105DA"/>
    <w:rsid w:val="00A10CD6"/>
    <w:rsid w:val="00A114F1"/>
    <w:rsid w:val="00A11E93"/>
    <w:rsid w:val="00A1253E"/>
    <w:rsid w:val="00A12C55"/>
    <w:rsid w:val="00A13172"/>
    <w:rsid w:val="00A135BE"/>
    <w:rsid w:val="00A14EEB"/>
    <w:rsid w:val="00A15682"/>
    <w:rsid w:val="00A15B62"/>
    <w:rsid w:val="00A160AD"/>
    <w:rsid w:val="00A200FB"/>
    <w:rsid w:val="00A20B65"/>
    <w:rsid w:val="00A20D3E"/>
    <w:rsid w:val="00A22080"/>
    <w:rsid w:val="00A223C2"/>
    <w:rsid w:val="00A22525"/>
    <w:rsid w:val="00A225C6"/>
    <w:rsid w:val="00A22620"/>
    <w:rsid w:val="00A22A92"/>
    <w:rsid w:val="00A23E26"/>
    <w:rsid w:val="00A24F8C"/>
    <w:rsid w:val="00A25145"/>
    <w:rsid w:val="00A2580B"/>
    <w:rsid w:val="00A25BEE"/>
    <w:rsid w:val="00A25DE5"/>
    <w:rsid w:val="00A262FE"/>
    <w:rsid w:val="00A26A71"/>
    <w:rsid w:val="00A27D51"/>
    <w:rsid w:val="00A3004F"/>
    <w:rsid w:val="00A3018B"/>
    <w:rsid w:val="00A309B2"/>
    <w:rsid w:val="00A3241D"/>
    <w:rsid w:val="00A338D2"/>
    <w:rsid w:val="00A34F29"/>
    <w:rsid w:val="00A37039"/>
    <w:rsid w:val="00A373F4"/>
    <w:rsid w:val="00A40623"/>
    <w:rsid w:val="00A407ED"/>
    <w:rsid w:val="00A40A28"/>
    <w:rsid w:val="00A40D16"/>
    <w:rsid w:val="00A414E1"/>
    <w:rsid w:val="00A422DA"/>
    <w:rsid w:val="00A427BD"/>
    <w:rsid w:val="00A42FFE"/>
    <w:rsid w:val="00A4412D"/>
    <w:rsid w:val="00A44656"/>
    <w:rsid w:val="00A46FC7"/>
    <w:rsid w:val="00A47FD9"/>
    <w:rsid w:val="00A50E43"/>
    <w:rsid w:val="00A51C44"/>
    <w:rsid w:val="00A5277D"/>
    <w:rsid w:val="00A5281F"/>
    <w:rsid w:val="00A53F17"/>
    <w:rsid w:val="00A54088"/>
    <w:rsid w:val="00A5524C"/>
    <w:rsid w:val="00A56679"/>
    <w:rsid w:val="00A56B34"/>
    <w:rsid w:val="00A56DB8"/>
    <w:rsid w:val="00A57E37"/>
    <w:rsid w:val="00A60563"/>
    <w:rsid w:val="00A60FC0"/>
    <w:rsid w:val="00A6227C"/>
    <w:rsid w:val="00A631C3"/>
    <w:rsid w:val="00A63F90"/>
    <w:rsid w:val="00A63FEE"/>
    <w:rsid w:val="00A6622A"/>
    <w:rsid w:val="00A662CF"/>
    <w:rsid w:val="00A663F0"/>
    <w:rsid w:val="00A66616"/>
    <w:rsid w:val="00A66699"/>
    <w:rsid w:val="00A66799"/>
    <w:rsid w:val="00A66D7A"/>
    <w:rsid w:val="00A707E3"/>
    <w:rsid w:val="00A71429"/>
    <w:rsid w:val="00A7169E"/>
    <w:rsid w:val="00A71FFB"/>
    <w:rsid w:val="00A72FB4"/>
    <w:rsid w:val="00A736FD"/>
    <w:rsid w:val="00A743CB"/>
    <w:rsid w:val="00A752FB"/>
    <w:rsid w:val="00A754B5"/>
    <w:rsid w:val="00A76E6E"/>
    <w:rsid w:val="00A7717F"/>
    <w:rsid w:val="00A8112F"/>
    <w:rsid w:val="00A8155A"/>
    <w:rsid w:val="00A816C6"/>
    <w:rsid w:val="00A81CB3"/>
    <w:rsid w:val="00A8236A"/>
    <w:rsid w:val="00A82435"/>
    <w:rsid w:val="00A831DA"/>
    <w:rsid w:val="00A84325"/>
    <w:rsid w:val="00A860CC"/>
    <w:rsid w:val="00A8676C"/>
    <w:rsid w:val="00A874C9"/>
    <w:rsid w:val="00A87AA3"/>
    <w:rsid w:val="00A87AFB"/>
    <w:rsid w:val="00A87C1F"/>
    <w:rsid w:val="00A9017D"/>
    <w:rsid w:val="00A90242"/>
    <w:rsid w:val="00A917DF"/>
    <w:rsid w:val="00A91E40"/>
    <w:rsid w:val="00A92378"/>
    <w:rsid w:val="00A9456A"/>
    <w:rsid w:val="00A94F2D"/>
    <w:rsid w:val="00A95893"/>
    <w:rsid w:val="00A97263"/>
    <w:rsid w:val="00A976E1"/>
    <w:rsid w:val="00AA053F"/>
    <w:rsid w:val="00AA05C5"/>
    <w:rsid w:val="00AA0D88"/>
    <w:rsid w:val="00AA176A"/>
    <w:rsid w:val="00AA20A6"/>
    <w:rsid w:val="00AA2600"/>
    <w:rsid w:val="00AA2A81"/>
    <w:rsid w:val="00AA2C2D"/>
    <w:rsid w:val="00AA3936"/>
    <w:rsid w:val="00AA3B81"/>
    <w:rsid w:val="00AA44D8"/>
    <w:rsid w:val="00AA490E"/>
    <w:rsid w:val="00AA54A1"/>
    <w:rsid w:val="00AA5F18"/>
    <w:rsid w:val="00AA6FB6"/>
    <w:rsid w:val="00AA72F9"/>
    <w:rsid w:val="00AB0162"/>
    <w:rsid w:val="00AB22AB"/>
    <w:rsid w:val="00AB2C73"/>
    <w:rsid w:val="00AB2E0B"/>
    <w:rsid w:val="00AB3180"/>
    <w:rsid w:val="00AB38E3"/>
    <w:rsid w:val="00AB4B8D"/>
    <w:rsid w:val="00AB51D4"/>
    <w:rsid w:val="00AB57F8"/>
    <w:rsid w:val="00AB58A8"/>
    <w:rsid w:val="00AB5DE8"/>
    <w:rsid w:val="00AB65D9"/>
    <w:rsid w:val="00AB751B"/>
    <w:rsid w:val="00AB79CB"/>
    <w:rsid w:val="00AC260C"/>
    <w:rsid w:val="00AC263B"/>
    <w:rsid w:val="00AC3236"/>
    <w:rsid w:val="00AC3C70"/>
    <w:rsid w:val="00AC56E1"/>
    <w:rsid w:val="00AC5C89"/>
    <w:rsid w:val="00AC69EC"/>
    <w:rsid w:val="00AC7444"/>
    <w:rsid w:val="00AC7B1A"/>
    <w:rsid w:val="00AD0203"/>
    <w:rsid w:val="00AD27AB"/>
    <w:rsid w:val="00AD2CF9"/>
    <w:rsid w:val="00AD37C5"/>
    <w:rsid w:val="00AD3B53"/>
    <w:rsid w:val="00AD3C6C"/>
    <w:rsid w:val="00AD487E"/>
    <w:rsid w:val="00AD4D36"/>
    <w:rsid w:val="00AD6728"/>
    <w:rsid w:val="00AD6E06"/>
    <w:rsid w:val="00AD74B1"/>
    <w:rsid w:val="00AE005A"/>
    <w:rsid w:val="00AE039E"/>
    <w:rsid w:val="00AE318C"/>
    <w:rsid w:val="00AE3C70"/>
    <w:rsid w:val="00AE4CEE"/>
    <w:rsid w:val="00AE5939"/>
    <w:rsid w:val="00AE71B6"/>
    <w:rsid w:val="00AF0A81"/>
    <w:rsid w:val="00AF0C0B"/>
    <w:rsid w:val="00AF1FBC"/>
    <w:rsid w:val="00AF324E"/>
    <w:rsid w:val="00AF349E"/>
    <w:rsid w:val="00AF4217"/>
    <w:rsid w:val="00AF5500"/>
    <w:rsid w:val="00AF5A59"/>
    <w:rsid w:val="00AF5BB4"/>
    <w:rsid w:val="00AF5EBE"/>
    <w:rsid w:val="00AF6272"/>
    <w:rsid w:val="00AF7ECC"/>
    <w:rsid w:val="00B00042"/>
    <w:rsid w:val="00B0149E"/>
    <w:rsid w:val="00B0194B"/>
    <w:rsid w:val="00B0242D"/>
    <w:rsid w:val="00B02CD7"/>
    <w:rsid w:val="00B04F7C"/>
    <w:rsid w:val="00B05537"/>
    <w:rsid w:val="00B05BA3"/>
    <w:rsid w:val="00B05EC7"/>
    <w:rsid w:val="00B063B7"/>
    <w:rsid w:val="00B06520"/>
    <w:rsid w:val="00B06693"/>
    <w:rsid w:val="00B11151"/>
    <w:rsid w:val="00B134ED"/>
    <w:rsid w:val="00B137AD"/>
    <w:rsid w:val="00B13AE4"/>
    <w:rsid w:val="00B13BFA"/>
    <w:rsid w:val="00B13FDB"/>
    <w:rsid w:val="00B140AA"/>
    <w:rsid w:val="00B17320"/>
    <w:rsid w:val="00B17E6E"/>
    <w:rsid w:val="00B20158"/>
    <w:rsid w:val="00B208C7"/>
    <w:rsid w:val="00B22C6D"/>
    <w:rsid w:val="00B22DF4"/>
    <w:rsid w:val="00B23E23"/>
    <w:rsid w:val="00B267C6"/>
    <w:rsid w:val="00B26967"/>
    <w:rsid w:val="00B26F4C"/>
    <w:rsid w:val="00B300F5"/>
    <w:rsid w:val="00B30B7F"/>
    <w:rsid w:val="00B310F4"/>
    <w:rsid w:val="00B320A7"/>
    <w:rsid w:val="00B3248C"/>
    <w:rsid w:val="00B334CC"/>
    <w:rsid w:val="00B34839"/>
    <w:rsid w:val="00B35279"/>
    <w:rsid w:val="00B352F0"/>
    <w:rsid w:val="00B355F8"/>
    <w:rsid w:val="00B36195"/>
    <w:rsid w:val="00B361C8"/>
    <w:rsid w:val="00B3645D"/>
    <w:rsid w:val="00B368C5"/>
    <w:rsid w:val="00B36E3A"/>
    <w:rsid w:val="00B37FF0"/>
    <w:rsid w:val="00B42129"/>
    <w:rsid w:val="00B42517"/>
    <w:rsid w:val="00B43C52"/>
    <w:rsid w:val="00B43DA4"/>
    <w:rsid w:val="00B455AB"/>
    <w:rsid w:val="00B457C7"/>
    <w:rsid w:val="00B47117"/>
    <w:rsid w:val="00B47C75"/>
    <w:rsid w:val="00B47D65"/>
    <w:rsid w:val="00B50940"/>
    <w:rsid w:val="00B51860"/>
    <w:rsid w:val="00B51BBE"/>
    <w:rsid w:val="00B52BB7"/>
    <w:rsid w:val="00B537B7"/>
    <w:rsid w:val="00B543AC"/>
    <w:rsid w:val="00B5454F"/>
    <w:rsid w:val="00B54964"/>
    <w:rsid w:val="00B5661D"/>
    <w:rsid w:val="00B57325"/>
    <w:rsid w:val="00B578F2"/>
    <w:rsid w:val="00B601FA"/>
    <w:rsid w:val="00B647F6"/>
    <w:rsid w:val="00B64827"/>
    <w:rsid w:val="00B64AF6"/>
    <w:rsid w:val="00B64CD9"/>
    <w:rsid w:val="00B653A5"/>
    <w:rsid w:val="00B65813"/>
    <w:rsid w:val="00B663E3"/>
    <w:rsid w:val="00B67ED9"/>
    <w:rsid w:val="00B705D8"/>
    <w:rsid w:val="00B71853"/>
    <w:rsid w:val="00B728D9"/>
    <w:rsid w:val="00B73203"/>
    <w:rsid w:val="00B754E1"/>
    <w:rsid w:val="00B75A27"/>
    <w:rsid w:val="00B75C64"/>
    <w:rsid w:val="00B75F4E"/>
    <w:rsid w:val="00B7681B"/>
    <w:rsid w:val="00B800A0"/>
    <w:rsid w:val="00B8027E"/>
    <w:rsid w:val="00B8277B"/>
    <w:rsid w:val="00B86AC9"/>
    <w:rsid w:val="00B86CC8"/>
    <w:rsid w:val="00B86FAB"/>
    <w:rsid w:val="00B86FCC"/>
    <w:rsid w:val="00B874BC"/>
    <w:rsid w:val="00B87BB0"/>
    <w:rsid w:val="00B87DDE"/>
    <w:rsid w:val="00B93EFE"/>
    <w:rsid w:val="00B94EC5"/>
    <w:rsid w:val="00B94F90"/>
    <w:rsid w:val="00B9584D"/>
    <w:rsid w:val="00B96699"/>
    <w:rsid w:val="00B9721B"/>
    <w:rsid w:val="00B979CF"/>
    <w:rsid w:val="00B979FF"/>
    <w:rsid w:val="00B97A4D"/>
    <w:rsid w:val="00BA14C6"/>
    <w:rsid w:val="00BA1D86"/>
    <w:rsid w:val="00BA36E2"/>
    <w:rsid w:val="00BA3B84"/>
    <w:rsid w:val="00BA4A6F"/>
    <w:rsid w:val="00BA5BD1"/>
    <w:rsid w:val="00BA65FE"/>
    <w:rsid w:val="00BA6FBE"/>
    <w:rsid w:val="00BA7079"/>
    <w:rsid w:val="00BA78EA"/>
    <w:rsid w:val="00BA7CE5"/>
    <w:rsid w:val="00BB0091"/>
    <w:rsid w:val="00BB0650"/>
    <w:rsid w:val="00BB0912"/>
    <w:rsid w:val="00BB1A34"/>
    <w:rsid w:val="00BB22BB"/>
    <w:rsid w:val="00BB471B"/>
    <w:rsid w:val="00BB4AF0"/>
    <w:rsid w:val="00BB52C8"/>
    <w:rsid w:val="00BB5CD0"/>
    <w:rsid w:val="00BB5D5A"/>
    <w:rsid w:val="00BB5EFF"/>
    <w:rsid w:val="00BB642A"/>
    <w:rsid w:val="00BB65ED"/>
    <w:rsid w:val="00BC229F"/>
    <w:rsid w:val="00BC2A2A"/>
    <w:rsid w:val="00BC3004"/>
    <w:rsid w:val="00BC3BD1"/>
    <w:rsid w:val="00BC3E65"/>
    <w:rsid w:val="00BC4471"/>
    <w:rsid w:val="00BC4C99"/>
    <w:rsid w:val="00BC5162"/>
    <w:rsid w:val="00BC54E3"/>
    <w:rsid w:val="00BC5839"/>
    <w:rsid w:val="00BC5954"/>
    <w:rsid w:val="00BC5A01"/>
    <w:rsid w:val="00BC67BA"/>
    <w:rsid w:val="00BC7450"/>
    <w:rsid w:val="00BC7804"/>
    <w:rsid w:val="00BC7F5A"/>
    <w:rsid w:val="00BD2466"/>
    <w:rsid w:val="00BD26FA"/>
    <w:rsid w:val="00BD3832"/>
    <w:rsid w:val="00BD3BD4"/>
    <w:rsid w:val="00BD568F"/>
    <w:rsid w:val="00BD5B08"/>
    <w:rsid w:val="00BD60D2"/>
    <w:rsid w:val="00BD63BA"/>
    <w:rsid w:val="00BD776B"/>
    <w:rsid w:val="00BD79F7"/>
    <w:rsid w:val="00BE131B"/>
    <w:rsid w:val="00BE1CD9"/>
    <w:rsid w:val="00BE25C3"/>
    <w:rsid w:val="00BE2691"/>
    <w:rsid w:val="00BE2912"/>
    <w:rsid w:val="00BE2ABB"/>
    <w:rsid w:val="00BE3166"/>
    <w:rsid w:val="00BE411C"/>
    <w:rsid w:val="00BE4A20"/>
    <w:rsid w:val="00BE5170"/>
    <w:rsid w:val="00BE52E2"/>
    <w:rsid w:val="00BE5FD5"/>
    <w:rsid w:val="00BE644B"/>
    <w:rsid w:val="00BE75B1"/>
    <w:rsid w:val="00BE7653"/>
    <w:rsid w:val="00BE78BC"/>
    <w:rsid w:val="00BE7A2E"/>
    <w:rsid w:val="00BF0873"/>
    <w:rsid w:val="00BF2FD9"/>
    <w:rsid w:val="00BF320F"/>
    <w:rsid w:val="00BF48B5"/>
    <w:rsid w:val="00BF4C4A"/>
    <w:rsid w:val="00BF4F6E"/>
    <w:rsid w:val="00BF567E"/>
    <w:rsid w:val="00BF6127"/>
    <w:rsid w:val="00BF732A"/>
    <w:rsid w:val="00BF7A03"/>
    <w:rsid w:val="00C012D0"/>
    <w:rsid w:val="00C01E4E"/>
    <w:rsid w:val="00C01E83"/>
    <w:rsid w:val="00C02FC3"/>
    <w:rsid w:val="00C030AE"/>
    <w:rsid w:val="00C039F4"/>
    <w:rsid w:val="00C03B8E"/>
    <w:rsid w:val="00C04979"/>
    <w:rsid w:val="00C04B2D"/>
    <w:rsid w:val="00C0561F"/>
    <w:rsid w:val="00C0567D"/>
    <w:rsid w:val="00C05682"/>
    <w:rsid w:val="00C108E9"/>
    <w:rsid w:val="00C10F37"/>
    <w:rsid w:val="00C1122E"/>
    <w:rsid w:val="00C117DE"/>
    <w:rsid w:val="00C11CEA"/>
    <w:rsid w:val="00C14D30"/>
    <w:rsid w:val="00C14FA2"/>
    <w:rsid w:val="00C15422"/>
    <w:rsid w:val="00C15FCF"/>
    <w:rsid w:val="00C1633F"/>
    <w:rsid w:val="00C16588"/>
    <w:rsid w:val="00C16C56"/>
    <w:rsid w:val="00C16E97"/>
    <w:rsid w:val="00C20A4D"/>
    <w:rsid w:val="00C216B3"/>
    <w:rsid w:val="00C21890"/>
    <w:rsid w:val="00C21C74"/>
    <w:rsid w:val="00C2247C"/>
    <w:rsid w:val="00C2321A"/>
    <w:rsid w:val="00C241D5"/>
    <w:rsid w:val="00C243E1"/>
    <w:rsid w:val="00C245D5"/>
    <w:rsid w:val="00C26F9D"/>
    <w:rsid w:val="00C2753B"/>
    <w:rsid w:val="00C277A0"/>
    <w:rsid w:val="00C27EFF"/>
    <w:rsid w:val="00C30866"/>
    <w:rsid w:val="00C31576"/>
    <w:rsid w:val="00C31E36"/>
    <w:rsid w:val="00C32207"/>
    <w:rsid w:val="00C323FC"/>
    <w:rsid w:val="00C3281E"/>
    <w:rsid w:val="00C335BA"/>
    <w:rsid w:val="00C36CC7"/>
    <w:rsid w:val="00C375E0"/>
    <w:rsid w:val="00C4014C"/>
    <w:rsid w:val="00C40564"/>
    <w:rsid w:val="00C40B73"/>
    <w:rsid w:val="00C41F4C"/>
    <w:rsid w:val="00C41FE7"/>
    <w:rsid w:val="00C438EF"/>
    <w:rsid w:val="00C4444B"/>
    <w:rsid w:val="00C445B6"/>
    <w:rsid w:val="00C447D0"/>
    <w:rsid w:val="00C45717"/>
    <w:rsid w:val="00C45F3B"/>
    <w:rsid w:val="00C46BE4"/>
    <w:rsid w:val="00C46E5F"/>
    <w:rsid w:val="00C46E65"/>
    <w:rsid w:val="00C4725F"/>
    <w:rsid w:val="00C47442"/>
    <w:rsid w:val="00C478CF"/>
    <w:rsid w:val="00C47AF6"/>
    <w:rsid w:val="00C50555"/>
    <w:rsid w:val="00C50A0B"/>
    <w:rsid w:val="00C51B31"/>
    <w:rsid w:val="00C53039"/>
    <w:rsid w:val="00C53366"/>
    <w:rsid w:val="00C5364D"/>
    <w:rsid w:val="00C53EA2"/>
    <w:rsid w:val="00C5413F"/>
    <w:rsid w:val="00C545AC"/>
    <w:rsid w:val="00C575C5"/>
    <w:rsid w:val="00C57C45"/>
    <w:rsid w:val="00C606DD"/>
    <w:rsid w:val="00C60943"/>
    <w:rsid w:val="00C60C5F"/>
    <w:rsid w:val="00C61F59"/>
    <w:rsid w:val="00C63A0D"/>
    <w:rsid w:val="00C64706"/>
    <w:rsid w:val="00C650FB"/>
    <w:rsid w:val="00C6523B"/>
    <w:rsid w:val="00C652C6"/>
    <w:rsid w:val="00C66220"/>
    <w:rsid w:val="00C675D9"/>
    <w:rsid w:val="00C702E3"/>
    <w:rsid w:val="00C70722"/>
    <w:rsid w:val="00C70F9A"/>
    <w:rsid w:val="00C71B5E"/>
    <w:rsid w:val="00C71F9C"/>
    <w:rsid w:val="00C724BF"/>
    <w:rsid w:val="00C72645"/>
    <w:rsid w:val="00C72E5B"/>
    <w:rsid w:val="00C735F1"/>
    <w:rsid w:val="00C7413C"/>
    <w:rsid w:val="00C74768"/>
    <w:rsid w:val="00C75CA9"/>
    <w:rsid w:val="00C75E68"/>
    <w:rsid w:val="00C7637B"/>
    <w:rsid w:val="00C76AD3"/>
    <w:rsid w:val="00C76CC2"/>
    <w:rsid w:val="00C76D7A"/>
    <w:rsid w:val="00C77527"/>
    <w:rsid w:val="00C777FC"/>
    <w:rsid w:val="00C77B78"/>
    <w:rsid w:val="00C8042A"/>
    <w:rsid w:val="00C81856"/>
    <w:rsid w:val="00C83599"/>
    <w:rsid w:val="00C8479C"/>
    <w:rsid w:val="00C84871"/>
    <w:rsid w:val="00C84E68"/>
    <w:rsid w:val="00C86054"/>
    <w:rsid w:val="00C86487"/>
    <w:rsid w:val="00C869A2"/>
    <w:rsid w:val="00C86C47"/>
    <w:rsid w:val="00C86D00"/>
    <w:rsid w:val="00C8752B"/>
    <w:rsid w:val="00C879A6"/>
    <w:rsid w:val="00C87CED"/>
    <w:rsid w:val="00C903B4"/>
    <w:rsid w:val="00C90E6F"/>
    <w:rsid w:val="00C916DD"/>
    <w:rsid w:val="00C9300F"/>
    <w:rsid w:val="00C930F9"/>
    <w:rsid w:val="00C943C5"/>
    <w:rsid w:val="00C956A5"/>
    <w:rsid w:val="00C95C32"/>
    <w:rsid w:val="00C9702E"/>
    <w:rsid w:val="00C977ED"/>
    <w:rsid w:val="00C97F0F"/>
    <w:rsid w:val="00CA0D0C"/>
    <w:rsid w:val="00CA1CAB"/>
    <w:rsid w:val="00CA2663"/>
    <w:rsid w:val="00CA3276"/>
    <w:rsid w:val="00CA3540"/>
    <w:rsid w:val="00CA4108"/>
    <w:rsid w:val="00CA4803"/>
    <w:rsid w:val="00CA4862"/>
    <w:rsid w:val="00CA50CF"/>
    <w:rsid w:val="00CA6DAD"/>
    <w:rsid w:val="00CA797A"/>
    <w:rsid w:val="00CB1877"/>
    <w:rsid w:val="00CB58D8"/>
    <w:rsid w:val="00CB5BF2"/>
    <w:rsid w:val="00CB653F"/>
    <w:rsid w:val="00CB70D3"/>
    <w:rsid w:val="00CB73D1"/>
    <w:rsid w:val="00CC0325"/>
    <w:rsid w:val="00CC22FC"/>
    <w:rsid w:val="00CC2566"/>
    <w:rsid w:val="00CC2A85"/>
    <w:rsid w:val="00CC37A8"/>
    <w:rsid w:val="00CC420A"/>
    <w:rsid w:val="00CC435D"/>
    <w:rsid w:val="00CC6037"/>
    <w:rsid w:val="00CD0FFC"/>
    <w:rsid w:val="00CD2126"/>
    <w:rsid w:val="00CE09D6"/>
    <w:rsid w:val="00CE0AB5"/>
    <w:rsid w:val="00CE0DFA"/>
    <w:rsid w:val="00CE14F1"/>
    <w:rsid w:val="00CE1749"/>
    <w:rsid w:val="00CE1F7C"/>
    <w:rsid w:val="00CE2C07"/>
    <w:rsid w:val="00CE33AB"/>
    <w:rsid w:val="00CE3B21"/>
    <w:rsid w:val="00CE5847"/>
    <w:rsid w:val="00CE58F9"/>
    <w:rsid w:val="00CE7BF6"/>
    <w:rsid w:val="00CF001A"/>
    <w:rsid w:val="00CF1C41"/>
    <w:rsid w:val="00CF2B7F"/>
    <w:rsid w:val="00CF2DFD"/>
    <w:rsid w:val="00CF31FB"/>
    <w:rsid w:val="00CF499E"/>
    <w:rsid w:val="00CF4A2E"/>
    <w:rsid w:val="00CF57B1"/>
    <w:rsid w:val="00CF69B1"/>
    <w:rsid w:val="00CF6AAD"/>
    <w:rsid w:val="00CF6C15"/>
    <w:rsid w:val="00D00069"/>
    <w:rsid w:val="00D00CAA"/>
    <w:rsid w:val="00D01113"/>
    <w:rsid w:val="00D02C4C"/>
    <w:rsid w:val="00D030B1"/>
    <w:rsid w:val="00D03E46"/>
    <w:rsid w:val="00D045D7"/>
    <w:rsid w:val="00D0471A"/>
    <w:rsid w:val="00D050AD"/>
    <w:rsid w:val="00D06B37"/>
    <w:rsid w:val="00D11AB6"/>
    <w:rsid w:val="00D11FF9"/>
    <w:rsid w:val="00D127BE"/>
    <w:rsid w:val="00D132FF"/>
    <w:rsid w:val="00D133AC"/>
    <w:rsid w:val="00D13996"/>
    <w:rsid w:val="00D14BFE"/>
    <w:rsid w:val="00D14E5B"/>
    <w:rsid w:val="00D153F6"/>
    <w:rsid w:val="00D1540A"/>
    <w:rsid w:val="00D15CA3"/>
    <w:rsid w:val="00D15CFB"/>
    <w:rsid w:val="00D15D17"/>
    <w:rsid w:val="00D169A4"/>
    <w:rsid w:val="00D17418"/>
    <w:rsid w:val="00D21009"/>
    <w:rsid w:val="00D21449"/>
    <w:rsid w:val="00D214B8"/>
    <w:rsid w:val="00D216F3"/>
    <w:rsid w:val="00D21BA4"/>
    <w:rsid w:val="00D21C91"/>
    <w:rsid w:val="00D22765"/>
    <w:rsid w:val="00D24154"/>
    <w:rsid w:val="00D24B43"/>
    <w:rsid w:val="00D2561F"/>
    <w:rsid w:val="00D25DE4"/>
    <w:rsid w:val="00D268D0"/>
    <w:rsid w:val="00D2723C"/>
    <w:rsid w:val="00D30271"/>
    <w:rsid w:val="00D3037B"/>
    <w:rsid w:val="00D306A9"/>
    <w:rsid w:val="00D31584"/>
    <w:rsid w:val="00D3176A"/>
    <w:rsid w:val="00D31B89"/>
    <w:rsid w:val="00D32674"/>
    <w:rsid w:val="00D32E68"/>
    <w:rsid w:val="00D339BD"/>
    <w:rsid w:val="00D343B3"/>
    <w:rsid w:val="00D34610"/>
    <w:rsid w:val="00D36D17"/>
    <w:rsid w:val="00D36F20"/>
    <w:rsid w:val="00D40A27"/>
    <w:rsid w:val="00D40F26"/>
    <w:rsid w:val="00D4187A"/>
    <w:rsid w:val="00D42E2C"/>
    <w:rsid w:val="00D4369A"/>
    <w:rsid w:val="00D43747"/>
    <w:rsid w:val="00D43B59"/>
    <w:rsid w:val="00D43DF0"/>
    <w:rsid w:val="00D441CB"/>
    <w:rsid w:val="00D451AD"/>
    <w:rsid w:val="00D4532F"/>
    <w:rsid w:val="00D45433"/>
    <w:rsid w:val="00D45735"/>
    <w:rsid w:val="00D45A15"/>
    <w:rsid w:val="00D45DD9"/>
    <w:rsid w:val="00D46267"/>
    <w:rsid w:val="00D46600"/>
    <w:rsid w:val="00D46FAD"/>
    <w:rsid w:val="00D4704A"/>
    <w:rsid w:val="00D476C9"/>
    <w:rsid w:val="00D479AB"/>
    <w:rsid w:val="00D47E5D"/>
    <w:rsid w:val="00D47EBD"/>
    <w:rsid w:val="00D47F40"/>
    <w:rsid w:val="00D500B0"/>
    <w:rsid w:val="00D5161E"/>
    <w:rsid w:val="00D51B15"/>
    <w:rsid w:val="00D52F77"/>
    <w:rsid w:val="00D533E2"/>
    <w:rsid w:val="00D5405F"/>
    <w:rsid w:val="00D541BC"/>
    <w:rsid w:val="00D567A0"/>
    <w:rsid w:val="00D57B51"/>
    <w:rsid w:val="00D57B5E"/>
    <w:rsid w:val="00D6007D"/>
    <w:rsid w:val="00D613EE"/>
    <w:rsid w:val="00D61BDC"/>
    <w:rsid w:val="00D62BB8"/>
    <w:rsid w:val="00D63866"/>
    <w:rsid w:val="00D66A56"/>
    <w:rsid w:val="00D66DC3"/>
    <w:rsid w:val="00D670D9"/>
    <w:rsid w:val="00D6777A"/>
    <w:rsid w:val="00D67986"/>
    <w:rsid w:val="00D70B4C"/>
    <w:rsid w:val="00D70BBE"/>
    <w:rsid w:val="00D72360"/>
    <w:rsid w:val="00D73F10"/>
    <w:rsid w:val="00D73F4F"/>
    <w:rsid w:val="00D73FF3"/>
    <w:rsid w:val="00D741BD"/>
    <w:rsid w:val="00D7448A"/>
    <w:rsid w:val="00D747EC"/>
    <w:rsid w:val="00D74C22"/>
    <w:rsid w:val="00D75C1B"/>
    <w:rsid w:val="00D75E30"/>
    <w:rsid w:val="00D7614F"/>
    <w:rsid w:val="00D7655A"/>
    <w:rsid w:val="00D773EF"/>
    <w:rsid w:val="00D8067C"/>
    <w:rsid w:val="00D80CC0"/>
    <w:rsid w:val="00D8131F"/>
    <w:rsid w:val="00D8208C"/>
    <w:rsid w:val="00D8254C"/>
    <w:rsid w:val="00D82C89"/>
    <w:rsid w:val="00D83D30"/>
    <w:rsid w:val="00D84018"/>
    <w:rsid w:val="00D85323"/>
    <w:rsid w:val="00D8584A"/>
    <w:rsid w:val="00D9026B"/>
    <w:rsid w:val="00D905CB"/>
    <w:rsid w:val="00D90948"/>
    <w:rsid w:val="00D90B75"/>
    <w:rsid w:val="00D90BC6"/>
    <w:rsid w:val="00D931AD"/>
    <w:rsid w:val="00D9515B"/>
    <w:rsid w:val="00D9623F"/>
    <w:rsid w:val="00D97C66"/>
    <w:rsid w:val="00DA014A"/>
    <w:rsid w:val="00DA02C6"/>
    <w:rsid w:val="00DA0DB3"/>
    <w:rsid w:val="00DA2346"/>
    <w:rsid w:val="00DA2963"/>
    <w:rsid w:val="00DA334D"/>
    <w:rsid w:val="00DA4E28"/>
    <w:rsid w:val="00DA604B"/>
    <w:rsid w:val="00DA6E39"/>
    <w:rsid w:val="00DA6EE8"/>
    <w:rsid w:val="00DB0F7C"/>
    <w:rsid w:val="00DB2806"/>
    <w:rsid w:val="00DB31F5"/>
    <w:rsid w:val="00DB3C4C"/>
    <w:rsid w:val="00DB5165"/>
    <w:rsid w:val="00DB5203"/>
    <w:rsid w:val="00DB581E"/>
    <w:rsid w:val="00DB6142"/>
    <w:rsid w:val="00DB62EC"/>
    <w:rsid w:val="00DB637E"/>
    <w:rsid w:val="00DB688C"/>
    <w:rsid w:val="00DB7C1E"/>
    <w:rsid w:val="00DC0A3F"/>
    <w:rsid w:val="00DC127D"/>
    <w:rsid w:val="00DC1545"/>
    <w:rsid w:val="00DC3200"/>
    <w:rsid w:val="00DC3CD1"/>
    <w:rsid w:val="00DC3FFE"/>
    <w:rsid w:val="00DC5A8E"/>
    <w:rsid w:val="00DC6279"/>
    <w:rsid w:val="00DC652B"/>
    <w:rsid w:val="00DC7451"/>
    <w:rsid w:val="00DC756D"/>
    <w:rsid w:val="00DC7ABA"/>
    <w:rsid w:val="00DC7D04"/>
    <w:rsid w:val="00DD004D"/>
    <w:rsid w:val="00DD02AE"/>
    <w:rsid w:val="00DD0300"/>
    <w:rsid w:val="00DD072C"/>
    <w:rsid w:val="00DD2FAA"/>
    <w:rsid w:val="00DD2FB0"/>
    <w:rsid w:val="00DD343E"/>
    <w:rsid w:val="00DD3832"/>
    <w:rsid w:val="00DD5297"/>
    <w:rsid w:val="00DD52AD"/>
    <w:rsid w:val="00DD532D"/>
    <w:rsid w:val="00DD536E"/>
    <w:rsid w:val="00DD61F2"/>
    <w:rsid w:val="00DD65BB"/>
    <w:rsid w:val="00DD66EE"/>
    <w:rsid w:val="00DD6B2B"/>
    <w:rsid w:val="00DD7D4F"/>
    <w:rsid w:val="00DE097E"/>
    <w:rsid w:val="00DE3C0C"/>
    <w:rsid w:val="00DE5576"/>
    <w:rsid w:val="00DE63E7"/>
    <w:rsid w:val="00DF045F"/>
    <w:rsid w:val="00DF1862"/>
    <w:rsid w:val="00DF3289"/>
    <w:rsid w:val="00DF3EA9"/>
    <w:rsid w:val="00DF6C99"/>
    <w:rsid w:val="00DF725D"/>
    <w:rsid w:val="00E00E15"/>
    <w:rsid w:val="00E017E8"/>
    <w:rsid w:val="00E02355"/>
    <w:rsid w:val="00E0282B"/>
    <w:rsid w:val="00E0387A"/>
    <w:rsid w:val="00E03B0D"/>
    <w:rsid w:val="00E04070"/>
    <w:rsid w:val="00E04877"/>
    <w:rsid w:val="00E052DE"/>
    <w:rsid w:val="00E05CC9"/>
    <w:rsid w:val="00E05F23"/>
    <w:rsid w:val="00E0794B"/>
    <w:rsid w:val="00E10CDC"/>
    <w:rsid w:val="00E11513"/>
    <w:rsid w:val="00E118D4"/>
    <w:rsid w:val="00E11DDB"/>
    <w:rsid w:val="00E122F1"/>
    <w:rsid w:val="00E127DD"/>
    <w:rsid w:val="00E12806"/>
    <w:rsid w:val="00E13059"/>
    <w:rsid w:val="00E14F02"/>
    <w:rsid w:val="00E15E58"/>
    <w:rsid w:val="00E15EE0"/>
    <w:rsid w:val="00E16FA2"/>
    <w:rsid w:val="00E20DAA"/>
    <w:rsid w:val="00E21626"/>
    <w:rsid w:val="00E21689"/>
    <w:rsid w:val="00E21826"/>
    <w:rsid w:val="00E22166"/>
    <w:rsid w:val="00E223F2"/>
    <w:rsid w:val="00E228FA"/>
    <w:rsid w:val="00E2352D"/>
    <w:rsid w:val="00E251CB"/>
    <w:rsid w:val="00E26E9E"/>
    <w:rsid w:val="00E26FCC"/>
    <w:rsid w:val="00E27E01"/>
    <w:rsid w:val="00E30736"/>
    <w:rsid w:val="00E30DD8"/>
    <w:rsid w:val="00E31A12"/>
    <w:rsid w:val="00E32246"/>
    <w:rsid w:val="00E32F01"/>
    <w:rsid w:val="00E34149"/>
    <w:rsid w:val="00E3559F"/>
    <w:rsid w:val="00E35E41"/>
    <w:rsid w:val="00E3723D"/>
    <w:rsid w:val="00E37BEA"/>
    <w:rsid w:val="00E41225"/>
    <w:rsid w:val="00E42774"/>
    <w:rsid w:val="00E43D86"/>
    <w:rsid w:val="00E4509A"/>
    <w:rsid w:val="00E45350"/>
    <w:rsid w:val="00E46AAD"/>
    <w:rsid w:val="00E46C2F"/>
    <w:rsid w:val="00E46EA5"/>
    <w:rsid w:val="00E50918"/>
    <w:rsid w:val="00E50DB0"/>
    <w:rsid w:val="00E53F32"/>
    <w:rsid w:val="00E54052"/>
    <w:rsid w:val="00E54074"/>
    <w:rsid w:val="00E5421A"/>
    <w:rsid w:val="00E55025"/>
    <w:rsid w:val="00E55A14"/>
    <w:rsid w:val="00E55AB0"/>
    <w:rsid w:val="00E56661"/>
    <w:rsid w:val="00E568FC"/>
    <w:rsid w:val="00E56A47"/>
    <w:rsid w:val="00E5762B"/>
    <w:rsid w:val="00E57737"/>
    <w:rsid w:val="00E61125"/>
    <w:rsid w:val="00E6194D"/>
    <w:rsid w:val="00E63D32"/>
    <w:rsid w:val="00E65E57"/>
    <w:rsid w:val="00E666FB"/>
    <w:rsid w:val="00E673B6"/>
    <w:rsid w:val="00E67F1F"/>
    <w:rsid w:val="00E70446"/>
    <w:rsid w:val="00E70D52"/>
    <w:rsid w:val="00E732EA"/>
    <w:rsid w:val="00E734DF"/>
    <w:rsid w:val="00E74879"/>
    <w:rsid w:val="00E75912"/>
    <w:rsid w:val="00E76E28"/>
    <w:rsid w:val="00E76EBE"/>
    <w:rsid w:val="00E76EEC"/>
    <w:rsid w:val="00E7713E"/>
    <w:rsid w:val="00E777DC"/>
    <w:rsid w:val="00E803C0"/>
    <w:rsid w:val="00E8061A"/>
    <w:rsid w:val="00E81021"/>
    <w:rsid w:val="00E815C4"/>
    <w:rsid w:val="00E81E1D"/>
    <w:rsid w:val="00E82145"/>
    <w:rsid w:val="00E8297B"/>
    <w:rsid w:val="00E83558"/>
    <w:rsid w:val="00E8430A"/>
    <w:rsid w:val="00E86D91"/>
    <w:rsid w:val="00E90497"/>
    <w:rsid w:val="00E90CED"/>
    <w:rsid w:val="00E915DB"/>
    <w:rsid w:val="00E9162A"/>
    <w:rsid w:val="00E91CCB"/>
    <w:rsid w:val="00E91FD2"/>
    <w:rsid w:val="00E92C45"/>
    <w:rsid w:val="00E94168"/>
    <w:rsid w:val="00E952BF"/>
    <w:rsid w:val="00E95FFE"/>
    <w:rsid w:val="00E96907"/>
    <w:rsid w:val="00E969C9"/>
    <w:rsid w:val="00E96A35"/>
    <w:rsid w:val="00EA0B1A"/>
    <w:rsid w:val="00EA1669"/>
    <w:rsid w:val="00EA177A"/>
    <w:rsid w:val="00EA261E"/>
    <w:rsid w:val="00EA292D"/>
    <w:rsid w:val="00EA2EB6"/>
    <w:rsid w:val="00EA38CA"/>
    <w:rsid w:val="00EA4789"/>
    <w:rsid w:val="00EA4FB1"/>
    <w:rsid w:val="00EA5617"/>
    <w:rsid w:val="00EA58A9"/>
    <w:rsid w:val="00EA6353"/>
    <w:rsid w:val="00EB0307"/>
    <w:rsid w:val="00EB0E8C"/>
    <w:rsid w:val="00EB0E8E"/>
    <w:rsid w:val="00EB1822"/>
    <w:rsid w:val="00EB1C61"/>
    <w:rsid w:val="00EB2569"/>
    <w:rsid w:val="00EB3263"/>
    <w:rsid w:val="00EB3DBC"/>
    <w:rsid w:val="00EB4219"/>
    <w:rsid w:val="00EB457C"/>
    <w:rsid w:val="00EB4EC9"/>
    <w:rsid w:val="00EB6CF1"/>
    <w:rsid w:val="00EC1C54"/>
    <w:rsid w:val="00EC234F"/>
    <w:rsid w:val="00EC3E40"/>
    <w:rsid w:val="00EC3E56"/>
    <w:rsid w:val="00EC539F"/>
    <w:rsid w:val="00EC58F7"/>
    <w:rsid w:val="00EC5EE4"/>
    <w:rsid w:val="00EC5F0C"/>
    <w:rsid w:val="00EC64A6"/>
    <w:rsid w:val="00ED0293"/>
    <w:rsid w:val="00ED07FC"/>
    <w:rsid w:val="00ED0A0A"/>
    <w:rsid w:val="00ED1595"/>
    <w:rsid w:val="00ED1BEF"/>
    <w:rsid w:val="00ED2BF4"/>
    <w:rsid w:val="00ED3555"/>
    <w:rsid w:val="00ED3628"/>
    <w:rsid w:val="00ED45E7"/>
    <w:rsid w:val="00ED4D32"/>
    <w:rsid w:val="00ED7068"/>
    <w:rsid w:val="00ED7604"/>
    <w:rsid w:val="00ED7CE1"/>
    <w:rsid w:val="00EE02FD"/>
    <w:rsid w:val="00EE0D10"/>
    <w:rsid w:val="00EE133E"/>
    <w:rsid w:val="00EE23A7"/>
    <w:rsid w:val="00EE319A"/>
    <w:rsid w:val="00EE3AD2"/>
    <w:rsid w:val="00EE4465"/>
    <w:rsid w:val="00EE45D1"/>
    <w:rsid w:val="00EE46E4"/>
    <w:rsid w:val="00EE4D2D"/>
    <w:rsid w:val="00EE5A03"/>
    <w:rsid w:val="00EE5CC6"/>
    <w:rsid w:val="00EE6974"/>
    <w:rsid w:val="00EE6C18"/>
    <w:rsid w:val="00EE6F58"/>
    <w:rsid w:val="00EE7606"/>
    <w:rsid w:val="00EE7788"/>
    <w:rsid w:val="00EE79DB"/>
    <w:rsid w:val="00EF0061"/>
    <w:rsid w:val="00EF2931"/>
    <w:rsid w:val="00EF2AF2"/>
    <w:rsid w:val="00EF4E8D"/>
    <w:rsid w:val="00EF5014"/>
    <w:rsid w:val="00EF55AE"/>
    <w:rsid w:val="00EF6482"/>
    <w:rsid w:val="00EF65CA"/>
    <w:rsid w:val="00EF6D3C"/>
    <w:rsid w:val="00EF7C07"/>
    <w:rsid w:val="00F00C4A"/>
    <w:rsid w:val="00F0138C"/>
    <w:rsid w:val="00F019DC"/>
    <w:rsid w:val="00F02065"/>
    <w:rsid w:val="00F025A7"/>
    <w:rsid w:val="00F02BCC"/>
    <w:rsid w:val="00F02CEA"/>
    <w:rsid w:val="00F033DE"/>
    <w:rsid w:val="00F034D2"/>
    <w:rsid w:val="00F04E13"/>
    <w:rsid w:val="00F05A0A"/>
    <w:rsid w:val="00F06AC8"/>
    <w:rsid w:val="00F06EC6"/>
    <w:rsid w:val="00F10752"/>
    <w:rsid w:val="00F1079D"/>
    <w:rsid w:val="00F10B23"/>
    <w:rsid w:val="00F11D30"/>
    <w:rsid w:val="00F12238"/>
    <w:rsid w:val="00F12B98"/>
    <w:rsid w:val="00F1312D"/>
    <w:rsid w:val="00F13CFD"/>
    <w:rsid w:val="00F13E6E"/>
    <w:rsid w:val="00F1747A"/>
    <w:rsid w:val="00F20347"/>
    <w:rsid w:val="00F236C2"/>
    <w:rsid w:val="00F24325"/>
    <w:rsid w:val="00F25745"/>
    <w:rsid w:val="00F301D1"/>
    <w:rsid w:val="00F30E86"/>
    <w:rsid w:val="00F3187F"/>
    <w:rsid w:val="00F319A1"/>
    <w:rsid w:val="00F31C2F"/>
    <w:rsid w:val="00F32A61"/>
    <w:rsid w:val="00F32C0E"/>
    <w:rsid w:val="00F3414F"/>
    <w:rsid w:val="00F34779"/>
    <w:rsid w:val="00F364C1"/>
    <w:rsid w:val="00F36632"/>
    <w:rsid w:val="00F4004D"/>
    <w:rsid w:val="00F43701"/>
    <w:rsid w:val="00F4478C"/>
    <w:rsid w:val="00F448F9"/>
    <w:rsid w:val="00F45A70"/>
    <w:rsid w:val="00F45D7F"/>
    <w:rsid w:val="00F47C45"/>
    <w:rsid w:val="00F47DF6"/>
    <w:rsid w:val="00F50A7D"/>
    <w:rsid w:val="00F52117"/>
    <w:rsid w:val="00F526E6"/>
    <w:rsid w:val="00F536E9"/>
    <w:rsid w:val="00F5385C"/>
    <w:rsid w:val="00F53921"/>
    <w:rsid w:val="00F53A77"/>
    <w:rsid w:val="00F54387"/>
    <w:rsid w:val="00F54679"/>
    <w:rsid w:val="00F55BF0"/>
    <w:rsid w:val="00F55F27"/>
    <w:rsid w:val="00F5669B"/>
    <w:rsid w:val="00F5692C"/>
    <w:rsid w:val="00F569AC"/>
    <w:rsid w:val="00F604F0"/>
    <w:rsid w:val="00F6085F"/>
    <w:rsid w:val="00F62808"/>
    <w:rsid w:val="00F62AEE"/>
    <w:rsid w:val="00F64DBF"/>
    <w:rsid w:val="00F6534F"/>
    <w:rsid w:val="00F65656"/>
    <w:rsid w:val="00F6672C"/>
    <w:rsid w:val="00F66746"/>
    <w:rsid w:val="00F67FBF"/>
    <w:rsid w:val="00F727E6"/>
    <w:rsid w:val="00F728EF"/>
    <w:rsid w:val="00F74830"/>
    <w:rsid w:val="00F74D9A"/>
    <w:rsid w:val="00F76283"/>
    <w:rsid w:val="00F7789A"/>
    <w:rsid w:val="00F77F34"/>
    <w:rsid w:val="00F80367"/>
    <w:rsid w:val="00F81051"/>
    <w:rsid w:val="00F82989"/>
    <w:rsid w:val="00F831A8"/>
    <w:rsid w:val="00F83923"/>
    <w:rsid w:val="00F84A93"/>
    <w:rsid w:val="00F85120"/>
    <w:rsid w:val="00F8542D"/>
    <w:rsid w:val="00F8574F"/>
    <w:rsid w:val="00F861FF"/>
    <w:rsid w:val="00F8680C"/>
    <w:rsid w:val="00F87A99"/>
    <w:rsid w:val="00F87D39"/>
    <w:rsid w:val="00F917A7"/>
    <w:rsid w:val="00F927EC"/>
    <w:rsid w:val="00F93DE4"/>
    <w:rsid w:val="00F94941"/>
    <w:rsid w:val="00F95054"/>
    <w:rsid w:val="00F95413"/>
    <w:rsid w:val="00F95D40"/>
    <w:rsid w:val="00F96DCA"/>
    <w:rsid w:val="00F97169"/>
    <w:rsid w:val="00F97A9C"/>
    <w:rsid w:val="00FA01E0"/>
    <w:rsid w:val="00FA03A1"/>
    <w:rsid w:val="00FA1A78"/>
    <w:rsid w:val="00FA416C"/>
    <w:rsid w:val="00FA453B"/>
    <w:rsid w:val="00FA55DD"/>
    <w:rsid w:val="00FA5C6A"/>
    <w:rsid w:val="00FA6111"/>
    <w:rsid w:val="00FA6A60"/>
    <w:rsid w:val="00FA6F7C"/>
    <w:rsid w:val="00FA7C17"/>
    <w:rsid w:val="00FB0C23"/>
    <w:rsid w:val="00FB0F65"/>
    <w:rsid w:val="00FB1EE3"/>
    <w:rsid w:val="00FB23AB"/>
    <w:rsid w:val="00FB26D4"/>
    <w:rsid w:val="00FB4557"/>
    <w:rsid w:val="00FB4CE4"/>
    <w:rsid w:val="00FB53EB"/>
    <w:rsid w:val="00FB6A12"/>
    <w:rsid w:val="00FB6D2C"/>
    <w:rsid w:val="00FB77B7"/>
    <w:rsid w:val="00FB7EED"/>
    <w:rsid w:val="00FC191C"/>
    <w:rsid w:val="00FC1F0F"/>
    <w:rsid w:val="00FC237B"/>
    <w:rsid w:val="00FC2445"/>
    <w:rsid w:val="00FC3025"/>
    <w:rsid w:val="00FC40FC"/>
    <w:rsid w:val="00FC6386"/>
    <w:rsid w:val="00FC68FC"/>
    <w:rsid w:val="00FC7121"/>
    <w:rsid w:val="00FC719E"/>
    <w:rsid w:val="00FC7CED"/>
    <w:rsid w:val="00FD216B"/>
    <w:rsid w:val="00FD29BC"/>
    <w:rsid w:val="00FD2A9D"/>
    <w:rsid w:val="00FD4DC1"/>
    <w:rsid w:val="00FD6029"/>
    <w:rsid w:val="00FD695D"/>
    <w:rsid w:val="00FE2913"/>
    <w:rsid w:val="00FE3601"/>
    <w:rsid w:val="00FE443C"/>
    <w:rsid w:val="00FE5007"/>
    <w:rsid w:val="00FE69C5"/>
    <w:rsid w:val="00FE7CF5"/>
    <w:rsid w:val="00FE7F93"/>
    <w:rsid w:val="00FF1EA6"/>
    <w:rsid w:val="00FF2FAD"/>
    <w:rsid w:val="00FF4E72"/>
    <w:rsid w:val="00FF4FA5"/>
    <w:rsid w:val="00FF5112"/>
    <w:rsid w:val="00FF64B2"/>
    <w:rsid w:val="00FF65C7"/>
    <w:rsid w:val="00FF670C"/>
    <w:rsid w:val="00FF6A22"/>
    <w:rsid w:val="00FF7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colormru v:ext="edit" colors="white,#036,black"/>
    </o:shapedefaults>
    <o:shapelayout v:ext="edit">
      <o:idmap v:ext="edit" data="2"/>
    </o:shapelayout>
  </w:shapeDefaults>
  <w:decimalSymbol w:val="."/>
  <w:listSeparator w:val=","/>
  <w14:docId w14:val="7F0BAB68"/>
  <w15:docId w15:val="{DD73E7CC-CCFD-4DC9-BB14-53960398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Heading 1 Char2,Heading 1 Char1 Char,Heading 1 Char Char Char,Heading 1 Char Char1, Char"/>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A7B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9013EB"/>
    <w:pPr>
      <w:keepNext/>
      <w:widowControl w:val="0"/>
      <w:numPr>
        <w:ilvl w:val="4"/>
        <w:numId w:val="17"/>
      </w:numPr>
      <w:tabs>
        <w:tab w:val="clear" w:pos="0"/>
        <w:tab w:val="num" w:pos="1800"/>
      </w:tabs>
      <w:ind w:left="0" w:firstLine="0"/>
      <w:jc w:val="both"/>
      <w:outlineLvl w:val="4"/>
    </w:pPr>
    <w:rPr>
      <w:rFonts w:ascii="Arial" w:hAnsi="Arial"/>
      <w:b/>
      <w:kern w:val="28"/>
      <w:szCs w:val="20"/>
      <w:lang w:val="en-US"/>
    </w:rPr>
  </w:style>
  <w:style w:type="paragraph" w:styleId="Heading6">
    <w:name w:val="heading 6"/>
    <w:basedOn w:val="Normal"/>
    <w:next w:val="Normal"/>
    <w:qFormat/>
    <w:rsid w:val="009013EB"/>
    <w:pPr>
      <w:keepNext/>
      <w:widowControl w:val="0"/>
      <w:numPr>
        <w:ilvl w:val="5"/>
        <w:numId w:val="17"/>
      </w:numPr>
      <w:tabs>
        <w:tab w:val="clear" w:pos="0"/>
        <w:tab w:val="num" w:pos="2160"/>
      </w:tabs>
      <w:spacing w:before="120" w:after="80" w:line="240" w:lineRule="atLeast"/>
      <w:ind w:left="2160" w:hanging="360"/>
      <w:jc w:val="both"/>
      <w:outlineLvl w:val="5"/>
    </w:pPr>
    <w:rPr>
      <w:rFonts w:ascii="Arial" w:hAnsi="Arial"/>
      <w:b/>
      <w:i/>
      <w:kern w:val="28"/>
      <w:szCs w:val="20"/>
      <w:lang w:val="en-US"/>
    </w:rPr>
  </w:style>
  <w:style w:type="paragraph" w:styleId="Heading7">
    <w:name w:val="heading 7"/>
    <w:basedOn w:val="Normal"/>
    <w:next w:val="Normal"/>
    <w:qFormat/>
    <w:rsid w:val="009013EB"/>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Normal"/>
    <w:qFormat/>
    <w:rsid w:val="009013EB"/>
    <w:pPr>
      <w:keepNext/>
      <w:widowControl w:val="0"/>
      <w:numPr>
        <w:ilvl w:val="7"/>
        <w:numId w:val="17"/>
      </w:numPr>
      <w:tabs>
        <w:tab w:val="clear" w:pos="0"/>
        <w:tab w:val="num" w:pos="2880"/>
      </w:tabs>
      <w:spacing w:before="80" w:after="60" w:line="240" w:lineRule="atLeast"/>
      <w:ind w:left="2880" w:hanging="360"/>
      <w:jc w:val="both"/>
      <w:outlineLvl w:val="7"/>
    </w:pPr>
    <w:rPr>
      <w:rFonts w:ascii="Book Antiqua" w:hAnsi="Book Antiqua"/>
      <w:b/>
      <w:i/>
      <w:kern w:val="28"/>
      <w:szCs w:val="20"/>
      <w:lang w:val="en-US"/>
    </w:rPr>
  </w:style>
  <w:style w:type="paragraph" w:styleId="Heading9">
    <w:name w:val="heading 9"/>
    <w:basedOn w:val="Normal"/>
    <w:next w:val="Normal"/>
    <w:qFormat/>
    <w:rsid w:val="009013EB"/>
    <w:pPr>
      <w:keepNext/>
      <w:widowControl w:val="0"/>
      <w:numPr>
        <w:ilvl w:val="8"/>
        <w:numId w:val="17"/>
      </w:numPr>
      <w:tabs>
        <w:tab w:val="clear" w:pos="0"/>
        <w:tab w:val="num" w:pos="3240"/>
      </w:tabs>
      <w:spacing w:before="80" w:after="60" w:line="240" w:lineRule="atLeast"/>
      <w:ind w:left="3240" w:hanging="360"/>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character" w:styleId="Hyperlink">
    <w:name w:val="Hyperlink"/>
    <w:rPr>
      <w:color w:val="0000FF"/>
      <w:u w:val="single"/>
    </w:rPr>
  </w:style>
  <w:style w:type="paragraph" w:customStyle="1" w:styleId="NoNumber">
    <w:name w:val="No Number"/>
    <w:basedOn w:val="Heading1"/>
    <w:autoRedefine/>
    <w:pPr>
      <w:widowControl/>
      <w:tabs>
        <w:tab w:val="clear" w:pos="1440"/>
      </w:tabs>
      <w:spacing w:before="0"/>
      <w:outlineLvl w:val="9"/>
    </w:pPr>
    <w:rPr>
      <w:lang w:val="en-GB"/>
    </w:rPr>
  </w:style>
  <w:style w:type="paragraph" w:styleId="Header">
    <w:name w:val="header"/>
    <w:basedOn w:val="Normal"/>
    <w:link w:val="HeaderChar"/>
    <w:pPr>
      <w:tabs>
        <w:tab w:val="center" w:pos="4153"/>
        <w:tab w:val="right" w:pos="8306"/>
      </w:tabs>
    </w:pPr>
    <w:rPr>
      <w:sz w:val="20"/>
      <w:szCs w:val="20"/>
      <w:lang w:val="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after="240" w:line="240" w:lineRule="atLeast"/>
      <w:ind w:left="1541" w:right="720" w:hanging="101"/>
      <w:jc w:val="both"/>
    </w:pPr>
    <w:rPr>
      <w:rFonts w:ascii="Book Antiqua" w:hAnsi="Book Antiqua"/>
      <w:szCs w:val="20"/>
    </w:rPr>
  </w:style>
  <w:style w:type="paragraph" w:styleId="FootnoteText">
    <w:name w:val="footnote text"/>
    <w:basedOn w:val="Normal"/>
    <w:link w:val="FootnoteTextChar"/>
    <w:pPr>
      <w:widowControl w:val="0"/>
      <w:spacing w:line="240" w:lineRule="atLeast"/>
      <w:ind w:left="72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head">
    <w:name w:val="head"/>
    <w:basedOn w:val="Normal"/>
    <w:rsid w:val="00F43701"/>
    <w:pPr>
      <w:spacing w:before="100" w:beforeAutospacing="1" w:after="100" w:afterAutospacing="1"/>
      <w:jc w:val="center"/>
    </w:pPr>
    <w:rPr>
      <w:rFonts w:ascii="Verdana" w:hAnsi="Verdana"/>
      <w:b/>
      <w:bCs/>
      <w:color w:val="444444"/>
      <w:sz w:val="26"/>
      <w:szCs w:val="26"/>
      <w:lang w:eastAsia="en-AU"/>
    </w:rPr>
  </w:style>
  <w:style w:type="character" w:styleId="FollowedHyperlink">
    <w:name w:val="FollowedHyperlink"/>
    <w:rsid w:val="00EE45D1"/>
    <w:rPr>
      <w:color w:val="800080"/>
      <w:u w:val="single"/>
    </w:rPr>
  </w:style>
  <w:style w:type="paragraph" w:customStyle="1" w:styleId="Catchwords">
    <w:name w:val="Catchwords"/>
    <w:basedOn w:val="Normal"/>
    <w:rsid w:val="00397BB2"/>
    <w:pPr>
      <w:widowControl w:val="0"/>
      <w:jc w:val="both"/>
    </w:pPr>
    <w:rPr>
      <w:rFonts w:ascii="Book Antiqua" w:hAnsi="Book Antiqua"/>
      <w:szCs w:val="20"/>
    </w:rPr>
  </w:style>
  <w:style w:type="paragraph" w:customStyle="1" w:styleId="Level4">
    <w:name w:val="Level 4"/>
    <w:basedOn w:val="Normal"/>
    <w:next w:val="Heading1"/>
    <w:link w:val="Level4Char"/>
    <w:rsid w:val="00397BB2"/>
    <w:pPr>
      <w:widowControl w:val="0"/>
      <w:spacing w:before="240"/>
      <w:ind w:left="720"/>
      <w:jc w:val="both"/>
    </w:pPr>
    <w:rPr>
      <w:rFonts w:ascii="Book Antiqua" w:hAnsi="Book Antiqua"/>
      <w:b/>
      <w:i/>
    </w:rPr>
  </w:style>
  <w:style w:type="character" w:customStyle="1" w:styleId="Level4Char">
    <w:name w:val="Level 4 Char"/>
    <w:link w:val="Level4"/>
    <w:rsid w:val="00397BB2"/>
    <w:rPr>
      <w:rFonts w:ascii="Book Antiqua" w:hAnsi="Book Antiqua"/>
      <w:b/>
      <w:i/>
      <w:sz w:val="24"/>
      <w:szCs w:val="24"/>
      <w:lang w:val="en-AU" w:eastAsia="en-US" w:bidi="ar-SA"/>
    </w:rPr>
  </w:style>
  <w:style w:type="paragraph" w:styleId="TOC1">
    <w:name w:val="toc 1"/>
    <w:basedOn w:val="Normal"/>
    <w:next w:val="Normal"/>
    <w:autoRedefine/>
    <w:semiHidden/>
    <w:rsid w:val="00397BB2"/>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semiHidden/>
    <w:rsid w:val="00397BB2"/>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semiHidden/>
    <w:rsid w:val="00397BB2"/>
    <w:pPr>
      <w:widowControl w:val="0"/>
      <w:tabs>
        <w:tab w:val="right" w:leader="dot" w:pos="9753"/>
      </w:tabs>
      <w:ind w:left="1530" w:hanging="900"/>
      <w:jc w:val="both"/>
    </w:pPr>
    <w:rPr>
      <w:rFonts w:ascii="Book Antiqua" w:hAnsi="Book Antiqua"/>
      <w:i/>
      <w:noProof/>
      <w:szCs w:val="20"/>
    </w:rPr>
  </w:style>
  <w:style w:type="table" w:styleId="TableGrid">
    <w:name w:val="Table Grid"/>
    <w:basedOn w:val="TableNormal"/>
    <w:rsid w:val="00BA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Char2 Char,Heading 1 Char1 Char Char,Heading 1 Char Char Char Char,Heading 1 Char Char1 Char, Char Char"/>
    <w:link w:val="Heading1"/>
    <w:rsid w:val="004872EE"/>
    <w:rPr>
      <w:rFonts w:ascii="Book Antiqua" w:hAnsi="Book Antiqua"/>
      <w:kern w:val="28"/>
      <w:sz w:val="24"/>
      <w:lang w:eastAsia="en-US"/>
    </w:rPr>
  </w:style>
  <w:style w:type="paragraph" w:customStyle="1" w:styleId="Footer-Web">
    <w:name w:val="Footer-Web"/>
    <w:basedOn w:val="Footer"/>
    <w:rsid w:val="00544F20"/>
    <w:pPr>
      <w:widowControl w:val="0"/>
      <w:tabs>
        <w:tab w:val="clear" w:pos="4153"/>
        <w:tab w:val="clear" w:pos="8306"/>
        <w:tab w:val="center" w:pos="4896"/>
        <w:tab w:val="right" w:pos="9792"/>
      </w:tabs>
    </w:pPr>
    <w:rPr>
      <w:rFonts w:ascii="Book Antiqua" w:hAnsi="Book Antiqua"/>
      <w:sz w:val="18"/>
      <w:szCs w:val="20"/>
    </w:rPr>
  </w:style>
  <w:style w:type="character" w:customStyle="1" w:styleId="Quote1Char">
    <w:name w:val="Quote1 Char"/>
    <w:link w:val="Quote1"/>
    <w:rsid w:val="00544F20"/>
    <w:rPr>
      <w:rFonts w:ascii="Book Antiqua" w:hAnsi="Book Antiqua"/>
      <w:sz w:val="24"/>
      <w:lang w:val="en-AU" w:eastAsia="en-US" w:bidi="ar-SA"/>
    </w:rPr>
  </w:style>
  <w:style w:type="paragraph" w:customStyle="1" w:styleId="Normal-Cover">
    <w:name w:val="Normal-Cover"/>
    <w:basedOn w:val="Normal"/>
    <w:rsid w:val="000F6283"/>
    <w:pPr>
      <w:widowControl w:val="0"/>
    </w:pPr>
    <w:rPr>
      <w:rFonts w:ascii="Book Antiqua" w:hAnsi="Book Antiqua"/>
      <w:szCs w:val="20"/>
    </w:rPr>
  </w:style>
  <w:style w:type="character" w:customStyle="1" w:styleId="FootnoteTextChar">
    <w:name w:val="Footnote Text Char"/>
    <w:link w:val="FootnoteText"/>
    <w:locked/>
    <w:rsid w:val="000547DB"/>
    <w:rPr>
      <w:rFonts w:ascii="Book Antiqua" w:hAnsi="Book Antiqua"/>
      <w:lang w:val="en-AU" w:eastAsia="en-US" w:bidi="ar-SA"/>
    </w:rPr>
  </w:style>
  <w:style w:type="paragraph" w:customStyle="1" w:styleId="Normal-Indent">
    <w:name w:val="Normal - Indent"/>
    <w:basedOn w:val="Normal"/>
    <w:rsid w:val="009013EB"/>
    <w:pPr>
      <w:widowControl w:val="0"/>
      <w:spacing w:line="480" w:lineRule="atLeast"/>
      <w:ind w:left="720"/>
      <w:jc w:val="both"/>
    </w:pPr>
    <w:rPr>
      <w:rFonts w:ascii="Book Antiqua" w:hAnsi="Book Antiqua"/>
      <w:szCs w:val="20"/>
    </w:rPr>
  </w:style>
  <w:style w:type="character" w:customStyle="1" w:styleId="italic1">
    <w:name w:val="italic1"/>
    <w:rsid w:val="009013EB"/>
    <w:rPr>
      <w:i/>
      <w:iCs/>
    </w:rPr>
  </w:style>
  <w:style w:type="paragraph" w:styleId="HTMLPreformatted">
    <w:name w:val="HTML Preformatted"/>
    <w:basedOn w:val="Normal"/>
    <w:rsid w:val="00143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customStyle="1" w:styleId="BodyParagraph">
    <w:name w:val="Body Paragraph"/>
    <w:next w:val="Normal"/>
    <w:rsid w:val="000F27BB"/>
    <w:pPr>
      <w:overflowPunct w:val="0"/>
      <w:autoSpaceDE w:val="0"/>
      <w:autoSpaceDN w:val="0"/>
      <w:adjustRightInd w:val="0"/>
      <w:spacing w:before="120"/>
      <w:ind w:left="1871"/>
      <w:textAlignment w:val="baseline"/>
    </w:pPr>
    <w:rPr>
      <w:sz w:val="24"/>
      <w:lang w:eastAsia="en-US"/>
    </w:rPr>
  </w:style>
  <w:style w:type="paragraph" w:customStyle="1" w:styleId="DraftHeading4">
    <w:name w:val="Draft Heading 4"/>
    <w:basedOn w:val="Normal"/>
    <w:next w:val="Normal"/>
    <w:link w:val="DraftHeading4Char"/>
    <w:rsid w:val="000F27BB"/>
    <w:pPr>
      <w:overflowPunct w:val="0"/>
      <w:autoSpaceDE w:val="0"/>
      <w:autoSpaceDN w:val="0"/>
      <w:adjustRightInd w:val="0"/>
      <w:spacing w:before="120"/>
      <w:textAlignment w:val="baseline"/>
    </w:pPr>
    <w:rPr>
      <w:szCs w:val="20"/>
    </w:rPr>
  </w:style>
  <w:style w:type="paragraph" w:customStyle="1" w:styleId="DraftDefinition2">
    <w:name w:val="Draft Definition 2"/>
    <w:next w:val="Normal"/>
    <w:link w:val="DraftDefinition2Char"/>
    <w:rsid w:val="000F27B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efterm">
    <w:name w:val="defterm"/>
    <w:rsid w:val="000F27BB"/>
    <w:rPr>
      <w:b/>
      <w:bCs/>
      <w:i/>
      <w:iCs/>
    </w:rPr>
  </w:style>
  <w:style w:type="paragraph" w:customStyle="1" w:styleId="DraftHeading2">
    <w:name w:val="Draft Heading 2"/>
    <w:basedOn w:val="Normal"/>
    <w:next w:val="Normal"/>
    <w:link w:val="DraftHeading2Char"/>
    <w:rsid w:val="000F27B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0F27BB"/>
    <w:pPr>
      <w:overflowPunct w:val="0"/>
      <w:autoSpaceDE w:val="0"/>
      <w:autoSpaceDN w:val="0"/>
      <w:adjustRightInd w:val="0"/>
      <w:spacing w:before="120"/>
      <w:textAlignment w:val="baseline"/>
    </w:pPr>
    <w:rPr>
      <w:szCs w:val="20"/>
    </w:rPr>
  </w:style>
  <w:style w:type="paragraph" w:customStyle="1" w:styleId="DraftSectionNote">
    <w:name w:val="Draft Section Note"/>
    <w:next w:val="Normal"/>
    <w:rsid w:val="000F27BB"/>
    <w:pPr>
      <w:spacing w:before="120"/>
    </w:pPr>
    <w:rPr>
      <w:lang w:eastAsia="en-US"/>
    </w:rPr>
  </w:style>
  <w:style w:type="paragraph" w:customStyle="1" w:styleId="DraftSub-sectionNote">
    <w:name w:val="Draft Sub-section Note"/>
    <w:next w:val="Normal"/>
    <w:link w:val="DraftSub-sectionNoteChar"/>
    <w:rsid w:val="000F27BB"/>
    <w:pPr>
      <w:spacing w:before="120"/>
    </w:pPr>
    <w:rPr>
      <w:lang w:eastAsia="en-US"/>
    </w:rPr>
  </w:style>
  <w:style w:type="paragraph" w:customStyle="1" w:styleId="BodySectionSub">
    <w:name w:val="Body Section (Sub)"/>
    <w:next w:val="Normal"/>
    <w:link w:val="BodySectionSubChar"/>
    <w:rsid w:val="000F27BB"/>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0F27BB"/>
    <w:pPr>
      <w:overflowPunct w:val="0"/>
      <w:autoSpaceDE w:val="0"/>
      <w:autoSpaceDN w:val="0"/>
      <w:adjustRightInd w:val="0"/>
      <w:spacing w:before="120"/>
      <w:textAlignment w:val="baseline"/>
      <w:outlineLvl w:val="2"/>
    </w:pPr>
    <w:rPr>
      <w:b/>
    </w:rPr>
  </w:style>
  <w:style w:type="character" w:customStyle="1" w:styleId="bodytext1">
    <w:name w:val="bodytext1"/>
    <w:rsid w:val="00C36CC7"/>
    <w:rPr>
      <w:rFonts w:ascii="Verdana" w:hAnsi="Verdana" w:hint="default"/>
      <w:color w:val="4D4D4D"/>
      <w:sz w:val="18"/>
      <w:szCs w:val="18"/>
    </w:rPr>
  </w:style>
  <w:style w:type="character" w:customStyle="1" w:styleId="CharChar2">
    <w:name w:val="Char Char2"/>
    <w:rsid w:val="00256834"/>
    <w:rPr>
      <w:lang w:val="en-US" w:eastAsia="en-US" w:bidi="ar-SA"/>
    </w:rPr>
  </w:style>
  <w:style w:type="paragraph" w:styleId="ListNumber">
    <w:name w:val="List Number"/>
    <w:basedOn w:val="Normal"/>
    <w:next w:val="Normal"/>
    <w:rsid w:val="00EA6353"/>
    <w:pPr>
      <w:numPr>
        <w:numId w:val="15"/>
      </w:numPr>
      <w:spacing w:after="260" w:line="280" w:lineRule="exact"/>
      <w:ind w:left="357" w:hanging="357"/>
      <w:jc w:val="both"/>
    </w:pPr>
    <w:rPr>
      <w:sz w:val="26"/>
      <w:szCs w:val="20"/>
    </w:rPr>
  </w:style>
  <w:style w:type="paragraph" w:customStyle="1" w:styleId="Default">
    <w:name w:val="Default"/>
    <w:rsid w:val="00151F5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1A06D3"/>
    <w:rPr>
      <w:rFonts w:ascii="Segoe UI" w:hAnsi="Segoe UI" w:cs="Segoe UI"/>
      <w:sz w:val="18"/>
      <w:szCs w:val="18"/>
    </w:rPr>
  </w:style>
  <w:style w:type="character" w:customStyle="1" w:styleId="BalloonTextChar">
    <w:name w:val="Balloon Text Char"/>
    <w:link w:val="BalloonText"/>
    <w:rsid w:val="001A06D3"/>
    <w:rPr>
      <w:rFonts w:ascii="Segoe UI" w:hAnsi="Segoe UI" w:cs="Segoe UI"/>
      <w:sz w:val="18"/>
      <w:szCs w:val="18"/>
      <w:lang w:eastAsia="en-US"/>
    </w:rPr>
  </w:style>
  <w:style w:type="character" w:styleId="UnresolvedMention">
    <w:name w:val="Unresolved Mention"/>
    <w:uiPriority w:val="99"/>
    <w:semiHidden/>
    <w:unhideWhenUsed/>
    <w:rsid w:val="00A24F8C"/>
    <w:rPr>
      <w:color w:val="605E5C"/>
      <w:shd w:val="clear" w:color="auto" w:fill="E1DFDD"/>
    </w:rPr>
  </w:style>
  <w:style w:type="character" w:customStyle="1" w:styleId="Heading2Char">
    <w:name w:val="Heading 2 Char"/>
    <w:link w:val="Heading2"/>
    <w:rsid w:val="0048723F"/>
    <w:rPr>
      <w:rFonts w:ascii="Book Antiqua" w:hAnsi="Book Antiqua"/>
      <w:kern w:val="28"/>
      <w:sz w:val="24"/>
      <w:lang w:val="en-GB" w:eastAsia="en-US"/>
    </w:rPr>
  </w:style>
  <w:style w:type="paragraph" w:customStyle="1" w:styleId="footnotedescription">
    <w:name w:val="footnote description"/>
    <w:next w:val="Normal"/>
    <w:link w:val="footnotedescriptionChar"/>
    <w:hidden/>
    <w:rsid w:val="00C5055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C50555"/>
    <w:rPr>
      <w:rFonts w:ascii="Book Antiqua" w:eastAsia="Book Antiqua" w:hAnsi="Book Antiqua" w:cs="Book Antiqua"/>
      <w:color w:val="000000"/>
      <w:szCs w:val="22"/>
    </w:rPr>
  </w:style>
  <w:style w:type="character" w:customStyle="1" w:styleId="footnotemark">
    <w:name w:val="footnote mark"/>
    <w:hidden/>
    <w:rsid w:val="00C50555"/>
    <w:rPr>
      <w:rFonts w:ascii="Book Antiqua" w:eastAsia="Book Antiqua" w:hAnsi="Book Antiqua" w:cs="Book Antiqua"/>
      <w:color w:val="000000"/>
      <w:sz w:val="20"/>
      <w:vertAlign w:val="superscript"/>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7F5F1E"/>
    <w:pPr>
      <w:ind w:left="720"/>
    </w:pPr>
    <w:rPr>
      <w:szCs w:val="20"/>
    </w:rPr>
  </w:style>
  <w:style w:type="character" w:styleId="IntenseReference">
    <w:name w:val="Intense Reference"/>
    <w:basedOn w:val="DefaultParagraphFont"/>
    <w:uiPriority w:val="32"/>
    <w:qFormat/>
    <w:rsid w:val="00F52117"/>
    <w:rPr>
      <w:rFonts w:ascii="Arial" w:hAnsi="Arial"/>
      <w:b/>
      <w:bCs/>
      <w:smallCaps/>
      <w:color w:val="004EA8"/>
      <w:spacing w:val="5"/>
    </w:rPr>
  </w:style>
  <w:style w:type="paragraph" w:customStyle="1" w:styleId="HeadingTwo">
    <w:name w:val="Heading Two"/>
    <w:qFormat/>
    <w:rsid w:val="00F52117"/>
    <w:pPr>
      <w:spacing w:after="120"/>
    </w:pPr>
    <w:rPr>
      <w:rFonts w:ascii="Arial" w:eastAsiaTheme="minorHAnsi" w:hAnsi="Arial" w:cs="ArialMT"/>
      <w:color w:val="115DA8"/>
      <w:sz w:val="24"/>
      <w:szCs w:val="24"/>
      <w:lang w:val="en-US" w:eastAsia="en-US"/>
    </w:rPr>
  </w:style>
  <w:style w:type="paragraph" w:customStyle="1" w:styleId="NumberList1">
    <w:name w:val="Number List 1"/>
    <w:rsid w:val="00F52117"/>
    <w:pPr>
      <w:numPr>
        <w:numId w:val="58"/>
      </w:numPr>
      <w:spacing w:after="120"/>
    </w:pPr>
    <w:rPr>
      <w:rFonts w:ascii="Arial" w:hAnsi="Arial"/>
      <w:sz w:val="22"/>
    </w:rPr>
  </w:style>
  <w:style w:type="character" w:styleId="CommentReference">
    <w:name w:val="annotation reference"/>
    <w:basedOn w:val="DefaultParagraphFont"/>
    <w:uiPriority w:val="99"/>
    <w:unhideWhenUsed/>
    <w:rsid w:val="00F52117"/>
    <w:rPr>
      <w:sz w:val="16"/>
      <w:szCs w:val="16"/>
    </w:rPr>
  </w:style>
  <w:style w:type="paragraph" w:styleId="CommentText">
    <w:name w:val="annotation text"/>
    <w:basedOn w:val="Normal"/>
    <w:link w:val="CommentTextChar"/>
    <w:uiPriority w:val="99"/>
    <w:unhideWhenUsed/>
    <w:rsid w:val="00F52117"/>
    <w:pPr>
      <w:widowControl w:val="0"/>
      <w:suppressAutoHyphens/>
      <w:autoSpaceDE w:val="0"/>
      <w:autoSpaceDN w:val="0"/>
      <w:adjustRightInd w:val="0"/>
      <w:spacing w:after="113"/>
      <w:textAlignment w:val="center"/>
    </w:pPr>
    <w:rPr>
      <w:rFonts w:ascii="Arial" w:eastAsiaTheme="minorHAnsi" w:hAnsi="Arial" w:cs="ArialMT"/>
      <w:color w:val="53565A"/>
      <w:sz w:val="20"/>
      <w:szCs w:val="20"/>
      <w:lang w:val="en-US"/>
    </w:rPr>
  </w:style>
  <w:style w:type="character" w:customStyle="1" w:styleId="CommentTextChar">
    <w:name w:val="Comment Text Char"/>
    <w:basedOn w:val="DefaultParagraphFont"/>
    <w:link w:val="CommentText"/>
    <w:uiPriority w:val="99"/>
    <w:rsid w:val="00F52117"/>
    <w:rPr>
      <w:rFonts w:ascii="Arial" w:eastAsiaTheme="minorHAnsi" w:hAnsi="Arial" w:cs="ArialMT"/>
      <w:color w:val="53565A"/>
      <w:lang w:val="en-US" w:eastAsia="en-US"/>
    </w:rPr>
  </w:style>
  <w:style w:type="character" w:customStyle="1" w:styleId="DraftHeading2Char">
    <w:name w:val="Draft Heading 2 Char"/>
    <w:basedOn w:val="DefaultParagraphFont"/>
    <w:link w:val="DraftHeading2"/>
    <w:rsid w:val="00D8208C"/>
    <w:rPr>
      <w:sz w:val="24"/>
      <w:lang w:eastAsia="en-US"/>
    </w:rPr>
  </w:style>
  <w:style w:type="character" w:customStyle="1" w:styleId="BodySectionSubChar">
    <w:name w:val="Body Section (Sub) Char"/>
    <w:basedOn w:val="DefaultParagraphFont"/>
    <w:link w:val="BodySectionSub"/>
    <w:rsid w:val="003023FF"/>
    <w:rPr>
      <w:sz w:val="24"/>
      <w:lang w:eastAsia="en-US"/>
    </w:rPr>
  </w:style>
  <w:style w:type="paragraph" w:customStyle="1" w:styleId="Heading-PART">
    <w:name w:val="Heading - PART"/>
    <w:next w:val="Normal"/>
    <w:link w:val="Heading-PARTChar"/>
    <w:rsid w:val="0082419B"/>
    <w:pPr>
      <w:overflowPunct w:val="0"/>
      <w:autoSpaceDE w:val="0"/>
      <w:autoSpaceDN w:val="0"/>
      <w:adjustRightInd w:val="0"/>
      <w:spacing w:before="240" w:after="120"/>
      <w:jc w:val="center"/>
      <w:textAlignment w:val="baseline"/>
      <w:outlineLvl w:val="0"/>
    </w:pPr>
    <w:rPr>
      <w:b/>
      <w:caps/>
      <w:sz w:val="22"/>
      <w:lang w:eastAsia="en-US"/>
    </w:rPr>
  </w:style>
  <w:style w:type="character" w:customStyle="1" w:styleId="Heading-PARTChar">
    <w:name w:val="Heading - PART Char"/>
    <w:link w:val="Heading-PART"/>
    <w:rsid w:val="0082419B"/>
    <w:rPr>
      <w:b/>
      <w:caps/>
      <w:sz w:val="22"/>
      <w:lang w:eastAsia="en-US"/>
    </w:rPr>
  </w:style>
  <w:style w:type="paragraph" w:styleId="EndnoteText">
    <w:name w:val="endnote text"/>
    <w:basedOn w:val="Normal"/>
    <w:link w:val="EndnoteTextChar"/>
    <w:autoRedefine/>
    <w:rsid w:val="0082419B"/>
    <w:pPr>
      <w:suppressLineNumbers/>
      <w:tabs>
        <w:tab w:val="left" w:pos="284"/>
      </w:tabs>
      <w:overflowPunct w:val="0"/>
      <w:autoSpaceDE w:val="0"/>
      <w:autoSpaceDN w:val="0"/>
      <w:adjustRightInd w:val="0"/>
      <w:spacing w:before="120"/>
      <w:ind w:left="284" w:hanging="284"/>
      <w:textAlignment w:val="baseline"/>
    </w:pPr>
    <w:rPr>
      <w:sz w:val="20"/>
      <w:szCs w:val="20"/>
    </w:rPr>
  </w:style>
  <w:style w:type="character" w:customStyle="1" w:styleId="EndnoteTextChar">
    <w:name w:val="Endnote Text Char"/>
    <w:basedOn w:val="DefaultParagraphFont"/>
    <w:link w:val="EndnoteText"/>
    <w:rsid w:val="0082419B"/>
    <w:rPr>
      <w:lang w:eastAsia="en-US"/>
    </w:rPr>
  </w:style>
  <w:style w:type="character" w:styleId="EndnoteReference">
    <w:name w:val="endnote reference"/>
    <w:basedOn w:val="DefaultParagraphFont"/>
    <w:rsid w:val="0082419B"/>
    <w:rPr>
      <w:vertAlign w:val="superscript"/>
    </w:rPr>
  </w:style>
  <w:style w:type="character" w:customStyle="1" w:styleId="DraftDefinition2Char">
    <w:name w:val="Draft Definition 2 Char"/>
    <w:basedOn w:val="DefaultParagraphFont"/>
    <w:link w:val="DraftDefinition2"/>
    <w:rsid w:val="00C030AE"/>
    <w:rPr>
      <w:sz w:val="24"/>
      <w:lang w:eastAsia="en-U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D3176A"/>
    <w:rPr>
      <w:sz w:val="24"/>
      <w:lang w:eastAsia="en-US"/>
    </w:rPr>
  </w:style>
  <w:style w:type="character" w:customStyle="1" w:styleId="hpsterm">
    <w:name w:val="hpsterm"/>
    <w:basedOn w:val="DefaultParagraphFont"/>
    <w:rsid w:val="00D3176A"/>
  </w:style>
  <w:style w:type="character" w:customStyle="1" w:styleId="Heading4Char">
    <w:name w:val="Heading 4 Char"/>
    <w:basedOn w:val="DefaultParagraphFont"/>
    <w:link w:val="Heading4"/>
    <w:semiHidden/>
    <w:rsid w:val="000A7BD0"/>
    <w:rPr>
      <w:rFonts w:asciiTheme="majorHAnsi" w:eastAsiaTheme="majorEastAsia" w:hAnsiTheme="majorHAnsi" w:cstheme="majorBidi"/>
      <w:i/>
      <w:iCs/>
      <w:color w:val="2F5496" w:themeColor="accent1" w:themeShade="BF"/>
      <w:sz w:val="24"/>
      <w:szCs w:val="24"/>
      <w:lang w:eastAsia="en-US"/>
    </w:rPr>
  </w:style>
  <w:style w:type="paragraph" w:customStyle="1" w:styleId="smallcaps">
    <w:name w:val="smallcaps"/>
    <w:basedOn w:val="Normal"/>
    <w:rsid w:val="000B2E56"/>
    <w:pPr>
      <w:spacing w:before="100" w:beforeAutospacing="1" w:after="100" w:afterAutospacing="1"/>
    </w:pPr>
    <w:rPr>
      <w:lang w:eastAsia="en-AU"/>
    </w:rPr>
  </w:style>
  <w:style w:type="paragraph" w:styleId="CommentSubject">
    <w:name w:val="annotation subject"/>
    <w:basedOn w:val="CommentText"/>
    <w:next w:val="CommentText"/>
    <w:link w:val="CommentSubjectChar"/>
    <w:rsid w:val="00E35E41"/>
    <w:pPr>
      <w:widowControl/>
      <w:suppressAutoHyphens w:val="0"/>
      <w:autoSpaceDE/>
      <w:autoSpaceDN/>
      <w:adjustRightInd/>
      <w:spacing w:after="0"/>
      <w:textAlignment w:val="auto"/>
    </w:pPr>
    <w:rPr>
      <w:rFonts w:ascii="Times New Roman" w:eastAsia="Times New Roman" w:hAnsi="Times New Roman" w:cs="Times New Roman"/>
      <w:b/>
      <w:bCs/>
      <w:color w:val="auto"/>
      <w:lang w:val="en-AU"/>
    </w:rPr>
  </w:style>
  <w:style w:type="character" w:customStyle="1" w:styleId="CommentSubjectChar">
    <w:name w:val="Comment Subject Char"/>
    <w:basedOn w:val="CommentTextChar"/>
    <w:link w:val="CommentSubject"/>
    <w:rsid w:val="00E35E41"/>
    <w:rPr>
      <w:rFonts w:ascii="Arial" w:eastAsiaTheme="minorHAnsi" w:hAnsi="Arial" w:cs="ArialMT"/>
      <w:b/>
      <w:bCs/>
      <w:color w:val="53565A"/>
      <w:lang w:val="en-US" w:eastAsia="en-US"/>
    </w:rPr>
  </w:style>
  <w:style w:type="character" w:customStyle="1" w:styleId="highlight">
    <w:name w:val="highlight"/>
    <w:basedOn w:val="DefaultParagraphFont"/>
    <w:rsid w:val="000D2D81"/>
  </w:style>
  <w:style w:type="character" w:customStyle="1" w:styleId="Heading3Char">
    <w:name w:val="Heading 3 Char"/>
    <w:link w:val="Heading3"/>
    <w:rsid w:val="00B86AC9"/>
    <w:rPr>
      <w:rFonts w:ascii="Book Antiqua" w:hAnsi="Book Antiqua"/>
      <w:kern w:val="28"/>
      <w:sz w:val="24"/>
      <w:lang w:val="en-GB" w:eastAsia="en-US"/>
    </w:rPr>
  </w:style>
  <w:style w:type="character" w:customStyle="1" w:styleId="external-link">
    <w:name w:val="external-link"/>
    <w:basedOn w:val="DefaultParagraphFont"/>
    <w:rsid w:val="0030567B"/>
  </w:style>
  <w:style w:type="paragraph" w:customStyle="1" w:styleId="tab-element">
    <w:name w:val="tab-element"/>
    <w:basedOn w:val="Normal"/>
    <w:rsid w:val="0030567B"/>
    <w:pPr>
      <w:spacing w:before="100" w:beforeAutospacing="1" w:after="100" w:afterAutospacing="1"/>
    </w:pPr>
    <w:rPr>
      <w:lang w:eastAsia="en-AU"/>
    </w:rPr>
  </w:style>
  <w:style w:type="character" w:styleId="Strong">
    <w:name w:val="Strong"/>
    <w:basedOn w:val="DefaultParagraphFont"/>
    <w:uiPriority w:val="22"/>
    <w:qFormat/>
    <w:rsid w:val="0030567B"/>
    <w:rPr>
      <w:b/>
      <w:bCs/>
    </w:rPr>
  </w:style>
  <w:style w:type="paragraph" w:customStyle="1" w:styleId="BodySection">
    <w:name w:val="Body Section"/>
    <w:next w:val="Normal"/>
    <w:rsid w:val="006C1E0E"/>
    <w:pPr>
      <w:overflowPunct w:val="0"/>
      <w:autoSpaceDE w:val="0"/>
      <w:autoSpaceDN w:val="0"/>
      <w:adjustRightInd w:val="0"/>
      <w:spacing w:before="120"/>
      <w:ind w:left="1361"/>
      <w:textAlignment w:val="baseline"/>
    </w:pPr>
    <w:rPr>
      <w:sz w:val="24"/>
      <w:lang w:eastAsia="en-US"/>
    </w:rPr>
  </w:style>
  <w:style w:type="paragraph" w:customStyle="1" w:styleId="SideNote">
    <w:name w:val="Side Note"/>
    <w:basedOn w:val="Normal"/>
    <w:rsid w:val="006C1E0E"/>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basedOn w:val="DefaultParagraphFont"/>
    <w:link w:val="DraftHeading1"/>
    <w:locked/>
    <w:rsid w:val="006C1E0E"/>
    <w:rPr>
      <w:b/>
      <w:sz w:val="24"/>
      <w:szCs w:val="24"/>
      <w:lang w:eastAsia="en-US"/>
    </w:rPr>
  </w:style>
  <w:style w:type="paragraph" w:customStyle="1" w:styleId="Heading-DIVISION">
    <w:name w:val="Heading - DIVISION"/>
    <w:next w:val="Normal"/>
    <w:rsid w:val="00C323FC"/>
    <w:pPr>
      <w:overflowPunct w:val="0"/>
      <w:autoSpaceDE w:val="0"/>
      <w:autoSpaceDN w:val="0"/>
      <w:adjustRightInd w:val="0"/>
      <w:spacing w:before="240" w:after="120"/>
      <w:jc w:val="center"/>
      <w:textAlignment w:val="baseline"/>
      <w:outlineLvl w:val="1"/>
    </w:pPr>
    <w:rPr>
      <w:b/>
      <w:sz w:val="24"/>
      <w:lang w:eastAsia="en-US"/>
    </w:rPr>
  </w:style>
  <w:style w:type="character" w:customStyle="1" w:styleId="HeaderChar">
    <w:name w:val="Header Char"/>
    <w:link w:val="Header"/>
    <w:rsid w:val="004A0EA3"/>
    <w:rPr>
      <w:lang w:val="en-US" w:eastAsia="en-US"/>
    </w:rPr>
  </w:style>
  <w:style w:type="paragraph" w:customStyle="1" w:styleId="Body">
    <w:name w:val="Body"/>
    <w:link w:val="BodyChar"/>
    <w:qFormat/>
    <w:rsid w:val="009B1A5D"/>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9B1A5D"/>
    <w:rPr>
      <w:rFonts w:ascii="Arial" w:eastAsia="Times" w:hAnsi="Arial"/>
      <w:sz w:val="21"/>
      <w:lang w:eastAsia="en-US"/>
    </w:rPr>
  </w:style>
  <w:style w:type="character" w:customStyle="1" w:styleId="DraftHeading4Char">
    <w:name w:val="Draft Heading 4 Char"/>
    <w:link w:val="DraftHeading4"/>
    <w:rsid w:val="00951CEE"/>
    <w:rPr>
      <w:sz w:val="24"/>
      <w:lang w:eastAsia="en-US"/>
    </w:rPr>
  </w:style>
  <w:style w:type="paragraph" w:customStyle="1" w:styleId="DraftHeading5">
    <w:name w:val="Draft Heading 5"/>
    <w:basedOn w:val="Normal"/>
    <w:next w:val="Normal"/>
    <w:rsid w:val="00951CEE"/>
    <w:pPr>
      <w:overflowPunct w:val="0"/>
      <w:autoSpaceDE w:val="0"/>
      <w:autoSpaceDN w:val="0"/>
      <w:adjustRightInd w:val="0"/>
      <w:spacing w:before="120"/>
      <w:textAlignment w:val="baseline"/>
    </w:pPr>
    <w:rPr>
      <w:szCs w:val="20"/>
    </w:rPr>
  </w:style>
  <w:style w:type="paragraph" w:customStyle="1" w:styleId="DraftPenalty2">
    <w:name w:val="Draft Penalty 2"/>
    <w:basedOn w:val="Normal"/>
    <w:next w:val="Normal"/>
    <w:rsid w:val="00BA7079"/>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character" w:customStyle="1" w:styleId="DraftSub-sectionNoteChar">
    <w:name w:val="Draft Sub-section Note Char"/>
    <w:link w:val="DraftSub-sectionNote"/>
    <w:rsid w:val="00BA70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416">
      <w:bodyDiv w:val="1"/>
      <w:marLeft w:val="0"/>
      <w:marRight w:val="0"/>
      <w:marTop w:val="0"/>
      <w:marBottom w:val="0"/>
      <w:divBdr>
        <w:top w:val="none" w:sz="0" w:space="0" w:color="auto"/>
        <w:left w:val="none" w:sz="0" w:space="0" w:color="auto"/>
        <w:bottom w:val="none" w:sz="0" w:space="0" w:color="auto"/>
        <w:right w:val="none" w:sz="0" w:space="0" w:color="auto"/>
      </w:divBdr>
      <w:divsChild>
        <w:div w:id="2068914759">
          <w:marLeft w:val="0"/>
          <w:marRight w:val="0"/>
          <w:marTop w:val="0"/>
          <w:marBottom w:val="0"/>
          <w:divBdr>
            <w:top w:val="none" w:sz="0" w:space="0" w:color="auto"/>
            <w:left w:val="none" w:sz="0" w:space="0" w:color="auto"/>
            <w:bottom w:val="none" w:sz="0" w:space="0" w:color="auto"/>
            <w:right w:val="none" w:sz="0" w:space="0" w:color="auto"/>
          </w:divBdr>
          <w:divsChild>
            <w:div w:id="1509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903">
      <w:bodyDiv w:val="1"/>
      <w:marLeft w:val="0"/>
      <w:marRight w:val="0"/>
      <w:marTop w:val="0"/>
      <w:marBottom w:val="0"/>
      <w:divBdr>
        <w:top w:val="none" w:sz="0" w:space="0" w:color="auto"/>
        <w:left w:val="none" w:sz="0" w:space="0" w:color="auto"/>
        <w:bottom w:val="none" w:sz="0" w:space="0" w:color="auto"/>
        <w:right w:val="none" w:sz="0" w:space="0" w:color="auto"/>
      </w:divBdr>
    </w:div>
    <w:div w:id="104617861">
      <w:bodyDiv w:val="1"/>
      <w:marLeft w:val="0"/>
      <w:marRight w:val="0"/>
      <w:marTop w:val="0"/>
      <w:marBottom w:val="0"/>
      <w:divBdr>
        <w:top w:val="none" w:sz="0" w:space="0" w:color="auto"/>
        <w:left w:val="none" w:sz="0" w:space="0" w:color="auto"/>
        <w:bottom w:val="none" w:sz="0" w:space="0" w:color="auto"/>
        <w:right w:val="none" w:sz="0" w:space="0" w:color="auto"/>
      </w:divBdr>
    </w:div>
    <w:div w:id="149252986">
      <w:bodyDiv w:val="1"/>
      <w:marLeft w:val="0"/>
      <w:marRight w:val="0"/>
      <w:marTop w:val="0"/>
      <w:marBottom w:val="0"/>
      <w:divBdr>
        <w:top w:val="none" w:sz="0" w:space="0" w:color="auto"/>
        <w:left w:val="none" w:sz="0" w:space="0" w:color="auto"/>
        <w:bottom w:val="none" w:sz="0" w:space="0" w:color="auto"/>
        <w:right w:val="none" w:sz="0" w:space="0" w:color="auto"/>
      </w:divBdr>
    </w:div>
    <w:div w:id="156383145">
      <w:bodyDiv w:val="1"/>
      <w:marLeft w:val="0"/>
      <w:marRight w:val="0"/>
      <w:marTop w:val="0"/>
      <w:marBottom w:val="0"/>
      <w:divBdr>
        <w:top w:val="none" w:sz="0" w:space="0" w:color="auto"/>
        <w:left w:val="none" w:sz="0" w:space="0" w:color="auto"/>
        <w:bottom w:val="none" w:sz="0" w:space="0" w:color="auto"/>
        <w:right w:val="none" w:sz="0" w:space="0" w:color="auto"/>
      </w:divBdr>
    </w:div>
    <w:div w:id="297227278">
      <w:bodyDiv w:val="1"/>
      <w:marLeft w:val="0"/>
      <w:marRight w:val="0"/>
      <w:marTop w:val="0"/>
      <w:marBottom w:val="0"/>
      <w:divBdr>
        <w:top w:val="none" w:sz="0" w:space="0" w:color="auto"/>
        <w:left w:val="none" w:sz="0" w:space="0" w:color="auto"/>
        <w:bottom w:val="none" w:sz="0" w:space="0" w:color="auto"/>
        <w:right w:val="none" w:sz="0" w:space="0" w:color="auto"/>
      </w:divBdr>
      <w:divsChild>
        <w:div w:id="753014169">
          <w:marLeft w:val="0"/>
          <w:marRight w:val="0"/>
          <w:marTop w:val="0"/>
          <w:marBottom w:val="0"/>
          <w:divBdr>
            <w:top w:val="none" w:sz="0" w:space="0" w:color="auto"/>
            <w:left w:val="none" w:sz="0" w:space="0" w:color="auto"/>
            <w:bottom w:val="none" w:sz="0" w:space="0" w:color="auto"/>
            <w:right w:val="none" w:sz="0" w:space="0" w:color="auto"/>
          </w:divBdr>
          <w:divsChild>
            <w:div w:id="274096446">
              <w:marLeft w:val="0"/>
              <w:marRight w:val="0"/>
              <w:marTop w:val="100"/>
              <w:marBottom w:val="100"/>
              <w:divBdr>
                <w:top w:val="none" w:sz="0" w:space="0" w:color="auto"/>
                <w:left w:val="none" w:sz="0" w:space="0" w:color="auto"/>
                <w:bottom w:val="none" w:sz="0" w:space="0" w:color="auto"/>
                <w:right w:val="none" w:sz="0" w:space="0" w:color="auto"/>
              </w:divBdr>
              <w:divsChild>
                <w:div w:id="1179543186">
                  <w:marLeft w:val="0"/>
                  <w:marRight w:val="0"/>
                  <w:marTop w:val="0"/>
                  <w:marBottom w:val="0"/>
                  <w:divBdr>
                    <w:top w:val="none" w:sz="0" w:space="0" w:color="auto"/>
                    <w:left w:val="none" w:sz="0" w:space="0" w:color="auto"/>
                    <w:bottom w:val="none" w:sz="0" w:space="0" w:color="auto"/>
                    <w:right w:val="none" w:sz="0" w:space="0" w:color="auto"/>
                  </w:divBdr>
                  <w:divsChild>
                    <w:div w:id="1785348142">
                      <w:marLeft w:val="-225"/>
                      <w:marRight w:val="-225"/>
                      <w:marTop w:val="0"/>
                      <w:marBottom w:val="0"/>
                      <w:divBdr>
                        <w:top w:val="none" w:sz="0" w:space="0" w:color="auto"/>
                        <w:left w:val="none" w:sz="0" w:space="0" w:color="auto"/>
                        <w:bottom w:val="none" w:sz="0" w:space="0" w:color="auto"/>
                        <w:right w:val="none" w:sz="0" w:space="0" w:color="auto"/>
                      </w:divBdr>
                      <w:divsChild>
                        <w:div w:id="491483560">
                          <w:marLeft w:val="0"/>
                          <w:marRight w:val="0"/>
                          <w:marTop w:val="0"/>
                          <w:marBottom w:val="0"/>
                          <w:divBdr>
                            <w:top w:val="none" w:sz="0" w:space="0" w:color="auto"/>
                            <w:left w:val="none" w:sz="0" w:space="0" w:color="auto"/>
                            <w:bottom w:val="none" w:sz="0" w:space="0" w:color="auto"/>
                            <w:right w:val="none" w:sz="0" w:space="0" w:color="auto"/>
                          </w:divBdr>
                          <w:divsChild>
                            <w:div w:id="12217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785858">
      <w:bodyDiv w:val="1"/>
      <w:marLeft w:val="0"/>
      <w:marRight w:val="0"/>
      <w:marTop w:val="0"/>
      <w:marBottom w:val="0"/>
      <w:divBdr>
        <w:top w:val="none" w:sz="0" w:space="0" w:color="auto"/>
        <w:left w:val="none" w:sz="0" w:space="0" w:color="auto"/>
        <w:bottom w:val="none" w:sz="0" w:space="0" w:color="auto"/>
        <w:right w:val="none" w:sz="0" w:space="0" w:color="auto"/>
      </w:divBdr>
    </w:div>
    <w:div w:id="353701433">
      <w:bodyDiv w:val="1"/>
      <w:marLeft w:val="0"/>
      <w:marRight w:val="0"/>
      <w:marTop w:val="0"/>
      <w:marBottom w:val="0"/>
      <w:divBdr>
        <w:top w:val="none" w:sz="0" w:space="0" w:color="auto"/>
        <w:left w:val="none" w:sz="0" w:space="0" w:color="auto"/>
        <w:bottom w:val="none" w:sz="0" w:space="0" w:color="auto"/>
        <w:right w:val="none" w:sz="0" w:space="0" w:color="auto"/>
      </w:divBdr>
    </w:div>
    <w:div w:id="902368850">
      <w:bodyDiv w:val="1"/>
      <w:marLeft w:val="0"/>
      <w:marRight w:val="0"/>
      <w:marTop w:val="0"/>
      <w:marBottom w:val="0"/>
      <w:divBdr>
        <w:top w:val="none" w:sz="0" w:space="0" w:color="auto"/>
        <w:left w:val="none" w:sz="0" w:space="0" w:color="auto"/>
        <w:bottom w:val="none" w:sz="0" w:space="0" w:color="auto"/>
        <w:right w:val="none" w:sz="0" w:space="0" w:color="auto"/>
      </w:divBdr>
    </w:div>
    <w:div w:id="922183714">
      <w:bodyDiv w:val="1"/>
      <w:marLeft w:val="0"/>
      <w:marRight w:val="0"/>
      <w:marTop w:val="0"/>
      <w:marBottom w:val="0"/>
      <w:divBdr>
        <w:top w:val="none" w:sz="0" w:space="0" w:color="auto"/>
        <w:left w:val="none" w:sz="0" w:space="0" w:color="auto"/>
        <w:bottom w:val="none" w:sz="0" w:space="0" w:color="auto"/>
        <w:right w:val="none" w:sz="0" w:space="0" w:color="auto"/>
      </w:divBdr>
    </w:div>
    <w:div w:id="1138108269">
      <w:bodyDiv w:val="1"/>
      <w:marLeft w:val="0"/>
      <w:marRight w:val="0"/>
      <w:marTop w:val="0"/>
      <w:marBottom w:val="0"/>
      <w:divBdr>
        <w:top w:val="none" w:sz="0" w:space="0" w:color="auto"/>
        <w:left w:val="none" w:sz="0" w:space="0" w:color="auto"/>
        <w:bottom w:val="none" w:sz="0" w:space="0" w:color="auto"/>
        <w:right w:val="none" w:sz="0" w:space="0" w:color="auto"/>
      </w:divBdr>
    </w:div>
    <w:div w:id="1172183597">
      <w:bodyDiv w:val="1"/>
      <w:marLeft w:val="0"/>
      <w:marRight w:val="0"/>
      <w:marTop w:val="0"/>
      <w:marBottom w:val="0"/>
      <w:divBdr>
        <w:top w:val="none" w:sz="0" w:space="0" w:color="auto"/>
        <w:left w:val="none" w:sz="0" w:space="0" w:color="auto"/>
        <w:bottom w:val="none" w:sz="0" w:space="0" w:color="auto"/>
        <w:right w:val="none" w:sz="0" w:space="0" w:color="auto"/>
      </w:divBdr>
      <w:divsChild>
        <w:div w:id="1521163398">
          <w:marLeft w:val="750"/>
          <w:marRight w:val="300"/>
          <w:marTop w:val="0"/>
          <w:marBottom w:val="0"/>
          <w:divBdr>
            <w:top w:val="none" w:sz="0" w:space="0" w:color="auto"/>
            <w:left w:val="single" w:sz="6" w:space="15" w:color="555555"/>
            <w:bottom w:val="none" w:sz="0" w:space="0" w:color="auto"/>
            <w:right w:val="none" w:sz="0" w:space="0" w:color="auto"/>
          </w:divBdr>
        </w:div>
      </w:divsChild>
    </w:div>
    <w:div w:id="1394547094">
      <w:bodyDiv w:val="1"/>
      <w:marLeft w:val="0"/>
      <w:marRight w:val="0"/>
      <w:marTop w:val="0"/>
      <w:marBottom w:val="0"/>
      <w:divBdr>
        <w:top w:val="none" w:sz="0" w:space="0" w:color="auto"/>
        <w:left w:val="none" w:sz="0" w:space="0" w:color="auto"/>
        <w:bottom w:val="none" w:sz="0" w:space="0" w:color="auto"/>
        <w:right w:val="none" w:sz="0" w:space="0" w:color="auto"/>
      </w:divBdr>
    </w:div>
    <w:div w:id="1479541772">
      <w:bodyDiv w:val="1"/>
      <w:marLeft w:val="0"/>
      <w:marRight w:val="0"/>
      <w:marTop w:val="0"/>
      <w:marBottom w:val="0"/>
      <w:divBdr>
        <w:top w:val="none" w:sz="0" w:space="0" w:color="auto"/>
        <w:left w:val="none" w:sz="0" w:space="0" w:color="auto"/>
        <w:bottom w:val="none" w:sz="0" w:space="0" w:color="auto"/>
        <w:right w:val="none" w:sz="0" w:space="0" w:color="auto"/>
      </w:divBdr>
      <w:divsChild>
        <w:div w:id="301421010">
          <w:marLeft w:val="0"/>
          <w:marRight w:val="0"/>
          <w:marTop w:val="0"/>
          <w:marBottom w:val="0"/>
          <w:divBdr>
            <w:top w:val="none" w:sz="0" w:space="0" w:color="auto"/>
            <w:left w:val="none" w:sz="0" w:space="0" w:color="auto"/>
            <w:bottom w:val="none" w:sz="0" w:space="0" w:color="auto"/>
            <w:right w:val="none" w:sz="0" w:space="0" w:color="auto"/>
          </w:divBdr>
        </w:div>
        <w:div w:id="322243402">
          <w:marLeft w:val="0"/>
          <w:marRight w:val="0"/>
          <w:marTop w:val="0"/>
          <w:marBottom w:val="0"/>
          <w:divBdr>
            <w:top w:val="none" w:sz="0" w:space="0" w:color="auto"/>
            <w:left w:val="none" w:sz="0" w:space="0" w:color="auto"/>
            <w:bottom w:val="none" w:sz="0" w:space="0" w:color="auto"/>
            <w:right w:val="none" w:sz="0" w:space="0" w:color="auto"/>
          </w:divBdr>
        </w:div>
        <w:div w:id="725303743">
          <w:marLeft w:val="0"/>
          <w:marRight w:val="0"/>
          <w:marTop w:val="0"/>
          <w:marBottom w:val="0"/>
          <w:divBdr>
            <w:top w:val="none" w:sz="0" w:space="0" w:color="auto"/>
            <w:left w:val="none" w:sz="0" w:space="0" w:color="auto"/>
            <w:bottom w:val="none" w:sz="0" w:space="0" w:color="auto"/>
            <w:right w:val="none" w:sz="0" w:space="0" w:color="auto"/>
          </w:divBdr>
        </w:div>
        <w:div w:id="1239972569">
          <w:marLeft w:val="0"/>
          <w:marRight w:val="0"/>
          <w:marTop w:val="0"/>
          <w:marBottom w:val="0"/>
          <w:divBdr>
            <w:top w:val="none" w:sz="0" w:space="0" w:color="auto"/>
            <w:left w:val="none" w:sz="0" w:space="0" w:color="auto"/>
            <w:bottom w:val="none" w:sz="0" w:space="0" w:color="auto"/>
            <w:right w:val="none" w:sz="0" w:space="0" w:color="auto"/>
          </w:divBdr>
        </w:div>
        <w:div w:id="1695227951">
          <w:marLeft w:val="0"/>
          <w:marRight w:val="0"/>
          <w:marTop w:val="0"/>
          <w:marBottom w:val="0"/>
          <w:divBdr>
            <w:top w:val="none" w:sz="0" w:space="0" w:color="auto"/>
            <w:left w:val="none" w:sz="0" w:space="0" w:color="auto"/>
            <w:bottom w:val="none" w:sz="0" w:space="0" w:color="auto"/>
            <w:right w:val="none" w:sz="0" w:space="0" w:color="auto"/>
          </w:divBdr>
        </w:div>
      </w:divsChild>
    </w:div>
    <w:div w:id="1482455767">
      <w:bodyDiv w:val="1"/>
      <w:marLeft w:val="0"/>
      <w:marRight w:val="0"/>
      <w:marTop w:val="0"/>
      <w:marBottom w:val="0"/>
      <w:divBdr>
        <w:top w:val="none" w:sz="0" w:space="0" w:color="auto"/>
        <w:left w:val="none" w:sz="0" w:space="0" w:color="auto"/>
        <w:bottom w:val="none" w:sz="0" w:space="0" w:color="auto"/>
        <w:right w:val="none" w:sz="0" w:space="0" w:color="auto"/>
      </w:divBdr>
    </w:div>
    <w:div w:id="1669674667">
      <w:bodyDiv w:val="1"/>
      <w:marLeft w:val="0"/>
      <w:marRight w:val="0"/>
      <w:marTop w:val="0"/>
      <w:marBottom w:val="0"/>
      <w:divBdr>
        <w:top w:val="none" w:sz="0" w:space="0" w:color="auto"/>
        <w:left w:val="none" w:sz="0" w:space="0" w:color="auto"/>
        <w:bottom w:val="none" w:sz="0" w:space="0" w:color="auto"/>
        <w:right w:val="none" w:sz="0" w:space="0" w:color="auto"/>
      </w:divBdr>
      <w:divsChild>
        <w:div w:id="346369343">
          <w:marLeft w:val="0"/>
          <w:marRight w:val="0"/>
          <w:marTop w:val="0"/>
          <w:marBottom w:val="0"/>
          <w:divBdr>
            <w:top w:val="none" w:sz="0" w:space="0" w:color="auto"/>
            <w:left w:val="none" w:sz="0" w:space="0" w:color="auto"/>
            <w:bottom w:val="none" w:sz="0" w:space="0" w:color="auto"/>
            <w:right w:val="none" w:sz="0" w:space="0" w:color="auto"/>
          </w:divBdr>
          <w:divsChild>
            <w:div w:id="489061504">
              <w:marLeft w:val="0"/>
              <w:marRight w:val="0"/>
              <w:marTop w:val="0"/>
              <w:marBottom w:val="0"/>
              <w:divBdr>
                <w:top w:val="none" w:sz="0" w:space="0" w:color="auto"/>
                <w:left w:val="none" w:sz="0" w:space="0" w:color="auto"/>
                <w:bottom w:val="none" w:sz="0" w:space="0" w:color="auto"/>
                <w:right w:val="none" w:sz="0" w:space="0" w:color="auto"/>
              </w:divBdr>
              <w:divsChild>
                <w:div w:id="1099450207">
                  <w:marLeft w:val="0"/>
                  <w:marRight w:val="0"/>
                  <w:marTop w:val="0"/>
                  <w:marBottom w:val="0"/>
                  <w:divBdr>
                    <w:top w:val="none" w:sz="0" w:space="0" w:color="auto"/>
                    <w:left w:val="none" w:sz="0" w:space="0" w:color="auto"/>
                    <w:bottom w:val="none" w:sz="0" w:space="0" w:color="auto"/>
                    <w:right w:val="none" w:sz="0" w:space="0" w:color="auto"/>
                  </w:divBdr>
                  <w:divsChild>
                    <w:div w:id="958728076">
                      <w:marLeft w:val="0"/>
                      <w:marRight w:val="0"/>
                      <w:marTop w:val="0"/>
                      <w:marBottom w:val="0"/>
                      <w:divBdr>
                        <w:top w:val="none" w:sz="0" w:space="0" w:color="auto"/>
                        <w:left w:val="none" w:sz="0" w:space="0" w:color="auto"/>
                        <w:bottom w:val="none" w:sz="0" w:space="0" w:color="auto"/>
                        <w:right w:val="none" w:sz="0" w:space="0" w:color="auto"/>
                      </w:divBdr>
                      <w:divsChild>
                        <w:div w:id="45764330">
                          <w:marLeft w:val="0"/>
                          <w:marRight w:val="0"/>
                          <w:marTop w:val="0"/>
                          <w:marBottom w:val="0"/>
                          <w:divBdr>
                            <w:top w:val="none" w:sz="0" w:space="0" w:color="auto"/>
                            <w:left w:val="none" w:sz="0" w:space="0" w:color="auto"/>
                            <w:bottom w:val="none" w:sz="0" w:space="0" w:color="auto"/>
                            <w:right w:val="none" w:sz="0" w:space="0" w:color="auto"/>
                          </w:divBdr>
                          <w:divsChild>
                            <w:div w:id="10671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716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 w:id="1532066648">
              <w:marLeft w:val="0"/>
              <w:marRight w:val="0"/>
              <w:marTop w:val="0"/>
              <w:marBottom w:val="0"/>
              <w:divBdr>
                <w:top w:val="none" w:sz="0" w:space="0" w:color="auto"/>
                <w:left w:val="none" w:sz="0" w:space="0" w:color="auto"/>
                <w:bottom w:val="none" w:sz="0" w:space="0" w:color="auto"/>
                <w:right w:val="none" w:sz="0" w:space="0" w:color="auto"/>
              </w:divBdr>
              <w:divsChild>
                <w:div w:id="15824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0118">
          <w:marLeft w:val="-900"/>
          <w:marRight w:val="-900"/>
          <w:marTop w:val="900"/>
          <w:marBottom w:val="0"/>
          <w:divBdr>
            <w:top w:val="single" w:sz="48" w:space="30" w:color="EFEFEF"/>
            <w:left w:val="none" w:sz="0" w:space="0" w:color="auto"/>
            <w:bottom w:val="none" w:sz="0" w:space="0" w:color="auto"/>
            <w:right w:val="none" w:sz="0" w:space="0" w:color="auto"/>
          </w:divBdr>
          <w:divsChild>
            <w:div w:id="1654598408">
              <w:marLeft w:val="0"/>
              <w:marRight w:val="0"/>
              <w:marTop w:val="0"/>
              <w:marBottom w:val="0"/>
              <w:divBdr>
                <w:top w:val="none" w:sz="0" w:space="0" w:color="auto"/>
                <w:left w:val="none" w:sz="0" w:space="0" w:color="auto"/>
                <w:bottom w:val="none" w:sz="0" w:space="0" w:color="auto"/>
                <w:right w:val="none" w:sz="0" w:space="0" w:color="auto"/>
              </w:divBdr>
              <w:divsChild>
                <w:div w:id="815218588">
                  <w:marLeft w:val="0"/>
                  <w:marRight w:val="0"/>
                  <w:marTop w:val="0"/>
                  <w:marBottom w:val="0"/>
                  <w:divBdr>
                    <w:top w:val="none" w:sz="0" w:space="0" w:color="auto"/>
                    <w:left w:val="none" w:sz="0" w:space="0" w:color="auto"/>
                    <w:bottom w:val="none" w:sz="0" w:space="0" w:color="auto"/>
                    <w:right w:val="none" w:sz="0" w:space="0" w:color="auto"/>
                  </w:divBdr>
                  <w:divsChild>
                    <w:div w:id="1446467354">
                      <w:marLeft w:val="0"/>
                      <w:marRight w:val="0"/>
                      <w:marTop w:val="0"/>
                      <w:marBottom w:val="0"/>
                      <w:divBdr>
                        <w:top w:val="none" w:sz="0" w:space="0" w:color="auto"/>
                        <w:left w:val="none" w:sz="0" w:space="0" w:color="auto"/>
                        <w:bottom w:val="none" w:sz="0" w:space="0" w:color="auto"/>
                        <w:right w:val="none" w:sz="0" w:space="0" w:color="auto"/>
                      </w:divBdr>
                      <w:divsChild>
                        <w:div w:id="869338272">
                          <w:marLeft w:val="0"/>
                          <w:marRight w:val="0"/>
                          <w:marTop w:val="0"/>
                          <w:marBottom w:val="0"/>
                          <w:divBdr>
                            <w:top w:val="none" w:sz="0" w:space="0" w:color="auto"/>
                            <w:left w:val="none" w:sz="0" w:space="0" w:color="auto"/>
                            <w:bottom w:val="none" w:sz="0" w:space="0" w:color="auto"/>
                            <w:right w:val="none" w:sz="0" w:space="0" w:color="auto"/>
                          </w:divBdr>
                          <w:divsChild>
                            <w:div w:id="595984640">
                              <w:marLeft w:val="0"/>
                              <w:marRight w:val="0"/>
                              <w:marTop w:val="0"/>
                              <w:marBottom w:val="0"/>
                              <w:divBdr>
                                <w:top w:val="none" w:sz="0" w:space="0" w:color="auto"/>
                                <w:left w:val="none" w:sz="0" w:space="0" w:color="auto"/>
                                <w:bottom w:val="none" w:sz="0" w:space="0" w:color="auto"/>
                                <w:right w:val="none" w:sz="0" w:space="0" w:color="auto"/>
                              </w:divBdr>
                              <w:divsChild>
                                <w:div w:id="769353489">
                                  <w:marLeft w:val="0"/>
                                  <w:marRight w:val="0"/>
                                  <w:marTop w:val="0"/>
                                  <w:marBottom w:val="0"/>
                                  <w:divBdr>
                                    <w:top w:val="none" w:sz="0" w:space="0" w:color="auto"/>
                                    <w:left w:val="none" w:sz="0" w:space="0" w:color="auto"/>
                                    <w:bottom w:val="none" w:sz="0" w:space="0" w:color="auto"/>
                                    <w:right w:val="none" w:sz="0" w:space="0" w:color="auto"/>
                                  </w:divBdr>
                                  <w:divsChild>
                                    <w:div w:id="8443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marLeft w:val="0"/>
                              <w:marRight w:val="0"/>
                              <w:marTop w:val="0"/>
                              <w:marBottom w:val="0"/>
                              <w:divBdr>
                                <w:top w:val="none" w:sz="0" w:space="0" w:color="auto"/>
                                <w:left w:val="none" w:sz="0" w:space="0" w:color="auto"/>
                                <w:bottom w:val="none" w:sz="0" w:space="0" w:color="auto"/>
                                <w:right w:val="none" w:sz="0" w:space="0" w:color="auto"/>
                              </w:divBdr>
                              <w:divsChild>
                                <w:div w:id="1518077429">
                                  <w:marLeft w:val="0"/>
                                  <w:marRight w:val="0"/>
                                  <w:marTop w:val="0"/>
                                  <w:marBottom w:val="0"/>
                                  <w:divBdr>
                                    <w:top w:val="none" w:sz="0" w:space="0" w:color="auto"/>
                                    <w:left w:val="none" w:sz="0" w:space="0" w:color="auto"/>
                                    <w:bottom w:val="none" w:sz="0" w:space="0" w:color="auto"/>
                                    <w:right w:val="none" w:sz="0" w:space="0" w:color="auto"/>
                                  </w:divBdr>
                                  <w:divsChild>
                                    <w:div w:id="6051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3993">
                              <w:marLeft w:val="0"/>
                              <w:marRight w:val="0"/>
                              <w:marTop w:val="0"/>
                              <w:marBottom w:val="0"/>
                              <w:divBdr>
                                <w:top w:val="none" w:sz="0" w:space="0" w:color="auto"/>
                                <w:left w:val="none" w:sz="0" w:space="0" w:color="auto"/>
                                <w:bottom w:val="none" w:sz="0" w:space="0" w:color="auto"/>
                                <w:right w:val="none" w:sz="0" w:space="0" w:color="auto"/>
                              </w:divBdr>
                              <w:divsChild>
                                <w:div w:id="1190801298">
                                  <w:marLeft w:val="0"/>
                                  <w:marRight w:val="0"/>
                                  <w:marTop w:val="0"/>
                                  <w:marBottom w:val="0"/>
                                  <w:divBdr>
                                    <w:top w:val="none" w:sz="0" w:space="0" w:color="auto"/>
                                    <w:left w:val="none" w:sz="0" w:space="0" w:color="auto"/>
                                    <w:bottom w:val="none" w:sz="0" w:space="0" w:color="auto"/>
                                    <w:right w:val="none" w:sz="0" w:space="0" w:color="auto"/>
                                  </w:divBdr>
                                  <w:divsChild>
                                    <w:div w:id="18162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8276">
                              <w:marLeft w:val="0"/>
                              <w:marRight w:val="0"/>
                              <w:marTop w:val="0"/>
                              <w:marBottom w:val="0"/>
                              <w:divBdr>
                                <w:top w:val="none" w:sz="0" w:space="0" w:color="auto"/>
                                <w:left w:val="none" w:sz="0" w:space="0" w:color="auto"/>
                                <w:bottom w:val="none" w:sz="0" w:space="0" w:color="auto"/>
                                <w:right w:val="none" w:sz="0" w:space="0" w:color="auto"/>
                              </w:divBdr>
                              <w:divsChild>
                                <w:div w:id="1351835293">
                                  <w:marLeft w:val="0"/>
                                  <w:marRight w:val="0"/>
                                  <w:marTop w:val="0"/>
                                  <w:marBottom w:val="0"/>
                                  <w:divBdr>
                                    <w:top w:val="none" w:sz="0" w:space="0" w:color="auto"/>
                                    <w:left w:val="none" w:sz="0" w:space="0" w:color="auto"/>
                                    <w:bottom w:val="none" w:sz="0" w:space="0" w:color="auto"/>
                                    <w:right w:val="none" w:sz="0" w:space="0" w:color="auto"/>
                                  </w:divBdr>
                                  <w:divsChild>
                                    <w:div w:id="89350149">
                                      <w:marLeft w:val="0"/>
                                      <w:marRight w:val="0"/>
                                      <w:marTop w:val="0"/>
                                      <w:marBottom w:val="0"/>
                                      <w:divBdr>
                                        <w:top w:val="none" w:sz="0" w:space="0" w:color="auto"/>
                                        <w:left w:val="none" w:sz="0" w:space="0" w:color="auto"/>
                                        <w:bottom w:val="none" w:sz="0" w:space="0" w:color="auto"/>
                                        <w:right w:val="none" w:sz="0" w:space="0" w:color="auto"/>
                                      </w:divBdr>
                                      <w:divsChild>
                                        <w:div w:id="1671525970">
                                          <w:marLeft w:val="0"/>
                                          <w:marRight w:val="0"/>
                                          <w:marTop w:val="0"/>
                                          <w:marBottom w:val="0"/>
                                          <w:divBdr>
                                            <w:top w:val="none" w:sz="0" w:space="0" w:color="auto"/>
                                            <w:left w:val="none" w:sz="0" w:space="0" w:color="auto"/>
                                            <w:bottom w:val="none" w:sz="0" w:space="0" w:color="auto"/>
                                            <w:right w:val="none" w:sz="0" w:space="0" w:color="auto"/>
                                          </w:divBdr>
                                          <w:divsChild>
                                            <w:div w:id="1387726320">
                                              <w:marLeft w:val="0"/>
                                              <w:marRight w:val="0"/>
                                              <w:marTop w:val="0"/>
                                              <w:marBottom w:val="0"/>
                                              <w:divBdr>
                                                <w:top w:val="none" w:sz="0" w:space="0" w:color="auto"/>
                                                <w:left w:val="none" w:sz="0" w:space="0" w:color="auto"/>
                                                <w:bottom w:val="none" w:sz="0" w:space="0" w:color="auto"/>
                                                <w:right w:val="none" w:sz="0" w:space="0" w:color="auto"/>
                                              </w:divBdr>
                                            </w:div>
                                          </w:divsChild>
                                        </w:div>
                                        <w:div w:id="404113381">
                                          <w:marLeft w:val="0"/>
                                          <w:marRight w:val="0"/>
                                          <w:marTop w:val="0"/>
                                          <w:marBottom w:val="0"/>
                                          <w:divBdr>
                                            <w:top w:val="none" w:sz="0" w:space="0" w:color="auto"/>
                                            <w:left w:val="none" w:sz="0" w:space="0" w:color="auto"/>
                                            <w:bottom w:val="none" w:sz="0" w:space="0" w:color="auto"/>
                                            <w:right w:val="none" w:sz="0" w:space="0" w:color="auto"/>
                                          </w:divBdr>
                                          <w:divsChild>
                                            <w:div w:id="1258975884">
                                              <w:marLeft w:val="0"/>
                                              <w:marRight w:val="0"/>
                                              <w:marTop w:val="0"/>
                                              <w:marBottom w:val="0"/>
                                              <w:divBdr>
                                                <w:top w:val="none" w:sz="0" w:space="0" w:color="auto"/>
                                                <w:left w:val="none" w:sz="0" w:space="0" w:color="auto"/>
                                                <w:bottom w:val="none" w:sz="0" w:space="0" w:color="auto"/>
                                                <w:right w:val="none" w:sz="0" w:space="0" w:color="auto"/>
                                              </w:divBdr>
                                            </w:div>
                                          </w:divsChild>
                                        </w:div>
                                        <w:div w:id="509679354">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 w:id="521016318">
                              <w:marLeft w:val="0"/>
                              <w:marRight w:val="0"/>
                              <w:marTop w:val="0"/>
                              <w:marBottom w:val="0"/>
                              <w:divBdr>
                                <w:top w:val="none" w:sz="0" w:space="0" w:color="auto"/>
                                <w:left w:val="none" w:sz="0" w:space="0" w:color="auto"/>
                                <w:bottom w:val="none" w:sz="0" w:space="0" w:color="auto"/>
                                <w:right w:val="none" w:sz="0" w:space="0" w:color="auto"/>
                              </w:divBdr>
                              <w:divsChild>
                                <w:div w:id="897783073">
                                  <w:marLeft w:val="0"/>
                                  <w:marRight w:val="0"/>
                                  <w:marTop w:val="0"/>
                                  <w:marBottom w:val="0"/>
                                  <w:divBdr>
                                    <w:top w:val="none" w:sz="0" w:space="0" w:color="auto"/>
                                    <w:left w:val="none" w:sz="0" w:space="0" w:color="auto"/>
                                    <w:bottom w:val="none" w:sz="0" w:space="0" w:color="auto"/>
                                    <w:right w:val="none" w:sz="0" w:space="0" w:color="auto"/>
                                  </w:divBdr>
                                  <w:divsChild>
                                    <w:div w:id="17156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6721">
                              <w:marLeft w:val="0"/>
                              <w:marRight w:val="0"/>
                              <w:marTop w:val="0"/>
                              <w:marBottom w:val="0"/>
                              <w:divBdr>
                                <w:top w:val="none" w:sz="0" w:space="0" w:color="auto"/>
                                <w:left w:val="none" w:sz="0" w:space="0" w:color="auto"/>
                                <w:bottom w:val="none" w:sz="0" w:space="0" w:color="auto"/>
                                <w:right w:val="none" w:sz="0" w:space="0" w:color="auto"/>
                              </w:divBdr>
                              <w:divsChild>
                                <w:div w:id="1510369660">
                                  <w:marLeft w:val="0"/>
                                  <w:marRight w:val="0"/>
                                  <w:marTop w:val="0"/>
                                  <w:marBottom w:val="0"/>
                                  <w:divBdr>
                                    <w:top w:val="none" w:sz="0" w:space="0" w:color="auto"/>
                                    <w:left w:val="none" w:sz="0" w:space="0" w:color="auto"/>
                                    <w:bottom w:val="none" w:sz="0" w:space="0" w:color="auto"/>
                                    <w:right w:val="none" w:sz="0" w:space="0" w:color="auto"/>
                                  </w:divBdr>
                                  <w:divsChild>
                                    <w:div w:id="2019846150">
                                      <w:marLeft w:val="0"/>
                                      <w:marRight w:val="0"/>
                                      <w:marTop w:val="0"/>
                                      <w:marBottom w:val="0"/>
                                      <w:divBdr>
                                        <w:top w:val="none" w:sz="0" w:space="0" w:color="auto"/>
                                        <w:left w:val="none" w:sz="0" w:space="0" w:color="auto"/>
                                        <w:bottom w:val="none" w:sz="0" w:space="0" w:color="auto"/>
                                        <w:right w:val="none" w:sz="0" w:space="0" w:color="auto"/>
                                      </w:divBdr>
                                      <w:divsChild>
                                        <w:div w:id="1961034298">
                                          <w:marLeft w:val="0"/>
                                          <w:marRight w:val="0"/>
                                          <w:marTop w:val="300"/>
                                          <w:marBottom w:val="225"/>
                                          <w:divBdr>
                                            <w:top w:val="single" w:sz="6" w:space="23" w:color="E4E8EA"/>
                                            <w:left w:val="single" w:sz="6" w:space="23" w:color="E4E8EA"/>
                                            <w:bottom w:val="single" w:sz="6" w:space="23" w:color="E4E8EA"/>
                                            <w:right w:val="single" w:sz="6" w:space="23" w:color="E4E8EA"/>
                                          </w:divBdr>
                                        </w:div>
                                      </w:divsChild>
                                    </w:div>
                                  </w:divsChild>
                                </w:div>
                              </w:divsChild>
                            </w:div>
                          </w:divsChild>
                        </w:div>
                      </w:divsChild>
                    </w:div>
                  </w:divsChild>
                </w:div>
              </w:divsChild>
            </w:div>
          </w:divsChild>
        </w:div>
      </w:divsChild>
    </w:div>
    <w:div w:id="1672023549">
      <w:bodyDiv w:val="1"/>
      <w:marLeft w:val="0"/>
      <w:marRight w:val="0"/>
      <w:marTop w:val="0"/>
      <w:marBottom w:val="0"/>
      <w:divBdr>
        <w:top w:val="none" w:sz="0" w:space="0" w:color="auto"/>
        <w:left w:val="none" w:sz="0" w:space="0" w:color="auto"/>
        <w:bottom w:val="none" w:sz="0" w:space="0" w:color="auto"/>
        <w:right w:val="none" w:sz="0" w:space="0" w:color="auto"/>
      </w:divBdr>
    </w:div>
    <w:div w:id="1679504820">
      <w:bodyDiv w:val="1"/>
      <w:marLeft w:val="0"/>
      <w:marRight w:val="0"/>
      <w:marTop w:val="0"/>
      <w:marBottom w:val="0"/>
      <w:divBdr>
        <w:top w:val="none" w:sz="0" w:space="0" w:color="auto"/>
        <w:left w:val="none" w:sz="0" w:space="0" w:color="auto"/>
        <w:bottom w:val="none" w:sz="0" w:space="0" w:color="auto"/>
        <w:right w:val="none" w:sz="0" w:space="0" w:color="auto"/>
      </w:divBdr>
    </w:div>
    <w:div w:id="1720200457">
      <w:bodyDiv w:val="1"/>
      <w:marLeft w:val="0"/>
      <w:marRight w:val="0"/>
      <w:marTop w:val="0"/>
      <w:marBottom w:val="0"/>
      <w:divBdr>
        <w:top w:val="none" w:sz="0" w:space="0" w:color="auto"/>
        <w:left w:val="none" w:sz="0" w:space="0" w:color="auto"/>
        <w:bottom w:val="none" w:sz="0" w:space="0" w:color="auto"/>
        <w:right w:val="none" w:sz="0" w:space="0" w:color="auto"/>
      </w:divBdr>
      <w:divsChild>
        <w:div w:id="1336037184">
          <w:marLeft w:val="0"/>
          <w:marRight w:val="0"/>
          <w:marTop w:val="0"/>
          <w:marBottom w:val="0"/>
          <w:divBdr>
            <w:top w:val="single" w:sz="2" w:space="31" w:color="E5E7EB"/>
            <w:left w:val="single" w:sz="2" w:space="0" w:color="E5E7EB"/>
            <w:bottom w:val="single" w:sz="2" w:space="0" w:color="E5E7EB"/>
            <w:right w:val="single" w:sz="2" w:space="0" w:color="E5E7EB"/>
          </w:divBdr>
          <w:divsChild>
            <w:div w:id="1953659798">
              <w:marLeft w:val="0"/>
              <w:marRight w:val="0"/>
              <w:marTop w:val="0"/>
              <w:marBottom w:val="0"/>
              <w:divBdr>
                <w:top w:val="single" w:sz="2" w:space="0" w:color="E5E7EB"/>
                <w:left w:val="single" w:sz="2" w:space="0" w:color="E5E7EB"/>
                <w:bottom w:val="single" w:sz="2" w:space="0" w:color="E5E7EB"/>
                <w:right w:val="single" w:sz="2" w:space="0" w:color="E5E7EB"/>
              </w:divBdr>
              <w:divsChild>
                <w:div w:id="1387948683">
                  <w:marLeft w:val="0"/>
                  <w:marRight w:val="0"/>
                  <w:marTop w:val="0"/>
                  <w:marBottom w:val="0"/>
                  <w:divBdr>
                    <w:top w:val="single" w:sz="2" w:space="0" w:color="E5E7EB"/>
                    <w:left w:val="single" w:sz="2" w:space="0" w:color="E5E7EB"/>
                    <w:bottom w:val="single" w:sz="2" w:space="0" w:color="E5E7EB"/>
                    <w:right w:val="single" w:sz="2" w:space="0" w:color="E5E7EB"/>
                  </w:divBdr>
                  <w:divsChild>
                    <w:div w:id="1661731966">
                      <w:marLeft w:val="0"/>
                      <w:marRight w:val="0"/>
                      <w:marTop w:val="0"/>
                      <w:marBottom w:val="0"/>
                      <w:divBdr>
                        <w:top w:val="single" w:sz="2" w:space="0" w:color="E5E7EB"/>
                        <w:left w:val="single" w:sz="2" w:space="0" w:color="E5E7EB"/>
                        <w:bottom w:val="single" w:sz="2" w:space="0" w:color="E5E7EB"/>
                        <w:right w:val="single" w:sz="2" w:space="0" w:color="E5E7EB"/>
                      </w:divBdr>
                      <w:divsChild>
                        <w:div w:id="355930956">
                          <w:marLeft w:val="0"/>
                          <w:marRight w:val="0"/>
                          <w:marTop w:val="0"/>
                          <w:marBottom w:val="0"/>
                          <w:divBdr>
                            <w:top w:val="single" w:sz="2" w:space="0" w:color="E5E7EB"/>
                            <w:left w:val="single" w:sz="2" w:space="0" w:color="E5E7EB"/>
                            <w:bottom w:val="single" w:sz="2" w:space="0" w:color="E5E7EB"/>
                            <w:right w:val="single" w:sz="2" w:space="0" w:color="E5E7EB"/>
                          </w:divBdr>
                          <w:divsChild>
                            <w:div w:id="205550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2380420">
          <w:marLeft w:val="0"/>
          <w:marRight w:val="0"/>
          <w:marTop w:val="0"/>
          <w:marBottom w:val="0"/>
          <w:divBdr>
            <w:top w:val="single" w:sz="2" w:space="0" w:color="E5E7EB"/>
            <w:left w:val="single" w:sz="2" w:space="0" w:color="E5E7EB"/>
            <w:bottom w:val="single" w:sz="2" w:space="0" w:color="E5E7EB"/>
            <w:right w:val="single" w:sz="2" w:space="0" w:color="E5E7EB"/>
          </w:divBdr>
          <w:divsChild>
            <w:div w:id="994407587">
              <w:marLeft w:val="0"/>
              <w:marRight w:val="0"/>
              <w:marTop w:val="0"/>
              <w:marBottom w:val="0"/>
              <w:divBdr>
                <w:top w:val="single" w:sz="2" w:space="0" w:color="E5E7EB"/>
                <w:left w:val="single" w:sz="2" w:space="0" w:color="E5E7EB"/>
                <w:bottom w:val="single" w:sz="2" w:space="0" w:color="E5E7EB"/>
                <w:right w:val="single" w:sz="2" w:space="0" w:color="E5E7EB"/>
              </w:divBdr>
              <w:divsChild>
                <w:div w:id="1609465059">
                  <w:marLeft w:val="0"/>
                  <w:marRight w:val="0"/>
                  <w:marTop w:val="0"/>
                  <w:marBottom w:val="0"/>
                  <w:divBdr>
                    <w:top w:val="single" w:sz="2" w:space="0" w:color="E5E7EB"/>
                    <w:left w:val="single" w:sz="2" w:space="0" w:color="E5E7EB"/>
                    <w:bottom w:val="single" w:sz="2" w:space="0" w:color="E5E7EB"/>
                    <w:right w:val="single" w:sz="2" w:space="0" w:color="E5E7EB"/>
                  </w:divBdr>
                  <w:divsChild>
                    <w:div w:id="146612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3972961">
      <w:bodyDiv w:val="1"/>
      <w:marLeft w:val="0"/>
      <w:marRight w:val="0"/>
      <w:marTop w:val="0"/>
      <w:marBottom w:val="0"/>
      <w:divBdr>
        <w:top w:val="none" w:sz="0" w:space="0" w:color="auto"/>
        <w:left w:val="none" w:sz="0" w:space="0" w:color="auto"/>
        <w:bottom w:val="none" w:sz="0" w:space="0" w:color="auto"/>
        <w:right w:val="none" w:sz="0" w:space="0" w:color="auto"/>
      </w:divBdr>
      <w:divsChild>
        <w:div w:id="527834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providers.dffh.vic.gov.au/mandatory-reporting-child-protection-victoria-early-childhood-factsheet" TargetMode="External"/><Relationship Id="rId26" Type="http://schemas.openxmlformats.org/officeDocument/2006/relationships/image" Target="media/image6.png"/><Relationship Id="rId39" Type="http://schemas.openxmlformats.org/officeDocument/2006/relationships/hyperlink" Target="http://www.familycourt.gov.au" TargetMode="External"/><Relationship Id="rId3" Type="http://schemas.openxmlformats.org/officeDocument/2006/relationships/styles" Target="styles.xml"/><Relationship Id="rId21" Type="http://schemas.openxmlformats.org/officeDocument/2006/relationships/hyperlink" Target="https://providers.dffh.vic.gov.au/mandatory-reporting-child-protection-victoria-out-home-care-workers-factsheet" TargetMode="External"/><Relationship Id="rId34" Type="http://schemas.openxmlformats.org/officeDocument/2006/relationships/hyperlink" Target="https://www.legislation.vic.gov.a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roviders.dffh.vic.gov.au/mandatory-reporting-child-protection-victoria-generic-factsheet" TargetMode="External"/><Relationship Id="rId25" Type="http://schemas.openxmlformats.org/officeDocument/2006/relationships/chart" Target="charts/chart1.xml"/><Relationship Id="rId33" Type="http://schemas.openxmlformats.org/officeDocument/2006/relationships/image" Target="media/image10.gif"/><Relationship Id="rId38" Type="http://schemas.openxmlformats.org/officeDocument/2006/relationships/hyperlink" Target="https://www.childrenscourt.vic.gov.au/sites/default/files/2020-07/Guidelines%20for%20Conciliation%20Conferences%20-%201%20March%202016_0.pdf" TargetMode="External"/><Relationship Id="rId2" Type="http://schemas.openxmlformats.org/officeDocument/2006/relationships/numbering" Target="numbering.xml"/><Relationship Id="rId16" Type="http://schemas.openxmlformats.org/officeDocument/2006/relationships/hyperlink" Target="https://providers.dffh.vic.gov.au/mandatory-reporting" TargetMode="External"/><Relationship Id="rId20" Type="http://schemas.openxmlformats.org/officeDocument/2006/relationships/hyperlink" Target="https://providers.dffh.vic.gov.au/mandatory-reporting-child-protection-victoria-registered-psychologists-factsheet" TargetMode="External"/><Relationship Id="rId29" Type="http://schemas.openxmlformats.org/officeDocument/2006/relationships/oleObject" Target="embeddings/Microsoft_Excel_97-2003_Worksheet.xls"/><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orrookforjustice.org.au/wp-content/uploads/2023/08/Yoorrook-for-justice-report.pdf" TargetMode="External"/><Relationship Id="rId24" Type="http://schemas.openxmlformats.org/officeDocument/2006/relationships/hyperlink" Target="https://providers.dffh.vic.gov.au/mandatory-reporting-child-protection-victoria-frequently-asked-questions" TargetMode="External"/><Relationship Id="rId32" Type="http://schemas.openxmlformats.org/officeDocument/2006/relationships/hyperlink" Target="https://childrenscourt.vic.gov.au/sites/default/files/2020-11/vla-representing-children-in-child-protection-proceedings-guide.pdf" TargetMode="External"/><Relationship Id="rId37" Type="http://schemas.openxmlformats.org/officeDocument/2006/relationships/hyperlink" Target="https://yoorrookforjustice.org.au/wp-content/uploads/2023/08/Yoorrook-for-justice-report.pdf" TargetMode="External"/><Relationship Id="rId40" Type="http://schemas.openxmlformats.org/officeDocument/2006/relationships/hyperlink" Target="https://www.americanbar.org/content/dam/aba/administrative/child_law/healthy_beginnings.authcheckdam.pdf" TargetMode="External"/><Relationship Id="rId5" Type="http://schemas.openxmlformats.org/officeDocument/2006/relationships/webSettings" Target="webSettings.xml"/><Relationship Id="rId15" Type="http://schemas.openxmlformats.org/officeDocument/2006/relationships/hyperlink" Target="https://www.bdm.vic.gov.au/changes-and-corrections/change-your-childs-name/child-born-in-victoria" TargetMode="External"/><Relationship Id="rId23" Type="http://schemas.openxmlformats.org/officeDocument/2006/relationships/hyperlink" Target="https://providers.dffh.vic.gov.au/mandatory-reporting-child-protection-victoria-youth-justice-workers-factsheet" TargetMode="External"/><Relationship Id="rId28" Type="http://schemas.openxmlformats.org/officeDocument/2006/relationships/image" Target="media/image6.wmf"/><Relationship Id="rId36" Type="http://schemas.openxmlformats.org/officeDocument/2006/relationships/hyperlink" Target="https://www.legalaid.vic.gov.au/sites/default/files/2022-02/vla-resource-information-parents-primary-carers-child-protection-court-case.docx" TargetMode="External"/><Relationship Id="rId10" Type="http://schemas.openxmlformats.org/officeDocument/2006/relationships/image" Target="media/image2.png"/><Relationship Id="rId19" Type="http://schemas.openxmlformats.org/officeDocument/2006/relationships/hyperlink" Target="https://providers.dffh.vic.gov.au/mandatory-reporting-child-protection-victoria-people-religious-ministry-factsheet"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orrookforjustice.org.au/wp-content/uploads/2023/08/Yoorrook-for-justice-report.pdf" TargetMode="External"/><Relationship Id="rId14" Type="http://schemas.openxmlformats.org/officeDocument/2006/relationships/image" Target="media/image5.png"/><Relationship Id="rId22" Type="http://schemas.openxmlformats.org/officeDocument/2006/relationships/hyperlink" Target="https://providers.dffh.vic.gov.au/mandatory-reporting-child-protection-victoria-school-counsellors-fact-sheet" TargetMode="External"/><Relationship Id="rId27" Type="http://schemas.openxmlformats.org/officeDocument/2006/relationships/oleObject" Target="embeddings/Microsoft_Excel_Chart.xls"/><Relationship Id="rId30" Type="http://schemas.openxmlformats.org/officeDocument/2006/relationships/image" Target="media/image7.png"/><Relationship Id="rId35" Type="http://schemas.openxmlformats.org/officeDocument/2006/relationships/hyperlink" Target="https://www.childrenscourt.vic.gov.a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6991150442478"/>
          <c:y val="6.83453237410072E-2"/>
          <c:w val="0.78230088495575223"/>
          <c:h val="0.73381294964028776"/>
        </c:manualLayout>
      </c:layout>
      <c:lineChart>
        <c:grouping val="standard"/>
        <c:varyColors val="0"/>
        <c:ser>
          <c:idx val="0"/>
          <c:order val="0"/>
          <c:spPr>
            <a:ln w="36555">
              <a:solidFill>
                <a:srgbClr val="000080"/>
              </a:solidFill>
              <a:prstDash val="solid"/>
            </a:ln>
          </c:spPr>
          <c:marker>
            <c:symbol val="diamond"/>
            <c:size val="2"/>
            <c:spPr>
              <a:solidFill>
                <a:srgbClr val="000080"/>
              </a:solidFill>
              <a:ln>
                <a:solidFill>
                  <a:srgbClr val="000080"/>
                </a:solidFill>
                <a:prstDash val="solid"/>
              </a:ln>
            </c:spPr>
          </c:marker>
          <c:cat>
            <c:strRef>
              <c:f>Notifications!$D$8:$D$20</c:f>
              <c:strCache>
                <c:ptCount val="13"/>
                <c:pt idx="0">
                  <c:v>1989</c:v>
                </c:pt>
                <c:pt idx="1">
                  <c:v>1990</c:v>
                </c:pt>
                <c:pt idx="2">
                  <c:v>1991</c:v>
                </c:pt>
                <c:pt idx="3">
                  <c:v>1992</c:v>
                </c:pt>
                <c:pt idx="4">
                  <c:v>1993-1994</c:v>
                </c:pt>
                <c:pt idx="5">
                  <c:v>1994-1995</c:v>
                </c:pt>
                <c:pt idx="6">
                  <c:v>1995-1996</c:v>
                </c:pt>
                <c:pt idx="7">
                  <c:v>1996-1997</c:v>
                </c:pt>
                <c:pt idx="8">
                  <c:v>1997-1998</c:v>
                </c:pt>
                <c:pt idx="9">
                  <c:v>1998-1999</c:v>
                </c:pt>
                <c:pt idx="10">
                  <c:v>1999-2000</c:v>
                </c:pt>
                <c:pt idx="11">
                  <c:v>2000-2001</c:v>
                </c:pt>
                <c:pt idx="12">
                  <c:v>2001-2002</c:v>
                </c:pt>
              </c:strCache>
            </c:strRef>
          </c:cat>
          <c:val>
            <c:numRef>
              <c:f>Notifications!$E$8:$E$20</c:f>
              <c:numCache>
                <c:formatCode>General</c:formatCode>
                <c:ptCount val="13"/>
                <c:pt idx="0">
                  <c:v>13053</c:v>
                </c:pt>
                <c:pt idx="1">
                  <c:v>16524</c:v>
                </c:pt>
                <c:pt idx="2">
                  <c:v>18136</c:v>
                </c:pt>
                <c:pt idx="3">
                  <c:v>18610</c:v>
                </c:pt>
                <c:pt idx="4">
                  <c:v>26685</c:v>
                </c:pt>
                <c:pt idx="5">
                  <c:v>31699</c:v>
                </c:pt>
                <c:pt idx="6">
                  <c:v>29984</c:v>
                </c:pt>
                <c:pt idx="7">
                  <c:v>31707</c:v>
                </c:pt>
                <c:pt idx="8">
                  <c:v>33163</c:v>
                </c:pt>
                <c:pt idx="9">
                  <c:v>34697</c:v>
                </c:pt>
                <c:pt idx="10">
                  <c:v>36805</c:v>
                </c:pt>
                <c:pt idx="11">
                  <c:v>36966</c:v>
                </c:pt>
                <c:pt idx="12">
                  <c:v>37966</c:v>
                </c:pt>
              </c:numCache>
            </c:numRef>
          </c:val>
          <c:smooth val="1"/>
          <c:extLst>
            <c:ext xmlns:c16="http://schemas.microsoft.com/office/drawing/2014/chart" uri="{C3380CC4-5D6E-409C-BE32-E72D297353CC}">
              <c16:uniqueId val="{00000000-5676-4F11-B6CD-D0FD836C236F}"/>
            </c:ext>
          </c:extLst>
        </c:ser>
        <c:dLbls>
          <c:showLegendKey val="0"/>
          <c:showVal val="0"/>
          <c:showCatName val="0"/>
          <c:showSerName val="0"/>
          <c:showPercent val="0"/>
          <c:showBubbleSize val="0"/>
        </c:dLbls>
        <c:marker val="1"/>
        <c:smooth val="0"/>
        <c:axId val="1025399280"/>
        <c:axId val="1"/>
      </c:lineChart>
      <c:catAx>
        <c:axId val="1025399280"/>
        <c:scaling>
          <c:orientation val="minMax"/>
        </c:scaling>
        <c:delete val="0"/>
        <c:axPos val="b"/>
        <c:numFmt formatCode="General" sourceLinked="1"/>
        <c:majorTickMark val="out"/>
        <c:minorTickMark val="none"/>
        <c:tickLblPos val="nextTo"/>
        <c:spPr>
          <a:ln w="3047">
            <a:solidFill>
              <a:srgbClr val="000000"/>
            </a:solidFill>
            <a:prstDash val="solid"/>
          </a:ln>
        </c:spPr>
        <c:txPr>
          <a:bodyPr rot="0" vert="horz"/>
          <a:lstStyle/>
          <a:p>
            <a:pPr>
              <a:defRPr sz="74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775" b="0" i="0" u="none" strike="noStrike" baseline="0">
                    <a:solidFill>
                      <a:srgbClr val="000000"/>
                    </a:solidFill>
                    <a:latin typeface="Arial"/>
                    <a:ea typeface="Arial"/>
                    <a:cs typeface="Arial"/>
                  </a:defRPr>
                </a:pPr>
                <a:r>
                  <a:rPr lang="en-AU"/>
                  <a:t>Notifications</a:t>
                </a:r>
              </a:p>
            </c:rich>
          </c:tx>
          <c:layout>
            <c:manualLayout>
              <c:xMode val="edge"/>
              <c:yMode val="edge"/>
              <c:x val="0"/>
              <c:y val="0.16546753719841958"/>
            </c:manualLayout>
          </c:layout>
          <c:overlay val="0"/>
          <c:spPr>
            <a:noFill/>
            <a:ln w="24369">
              <a:noFill/>
            </a:ln>
          </c:spPr>
        </c:title>
        <c:numFmt formatCode="General" sourceLinked="1"/>
        <c:majorTickMark val="out"/>
        <c:minorTickMark val="none"/>
        <c:tickLblPos val="nextTo"/>
        <c:spPr>
          <a:ln w="3047">
            <a:solidFill>
              <a:srgbClr val="000000"/>
            </a:solidFill>
            <a:prstDash val="solid"/>
          </a:ln>
        </c:spPr>
        <c:txPr>
          <a:bodyPr rot="0" vert="horz"/>
          <a:lstStyle/>
          <a:p>
            <a:pPr>
              <a:defRPr sz="1485" b="0" i="0" u="none" strike="noStrike" baseline="0">
                <a:solidFill>
                  <a:srgbClr val="000000"/>
                </a:solidFill>
                <a:latin typeface="Arial"/>
                <a:ea typeface="Arial"/>
                <a:cs typeface="Arial"/>
              </a:defRPr>
            </a:pPr>
            <a:endParaRPr lang="en-US"/>
          </a:p>
        </c:txPr>
        <c:crossAx val="1025399280"/>
        <c:crosses val="autoZero"/>
        <c:crossBetween val="between"/>
      </c:valAx>
      <c:spPr>
        <a:noFill/>
        <a:ln w="25397">
          <a:noFill/>
        </a:ln>
      </c:spPr>
    </c:plotArea>
    <c:plotVisOnly val="1"/>
    <c:dispBlanksAs val="gap"/>
    <c:showDLblsOverMax val="0"/>
  </c:chart>
  <c:spPr>
    <a:noFill/>
    <a:ln w="38093" cap="flat" cmpd="dbl"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c:spPr>
  <c:txPr>
    <a:bodyPr/>
    <a:lstStyle/>
    <a:p>
      <a:pPr>
        <a:defRPr sz="67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239DC-82C1-44CE-A99D-71EC2B3F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53017</Words>
  <Characters>302202</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4</vt:lpstr>
    </vt:vector>
  </TitlesOfParts>
  <Company>Department of Justice Victoria</Company>
  <LinksUpToDate>false</LinksUpToDate>
  <CharactersWithSpaces>354510</CharactersWithSpaces>
  <SharedDoc>false</SharedDoc>
  <HLinks>
    <vt:vector size="504" baseType="variant">
      <vt:variant>
        <vt:i4>3866744</vt:i4>
      </vt:variant>
      <vt:variant>
        <vt:i4>261</vt:i4>
      </vt:variant>
      <vt:variant>
        <vt:i4>0</vt:i4>
      </vt:variant>
      <vt:variant>
        <vt:i4>5</vt:i4>
      </vt:variant>
      <vt:variant>
        <vt:lpwstr>http://www.aifs.gov.au/institute/afrc9/papers.html</vt:lpwstr>
      </vt:variant>
      <vt:variant>
        <vt:lpwstr/>
      </vt:variant>
      <vt:variant>
        <vt:i4>3932260</vt:i4>
      </vt:variant>
      <vt:variant>
        <vt:i4>258</vt:i4>
      </vt:variant>
      <vt:variant>
        <vt:i4>0</vt:i4>
      </vt:variant>
      <vt:variant>
        <vt:i4>5</vt:i4>
      </vt:variant>
      <vt:variant>
        <vt:lpwstr>http://www.zerotothree.org/</vt:lpwstr>
      </vt:variant>
      <vt:variant>
        <vt:lpwstr/>
      </vt:variant>
      <vt:variant>
        <vt:i4>3997728</vt:i4>
      </vt:variant>
      <vt:variant>
        <vt:i4>255</vt:i4>
      </vt:variant>
      <vt:variant>
        <vt:i4>0</vt:i4>
      </vt:variant>
      <vt:variant>
        <vt:i4>5</vt:i4>
      </vt:variant>
      <vt:variant>
        <vt:lpwstr>http://www.abanet.org/</vt:lpwstr>
      </vt:variant>
      <vt:variant>
        <vt:lpwstr/>
      </vt:variant>
      <vt:variant>
        <vt:i4>7405606</vt:i4>
      </vt:variant>
      <vt:variant>
        <vt:i4>252</vt:i4>
      </vt:variant>
      <vt:variant>
        <vt:i4>0</vt:i4>
      </vt:variant>
      <vt:variant>
        <vt:i4>5</vt:i4>
      </vt:variant>
      <vt:variant>
        <vt:lpwstr>http://www.familycourt.gov.au/</vt:lpwstr>
      </vt:variant>
      <vt:variant>
        <vt:lpwstr/>
      </vt:variant>
      <vt:variant>
        <vt:i4>3539033</vt:i4>
      </vt:variant>
      <vt:variant>
        <vt:i4>249</vt:i4>
      </vt:variant>
      <vt:variant>
        <vt:i4>0</vt:i4>
      </vt:variant>
      <vt:variant>
        <vt:i4>5</vt:i4>
      </vt:variant>
      <vt:variant>
        <vt:lpwstr/>
      </vt:variant>
      <vt:variant>
        <vt:lpwstr>_4.7.6_Child_representation</vt:lpwstr>
      </vt:variant>
      <vt:variant>
        <vt:i4>5701677</vt:i4>
      </vt:variant>
      <vt:variant>
        <vt:i4>246</vt:i4>
      </vt:variant>
      <vt:variant>
        <vt:i4>0</vt:i4>
      </vt:variant>
      <vt:variant>
        <vt:i4>5</vt:i4>
      </vt:variant>
      <vt:variant>
        <vt:lpwstr/>
      </vt:variant>
      <vt:variant>
        <vt:lpwstr>_4.7_Representation_of</vt:lpwstr>
      </vt:variant>
      <vt:variant>
        <vt:i4>2424857</vt:i4>
      </vt:variant>
      <vt:variant>
        <vt:i4>231</vt:i4>
      </vt:variant>
      <vt:variant>
        <vt:i4>0</vt:i4>
      </vt:variant>
      <vt:variant>
        <vt:i4>5</vt:i4>
      </vt:variant>
      <vt:variant>
        <vt:lpwstr/>
      </vt:variant>
      <vt:variant>
        <vt:lpwstr>_4.18_Some_other</vt:lpwstr>
      </vt:variant>
      <vt:variant>
        <vt:i4>3801100</vt:i4>
      </vt:variant>
      <vt:variant>
        <vt:i4>228</vt:i4>
      </vt:variant>
      <vt:variant>
        <vt:i4>0</vt:i4>
      </vt:variant>
      <vt:variant>
        <vt:i4>5</vt:i4>
      </vt:variant>
      <vt:variant>
        <vt:lpwstr/>
      </vt:variant>
      <vt:variant>
        <vt:lpwstr>_4.17_Family_Drug</vt:lpwstr>
      </vt:variant>
      <vt:variant>
        <vt:i4>4325496</vt:i4>
      </vt:variant>
      <vt:variant>
        <vt:i4>225</vt:i4>
      </vt:variant>
      <vt:variant>
        <vt:i4>0</vt:i4>
      </vt:variant>
      <vt:variant>
        <vt:i4>5</vt:i4>
      </vt:variant>
      <vt:variant>
        <vt:lpwstr/>
      </vt:variant>
      <vt:variant>
        <vt:lpwstr>_4.16_Effect_on</vt:lpwstr>
      </vt:variant>
      <vt:variant>
        <vt:i4>2949146</vt:i4>
      </vt:variant>
      <vt:variant>
        <vt:i4>222</vt:i4>
      </vt:variant>
      <vt:variant>
        <vt:i4>0</vt:i4>
      </vt:variant>
      <vt:variant>
        <vt:i4>5</vt:i4>
      </vt:variant>
      <vt:variant>
        <vt:lpwstr/>
      </vt:variant>
      <vt:variant>
        <vt:lpwstr>_4.15_Cumulative_harm</vt:lpwstr>
      </vt:variant>
      <vt:variant>
        <vt:i4>7077974</vt:i4>
      </vt:variant>
      <vt:variant>
        <vt:i4>219</vt:i4>
      </vt:variant>
      <vt:variant>
        <vt:i4>0</vt:i4>
      </vt:variant>
      <vt:variant>
        <vt:i4>5</vt:i4>
      </vt:variant>
      <vt:variant>
        <vt:lpwstr/>
      </vt:variant>
      <vt:variant>
        <vt:lpwstr>_4.14.4__Contact</vt:lpwstr>
      </vt:variant>
      <vt:variant>
        <vt:i4>7864405</vt:i4>
      </vt:variant>
      <vt:variant>
        <vt:i4>216</vt:i4>
      </vt:variant>
      <vt:variant>
        <vt:i4>0</vt:i4>
      </vt:variant>
      <vt:variant>
        <vt:i4>5</vt:i4>
      </vt:variant>
      <vt:variant>
        <vt:lpwstr/>
      </vt:variant>
      <vt:variant>
        <vt:lpwstr>_4.14.3__American</vt:lpwstr>
      </vt:variant>
      <vt:variant>
        <vt:i4>6553673</vt:i4>
      </vt:variant>
      <vt:variant>
        <vt:i4>213</vt:i4>
      </vt:variant>
      <vt:variant>
        <vt:i4>0</vt:i4>
      </vt:variant>
      <vt:variant>
        <vt:i4>5</vt:i4>
      </vt:variant>
      <vt:variant>
        <vt:lpwstr/>
      </vt:variant>
      <vt:variant>
        <vt:lpwstr>_4.14.2__Case</vt:lpwstr>
      </vt:variant>
      <vt:variant>
        <vt:i4>544210987</vt:i4>
      </vt:variant>
      <vt:variant>
        <vt:i4>210</vt:i4>
      </vt:variant>
      <vt:variant>
        <vt:i4>0</vt:i4>
      </vt:variant>
      <vt:variant>
        <vt:i4>5</vt:i4>
      </vt:variant>
      <vt:variant>
        <vt:lpwstr/>
      </vt:variant>
      <vt:variant>
        <vt:lpwstr>_4.14.1__“Baby</vt:lpwstr>
      </vt:variant>
      <vt:variant>
        <vt:i4>6684747</vt:i4>
      </vt:variant>
      <vt:variant>
        <vt:i4>207</vt:i4>
      </vt:variant>
      <vt:variant>
        <vt:i4>0</vt:i4>
      </vt:variant>
      <vt:variant>
        <vt:i4>5</vt:i4>
      </vt:variant>
      <vt:variant>
        <vt:lpwstr/>
      </vt:variant>
      <vt:variant>
        <vt:lpwstr>_4.14_Frequency_of</vt:lpwstr>
      </vt:variant>
      <vt:variant>
        <vt:i4>3473419</vt:i4>
      </vt:variant>
      <vt:variant>
        <vt:i4>204</vt:i4>
      </vt:variant>
      <vt:variant>
        <vt:i4>0</vt:i4>
      </vt:variant>
      <vt:variant>
        <vt:i4>5</vt:i4>
      </vt:variant>
      <vt:variant>
        <vt:lpwstr/>
      </vt:variant>
      <vt:variant>
        <vt:lpwstr>_4.13_Shared_care</vt:lpwstr>
      </vt:variant>
      <vt:variant>
        <vt:i4>6029428</vt:i4>
      </vt:variant>
      <vt:variant>
        <vt:i4>201</vt:i4>
      </vt:variant>
      <vt:variant>
        <vt:i4>0</vt:i4>
      </vt:variant>
      <vt:variant>
        <vt:i4>5</vt:i4>
      </vt:variant>
      <vt:variant>
        <vt:lpwstr/>
      </vt:variant>
      <vt:variant>
        <vt:lpwstr>_4.12_Relationship_between</vt:lpwstr>
      </vt:variant>
      <vt:variant>
        <vt:i4>6815837</vt:i4>
      </vt:variant>
      <vt:variant>
        <vt:i4>198</vt:i4>
      </vt:variant>
      <vt:variant>
        <vt:i4>0</vt:i4>
      </vt:variant>
      <vt:variant>
        <vt:i4>5</vt:i4>
      </vt:variant>
      <vt:variant>
        <vt:lpwstr/>
      </vt:variant>
      <vt:variant>
        <vt:lpwstr>_4.11.6__Sharing</vt:lpwstr>
      </vt:variant>
      <vt:variant>
        <vt:i4>7012446</vt:i4>
      </vt:variant>
      <vt:variant>
        <vt:i4>195</vt:i4>
      </vt:variant>
      <vt:variant>
        <vt:i4>0</vt:i4>
      </vt:variant>
      <vt:variant>
        <vt:i4>5</vt:i4>
      </vt:variant>
      <vt:variant>
        <vt:lpwstr/>
      </vt:variant>
      <vt:variant>
        <vt:lpwstr>_4.11.5__Priority</vt:lpwstr>
      </vt:variant>
      <vt:variant>
        <vt:i4>1638441</vt:i4>
      </vt:variant>
      <vt:variant>
        <vt:i4>192</vt:i4>
      </vt:variant>
      <vt:variant>
        <vt:i4>0</vt:i4>
      </vt:variant>
      <vt:variant>
        <vt:i4>5</vt:i4>
      </vt:variant>
      <vt:variant>
        <vt:lpwstr/>
      </vt:variant>
      <vt:variant>
        <vt:lpwstr>_4.11.4__Representation</vt:lpwstr>
      </vt:variant>
      <vt:variant>
        <vt:i4>7340107</vt:i4>
      </vt:variant>
      <vt:variant>
        <vt:i4>189</vt:i4>
      </vt:variant>
      <vt:variant>
        <vt:i4>0</vt:i4>
      </vt:variant>
      <vt:variant>
        <vt:i4>5</vt:i4>
      </vt:variant>
      <vt:variant>
        <vt:lpwstr/>
      </vt:variant>
      <vt:variant>
        <vt:lpwstr>_4.11.3__Notification</vt:lpwstr>
      </vt:variant>
      <vt:variant>
        <vt:i4>7733334</vt:i4>
      </vt:variant>
      <vt:variant>
        <vt:i4>186</vt:i4>
      </vt:variant>
      <vt:variant>
        <vt:i4>0</vt:i4>
      </vt:variant>
      <vt:variant>
        <vt:i4>5</vt:i4>
      </vt:variant>
      <vt:variant>
        <vt:lpwstr/>
      </vt:variant>
      <vt:variant>
        <vt:lpwstr>_4.11.2__Responsibilities</vt:lpwstr>
      </vt:variant>
      <vt:variant>
        <vt:i4>983095</vt:i4>
      </vt:variant>
      <vt:variant>
        <vt:i4>183</vt:i4>
      </vt:variant>
      <vt:variant>
        <vt:i4>0</vt:i4>
      </vt:variant>
      <vt:variant>
        <vt:i4>5</vt:i4>
      </vt:variant>
      <vt:variant>
        <vt:lpwstr/>
      </vt:variant>
      <vt:variant>
        <vt:lpwstr>_4.11.1__Public</vt:lpwstr>
      </vt:variant>
      <vt:variant>
        <vt:i4>5439534</vt:i4>
      </vt:variant>
      <vt:variant>
        <vt:i4>180</vt:i4>
      </vt:variant>
      <vt:variant>
        <vt:i4>0</vt:i4>
      </vt:variant>
      <vt:variant>
        <vt:i4>5</vt:i4>
      </vt:variant>
      <vt:variant>
        <vt:lpwstr/>
      </vt:variant>
      <vt:variant>
        <vt:lpwstr>_4.11_Children's_Court</vt:lpwstr>
      </vt:variant>
      <vt:variant>
        <vt:i4>6094883</vt:i4>
      </vt:variant>
      <vt:variant>
        <vt:i4>177</vt:i4>
      </vt:variant>
      <vt:variant>
        <vt:i4>0</vt:i4>
      </vt:variant>
      <vt:variant>
        <vt:i4>5</vt:i4>
      </vt:variant>
      <vt:variant>
        <vt:lpwstr/>
      </vt:variant>
      <vt:variant>
        <vt:lpwstr>_4.10.10__Judicial</vt:lpwstr>
      </vt:variant>
      <vt:variant>
        <vt:i4>1900564</vt:i4>
      </vt:variant>
      <vt:variant>
        <vt:i4>174</vt:i4>
      </vt:variant>
      <vt:variant>
        <vt:i4>0</vt:i4>
      </vt:variant>
      <vt:variant>
        <vt:i4>5</vt:i4>
      </vt:variant>
      <vt:variant>
        <vt:lpwstr/>
      </vt:variant>
      <vt:variant>
        <vt:lpwstr>_4.10.9_Statistics</vt:lpwstr>
      </vt:variant>
      <vt:variant>
        <vt:i4>5374050</vt:i4>
      </vt:variant>
      <vt:variant>
        <vt:i4>171</vt:i4>
      </vt:variant>
      <vt:variant>
        <vt:i4>0</vt:i4>
      </vt:variant>
      <vt:variant>
        <vt:i4>5</vt:i4>
      </vt:variant>
      <vt:variant>
        <vt:lpwstr/>
      </vt:variant>
      <vt:variant>
        <vt:lpwstr>_4.10.8_Court_orders</vt:lpwstr>
      </vt:variant>
      <vt:variant>
        <vt:i4>5570677</vt:i4>
      </vt:variant>
      <vt:variant>
        <vt:i4>168</vt:i4>
      </vt:variant>
      <vt:variant>
        <vt:i4>0</vt:i4>
      </vt:variant>
      <vt:variant>
        <vt:i4>5</vt:i4>
      </vt:variant>
      <vt:variant>
        <vt:lpwstr/>
      </vt:variant>
      <vt:variant>
        <vt:lpwstr>_4.10.7_Reports_&amp;</vt:lpwstr>
      </vt:variant>
      <vt:variant>
        <vt:i4>3276879</vt:i4>
      </vt:variant>
      <vt:variant>
        <vt:i4>165</vt:i4>
      </vt:variant>
      <vt:variant>
        <vt:i4>0</vt:i4>
      </vt:variant>
      <vt:variant>
        <vt:i4>5</vt:i4>
      </vt:variant>
      <vt:variant>
        <vt:lpwstr/>
      </vt:variant>
      <vt:variant>
        <vt:lpwstr>_4.10.6_Guidelines_&amp;</vt:lpwstr>
      </vt:variant>
      <vt:variant>
        <vt:i4>7012434</vt:i4>
      </vt:variant>
      <vt:variant>
        <vt:i4>162</vt:i4>
      </vt:variant>
      <vt:variant>
        <vt:i4>0</vt:i4>
      </vt:variant>
      <vt:variant>
        <vt:i4>5</vt:i4>
      </vt:variant>
      <vt:variant>
        <vt:lpwstr/>
      </vt:variant>
      <vt:variant>
        <vt:lpwstr>_4.10.5_Attendance_at</vt:lpwstr>
      </vt:variant>
      <vt:variant>
        <vt:i4>7798857</vt:i4>
      </vt:variant>
      <vt:variant>
        <vt:i4>159</vt:i4>
      </vt:variant>
      <vt:variant>
        <vt:i4>0</vt:i4>
      </vt:variant>
      <vt:variant>
        <vt:i4>5</vt:i4>
      </vt:variant>
      <vt:variant>
        <vt:lpwstr/>
      </vt:variant>
      <vt:variant>
        <vt:lpwstr>_4.10.4_Repeal_of</vt:lpwstr>
      </vt:variant>
      <vt:variant>
        <vt:i4>7405685</vt:i4>
      </vt:variant>
      <vt:variant>
        <vt:i4>156</vt:i4>
      </vt:variant>
      <vt:variant>
        <vt:i4>0</vt:i4>
      </vt:variant>
      <vt:variant>
        <vt:i4>5</vt:i4>
      </vt:variant>
      <vt:variant>
        <vt:lpwstr/>
      </vt:variant>
      <vt:variant>
        <vt:lpwstr>_4.10.3_Convenor</vt:lpwstr>
      </vt:variant>
      <vt:variant>
        <vt:i4>5111861</vt:i4>
      </vt:variant>
      <vt:variant>
        <vt:i4>153</vt:i4>
      </vt:variant>
      <vt:variant>
        <vt:i4>0</vt:i4>
      </vt:variant>
      <vt:variant>
        <vt:i4>5</vt:i4>
      </vt:variant>
      <vt:variant>
        <vt:lpwstr/>
      </vt:variant>
      <vt:variant>
        <vt:lpwstr>_4.10.2_Jurisdiction_&amp;</vt:lpwstr>
      </vt:variant>
      <vt:variant>
        <vt:i4>7274569</vt:i4>
      </vt:variant>
      <vt:variant>
        <vt:i4>150</vt:i4>
      </vt:variant>
      <vt:variant>
        <vt:i4>0</vt:i4>
      </vt:variant>
      <vt:variant>
        <vt:i4>5</vt:i4>
      </vt:variant>
      <vt:variant>
        <vt:lpwstr/>
      </vt:variant>
      <vt:variant>
        <vt:lpwstr>_4.10.1_Conciliation_Conferences</vt:lpwstr>
      </vt:variant>
      <vt:variant>
        <vt:i4>852009</vt:i4>
      </vt:variant>
      <vt:variant>
        <vt:i4>147</vt:i4>
      </vt:variant>
      <vt:variant>
        <vt:i4>0</vt:i4>
      </vt:variant>
      <vt:variant>
        <vt:i4>5</vt:i4>
      </vt:variant>
      <vt:variant>
        <vt:lpwstr/>
      </vt:variant>
      <vt:variant>
        <vt:lpwstr>_4.10_Alternative_Dispute</vt:lpwstr>
      </vt:variant>
      <vt:variant>
        <vt:i4>4128793</vt:i4>
      </vt:variant>
      <vt:variant>
        <vt:i4>144</vt:i4>
      </vt:variant>
      <vt:variant>
        <vt:i4>0</vt:i4>
      </vt:variant>
      <vt:variant>
        <vt:i4>5</vt:i4>
      </vt:variant>
      <vt:variant>
        <vt:lpwstr/>
      </vt:variant>
      <vt:variant>
        <vt:lpwstr>_4.9.6_Marram-Ngala_Ganbu</vt:lpwstr>
      </vt:variant>
      <vt:variant>
        <vt:i4>4653099</vt:i4>
      </vt:variant>
      <vt:variant>
        <vt:i4>141</vt:i4>
      </vt:variant>
      <vt:variant>
        <vt:i4>0</vt:i4>
      </vt:variant>
      <vt:variant>
        <vt:i4>5</vt:i4>
      </vt:variant>
      <vt:variant>
        <vt:lpwstr/>
      </vt:variant>
      <vt:variant>
        <vt:lpwstr>_4.9.5_Contested_hearing</vt:lpwstr>
      </vt:variant>
      <vt:variant>
        <vt:i4>6029362</vt:i4>
      </vt:variant>
      <vt:variant>
        <vt:i4>138</vt:i4>
      </vt:variant>
      <vt:variant>
        <vt:i4>0</vt:i4>
      </vt:variant>
      <vt:variant>
        <vt:i4>5</vt:i4>
      </vt:variant>
      <vt:variant>
        <vt:lpwstr/>
      </vt:variant>
      <vt:variant>
        <vt:lpwstr>_4.9.4A_Readiness_Hearing</vt:lpwstr>
      </vt:variant>
      <vt:variant>
        <vt:i4>2818130</vt:i4>
      </vt:variant>
      <vt:variant>
        <vt:i4>135</vt:i4>
      </vt:variant>
      <vt:variant>
        <vt:i4>0</vt:i4>
      </vt:variant>
      <vt:variant>
        <vt:i4>5</vt:i4>
      </vt:variant>
      <vt:variant>
        <vt:lpwstr/>
      </vt:variant>
      <vt:variant>
        <vt:lpwstr>_4.9.4_First_directions</vt:lpwstr>
      </vt:variant>
      <vt:variant>
        <vt:i4>2621544</vt:i4>
      </vt:variant>
      <vt:variant>
        <vt:i4>132</vt:i4>
      </vt:variant>
      <vt:variant>
        <vt:i4>0</vt:i4>
      </vt:variant>
      <vt:variant>
        <vt:i4>5</vt:i4>
      </vt:variant>
      <vt:variant>
        <vt:lpwstr/>
      </vt:variant>
      <vt:variant>
        <vt:lpwstr>_4.9.3_Conciliation</vt:lpwstr>
      </vt:variant>
      <vt:variant>
        <vt:i4>3866750</vt:i4>
      </vt:variant>
      <vt:variant>
        <vt:i4>129</vt:i4>
      </vt:variant>
      <vt:variant>
        <vt:i4>0</vt:i4>
      </vt:variant>
      <vt:variant>
        <vt:i4>5</vt:i4>
      </vt:variant>
      <vt:variant>
        <vt:lpwstr/>
      </vt:variant>
      <vt:variant>
        <vt:lpwstr>_4.9.2_Mention</vt:lpwstr>
      </vt:variant>
      <vt:variant>
        <vt:i4>7208963</vt:i4>
      </vt:variant>
      <vt:variant>
        <vt:i4>126</vt:i4>
      </vt:variant>
      <vt:variant>
        <vt:i4>0</vt:i4>
      </vt:variant>
      <vt:variant>
        <vt:i4>5</vt:i4>
      </vt:variant>
      <vt:variant>
        <vt:lpwstr/>
      </vt:variant>
      <vt:variant>
        <vt:lpwstr>_4.9.1_Apprehension_–</vt:lpwstr>
      </vt:variant>
      <vt:variant>
        <vt:i4>3276881</vt:i4>
      </vt:variant>
      <vt:variant>
        <vt:i4>123</vt:i4>
      </vt:variant>
      <vt:variant>
        <vt:i4>0</vt:i4>
      </vt:variant>
      <vt:variant>
        <vt:i4>5</vt:i4>
      </vt:variant>
      <vt:variant>
        <vt:lpwstr/>
      </vt:variant>
      <vt:variant>
        <vt:lpwstr>_4.9_Family_Division</vt:lpwstr>
      </vt:variant>
      <vt:variant>
        <vt:i4>7995409</vt:i4>
      </vt:variant>
      <vt:variant>
        <vt:i4>120</vt:i4>
      </vt:variant>
      <vt:variant>
        <vt:i4>0</vt:i4>
      </vt:variant>
      <vt:variant>
        <vt:i4>5</vt:i4>
      </vt:variant>
      <vt:variant>
        <vt:lpwstr/>
      </vt:variant>
      <vt:variant>
        <vt:lpwstr>_4.8.6_Attendance_of</vt:lpwstr>
      </vt:variant>
      <vt:variant>
        <vt:i4>1572963</vt:i4>
      </vt:variant>
      <vt:variant>
        <vt:i4>117</vt:i4>
      </vt:variant>
      <vt:variant>
        <vt:i4>0</vt:i4>
      </vt:variant>
      <vt:variant>
        <vt:i4>5</vt:i4>
      </vt:variant>
      <vt:variant>
        <vt:lpwstr/>
      </vt:variant>
      <vt:variant>
        <vt:lpwstr>_4.8.5_Expert_evidence</vt:lpwstr>
      </vt:variant>
      <vt:variant>
        <vt:i4>983167</vt:i4>
      </vt:variant>
      <vt:variant>
        <vt:i4>114</vt:i4>
      </vt:variant>
      <vt:variant>
        <vt:i4>0</vt:i4>
      </vt:variant>
      <vt:variant>
        <vt:i4>5</vt:i4>
      </vt:variant>
      <vt:variant>
        <vt:lpwstr/>
      </vt:variant>
      <vt:variant>
        <vt:lpwstr>_4.8.4_Findings_on</vt:lpwstr>
      </vt:variant>
      <vt:variant>
        <vt:i4>8126487</vt:i4>
      </vt:variant>
      <vt:variant>
        <vt:i4>111</vt:i4>
      </vt:variant>
      <vt:variant>
        <vt:i4>0</vt:i4>
      </vt:variant>
      <vt:variant>
        <vt:i4>5</vt:i4>
      </vt:variant>
      <vt:variant>
        <vt:lpwstr/>
      </vt:variant>
      <vt:variant>
        <vt:lpwstr>_4.8.3_Impact_of</vt:lpwstr>
      </vt:variant>
      <vt:variant>
        <vt:i4>4718627</vt:i4>
      </vt:variant>
      <vt:variant>
        <vt:i4>108</vt:i4>
      </vt:variant>
      <vt:variant>
        <vt:i4>0</vt:i4>
      </vt:variant>
      <vt:variant>
        <vt:i4>5</vt:i4>
      </vt:variant>
      <vt:variant>
        <vt:lpwstr/>
      </vt:variant>
      <vt:variant>
        <vt:lpwstr>_4.8.2_Court_may</vt:lpwstr>
      </vt:variant>
      <vt:variant>
        <vt:i4>7929871</vt:i4>
      </vt:variant>
      <vt:variant>
        <vt:i4>105</vt:i4>
      </vt:variant>
      <vt:variant>
        <vt:i4>0</vt:i4>
      </vt:variant>
      <vt:variant>
        <vt:i4>5</vt:i4>
      </vt:variant>
      <vt:variant>
        <vt:lpwstr/>
      </vt:variant>
      <vt:variant>
        <vt:lpwstr>_4.8.1_Informal_procedure</vt:lpwstr>
      </vt:variant>
      <vt:variant>
        <vt:i4>7274521</vt:i4>
      </vt:variant>
      <vt:variant>
        <vt:i4>102</vt:i4>
      </vt:variant>
      <vt:variant>
        <vt:i4>0</vt:i4>
      </vt:variant>
      <vt:variant>
        <vt:i4>5</vt:i4>
      </vt:variant>
      <vt:variant>
        <vt:lpwstr/>
      </vt:variant>
      <vt:variant>
        <vt:lpwstr>_4.8_Conduct_of</vt:lpwstr>
      </vt:variant>
      <vt:variant>
        <vt:i4>7209053</vt:i4>
      </vt:variant>
      <vt:variant>
        <vt:i4>99</vt:i4>
      </vt:variant>
      <vt:variant>
        <vt:i4>0</vt:i4>
      </vt:variant>
      <vt:variant>
        <vt:i4>5</vt:i4>
      </vt:variant>
      <vt:variant>
        <vt:lpwstr/>
      </vt:variant>
      <vt:variant>
        <vt:lpwstr>_4.7.10_Representation_of</vt:lpwstr>
      </vt:variant>
      <vt:variant>
        <vt:i4>5046320</vt:i4>
      </vt:variant>
      <vt:variant>
        <vt:i4>96</vt:i4>
      </vt:variant>
      <vt:variant>
        <vt:i4>0</vt:i4>
      </vt:variant>
      <vt:variant>
        <vt:i4>5</vt:i4>
      </vt:variant>
      <vt:variant>
        <vt:lpwstr/>
      </vt:variant>
      <vt:variant>
        <vt:lpwstr>_4.7.9_Recommendations_by</vt:lpwstr>
      </vt:variant>
      <vt:variant>
        <vt:i4>4980784</vt:i4>
      </vt:variant>
      <vt:variant>
        <vt:i4>93</vt:i4>
      </vt:variant>
      <vt:variant>
        <vt:i4>0</vt:i4>
      </vt:variant>
      <vt:variant>
        <vt:i4>5</vt:i4>
      </vt:variant>
      <vt:variant>
        <vt:lpwstr/>
      </vt:variant>
      <vt:variant>
        <vt:lpwstr>_4.7.8_Recommendations_by</vt:lpwstr>
      </vt:variant>
      <vt:variant>
        <vt:i4>4390960</vt:i4>
      </vt:variant>
      <vt:variant>
        <vt:i4>90</vt:i4>
      </vt:variant>
      <vt:variant>
        <vt:i4>0</vt:i4>
      </vt:variant>
      <vt:variant>
        <vt:i4>5</vt:i4>
      </vt:variant>
      <vt:variant>
        <vt:lpwstr/>
      </vt:variant>
      <vt:variant>
        <vt:lpwstr>_4.7.7_Recommendations_by</vt:lpwstr>
      </vt:variant>
      <vt:variant>
        <vt:i4>3539033</vt:i4>
      </vt:variant>
      <vt:variant>
        <vt:i4>87</vt:i4>
      </vt:variant>
      <vt:variant>
        <vt:i4>0</vt:i4>
      </vt:variant>
      <vt:variant>
        <vt:i4>5</vt:i4>
      </vt:variant>
      <vt:variant>
        <vt:lpwstr/>
      </vt:variant>
      <vt:variant>
        <vt:lpwstr>_4.7.6_Child_representation</vt:lpwstr>
      </vt:variant>
      <vt:variant>
        <vt:i4>8060955</vt:i4>
      </vt:variant>
      <vt:variant>
        <vt:i4>84</vt:i4>
      </vt:variant>
      <vt:variant>
        <vt:i4>0</vt:i4>
      </vt:variant>
      <vt:variant>
        <vt:i4>5</vt:i4>
      </vt:variant>
      <vt:variant>
        <vt:lpwstr/>
      </vt:variant>
      <vt:variant>
        <vt:lpwstr>_4.7.5_Representing_more</vt:lpwstr>
      </vt:variant>
      <vt:variant>
        <vt:i4>6488067</vt:i4>
      </vt:variant>
      <vt:variant>
        <vt:i4>81</vt:i4>
      </vt:variant>
      <vt:variant>
        <vt:i4>0</vt:i4>
      </vt:variant>
      <vt:variant>
        <vt:i4>5</vt:i4>
      </vt:variant>
      <vt:variant>
        <vt:lpwstr/>
      </vt:variant>
      <vt:variant>
        <vt:lpwstr>_4.7.4_Representation_of</vt:lpwstr>
      </vt:variant>
      <vt:variant>
        <vt:i4>4915237</vt:i4>
      </vt:variant>
      <vt:variant>
        <vt:i4>78</vt:i4>
      </vt:variant>
      <vt:variant>
        <vt:i4>0</vt:i4>
      </vt:variant>
      <vt:variant>
        <vt:i4>5</vt:i4>
      </vt:variant>
      <vt:variant>
        <vt:lpwstr/>
      </vt:variant>
      <vt:variant>
        <vt:lpwstr>_4.7.3_Child_usually</vt:lpwstr>
      </vt:variant>
      <vt:variant>
        <vt:i4>7143446</vt:i4>
      </vt:variant>
      <vt:variant>
        <vt:i4>75</vt:i4>
      </vt:variant>
      <vt:variant>
        <vt:i4>0</vt:i4>
      </vt:variant>
      <vt:variant>
        <vt:i4>5</vt:i4>
      </vt:variant>
      <vt:variant>
        <vt:lpwstr/>
      </vt:variant>
      <vt:variant>
        <vt:lpwstr>_4.7.2_Models_of</vt:lpwstr>
      </vt:variant>
      <vt:variant>
        <vt:i4>8192025</vt:i4>
      </vt:variant>
      <vt:variant>
        <vt:i4>72</vt:i4>
      </vt:variant>
      <vt:variant>
        <vt:i4>0</vt:i4>
      </vt:variant>
      <vt:variant>
        <vt:i4>5</vt:i4>
      </vt:variant>
      <vt:variant>
        <vt:lpwstr/>
      </vt:variant>
      <vt:variant>
        <vt:lpwstr>_4.7.1_Obligation_to</vt:lpwstr>
      </vt:variant>
      <vt:variant>
        <vt:i4>5701677</vt:i4>
      </vt:variant>
      <vt:variant>
        <vt:i4>69</vt:i4>
      </vt:variant>
      <vt:variant>
        <vt:i4>0</vt:i4>
      </vt:variant>
      <vt:variant>
        <vt:i4>5</vt:i4>
      </vt:variant>
      <vt:variant>
        <vt:lpwstr/>
      </vt:variant>
      <vt:variant>
        <vt:lpwstr>_4.7_Representation_of</vt:lpwstr>
      </vt:variant>
      <vt:variant>
        <vt:i4>65633</vt:i4>
      </vt:variant>
      <vt:variant>
        <vt:i4>66</vt:i4>
      </vt:variant>
      <vt:variant>
        <vt:i4>0</vt:i4>
      </vt:variant>
      <vt:variant>
        <vt:i4>5</vt:i4>
      </vt:variant>
      <vt:variant>
        <vt:lpwstr/>
      </vt:variant>
      <vt:variant>
        <vt:lpwstr>_4.6.5_Australian_rate</vt:lpwstr>
      </vt:variant>
      <vt:variant>
        <vt:i4>7471110</vt:i4>
      </vt:variant>
      <vt:variant>
        <vt:i4>63</vt:i4>
      </vt:variant>
      <vt:variant>
        <vt:i4>0</vt:i4>
      </vt:variant>
      <vt:variant>
        <vt:i4>5</vt:i4>
      </vt:variant>
      <vt:variant>
        <vt:lpwstr/>
      </vt:variant>
      <vt:variant>
        <vt:lpwstr>_4.6.4_Trends_in</vt:lpwstr>
      </vt:variant>
      <vt:variant>
        <vt:i4>4063319</vt:i4>
      </vt:variant>
      <vt:variant>
        <vt:i4>60</vt:i4>
      </vt:variant>
      <vt:variant>
        <vt:i4>0</vt:i4>
      </vt:variant>
      <vt:variant>
        <vt:i4>5</vt:i4>
      </vt:variant>
      <vt:variant>
        <vt:lpwstr/>
      </vt:variant>
      <vt:variant>
        <vt:lpwstr>_4.6.3_Child_protection</vt:lpwstr>
      </vt:variant>
      <vt:variant>
        <vt:i4>3932240</vt:i4>
      </vt:variant>
      <vt:variant>
        <vt:i4>57</vt:i4>
      </vt:variant>
      <vt:variant>
        <vt:i4>0</vt:i4>
      </vt:variant>
      <vt:variant>
        <vt:i4>5</vt:i4>
      </vt:variant>
      <vt:variant>
        <vt:lpwstr/>
      </vt:variant>
      <vt:variant>
        <vt:lpwstr>_4.6.2_Mandatory_protective</vt:lpwstr>
      </vt:variant>
      <vt:variant>
        <vt:i4>3866694</vt:i4>
      </vt:variant>
      <vt:variant>
        <vt:i4>54</vt:i4>
      </vt:variant>
      <vt:variant>
        <vt:i4>0</vt:i4>
      </vt:variant>
      <vt:variant>
        <vt:i4>5</vt:i4>
      </vt:variant>
      <vt:variant>
        <vt:lpwstr/>
      </vt:variant>
      <vt:variant>
        <vt:lpwstr>_4.6.1_Anonymity_of</vt:lpwstr>
      </vt:variant>
      <vt:variant>
        <vt:i4>3211350</vt:i4>
      </vt:variant>
      <vt:variant>
        <vt:i4>51</vt:i4>
      </vt:variant>
      <vt:variant>
        <vt:i4>0</vt:i4>
      </vt:variant>
      <vt:variant>
        <vt:i4>5</vt:i4>
      </vt:variant>
      <vt:variant>
        <vt:lpwstr/>
      </vt:variant>
      <vt:variant>
        <vt:lpwstr>_4.6_Protective_intervention</vt:lpwstr>
      </vt:variant>
      <vt:variant>
        <vt:i4>5242916</vt:i4>
      </vt:variant>
      <vt:variant>
        <vt:i4>48</vt:i4>
      </vt:variant>
      <vt:variant>
        <vt:i4>0</vt:i4>
      </vt:variant>
      <vt:variant>
        <vt:i4>5</vt:i4>
      </vt:variant>
      <vt:variant>
        <vt:lpwstr/>
      </vt:variant>
      <vt:variant>
        <vt:lpwstr>_4.5.4_Terms_used</vt:lpwstr>
      </vt:variant>
      <vt:variant>
        <vt:i4>2752632</vt:i4>
      </vt:variant>
      <vt:variant>
        <vt:i4>45</vt:i4>
      </vt:variant>
      <vt:variant>
        <vt:i4>0</vt:i4>
      </vt:variant>
      <vt:variant>
        <vt:i4>5</vt:i4>
      </vt:variant>
      <vt:variant>
        <vt:lpwstr/>
      </vt:variant>
      <vt:variant>
        <vt:lpwstr>_4.5.3_Contact</vt:lpwstr>
      </vt:variant>
      <vt:variant>
        <vt:i4>2555969</vt:i4>
      </vt:variant>
      <vt:variant>
        <vt:i4>42</vt:i4>
      </vt:variant>
      <vt:variant>
        <vt:i4>0</vt:i4>
      </vt:variant>
      <vt:variant>
        <vt:i4>5</vt:i4>
      </vt:variant>
      <vt:variant>
        <vt:lpwstr/>
      </vt:variant>
      <vt:variant>
        <vt:lpwstr>_4.5.2_Where_carer</vt:lpwstr>
      </vt:variant>
      <vt:variant>
        <vt:i4>589947</vt:i4>
      </vt:variant>
      <vt:variant>
        <vt:i4>39</vt:i4>
      </vt:variant>
      <vt:variant>
        <vt:i4>0</vt:i4>
      </vt:variant>
      <vt:variant>
        <vt:i4>5</vt:i4>
      </vt:variant>
      <vt:variant>
        <vt:lpwstr/>
      </vt:variant>
      <vt:variant>
        <vt:lpwstr>_4.5.1_Parental_responsibility</vt:lpwstr>
      </vt:variant>
      <vt:variant>
        <vt:i4>3670101</vt:i4>
      </vt:variant>
      <vt:variant>
        <vt:i4>36</vt:i4>
      </vt:variant>
      <vt:variant>
        <vt:i4>0</vt:i4>
      </vt:variant>
      <vt:variant>
        <vt:i4>5</vt:i4>
      </vt:variant>
      <vt:variant>
        <vt:lpwstr/>
      </vt:variant>
      <vt:variant>
        <vt:lpwstr>_4.5_Parental_responsibility</vt:lpwstr>
      </vt:variant>
      <vt:variant>
        <vt:i4>7012371</vt:i4>
      </vt:variant>
      <vt:variant>
        <vt:i4>33</vt:i4>
      </vt:variant>
      <vt:variant>
        <vt:i4>0</vt:i4>
      </vt:variant>
      <vt:variant>
        <vt:i4>5</vt:i4>
      </vt:variant>
      <vt:variant>
        <vt:lpwstr/>
      </vt:variant>
      <vt:variant>
        <vt:lpwstr>_4.4_Definitions_of</vt:lpwstr>
      </vt:variant>
      <vt:variant>
        <vt:i4>2359380</vt:i4>
      </vt:variant>
      <vt:variant>
        <vt:i4>30</vt:i4>
      </vt:variant>
      <vt:variant>
        <vt:i4>0</vt:i4>
      </vt:variant>
      <vt:variant>
        <vt:i4>5</vt:i4>
      </vt:variant>
      <vt:variant>
        <vt:lpwstr/>
      </vt:variant>
      <vt:variant>
        <vt:lpwstr>_4.3.2_Whether_jurisdiction</vt:lpwstr>
      </vt:variant>
      <vt:variant>
        <vt:i4>8060941</vt:i4>
      </vt:variant>
      <vt:variant>
        <vt:i4>27</vt:i4>
      </vt:variant>
      <vt:variant>
        <vt:i4>0</vt:i4>
      </vt:variant>
      <vt:variant>
        <vt:i4>5</vt:i4>
      </vt:variant>
      <vt:variant>
        <vt:lpwstr/>
      </vt:variant>
      <vt:variant>
        <vt:lpwstr>_4.3.1_Jurisdiction_under</vt:lpwstr>
      </vt:variant>
      <vt:variant>
        <vt:i4>2555997</vt:i4>
      </vt:variant>
      <vt:variant>
        <vt:i4>24</vt:i4>
      </vt:variant>
      <vt:variant>
        <vt:i4>0</vt:i4>
      </vt:variant>
      <vt:variant>
        <vt:i4>5</vt:i4>
      </vt:variant>
      <vt:variant>
        <vt:lpwstr/>
      </vt:variant>
      <vt:variant>
        <vt:lpwstr>_4.3_Jurisdiction_of</vt:lpwstr>
      </vt:variant>
      <vt:variant>
        <vt:i4>2162763</vt:i4>
      </vt:variant>
      <vt:variant>
        <vt:i4>21</vt:i4>
      </vt:variant>
      <vt:variant>
        <vt:i4>0</vt:i4>
      </vt:variant>
      <vt:variant>
        <vt:i4>5</vt:i4>
      </vt:variant>
      <vt:variant>
        <vt:lpwstr/>
      </vt:variant>
      <vt:variant>
        <vt:lpwstr>_4.2_Role_of</vt:lpwstr>
      </vt:variant>
      <vt:variant>
        <vt:i4>4980787</vt:i4>
      </vt:variant>
      <vt:variant>
        <vt:i4>18</vt:i4>
      </vt:variant>
      <vt:variant>
        <vt:i4>0</vt:i4>
      </vt:variant>
      <vt:variant>
        <vt:i4>5</vt:i4>
      </vt:variant>
      <vt:variant>
        <vt:lpwstr/>
      </vt:variant>
      <vt:variant>
        <vt:lpwstr>_4.1.6_The_Child</vt:lpwstr>
      </vt:variant>
      <vt:variant>
        <vt:i4>5242915</vt:i4>
      </vt:variant>
      <vt:variant>
        <vt:i4>15</vt:i4>
      </vt:variant>
      <vt:variant>
        <vt:i4>0</vt:i4>
      </vt:variant>
      <vt:variant>
        <vt:i4>5</vt:i4>
      </vt:variant>
      <vt:variant>
        <vt:lpwstr/>
      </vt:variant>
      <vt:variant>
        <vt:lpwstr>_4.1.5_Statutory_intervention</vt:lpwstr>
      </vt:variant>
      <vt:variant>
        <vt:i4>4980793</vt:i4>
      </vt:variant>
      <vt:variant>
        <vt:i4>12</vt:i4>
      </vt:variant>
      <vt:variant>
        <vt:i4>0</vt:i4>
      </vt:variant>
      <vt:variant>
        <vt:i4>5</vt:i4>
      </vt:variant>
      <vt:variant>
        <vt:lpwstr/>
      </vt:variant>
      <vt:variant>
        <vt:lpwstr>_4.1.4_Voluntary_intervention</vt:lpwstr>
      </vt:variant>
      <vt:variant>
        <vt:i4>786528</vt:i4>
      </vt:variant>
      <vt:variant>
        <vt:i4>9</vt:i4>
      </vt:variant>
      <vt:variant>
        <vt:i4>0</vt:i4>
      </vt:variant>
      <vt:variant>
        <vt:i4>5</vt:i4>
      </vt:variant>
      <vt:variant>
        <vt:lpwstr/>
      </vt:variant>
      <vt:variant>
        <vt:lpwstr>_4.1.3_Principles_governing</vt:lpwstr>
      </vt:variant>
      <vt:variant>
        <vt:i4>1966179</vt:i4>
      </vt:variant>
      <vt:variant>
        <vt:i4>6</vt:i4>
      </vt:variant>
      <vt:variant>
        <vt:i4>0</vt:i4>
      </vt:variant>
      <vt:variant>
        <vt:i4>5</vt:i4>
      </vt:variant>
      <vt:variant>
        <vt:lpwstr/>
      </vt:variant>
      <vt:variant>
        <vt:lpwstr>_4.1.2_Duty_of</vt:lpwstr>
      </vt:variant>
      <vt:variant>
        <vt:i4>3866702</vt:i4>
      </vt:variant>
      <vt:variant>
        <vt:i4>3</vt:i4>
      </vt:variant>
      <vt:variant>
        <vt:i4>0</vt:i4>
      </vt:variant>
      <vt:variant>
        <vt:i4>5</vt:i4>
      </vt:variant>
      <vt:variant>
        <vt:lpwstr/>
      </vt:variant>
      <vt:variant>
        <vt:lpwstr>_4.1.1_Functions_of</vt:lpwstr>
      </vt:variant>
      <vt:variant>
        <vt:i4>7995421</vt:i4>
      </vt:variant>
      <vt:variant>
        <vt:i4>0</vt:i4>
      </vt:variant>
      <vt:variant>
        <vt:i4>0</vt:i4>
      </vt:variant>
      <vt:variant>
        <vt:i4>5</vt:i4>
      </vt:variant>
      <vt:variant>
        <vt:lpwstr/>
      </vt:variant>
      <vt:variant>
        <vt:lpwstr>_4.1_The_Child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JMatthew</dc:creator>
  <cp:keywords/>
  <dc:description/>
  <cp:lastModifiedBy>Peter Power (CSV)</cp:lastModifiedBy>
  <cp:revision>2</cp:revision>
  <cp:lastPrinted>2025-02-05T01:50:00Z</cp:lastPrinted>
  <dcterms:created xsi:type="dcterms:W3CDTF">2025-05-07T23:16:00Z</dcterms:created>
  <dcterms:modified xsi:type="dcterms:W3CDTF">2025-05-07T23:16:00Z</dcterms:modified>
</cp:coreProperties>
</file>