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5D4DC2C9" w14:textId="35DD5E73" w:rsidR="00FF0BB4" w:rsidRPr="00F66696" w:rsidRDefault="00FF0BB4" w:rsidP="00FF0BB4">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w:t>
        </w:r>
        <w:r>
          <w:rPr>
            <w:rStyle w:val="Hyperlink"/>
            <w:rFonts w:ascii="Arial" w:hAnsi="Arial" w:cs="Arial"/>
            <w:b/>
            <w:bCs/>
            <w:color w:val="0000FF"/>
            <w:sz w:val="20"/>
            <w:u w:val="none"/>
          </w:rPr>
          <w:t>3</w:t>
        </w:r>
        <w:r w:rsidRPr="00F66696">
          <w:rPr>
            <w:rStyle w:val="Hyperlink"/>
            <w:rFonts w:ascii="Arial" w:hAnsi="Arial" w:cs="Arial"/>
            <w:b/>
            <w:bCs/>
            <w:color w:val="0000FF"/>
            <w:sz w:val="20"/>
            <w:u w:val="none"/>
          </w:rPr>
          <w:tab/>
        </w:r>
        <w:r>
          <w:rPr>
            <w:rStyle w:val="Hyperlink"/>
            <w:rFonts w:ascii="Arial" w:hAnsi="Arial" w:cs="Arial"/>
            <w:b/>
            <w:bCs/>
            <w:color w:val="0000FF"/>
            <w:sz w:val="20"/>
            <w:u w:val="none"/>
          </w:rPr>
          <w:t>‘Consequence of incompetence of defence counsel</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C30EDA">
      <w:pPr>
        <w:pStyle w:val="Heading3"/>
        <w:pBdr>
          <w:top w:val="single" w:sz="4" w:space="1" w:color="auto"/>
          <w:left w:val="single" w:sz="4" w:space="4" w:color="auto"/>
          <w:bottom w:val="single" w:sz="4" w:space="1" w:color="auto"/>
          <w:right w:val="single" w:sz="4" w:space="4" w:color="auto"/>
        </w:pBdr>
        <w:spacing w:before="8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62900F67" w14:textId="77777777" w:rsidR="00BE33A5" w:rsidRDefault="00BE33A5" w:rsidP="00BE33A5">
      <w:pPr>
        <w:jc w:val="both"/>
        <w:rPr>
          <w:rFonts w:ascii="Arial" w:hAnsi="Arial" w:cs="Arial"/>
          <w:sz w:val="20"/>
        </w:rPr>
      </w:pPr>
    </w:p>
    <w:p w14:paraId="0C89EFFB" w14:textId="6C553A4F" w:rsidR="00D6714D" w:rsidRDefault="00D6714D" w:rsidP="00D6714D">
      <w:pPr>
        <w:jc w:val="both"/>
        <w:rPr>
          <w:rFonts w:ascii="Arial" w:hAnsi="Arial" w:cs="Arial"/>
          <w:sz w:val="20"/>
        </w:rPr>
      </w:pPr>
      <w:r>
        <w:rPr>
          <w:rFonts w:ascii="Arial" w:hAnsi="Arial" w:cs="Arial"/>
          <w:sz w:val="20"/>
        </w:rPr>
        <w:t>Other important obligations</w:t>
      </w:r>
      <w:r w:rsidR="004D453D">
        <w:rPr>
          <w:rFonts w:ascii="Arial" w:hAnsi="Arial" w:cs="Arial"/>
          <w:sz w:val="20"/>
        </w:rPr>
        <w:t xml:space="preserve"> of a prosecutor</w:t>
      </w:r>
      <w:r>
        <w:rPr>
          <w:rFonts w:ascii="Arial" w:hAnsi="Arial" w:cs="Arial"/>
          <w:sz w:val="20"/>
        </w:rPr>
        <w:t xml:space="preserve">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lastRenderedPageBreak/>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07A70538" w14:textId="77777777" w:rsidR="00692FE8" w:rsidRDefault="00692FE8" w:rsidP="00ED017F">
      <w:pPr>
        <w:jc w:val="both"/>
        <w:rPr>
          <w:rFonts w:ascii="Arial" w:hAnsi="Arial" w:cs="Arial"/>
          <w:sz w:val="20"/>
        </w:rPr>
      </w:pPr>
    </w:p>
    <w:p w14:paraId="19211DF0" w14:textId="77777777" w:rsidR="00FF0BB4" w:rsidRDefault="00FF0BB4" w:rsidP="00FF0BB4">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prosecutor’s closing address was unfair in light of the denial of leave to cross-examine, the Court of Appeal allowed the appeal and ordered a re-trial (which ultimately resulted in an acquittal). At [110] Priest AP, </w:t>
      </w:r>
      <w:proofErr w:type="spellStart"/>
      <w:r>
        <w:rPr>
          <w:rFonts w:ascii="Arial" w:hAnsi="Arial" w:cs="Arial"/>
          <w:sz w:val="20"/>
          <w:szCs w:val="20"/>
        </w:rPr>
        <w:t>Sifris</w:t>
      </w:r>
      <w:proofErr w:type="spellEnd"/>
      <w:r>
        <w:rPr>
          <w:rFonts w:ascii="Arial" w:hAnsi="Arial" w:cs="Arial"/>
          <w:sz w:val="20"/>
          <w:szCs w:val="20"/>
        </w:rPr>
        <w:t xml:space="preserve"> &amp; Walker JJA described the duty of a prosecutor as follows:</w:t>
      </w:r>
    </w:p>
    <w:p w14:paraId="26863E28" w14:textId="77777777" w:rsidR="00FF0BB4" w:rsidRDefault="00FF0BB4" w:rsidP="00FF0BB4">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070B4054"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w:t>
      </w:r>
      <w:proofErr w:type="gramStart"/>
      <w:r w:rsidRPr="008A085D">
        <w:rPr>
          <w:rFonts w:ascii="Arial" w:hAnsi="Arial" w:cs="Arial"/>
          <w:sz w:val="18"/>
          <w:szCs w:val="18"/>
        </w:rPr>
        <w:t>viewed, but</w:t>
      </w:r>
      <w:proofErr w:type="gramEnd"/>
      <w:r w:rsidRPr="008A085D">
        <w:rPr>
          <w:rFonts w:ascii="Arial" w:hAnsi="Arial" w:cs="Arial"/>
          <w:sz w:val="18"/>
          <w:szCs w:val="18"/>
        </w:rPr>
        <w:t xml:space="preserve"> always doing so in a manner that is scrupulously fair.</w:t>
      </w:r>
    </w:p>
    <w:p w14:paraId="55AF880B"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4A02EA4F"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6CE3AA25"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lastRenderedPageBreak/>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75033849" w14:textId="77777777" w:rsidR="00FF0BB4" w:rsidRPr="008A085D" w:rsidRDefault="00FF0BB4" w:rsidP="00FF0BB4">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179349A0"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087C3168" w14:textId="77777777" w:rsidR="00FF0BB4" w:rsidRPr="008A085D" w:rsidRDefault="00FF0BB4" w:rsidP="00FF0BB4">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1F8011B0"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0F335B8A" w14:textId="77777777" w:rsidR="00FF0BB4" w:rsidRPr="00BE33A5" w:rsidRDefault="00FF0BB4" w:rsidP="00FF0BB4">
      <w:pPr>
        <w:spacing w:before="60"/>
        <w:ind w:left="1474" w:right="1474"/>
        <w:jc w:val="both"/>
        <w:rPr>
          <w:rFonts w:ascii="Arial" w:hAnsi="Arial" w:cs="Arial"/>
          <w:sz w:val="16"/>
          <w:szCs w:val="16"/>
        </w:rPr>
      </w:pPr>
      <w:r w:rsidRPr="00BE33A5">
        <w:rPr>
          <w:rFonts w:ascii="Arial" w:hAnsi="Arial" w:cs="Arial"/>
          <w:sz w:val="16"/>
          <w:szCs w:val="16"/>
        </w:rPr>
        <w:t>[P]</w:t>
      </w:r>
      <w:proofErr w:type="spellStart"/>
      <w:r w:rsidRPr="00BE33A5">
        <w:rPr>
          <w:rFonts w:ascii="Arial" w:hAnsi="Arial" w:cs="Arial"/>
          <w:sz w:val="16"/>
          <w:szCs w:val="16"/>
        </w:rPr>
        <w:t>rosecuting</w:t>
      </w:r>
      <w:proofErr w:type="spellEnd"/>
      <w:r w:rsidRPr="00BE33A5">
        <w:rPr>
          <w:rFonts w:ascii="Arial" w:hAnsi="Arial" w:cs="Arial"/>
          <w:sz w:val="16"/>
          <w:szCs w:val="16"/>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04B855D"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2C481E86" w14:textId="77777777" w:rsidR="00FF0BB4" w:rsidRPr="00BE33A5" w:rsidRDefault="00FF0BB4" w:rsidP="00FF0BB4">
      <w:pPr>
        <w:spacing w:before="60"/>
        <w:ind w:left="1474" w:right="1474"/>
        <w:jc w:val="both"/>
        <w:rPr>
          <w:rFonts w:ascii="Arial" w:hAnsi="Arial" w:cs="Arial"/>
          <w:sz w:val="18"/>
          <w:szCs w:val="18"/>
        </w:rPr>
      </w:pPr>
      <w:r w:rsidRPr="00BE33A5">
        <w:rPr>
          <w:rFonts w:ascii="Arial" w:hAnsi="Arial" w:cs="Arial"/>
          <w:sz w:val="16"/>
          <w:szCs w:val="16"/>
        </w:rPr>
        <w:t>Prosecuting counsel in a criminal trial represents the State.</w:t>
      </w:r>
      <w:r w:rsidRPr="00BE33A5">
        <w:rPr>
          <w:rFonts w:ascii="Arial" w:hAnsi="Arial" w:cs="Arial"/>
          <w:sz w:val="18"/>
          <w:szCs w:val="18"/>
        </w:rPr>
        <w:t xml:space="preserve"> </w:t>
      </w:r>
      <w:r w:rsidRPr="00BE33A5">
        <w:rPr>
          <w:rFonts w:ascii="Arial" w:hAnsi="Arial" w:cs="Arial"/>
          <w:sz w:val="16"/>
          <w:szCs w:val="16"/>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p>
    <w:p w14:paraId="65C7B712" w14:textId="77777777" w:rsidR="00FF0BB4" w:rsidRDefault="00FF0BB4" w:rsidP="00FF0BB4">
      <w:pPr>
        <w:jc w:val="both"/>
        <w:rPr>
          <w:rFonts w:ascii="Arial" w:hAnsi="Arial" w:cs="Arial"/>
          <w:sz w:val="20"/>
        </w:rPr>
      </w:pPr>
    </w:p>
    <w:p w14:paraId="39C716D0" w14:textId="77777777" w:rsidR="00FF0BB4" w:rsidRDefault="00FF0BB4" w:rsidP="00FF0BB4">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25C30B45" w14:textId="21D5A2AD" w:rsidR="00FF0BB4" w:rsidRDefault="00FF0BB4" w:rsidP="00FF0BB4">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 xml:space="preserve">decided to re-examine. Common sense was jettisoned. This was an unnecessary and hazardous course. The prosecutor responded to defence counsel’s mild suggestion that the complainant was ‘making up’ his </w:t>
      </w:r>
      <w:proofErr w:type="gramStart"/>
      <w:r w:rsidRPr="008808B1">
        <w:rPr>
          <w:rFonts w:ascii="Arial" w:hAnsi="Arial" w:cs="Arial"/>
          <w:sz w:val="20"/>
          <w:szCs w:val="20"/>
        </w:rPr>
        <w:t>evidence, and</w:t>
      </w:r>
      <w:proofErr w:type="gramEnd"/>
      <w:r w:rsidRPr="008808B1">
        <w:rPr>
          <w:rFonts w:ascii="Arial" w:hAnsi="Arial" w:cs="Arial"/>
          <w:sz w:val="20"/>
          <w:szCs w:val="20"/>
        </w:rPr>
        <w:t xml:space="preserve"> decided to ‘up the ante’. The following irresponsible re-examination occurred</w:t>
      </w:r>
      <w:r>
        <w:rPr>
          <w:rFonts w:ascii="Arial" w:hAnsi="Arial" w:cs="Arial"/>
          <w:sz w:val="20"/>
          <w:szCs w:val="20"/>
        </w:rPr>
        <w:t>..</w:t>
      </w:r>
      <w:r w:rsidRPr="008808B1">
        <w:rPr>
          <w:rFonts w:ascii="Arial" w:hAnsi="Arial" w:cs="Arial"/>
          <w:sz w:val="20"/>
          <w:szCs w:val="20"/>
        </w:rPr>
        <w:t>.</w:t>
      </w:r>
    </w:p>
    <w:p w14:paraId="46942A83"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3D2FB244"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69D6A9E6" w14:textId="77777777" w:rsidR="00FF0BB4" w:rsidRPr="0048594F"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Pr>
          <w:rFonts w:ascii="Arial" w:hAnsi="Arial" w:cs="Arial"/>
          <w:sz w:val="20"/>
          <w:szCs w:val="20"/>
        </w:rPr>
        <w:noBreakHyphen/>
      </w:r>
      <w:r w:rsidRPr="0048594F">
        <w:rPr>
          <w:rFonts w:ascii="Arial" w:hAnsi="Arial" w:cs="Arial"/>
          <w:sz w:val="20"/>
          <w:szCs w:val="20"/>
        </w:rPr>
        <w:t>4; [1983] HCA 427 Deane J said:</w:t>
      </w:r>
    </w:p>
    <w:p w14:paraId="6B40DC88" w14:textId="77777777" w:rsidR="00FF0BB4" w:rsidRPr="002934C8" w:rsidRDefault="00FF0BB4" w:rsidP="00FF0BB4">
      <w:pPr>
        <w:pStyle w:val="NormalWeb"/>
        <w:spacing w:before="60" w:beforeAutospacing="0" w:after="0" w:afterAutospacing="0"/>
        <w:ind w:left="1021" w:right="1021"/>
        <w:jc w:val="both"/>
        <w:rPr>
          <w:rFonts w:ascii="Arial" w:hAnsi="Arial" w:cs="Arial"/>
          <w:sz w:val="18"/>
          <w:szCs w:val="18"/>
        </w:rPr>
      </w:pPr>
      <w:r w:rsidRPr="002934C8">
        <w:rPr>
          <w:rFonts w:ascii="Arial" w:hAnsi="Arial" w:cs="Arial"/>
          <w:sz w:val="18"/>
          <w:szCs w:val="18"/>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3259308A" w14:textId="77777777" w:rsidR="00FF0BB4" w:rsidRPr="008808B1"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22A7DD99" w14:textId="77777777" w:rsidR="00FF0BB4" w:rsidRDefault="00FF0BB4" w:rsidP="00FF0BB4">
      <w:pPr>
        <w:jc w:val="both"/>
        <w:rPr>
          <w:rFonts w:ascii="Arial" w:hAnsi="Arial" w:cs="Arial"/>
          <w:sz w:val="20"/>
        </w:rPr>
      </w:pPr>
    </w:p>
    <w:p w14:paraId="0F205434" w14:textId="768B6783" w:rsidR="006E1662" w:rsidRDefault="0093352C" w:rsidP="00FF0BB4">
      <w:pPr>
        <w:jc w:val="both"/>
        <w:rPr>
          <w:rFonts w:ascii="Arial" w:hAnsi="Arial" w:cs="Arial"/>
          <w:sz w:val="20"/>
        </w:rPr>
      </w:pPr>
      <w:r>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the applicant had been found guilty in a jury trial of intentionally causing serious injury and handling stolen goods. The prosecutor had cross-examined the principal prosecution witness without </w:t>
      </w:r>
      <w:r w:rsidR="006E1662">
        <w:rPr>
          <w:rFonts w:ascii="Arial" w:hAnsi="Arial" w:cs="Arial"/>
          <w:sz w:val="20"/>
        </w:rPr>
        <w:t xml:space="preserve">being granted </w:t>
      </w:r>
      <w:r>
        <w:rPr>
          <w:rFonts w:ascii="Arial" w:hAnsi="Arial" w:cs="Arial"/>
          <w:sz w:val="20"/>
        </w:rPr>
        <w:t xml:space="preserve">leave </w:t>
      </w:r>
      <w:r w:rsidR="006E1662">
        <w:rPr>
          <w:rFonts w:ascii="Arial" w:hAnsi="Arial" w:cs="Arial"/>
          <w:sz w:val="20"/>
        </w:rPr>
        <w:t xml:space="preserve">from the trial judge under s.38 of the </w:t>
      </w:r>
      <w:r w:rsidR="006E1662" w:rsidRPr="006E1662">
        <w:rPr>
          <w:rFonts w:ascii="Arial" w:hAnsi="Arial" w:cs="Arial"/>
          <w:i/>
          <w:iCs/>
          <w:sz w:val="20"/>
        </w:rPr>
        <w:t>Evidence Act 2008</w:t>
      </w:r>
      <w:r w:rsidR="006E1662">
        <w:rPr>
          <w:rFonts w:ascii="Arial" w:hAnsi="Arial" w:cs="Arial"/>
          <w:sz w:val="20"/>
        </w:rPr>
        <w:t xml:space="preserve"> </w:t>
      </w:r>
      <w:r>
        <w:rPr>
          <w:rFonts w:ascii="Arial" w:hAnsi="Arial" w:cs="Arial"/>
          <w:sz w:val="20"/>
        </w:rPr>
        <w:t xml:space="preserve">and the defence counsel had acquiesced. The incompetence of defence counsel is discussed in </w:t>
      </w:r>
      <w:r w:rsidRPr="006E1662">
        <w:rPr>
          <w:rFonts w:ascii="Arial" w:hAnsi="Arial" w:cs="Arial"/>
          <w:b/>
          <w:bCs/>
          <w:sz w:val="20"/>
          <w:shd w:val="clear" w:color="auto" w:fill="C5E0B3" w:themeFill="accent6" w:themeFillTint="66"/>
        </w:rPr>
        <w:t>section 10.0.3</w:t>
      </w:r>
      <w:r>
        <w:rPr>
          <w:rFonts w:ascii="Arial" w:hAnsi="Arial" w:cs="Arial"/>
          <w:sz w:val="20"/>
        </w:rPr>
        <w:t xml:space="preserve"> below. </w:t>
      </w:r>
      <w:r w:rsidR="006E1662">
        <w:rPr>
          <w:rFonts w:ascii="Arial" w:hAnsi="Arial" w:cs="Arial"/>
          <w:sz w:val="20"/>
        </w:rPr>
        <w:t>At [80]-[81] Priest, Taylor &amp; Kidd JJA made the following observations about the conduct of the prosecutor at the trial:</w:t>
      </w:r>
    </w:p>
    <w:p w14:paraId="1BCE8424" w14:textId="7348EB28" w:rsidR="006E1662" w:rsidRDefault="006E1662" w:rsidP="006E166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[80] “...Prosecutors have long been regarded as ministers of justice who are obliged to conduct the prosecution case fairly. As to that, Kaye AJ recently observed in </w:t>
      </w:r>
      <w:r w:rsidRPr="006E1662">
        <w:rPr>
          <w:rFonts w:ascii="Arial" w:hAnsi="Arial" w:cs="Arial"/>
          <w:i/>
          <w:iCs/>
          <w:sz w:val="20"/>
          <w:szCs w:val="20"/>
        </w:rPr>
        <w:t>Drumgold v Board of Inquiry (No 3)</w:t>
      </w:r>
      <w:r>
        <w:rPr>
          <w:rFonts w:ascii="Arial" w:hAnsi="Arial" w:cs="Arial"/>
          <w:sz w:val="20"/>
          <w:szCs w:val="20"/>
        </w:rPr>
        <w:t xml:space="preserve"> [2024] ACTSC 58, [471] that in </w:t>
      </w:r>
      <w:r w:rsidRPr="006E1662">
        <w:rPr>
          <w:rFonts w:ascii="Arial" w:hAnsi="Arial" w:cs="Arial"/>
          <w:i/>
          <w:iCs/>
          <w:sz w:val="20"/>
          <w:szCs w:val="20"/>
        </w:rPr>
        <w:t>Whitehorn v The Queen</w:t>
      </w:r>
      <w:r>
        <w:rPr>
          <w:rFonts w:ascii="Arial" w:hAnsi="Arial" w:cs="Arial"/>
          <w:sz w:val="20"/>
          <w:szCs w:val="20"/>
        </w:rPr>
        <w:t xml:space="preserve"> (1983) 152 CLR 657, 663-4, Deane J</w:t>
      </w:r>
    </w:p>
    <w:p w14:paraId="66282782" w14:textId="51B8CE62" w:rsidR="006E1662" w:rsidRPr="006E1662" w:rsidRDefault="006E1662" w:rsidP="006E1662">
      <w:pPr>
        <w:spacing w:before="60"/>
        <w:ind w:left="1021" w:right="1021"/>
        <w:jc w:val="both"/>
        <w:rPr>
          <w:rFonts w:ascii="Arial" w:hAnsi="Arial" w:cs="Arial"/>
          <w:sz w:val="18"/>
          <w:szCs w:val="22"/>
        </w:rPr>
      </w:pPr>
      <w:r w:rsidRPr="006E1662">
        <w:rPr>
          <w:rFonts w:ascii="Arial" w:hAnsi="Arial" w:cs="Arial"/>
          <w:sz w:val="18"/>
          <w:szCs w:val="22"/>
        </w:rPr>
        <w:t xml:space="preserve">described the duty of a prosecutor to </w:t>
      </w:r>
      <w:r>
        <w:rPr>
          <w:rFonts w:ascii="Arial" w:hAnsi="Arial" w:cs="Arial"/>
          <w:sz w:val="18"/>
          <w:szCs w:val="22"/>
        </w:rPr>
        <w:t>ensure that the trial of an accused person is a fair one. That duty is an aspect of the fundamental principle in our criminal justice system that a prosecutor, in occupying the role as a ‘minister of justice’, has an obligation to ensure that a trial is conducted in accordance with the dictates of fairness to an accused person</w:t>
      </w:r>
      <w:r w:rsidR="00F0124D">
        <w:rPr>
          <w:rFonts w:ascii="Arial" w:hAnsi="Arial" w:cs="Arial"/>
          <w:sz w:val="18"/>
          <w:szCs w:val="22"/>
        </w:rPr>
        <w:t>, and to ensure that the integrity of a trial is appropriately preserved.</w:t>
      </w:r>
    </w:p>
    <w:p w14:paraId="5A925675" w14:textId="12B8800B" w:rsidR="00F0124D" w:rsidRDefault="00F0124D" w:rsidP="00F0124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[81] Sadly, the prosecutor in the applicant’s case did not fulfil the obligation resting upon him to ensure that the applicant’s trial was conducted in accordance with the dictates of fairness to the applicant, and so as to ensure that the integrity of the trial was appropriately preserved. Indeed the prosecutor’s conduct was pivotal in the trial miscarrying.”</w:t>
      </w:r>
    </w:p>
    <w:p w14:paraId="3FD87ACD" w14:textId="3877FA99" w:rsidR="0093352C" w:rsidRDefault="0093352C" w:rsidP="00F0124D">
      <w:pPr>
        <w:spacing w:before="60"/>
        <w:jc w:val="both"/>
        <w:rPr>
          <w:rFonts w:ascii="Arial" w:hAnsi="Arial" w:cs="Arial"/>
          <w:sz w:val="20"/>
        </w:rPr>
      </w:pPr>
      <w:r>
        <w:rPr>
          <w:rFonts w:ascii="Arial" w:hAnsi="Arial" w:cs="Arial"/>
          <w:sz w:val="20"/>
        </w:rPr>
        <w:t>In addition</w:t>
      </w:r>
      <w:r w:rsidR="00F0124D">
        <w:rPr>
          <w:rFonts w:ascii="Arial" w:hAnsi="Arial" w:cs="Arial"/>
          <w:sz w:val="20"/>
        </w:rPr>
        <w:t>,</w:t>
      </w:r>
      <w:r>
        <w:rPr>
          <w:rFonts w:ascii="Arial" w:hAnsi="Arial" w:cs="Arial"/>
          <w:sz w:val="20"/>
        </w:rPr>
        <w:t xml:space="preserve"> </w:t>
      </w:r>
      <w:r w:rsidR="00F0124D">
        <w:rPr>
          <w:rFonts w:ascii="Arial" w:hAnsi="Arial" w:cs="Arial"/>
          <w:sz w:val="20"/>
        </w:rPr>
        <w:t>their Honours held at [90] that “</w:t>
      </w:r>
      <w:r>
        <w:rPr>
          <w:rFonts w:ascii="Arial" w:hAnsi="Arial" w:cs="Arial"/>
          <w:sz w:val="20"/>
        </w:rPr>
        <w:t xml:space="preserve">the introduction of evidence suggesting that the applicant </w:t>
      </w:r>
      <w:r w:rsidR="00F0124D">
        <w:rPr>
          <w:rFonts w:ascii="Arial" w:hAnsi="Arial" w:cs="Arial"/>
          <w:sz w:val="20"/>
        </w:rPr>
        <w:t>was of bad character, elicited as a result of the prosecutor’s conduct, has occasioned a substantial miscarriage of justice”.</w:t>
      </w:r>
      <w:r>
        <w:rPr>
          <w:rFonts w:ascii="Arial" w:hAnsi="Arial" w:cs="Arial"/>
          <w:sz w:val="20"/>
        </w:rPr>
        <w:t xml:space="preserve"> As a consequence </w:t>
      </w:r>
      <w:r w:rsidR="002023A5">
        <w:rPr>
          <w:rFonts w:ascii="Arial" w:hAnsi="Arial" w:cs="Arial"/>
          <w:sz w:val="20"/>
        </w:rPr>
        <w:t xml:space="preserve">of both issues </w:t>
      </w:r>
      <w:r>
        <w:rPr>
          <w:rFonts w:ascii="Arial" w:hAnsi="Arial" w:cs="Arial"/>
          <w:sz w:val="20"/>
        </w:rPr>
        <w:t xml:space="preserve">the Court of Appeal </w:t>
      </w:r>
      <w:r w:rsidR="00F0124D">
        <w:rPr>
          <w:rFonts w:ascii="Arial" w:hAnsi="Arial" w:cs="Arial"/>
          <w:sz w:val="20"/>
        </w:rPr>
        <w:t>granted leave to appeal against conviction, allowed the appeal, set aside the convictions and ordered a new trial.</w:t>
      </w:r>
    </w:p>
    <w:p w14:paraId="68B718D9" w14:textId="77777777" w:rsidR="0093352C" w:rsidRDefault="0093352C" w:rsidP="00FF0BB4">
      <w:pPr>
        <w:jc w:val="both"/>
        <w:rPr>
          <w:rFonts w:ascii="Arial" w:hAnsi="Arial" w:cs="Arial"/>
          <w:sz w:val="20"/>
        </w:rPr>
      </w:pPr>
    </w:p>
    <w:p w14:paraId="1CED0AA7" w14:textId="77777777" w:rsidR="00FF0BB4" w:rsidRDefault="00FF0BB4" w:rsidP="00FF0BB4">
      <w:pPr>
        <w:jc w:val="both"/>
        <w:rPr>
          <w:rFonts w:ascii="Arial" w:hAnsi="Arial" w:cs="Arial"/>
          <w:sz w:val="20"/>
        </w:rPr>
      </w:pPr>
      <w:r>
        <w:rPr>
          <w:rFonts w:ascii="Arial" w:hAnsi="Arial" w:cs="Arial"/>
          <w:sz w:val="20"/>
        </w:rPr>
        <w:t xml:space="preserve">in </w:t>
      </w:r>
      <w:r w:rsidRPr="00654521">
        <w:rPr>
          <w:rFonts w:ascii="Arial" w:hAnsi="Arial" w:cs="Arial"/>
          <w:i/>
          <w:iCs/>
          <w:sz w:val="20"/>
        </w:rPr>
        <w:t>Mali v The King</w:t>
      </w:r>
      <w:r>
        <w:rPr>
          <w:rFonts w:ascii="Arial" w:hAnsi="Arial" w:cs="Arial"/>
          <w:sz w:val="20"/>
        </w:rPr>
        <w:t xml:space="preserve"> [2025] VSCA 91 unfairness to the accused arose in a different way. The applicant had been convicted after a jury trial of attempting to possess a commercial quantity of a border controlled drug. The prosecution had not relied on alternative bases for guilt but a redirection to the jury in answer to a jury question left open an alternative basis of guilt not initially relied on by the prosecution. In allowing the appeal the Court of Appeal discussed and applied </w:t>
      </w:r>
      <w:r w:rsidRPr="004D453D">
        <w:rPr>
          <w:rFonts w:ascii="Arial" w:hAnsi="Arial" w:cs="Arial"/>
          <w:i/>
          <w:iCs/>
          <w:sz w:val="20"/>
        </w:rPr>
        <w:t>King v The Queen</w:t>
      </w:r>
      <w:r w:rsidRPr="004D453D">
        <w:rPr>
          <w:rFonts w:ascii="Arial" w:hAnsi="Arial" w:cs="Arial"/>
          <w:sz w:val="20"/>
        </w:rPr>
        <w:t xml:space="preserve"> (1986) 161 CLR 423</w:t>
      </w:r>
      <w:r>
        <w:rPr>
          <w:rFonts w:ascii="Arial" w:hAnsi="Arial" w:cs="Arial"/>
          <w:sz w:val="20"/>
        </w:rPr>
        <w:t xml:space="preserve"> &amp;</w:t>
      </w:r>
      <w:r w:rsidRPr="004D453D">
        <w:rPr>
          <w:rFonts w:ascii="Arial" w:hAnsi="Arial" w:cs="Arial"/>
          <w:sz w:val="20"/>
        </w:rPr>
        <w:t xml:space="preserve"> </w:t>
      </w:r>
      <w:r w:rsidRPr="004D453D">
        <w:rPr>
          <w:rFonts w:ascii="Arial" w:hAnsi="Arial" w:cs="Arial"/>
          <w:i/>
          <w:iCs/>
          <w:sz w:val="20"/>
        </w:rPr>
        <w:t>R</w:t>
      </w:r>
      <w:r>
        <w:rPr>
          <w:rFonts w:ascii="Arial" w:hAnsi="Arial" w:cs="Arial"/>
          <w:i/>
          <w:iCs/>
          <w:sz w:val="20"/>
        </w:rPr>
        <w:t> </w:t>
      </w:r>
      <w:r w:rsidRPr="004D453D">
        <w:rPr>
          <w:rFonts w:ascii="Arial" w:hAnsi="Arial" w:cs="Arial"/>
          <w:i/>
          <w:iCs/>
          <w:sz w:val="20"/>
        </w:rPr>
        <w:t>v</w:t>
      </w:r>
      <w:r>
        <w:rPr>
          <w:rFonts w:ascii="Arial" w:hAnsi="Arial" w:cs="Arial"/>
          <w:i/>
          <w:iCs/>
          <w:sz w:val="20"/>
        </w:rPr>
        <w:t> </w:t>
      </w:r>
      <w:r w:rsidRPr="004D453D">
        <w:rPr>
          <w:rFonts w:ascii="Arial" w:hAnsi="Arial" w:cs="Arial"/>
          <w:i/>
          <w:iCs/>
          <w:sz w:val="20"/>
        </w:rPr>
        <w:t>GAS</w:t>
      </w:r>
      <w:r w:rsidRPr="004D453D">
        <w:rPr>
          <w:rFonts w:ascii="Arial" w:hAnsi="Arial" w:cs="Arial"/>
          <w:sz w:val="20"/>
        </w:rPr>
        <w:t xml:space="preserve"> [1998] 3 VR 862.</w:t>
      </w:r>
      <w:r>
        <w:rPr>
          <w:rFonts w:ascii="Arial" w:hAnsi="Arial" w:cs="Arial"/>
          <w:sz w:val="20"/>
        </w:rPr>
        <w:t xml:space="preserve"> At [40] &amp; [48]-[50] Priest, McLeish &amp; Orr JJA said [emphasis added]:</w:t>
      </w:r>
    </w:p>
    <w:p w14:paraId="4CBE7ADD"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szCs w:val="20"/>
        </w:rPr>
        <w:t>[40] “</w:t>
      </w:r>
      <w:r w:rsidRPr="00654521">
        <w:rPr>
          <w:rFonts w:ascii="Arial" w:hAnsi="Arial" w:cs="Arial"/>
          <w:sz w:val="20"/>
        </w:rPr>
        <w:t xml:space="preserve">In our opinion, the judge’s redirection in answer to the jury’s question — </w:t>
      </w:r>
      <w:r w:rsidRPr="00E76FFE">
        <w:rPr>
          <w:rFonts w:ascii="Arial" w:hAnsi="Arial" w:cs="Arial"/>
          <w:b/>
          <w:bCs/>
          <w:sz w:val="20"/>
        </w:rPr>
        <w:t>encouraged by the prosecutor</w:t>
      </w:r>
      <w:r w:rsidRPr="00654521">
        <w:rPr>
          <w:rFonts w:ascii="Arial" w:hAnsi="Arial" w:cs="Arial"/>
          <w:sz w:val="20"/>
        </w:rPr>
        <w:t xml:space="preserve"> — impermissibly enlarged the prosecution case. It occasioned a substantial miscarriage of justice</w:t>
      </w:r>
      <w:r>
        <w:rPr>
          <w:rFonts w:ascii="Arial" w:hAnsi="Arial" w:cs="Arial"/>
          <w:sz w:val="20"/>
        </w:rPr>
        <w:t>.”</w:t>
      </w:r>
    </w:p>
    <w:p w14:paraId="427C5417"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p>
    <w:p w14:paraId="36B2CE19"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[48] “</w:t>
      </w:r>
      <w:r w:rsidRPr="00654521">
        <w:rPr>
          <w:rFonts w:ascii="Arial" w:hAnsi="Arial" w:cs="Arial"/>
          <w:sz w:val="20"/>
        </w:rPr>
        <w:t>In our view, the introduction of this different basis for a conviction in response to the jury’s question — even if that basis theoretically was open on the evidence — after the final address of defence counsel and over his objection, was a significant enlargement of the case which the applicant had to meet, without the applicant’s counsel having had any opportunity to address the jury on that additional basis. It is tolerably clear, moreover, that the introduction of the different basis for conviction was significant to the almost immediate resolution of the impasse in the jury’s deliberations.</w:t>
      </w:r>
    </w:p>
    <w:p w14:paraId="04996376"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49</w:t>
      </w:r>
      <w:r>
        <w:rPr>
          <w:rFonts w:ascii="Arial" w:hAnsi="Arial" w:cs="Arial"/>
          <w:sz w:val="20"/>
        </w:rPr>
        <w:t>]</w:t>
      </w:r>
      <w:r w:rsidRPr="00654521">
        <w:rPr>
          <w:rFonts w:ascii="Arial" w:hAnsi="Arial" w:cs="Arial"/>
          <w:sz w:val="20"/>
        </w:rPr>
        <w:t xml:space="preserve"> As a result, there has been a substantial miscarriage of justice, such that the applicant’s conviction cannot be permitted to stand. We would grant leave to appeal; allow the appeal; and set aside the conviction. </w:t>
      </w:r>
    </w:p>
    <w:p w14:paraId="0B895932"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50</w:t>
      </w:r>
      <w:r>
        <w:rPr>
          <w:rFonts w:ascii="Arial" w:hAnsi="Arial" w:cs="Arial"/>
          <w:sz w:val="20"/>
        </w:rPr>
        <w:t>]</w:t>
      </w:r>
      <w:r w:rsidRPr="00654521">
        <w:rPr>
          <w:rFonts w:ascii="Arial" w:hAnsi="Arial" w:cs="Arial"/>
          <w:sz w:val="20"/>
        </w:rPr>
        <w:t xml:space="preserve"> In the circumstances, there should be an order for a new trial. As to that, we note, first, that the respondent conceded that, absent the error in this case, conviction would not have been inevitable; and, secondly, senior counsel for the respondent assured the Court that, should a retrial be ordered, the prosecution would not seek at that trial to advance a different case from that initially put by the prosecution at the trial the subject of his appeal.</w:t>
      </w:r>
      <w:r>
        <w:rPr>
          <w:rFonts w:ascii="Arial" w:hAnsi="Arial" w:cs="Arial"/>
          <w:sz w:val="20"/>
        </w:rPr>
        <w:t>”</w:t>
      </w:r>
    </w:p>
    <w:p w14:paraId="2F2F96E7" w14:textId="77777777" w:rsidR="00FF0BB4" w:rsidRDefault="00FF0BB4" w:rsidP="00FF0BB4">
      <w:pPr>
        <w:rPr>
          <w:rFonts w:ascii="Arial" w:hAnsi="Arial" w:cs="Arial"/>
          <w:sz w:val="20"/>
          <w:szCs w:val="20"/>
        </w:rPr>
      </w:pPr>
    </w:p>
    <w:p w14:paraId="4FBCD730" w14:textId="77777777" w:rsidR="00FF0BB4" w:rsidRDefault="00FF0BB4" w:rsidP="00FF0BB4">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Pr="0014732A">
        <w:rPr>
          <w:rFonts w:ascii="Arial" w:hAnsi="Arial" w:cs="Arial"/>
          <w:b/>
          <w:bCs/>
          <w:color w:val="000000"/>
          <w:sz w:val="20"/>
          <w:shd w:val="clear" w:color="auto" w:fill="C5E0B3" w:themeFill="accent6" w:themeFillTint="66"/>
        </w:rPr>
        <w:t>11.4.4A</w:t>
      </w:r>
      <w:r>
        <w:rPr>
          <w:rFonts w:ascii="Arial" w:hAnsi="Arial" w:cs="Arial"/>
          <w:b/>
          <w:bCs/>
          <w:color w:val="000000"/>
          <w:sz w:val="20"/>
        </w:rPr>
        <w:t xml:space="preserve"> </w:t>
      </w:r>
      <w:r w:rsidRPr="0014732A">
        <w:rPr>
          <w:rFonts w:ascii="Arial" w:hAnsi="Arial" w:cs="Arial"/>
          <w:color w:val="000000"/>
          <w:sz w:val="20"/>
        </w:rPr>
        <w:t>in relation to submissions and duty of a prosecutor in a sentencing hearing.</w:t>
      </w:r>
    </w:p>
    <w:p w14:paraId="43ED3552" w14:textId="77777777" w:rsidR="00FF0BB4" w:rsidRDefault="00FF0BB4" w:rsidP="00FF0BB4">
      <w:pPr>
        <w:jc w:val="both"/>
        <w:rPr>
          <w:rFonts w:ascii="Arial" w:hAnsi="Arial" w:cs="Arial"/>
          <w:sz w:val="20"/>
        </w:rPr>
      </w:pPr>
    </w:p>
    <w:p w14:paraId="7E235CD5" w14:textId="00020204" w:rsidR="00FF0BB4" w:rsidRPr="005C5E3E" w:rsidRDefault="00FF0BB4" w:rsidP="0014774E">
      <w:pPr>
        <w:pStyle w:val="Heading3"/>
        <w:spacing w:after="120" w:line="240" w:lineRule="auto"/>
        <w:rPr>
          <w:rFonts w:ascii="Arial" w:hAnsi="Arial" w:cs="Arial"/>
          <w:b/>
          <w:bCs/>
          <w:sz w:val="20"/>
          <w:szCs w:val="16"/>
        </w:rPr>
      </w:pPr>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3</w:t>
      </w:r>
      <w:r w:rsidRPr="005C5E3E">
        <w:rPr>
          <w:rFonts w:ascii="Arial" w:hAnsi="Arial" w:cs="Arial"/>
          <w:b/>
          <w:bCs/>
          <w:sz w:val="20"/>
          <w:szCs w:val="16"/>
        </w:rPr>
        <w:tab/>
      </w:r>
      <w:r>
        <w:rPr>
          <w:rFonts w:ascii="Arial" w:hAnsi="Arial" w:cs="Arial"/>
          <w:b/>
          <w:bCs/>
          <w:sz w:val="20"/>
          <w:szCs w:val="16"/>
        </w:rPr>
        <w:t>Consequence of incompetence of defence counsel</w:t>
      </w:r>
    </w:p>
    <w:p w14:paraId="75967EFE" w14:textId="0A253B4C" w:rsidR="00FF0BB4" w:rsidRDefault="0014774E" w:rsidP="00ED017F">
      <w:pPr>
        <w:jc w:val="both"/>
        <w:rPr>
          <w:rFonts w:ascii="Arial" w:hAnsi="Arial" w:cs="Arial"/>
          <w:sz w:val="20"/>
        </w:rPr>
      </w:pPr>
      <w:r w:rsidRPr="0014774E">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 summarised in </w:t>
      </w:r>
      <w:r w:rsidRPr="0014774E">
        <w:rPr>
          <w:rFonts w:ascii="Arial" w:hAnsi="Arial" w:cs="Arial"/>
          <w:b/>
          <w:bCs/>
          <w:sz w:val="20"/>
          <w:shd w:val="clear" w:color="auto" w:fill="C5E0B3" w:themeFill="accent6" w:themeFillTint="66"/>
        </w:rPr>
        <w:t>section 10.0.2</w:t>
      </w:r>
      <w:r>
        <w:rPr>
          <w:rFonts w:ascii="Arial" w:hAnsi="Arial" w:cs="Arial"/>
          <w:sz w:val="20"/>
        </w:rPr>
        <w:t xml:space="preserve"> above – the Court of Appeal set aside the applicant’s convictions and ordered a new trial as a consequence of both the </w:t>
      </w:r>
      <w:r w:rsidR="00314C80">
        <w:rPr>
          <w:rFonts w:ascii="Arial" w:hAnsi="Arial" w:cs="Arial"/>
          <w:sz w:val="20"/>
        </w:rPr>
        <w:t>prosecutor’s improper conduct and the incompetence of the applicant’s counsel.</w:t>
      </w:r>
    </w:p>
    <w:p w14:paraId="7034EBF8" w14:textId="77777777" w:rsidR="00806CCE" w:rsidRDefault="00314C80" w:rsidP="00314C80">
      <w:pPr>
        <w:spacing w:before="60"/>
        <w:jc w:val="both"/>
        <w:rPr>
          <w:rFonts w:ascii="Arial" w:hAnsi="Arial" w:cs="Arial"/>
          <w:sz w:val="20"/>
        </w:rPr>
      </w:pPr>
      <w:r>
        <w:rPr>
          <w:rFonts w:ascii="Arial" w:hAnsi="Arial" w:cs="Arial"/>
          <w:sz w:val="20"/>
        </w:rPr>
        <w:lastRenderedPageBreak/>
        <w:t xml:space="preserve">At [62] Priest, Taylor &amp; Kidd JJA said that it was clear that neither the judge nor counsel at either end of the Bar table had paid appropriate attention to the provisions of s.38 of the </w:t>
      </w:r>
      <w:r w:rsidRPr="00314C80">
        <w:rPr>
          <w:rFonts w:ascii="Arial" w:hAnsi="Arial" w:cs="Arial"/>
          <w:i/>
          <w:iCs/>
          <w:sz w:val="20"/>
        </w:rPr>
        <w:t>Evidence Act 2008</w:t>
      </w:r>
      <w:r>
        <w:rPr>
          <w:rFonts w:ascii="Arial" w:hAnsi="Arial" w:cs="Arial"/>
          <w:sz w:val="20"/>
        </w:rPr>
        <w:t xml:space="preserve"> relating to </w:t>
      </w:r>
      <w:r w:rsidR="007C1A96">
        <w:rPr>
          <w:rFonts w:ascii="Arial" w:hAnsi="Arial" w:cs="Arial"/>
          <w:sz w:val="20"/>
        </w:rPr>
        <w:t>unfavourable witnesses. After discussing</w:t>
      </w:r>
      <w:r w:rsidR="00806CCE">
        <w:rPr>
          <w:rFonts w:ascii="Arial" w:hAnsi="Arial" w:cs="Arial"/>
          <w:sz w:val="20"/>
        </w:rPr>
        <w:t>–</w:t>
      </w:r>
    </w:p>
    <w:p w14:paraId="7E45C9D7" w14:textId="6EC52168" w:rsidR="00806CCE" w:rsidRDefault="007C1A96" w:rsidP="00806CCE">
      <w:pPr>
        <w:numPr>
          <w:ilvl w:val="0"/>
          <w:numId w:val="60"/>
        </w:numPr>
        <w:ind w:left="357" w:hanging="357"/>
        <w:jc w:val="both"/>
        <w:rPr>
          <w:rFonts w:ascii="Arial" w:hAnsi="Arial" w:cs="Arial"/>
          <w:sz w:val="20"/>
        </w:rPr>
      </w:pPr>
      <w:r>
        <w:rPr>
          <w:rFonts w:ascii="Arial" w:hAnsi="Arial" w:cs="Arial"/>
          <w:sz w:val="20"/>
        </w:rPr>
        <w:t>at [63]-[</w:t>
      </w:r>
      <w:r w:rsidR="00806CCE">
        <w:rPr>
          <w:rFonts w:ascii="Arial" w:hAnsi="Arial" w:cs="Arial"/>
          <w:sz w:val="20"/>
        </w:rPr>
        <w:t>66</w:t>
      </w:r>
      <w:r>
        <w:rPr>
          <w:rFonts w:ascii="Arial" w:hAnsi="Arial" w:cs="Arial"/>
          <w:sz w:val="20"/>
        </w:rPr>
        <w:t xml:space="preserve">] </w:t>
      </w:r>
      <w:r w:rsidRPr="007C1A96">
        <w:rPr>
          <w:rFonts w:ascii="Arial" w:hAnsi="Arial" w:cs="Arial"/>
          <w:i/>
          <w:iCs/>
          <w:sz w:val="20"/>
        </w:rPr>
        <w:t>Meyer (a pseudonym) v The Queen</w:t>
      </w:r>
      <w:r>
        <w:rPr>
          <w:rFonts w:ascii="Arial" w:hAnsi="Arial" w:cs="Arial"/>
          <w:sz w:val="20"/>
        </w:rPr>
        <w:t xml:space="preserve"> [2018] VSCA 140, [182]</w:t>
      </w:r>
      <w:r w:rsidR="00806CCE">
        <w:rPr>
          <w:rFonts w:ascii="Arial" w:hAnsi="Arial" w:cs="Arial"/>
          <w:sz w:val="20"/>
        </w:rPr>
        <w:t xml:space="preserve"> and </w:t>
      </w:r>
      <w:r w:rsidRPr="00806CCE">
        <w:rPr>
          <w:rFonts w:ascii="Arial" w:hAnsi="Arial" w:cs="Arial"/>
          <w:i/>
          <w:iCs/>
          <w:sz w:val="20"/>
        </w:rPr>
        <w:t xml:space="preserve">Murillo (a pseudonym) </w:t>
      </w:r>
      <w:r w:rsidR="00806CCE" w:rsidRPr="00806CCE">
        <w:rPr>
          <w:rFonts w:ascii="Arial" w:hAnsi="Arial" w:cs="Arial"/>
          <w:i/>
          <w:iCs/>
          <w:sz w:val="20"/>
        </w:rPr>
        <w:t>v The Queen</w:t>
      </w:r>
      <w:r w:rsidR="00806CCE">
        <w:rPr>
          <w:rFonts w:ascii="Arial" w:hAnsi="Arial" w:cs="Arial"/>
          <w:sz w:val="20"/>
        </w:rPr>
        <w:t xml:space="preserve"> [2020] VSCA 68, [96]-100] in relation to the specifics of s.38; and</w:t>
      </w:r>
    </w:p>
    <w:p w14:paraId="27878F37" w14:textId="1FF2581B" w:rsidR="00806CCE" w:rsidRDefault="00806CCE" w:rsidP="00806CCE">
      <w:pPr>
        <w:numPr>
          <w:ilvl w:val="0"/>
          <w:numId w:val="60"/>
        </w:numPr>
        <w:ind w:left="357" w:hanging="357"/>
        <w:jc w:val="both"/>
        <w:rPr>
          <w:rFonts w:ascii="Arial" w:hAnsi="Arial" w:cs="Arial"/>
          <w:sz w:val="20"/>
        </w:rPr>
      </w:pPr>
      <w:r>
        <w:rPr>
          <w:rFonts w:ascii="Arial" w:hAnsi="Arial" w:cs="Arial"/>
          <w:sz w:val="20"/>
        </w:rPr>
        <w:t xml:space="preserve">at [67]-[72] the principles relating to incompetence of counsel in </w:t>
      </w:r>
      <w:r w:rsidRPr="00806CCE">
        <w:rPr>
          <w:rFonts w:ascii="Arial" w:hAnsi="Arial" w:cs="Arial"/>
          <w:i/>
          <w:iCs/>
          <w:sz w:val="20"/>
        </w:rPr>
        <w:t>TKWJ v The Queen</w:t>
      </w:r>
      <w:r>
        <w:rPr>
          <w:rFonts w:ascii="Arial" w:hAnsi="Arial" w:cs="Arial"/>
          <w:sz w:val="20"/>
        </w:rPr>
        <w:t xml:space="preserve"> (2002) 212 CLR 124, 151 [81]; </w:t>
      </w:r>
      <w:r w:rsidRPr="00806CCE">
        <w:rPr>
          <w:rFonts w:ascii="Arial" w:hAnsi="Arial" w:cs="Arial"/>
          <w:i/>
          <w:iCs/>
          <w:sz w:val="20"/>
        </w:rPr>
        <w:t>Nudd v The Queen</w:t>
      </w:r>
      <w:r>
        <w:rPr>
          <w:rFonts w:ascii="Arial" w:hAnsi="Arial" w:cs="Arial"/>
          <w:sz w:val="20"/>
        </w:rPr>
        <w:t xml:space="preserve"> [2006] 80 ALJR 614 at [3]-[9] and </w:t>
      </w:r>
      <w:r w:rsidRPr="00806CCE">
        <w:rPr>
          <w:rFonts w:ascii="Arial" w:hAnsi="Arial" w:cs="Arial"/>
          <w:i/>
          <w:iCs/>
          <w:sz w:val="20"/>
        </w:rPr>
        <w:t>Knowles (a pseudonym) v The Queen</w:t>
      </w:r>
      <w:r w:rsidRPr="00806CCE">
        <w:rPr>
          <w:rFonts w:ascii="Arial" w:hAnsi="Arial" w:cs="Arial"/>
          <w:sz w:val="20"/>
        </w:rPr>
        <w:t xml:space="preserve"> [2015] VSCA 14</w:t>
      </w:r>
      <w:r>
        <w:rPr>
          <w:rFonts w:ascii="Arial" w:hAnsi="Arial" w:cs="Arial"/>
          <w:sz w:val="20"/>
        </w:rPr>
        <w:t xml:space="preserve"> at [131]–</w:t>
      </w:r>
    </w:p>
    <w:p w14:paraId="01635061" w14:textId="07D21FF6" w:rsidR="00314C80" w:rsidRDefault="00806CCE" w:rsidP="00806CCE">
      <w:pPr>
        <w:jc w:val="both"/>
        <w:rPr>
          <w:rFonts w:ascii="Arial" w:hAnsi="Arial" w:cs="Arial"/>
          <w:sz w:val="20"/>
        </w:rPr>
      </w:pPr>
      <w:r>
        <w:rPr>
          <w:rFonts w:ascii="Arial" w:hAnsi="Arial" w:cs="Arial"/>
          <w:sz w:val="20"/>
        </w:rPr>
        <w:t>their Honours said at [7</w:t>
      </w:r>
      <w:r w:rsidR="00755C4C">
        <w:rPr>
          <w:rFonts w:ascii="Arial" w:hAnsi="Arial" w:cs="Arial"/>
          <w:sz w:val="20"/>
        </w:rPr>
        <w:t>3</w:t>
      </w:r>
      <w:r>
        <w:rPr>
          <w:rFonts w:ascii="Arial" w:hAnsi="Arial" w:cs="Arial"/>
          <w:sz w:val="20"/>
        </w:rPr>
        <w:t>]-[76]:</w:t>
      </w:r>
    </w:p>
    <w:p w14:paraId="3B2A1123" w14:textId="6E1DB688"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[73] “</w:t>
      </w:r>
      <w:r w:rsidRPr="00755C4C">
        <w:rPr>
          <w:rFonts w:ascii="Arial" w:hAnsi="Arial" w:cs="Arial"/>
          <w:sz w:val="20"/>
        </w:rPr>
        <w:t>As the authorities make clear, this Court must assess whether the conduct of trial counsel has resulted in an unfair trial by reference to an objective standard, and without investigating the subjective reasons for that conduct. In making that assessment, the Court must consider whether the course adopted by trial counsel is explicable on the basis that it could have resulted in a forensic advantage to the applicant, and ask whether what counsel did (or failed to do) is capable of explanation on that basis. But even if the conduct of counsel said to give rise to a substantial miscarriage of justice is explicable on the basis that it could have resulted in a forensic advantage to the applicant, if, judged objectively, the forensic advantage is slight in comparison to the defects or irregularities in question, the Court is not precluded from concluding that there was a substantial miscarriage of justice.</w:t>
      </w:r>
    </w:p>
    <w:p w14:paraId="4F7733EF" w14:textId="610C7BC4" w:rsidR="00806CCE" w:rsidRDefault="00806CCE"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[74] </w:t>
      </w:r>
      <w:r w:rsidR="00755C4C" w:rsidRPr="00755C4C">
        <w:rPr>
          <w:rFonts w:ascii="Arial" w:hAnsi="Arial" w:cs="Arial"/>
          <w:sz w:val="20"/>
        </w:rPr>
        <w:t>We have no hesitation in concluding that, objectively viewed, the conduct of trial counsel complained of is not capable of being explained on the basis that it was taken for the purpose of obtaining a forensic advantage for the applicant. In our opinion, it is impossible to see that the failure to insist that the requirements of s</w:t>
      </w:r>
      <w:r w:rsidR="00755C4C">
        <w:rPr>
          <w:rFonts w:ascii="Arial" w:hAnsi="Arial" w:cs="Arial"/>
          <w:sz w:val="20"/>
        </w:rPr>
        <w:t>.</w:t>
      </w:r>
      <w:r w:rsidR="00755C4C" w:rsidRPr="00755C4C">
        <w:rPr>
          <w:rFonts w:ascii="Arial" w:hAnsi="Arial" w:cs="Arial"/>
          <w:sz w:val="20"/>
        </w:rPr>
        <w:t>38 were met, and thereby to sanction a situation in which the prosecutor was permitted to cross-examine without restraint a crucial witness whose evidence was critical to the defence case, could have been seen as forensically advantageous to the applicant. Indeed, it should have been obvious that the opposite was true.</w:t>
      </w:r>
    </w:p>
    <w:p w14:paraId="532CC149" w14:textId="7A0E2401"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[75] </w:t>
      </w:r>
      <w:r w:rsidRPr="00755C4C">
        <w:rPr>
          <w:rFonts w:ascii="Arial" w:hAnsi="Arial" w:cs="Arial"/>
          <w:sz w:val="20"/>
        </w:rPr>
        <w:t xml:space="preserve">Having regard to the record of the trial — parts of which we have set out in more detail than is customary in order to make the point — we have no confidence that senior counsel for the applicant at trial had proper regard to the provisions of s 38 of the </w:t>
      </w:r>
      <w:r w:rsidRPr="002023A5">
        <w:rPr>
          <w:rFonts w:ascii="Arial" w:hAnsi="Arial" w:cs="Arial"/>
          <w:i/>
          <w:iCs/>
          <w:sz w:val="20"/>
        </w:rPr>
        <w:t>Evidence Act 2008</w:t>
      </w:r>
      <w:r w:rsidRPr="00755C4C">
        <w:rPr>
          <w:rFonts w:ascii="Arial" w:hAnsi="Arial" w:cs="Arial"/>
          <w:sz w:val="20"/>
        </w:rPr>
        <w:t xml:space="preserve">. Had he done so, and had regard to the manner in which the authorities dictate they are to be applied, trial counsel would not have acquiesced in the prosecutor conducting at large a wide-ranging, penetrating and unconstrained </w:t>
      </w:r>
      <w:r w:rsidR="002023A5" w:rsidRPr="00755C4C">
        <w:rPr>
          <w:rFonts w:ascii="Arial" w:hAnsi="Arial" w:cs="Arial"/>
          <w:sz w:val="20"/>
        </w:rPr>
        <w:t>cross examination</w:t>
      </w:r>
      <w:r w:rsidRPr="00755C4C">
        <w:rPr>
          <w:rFonts w:ascii="Arial" w:hAnsi="Arial" w:cs="Arial"/>
          <w:sz w:val="20"/>
        </w:rPr>
        <w:t>, which, at times, had the flavour of an inquiry. Competent defence counsel would have insisted that leave be granted to the prosecutor to cross-examine only if one or other of the three pre-conditions in s 38(1) was satisfied, and only on the basis that the trial judge placed proper limitations on the cross-examination.</w:t>
      </w:r>
    </w:p>
    <w:p w14:paraId="68D06F5C" w14:textId="7F5C93CF" w:rsidR="00806CCE" w:rsidRDefault="00755C4C" w:rsidP="00755C4C">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[76] </w:t>
      </w:r>
      <w:r w:rsidRPr="00755C4C">
        <w:rPr>
          <w:rFonts w:ascii="Arial" w:hAnsi="Arial" w:cs="Arial"/>
          <w:sz w:val="20"/>
        </w:rPr>
        <w:t xml:space="preserve">Trial counsel’s failure to insist that the provisions of s 38 be adhered to resulted in a situation where the prosecutor’s unrestrained cross-examination of </w:t>
      </w:r>
      <w:r>
        <w:rPr>
          <w:rFonts w:ascii="Arial" w:hAnsi="Arial" w:cs="Arial"/>
          <w:sz w:val="20"/>
        </w:rPr>
        <w:t>[Z]</w:t>
      </w:r>
      <w:r w:rsidRPr="00755C4C">
        <w:rPr>
          <w:rFonts w:ascii="Arial" w:hAnsi="Arial" w:cs="Arial"/>
          <w:sz w:val="20"/>
        </w:rPr>
        <w:t xml:space="preserve"> elicited inadmissible, highly prejudicial evidence bearing on the applicant’s character. At that point, competent defence counsel would have taken steps to protect the applicant, by seeking a discharge of the jury, or, at the very least, seeking a direction designed to reduce the prejudicial effect of the evidence. Trial counsel did neither of those things. Worse still, counsel tolerated a situation where the prosecutor continued with his improper cross-examination, eventually producing evidence which decimated the defence case.</w:t>
      </w:r>
      <w:r>
        <w:rPr>
          <w:rFonts w:ascii="Arial" w:hAnsi="Arial" w:cs="Arial"/>
          <w:sz w:val="20"/>
        </w:rPr>
        <w:t>”</w:t>
      </w:r>
    </w:p>
    <w:p w14:paraId="7F498E83" w14:textId="77777777" w:rsidR="00FF0BB4" w:rsidRDefault="00FF0BB4"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lastRenderedPageBreak/>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lastRenderedPageBreak/>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City">
        <w:smartTag w:uri="urn:schemas-microsoft-com:office:smarttags" w:element="place">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013081">
      <w:pPr>
        <w:pStyle w:val="Heading3"/>
        <w:keepNext/>
        <w:keepLines/>
        <w:widowControl/>
        <w:spacing w:after="120" w:line="240" w:lineRule="auto"/>
        <w:rPr>
          <w:rFonts w:ascii="Arial" w:hAnsi="Arial" w:cs="Arial"/>
          <w:b/>
          <w:bCs/>
          <w:sz w:val="20"/>
          <w:szCs w:val="16"/>
        </w:rPr>
      </w:pPr>
      <w:bookmarkStart w:id="52" w:name="_10.1.3_Summary_of"/>
      <w:bookmarkEnd w:id="52"/>
      <w:r>
        <w:rPr>
          <w:rFonts w:ascii="Arial" w:hAnsi="Arial" w:cs="Arial"/>
          <w:b/>
          <w:bCs/>
          <w:sz w:val="20"/>
        </w:rPr>
        <w:lastRenderedPageBreak/>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lastRenderedPageBreak/>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lastRenderedPageBreak/>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t is perhaps 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lastRenderedPageBreak/>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"I do not consider that the classification of 'exceptional circumstances' in s.134(3)(b) is limited to the circumstances of the charge.  In my view, it includes the circumstances of the 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w:t>
      </w:r>
      <w:r>
        <w:rPr>
          <w:rFonts w:ascii="Arial" w:hAnsi="Arial" w:cs="Arial"/>
          <w:sz w:val="20"/>
        </w:rPr>
        <w:lastRenderedPageBreak/>
        <w:t xml:space="preserve">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lastRenderedPageBreak/>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 xml:space="preserve">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w:t>
      </w:r>
      <w:r w:rsidR="00190670">
        <w:rPr>
          <w:rFonts w:ascii="Arial" w:hAnsi="Arial" w:cs="Arial"/>
          <w:color w:val="000000"/>
          <w:sz w:val="20"/>
        </w:rPr>
        <w:lastRenderedPageBreak/>
        <w:t>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 xml:space="preserve">645.  The factors personal to JA included that he </w:t>
      </w:r>
      <w:r w:rsidR="00444362">
        <w:rPr>
          <w:rFonts w:ascii="Arial" w:hAnsi="Arial" w:cs="Arial"/>
          <w:color w:val="000000"/>
          <w:sz w:val="20"/>
        </w:rPr>
        <w:lastRenderedPageBreak/>
        <w:t>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on an agreed basis other than as outlined in these reasons, then the question of jurisdiction may need to be further considered.  If this were to occur following committal, 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xml:space="preserve">:  JM, aged 16, was charged with being an accessory after the fact to murder and common law assault.  The prosecution application for ‘uplift’ was refused, her Honour not being satisfied that </w:t>
      </w:r>
      <w:r w:rsidR="00DE7343">
        <w:rPr>
          <w:rFonts w:ascii="Arial" w:hAnsi="Arial" w:cs="Arial"/>
          <w:sz w:val="20"/>
        </w:rPr>
        <w:lastRenderedPageBreak/>
        <w:t>‘exceptional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w:t>
      </w:r>
      <w:r>
        <w:rPr>
          <w:rFonts w:ascii="Arial" w:hAnsi="Arial" w:cs="Arial"/>
          <w:sz w:val="20"/>
        </w:rPr>
        <w:lastRenderedPageBreak/>
        <w:t xml:space="preserve">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lastRenderedPageBreak/>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&amp; 168</w:t>
      </w:r>
      <w:proofErr w:type="gramStart"/>
      <w:r w:rsidR="004468BB" w:rsidRPr="00CC7A4B">
        <w:rPr>
          <w:rFonts w:ascii="Arial" w:hAnsi="Arial" w:cs="Arial"/>
          <w:sz w:val="20"/>
          <w:szCs w:val="20"/>
        </w:rPr>
        <w:t>A(</w:t>
      </w:r>
      <w:proofErr w:type="gramEnd"/>
      <w:r w:rsidR="004468BB" w:rsidRPr="00CC7A4B">
        <w:rPr>
          <w:rFonts w:ascii="Arial" w:hAnsi="Arial" w:cs="Arial"/>
          <w:sz w:val="20"/>
          <w:szCs w:val="20"/>
        </w:rPr>
        <w:t xml:space="preserve">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w:t>
      </w:r>
      <w:r w:rsidR="006D16B9" w:rsidRPr="00F97E14">
        <w:rPr>
          <w:rFonts w:ascii="Arial" w:hAnsi="Arial" w:cs="Arial"/>
          <w:color w:val="000000"/>
          <w:sz w:val="20"/>
        </w:rPr>
        <w:lastRenderedPageBreak/>
        <w:t>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I consider the test to be a ‘relatively 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Default="00A25EB6" w:rsidP="00DE120A">
      <w:pPr>
        <w:pStyle w:val="Heading2"/>
        <w:widowControl/>
        <w:tabs>
          <w:tab w:val="left" w:pos="567"/>
        </w:tabs>
        <w:spacing w:line="240" w:lineRule="auto"/>
        <w:rPr>
          <w:rFonts w:ascii="Arial" w:hAnsi="Arial" w:cs="Arial"/>
          <w:sz w:val="20"/>
        </w:rPr>
      </w:pPr>
      <w:r w:rsidRPr="00DE120A">
        <w:rPr>
          <w:rFonts w:ascii="Arial" w:hAnsi="Arial" w:cs="Arial"/>
          <w:sz w:val="20"/>
        </w:rPr>
        <w:t xml:space="preserve">In [2025] VSC 43 </w:t>
      </w:r>
      <w:r w:rsidR="00DA6D5E">
        <w:rPr>
          <w:rFonts w:ascii="Arial" w:hAnsi="Arial" w:cs="Arial"/>
          <w:sz w:val="20"/>
        </w:rPr>
        <w:t xml:space="preserve">Champion J granted an application to transfer substituted charges against the child applicant from the Supreme Court to the Children’s Court pursuant to s.168 of the </w:t>
      </w:r>
      <w:r w:rsidR="00DA6D5E" w:rsidRPr="00DE120A">
        <w:rPr>
          <w:rFonts w:ascii="Arial" w:hAnsi="Arial" w:cs="Arial"/>
          <w:i/>
          <w:iCs/>
          <w:sz w:val="20"/>
        </w:rPr>
        <w:t>Criminal Procedure Act 2009</w:t>
      </w:r>
      <w:r w:rsidR="00DA6D5E">
        <w:rPr>
          <w:rFonts w:ascii="Arial" w:hAnsi="Arial" w:cs="Arial"/>
          <w:sz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lastRenderedPageBreak/>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80" w:name="_10.2_Committal_proceedings"/>
      <w:bookmarkEnd w:id="80"/>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Street">
        <w:smartTag w:uri="urn:schemas-microsoft-com:office:smarttags" w:element="address">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place">
        <w:smartTag w:uri="urn:schemas-microsoft-com:office:smarttags" w:element="country-region">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r w:rsidRPr="008F18A3">
        <w:rPr>
          <w:rFonts w:ascii="Arial" w:hAnsi="Arial" w:cs="Arial"/>
          <w:i/>
          <w:iCs/>
          <w:sz w:val="20"/>
          <w:szCs w:val="20"/>
        </w:rPr>
        <w:t>Sherras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proofErr w:type="spellStart"/>
      <w:r w:rsidR="00B241A9" w:rsidRPr="00B241A9">
        <w:rPr>
          <w:rFonts w:ascii="Arial" w:hAnsi="Arial" w:cs="Arial"/>
          <w:sz w:val="20"/>
        </w:rPr>
        <w:t>Jagot</w:t>
      </w:r>
      <w:proofErr w:type="spellEnd"/>
      <w:r w:rsidR="00B241A9" w:rsidRPr="00B241A9">
        <w:rPr>
          <w:rFonts w:ascii="Arial" w:hAnsi="Arial" w:cs="Arial"/>
          <w:sz w:val="20"/>
        </w:rPr>
        <w:t xml:space="preserve">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w:t>
      </w:r>
      <w:proofErr w:type="gramStart"/>
      <w:r>
        <w:rPr>
          <w:rFonts w:ascii="Arial" w:hAnsi="Arial" w:cs="Arial"/>
          <w:sz w:val="20"/>
        </w:rPr>
        <w:t>young accused</w:t>
      </w:r>
      <w:proofErr w:type="gramEnd"/>
      <w:r>
        <w:rPr>
          <w:rFonts w:ascii="Arial" w:hAnsi="Arial" w:cs="Arial"/>
          <w:sz w:val="20"/>
        </w:rPr>
        <w:t xml:space="preserve">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2B1F0FB5" w:rsidR="00666439" w:rsidRPr="003A751C"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0" w:name="_Hlk193092118"/>
      <w:r w:rsidR="00B34C16" w:rsidRPr="00B34C16">
        <w:rPr>
          <w:rFonts w:ascii="Arial" w:hAnsi="Arial" w:cs="Arial"/>
          <w:i/>
          <w:iCs/>
          <w:sz w:val="20"/>
          <w:szCs w:val="20"/>
        </w:rPr>
        <w:t xml:space="preserve">Pears v </w:t>
      </w:r>
      <w:r w:rsidR="00B34C16" w:rsidRPr="00B34C16">
        <w:rPr>
          <w:rFonts w:ascii="Arial" w:hAnsi="Arial" w:cs="Arial"/>
          <w:i/>
          <w:iCs/>
          <w:sz w:val="20"/>
          <w:szCs w:val="20"/>
        </w:rPr>
        <w:lastRenderedPageBreak/>
        <w:t>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4849D4">
        <w:rPr>
          <w:rFonts w:ascii="Arial" w:hAnsi="Arial" w:cs="Arial"/>
          <w:sz w:val="20"/>
          <w:szCs w:val="20"/>
        </w:rPr>
        <w:t>.</w:t>
      </w:r>
      <w:bookmarkEnd w:id="150"/>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1" w:name="_10.3.3.5C_Contested_hearing"/>
      <w:bookmarkStart w:id="152" w:name="_Hlk164835213"/>
      <w:bookmarkEnd w:id="151"/>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2"/>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w:t>
      </w:r>
      <w:r w:rsidR="00EA58BE" w:rsidRPr="0067504C">
        <w:rPr>
          <w:rFonts w:ascii="Arial" w:hAnsi="Arial" w:cs="Arial"/>
          <w:sz w:val="20"/>
          <w:szCs w:val="20"/>
        </w:rPr>
        <w:lastRenderedPageBreak/>
        <w:t>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w:t>
      </w:r>
      <w:r>
        <w:rPr>
          <w:rFonts w:ascii="Arial" w:hAnsi="Arial" w:cs="Arial"/>
          <w:sz w:val="20"/>
          <w:szCs w:val="20"/>
        </w:rPr>
        <w:lastRenderedPageBreak/>
        <w:t xml:space="preserve">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Jagot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18A7153D" w14:textId="77777777" w:rsidR="00CF4BD2" w:rsidRDefault="00CF4BD2" w:rsidP="00995462">
      <w:pPr>
        <w:jc w:val="both"/>
        <w:rPr>
          <w:rFonts w:ascii="Arial" w:hAnsi="Arial" w:cs="Arial"/>
          <w:color w:val="000000"/>
          <w:sz w:val="20"/>
          <w:szCs w:val="20"/>
        </w:rPr>
      </w:pPr>
    </w:p>
    <w:p w14:paraId="7C43DAEF" w14:textId="77777777" w:rsidR="000A2449" w:rsidRDefault="00F93A6E" w:rsidP="000A2449">
      <w:pPr>
        <w:jc w:val="both"/>
        <w:rPr>
          <w:rFonts w:ascii="Arial" w:hAnsi="Arial" w:cs="Arial"/>
          <w:color w:val="000000"/>
          <w:sz w:val="20"/>
          <w:szCs w:val="20"/>
        </w:rPr>
      </w:pPr>
      <w:r>
        <w:rPr>
          <w:rFonts w:ascii="Arial" w:hAnsi="Arial" w:cs="Arial"/>
          <w:color w:val="000000"/>
          <w:sz w:val="20"/>
          <w:szCs w:val="20"/>
        </w:rPr>
        <w:t xml:space="preserve">In </w:t>
      </w:r>
      <w:r w:rsidRPr="00F93A6E">
        <w:rPr>
          <w:rFonts w:ascii="Arial" w:hAnsi="Arial" w:cs="Arial"/>
          <w:i/>
          <w:iCs/>
          <w:color w:val="000000"/>
          <w:sz w:val="20"/>
          <w:szCs w:val="20"/>
        </w:rPr>
        <w:t>R v Crupi (Ruling No 3)</w:t>
      </w:r>
      <w:r>
        <w:rPr>
          <w:rFonts w:ascii="Arial" w:hAnsi="Arial" w:cs="Arial"/>
          <w:color w:val="000000"/>
          <w:sz w:val="20"/>
          <w:szCs w:val="20"/>
        </w:rPr>
        <w:t xml:space="preserve"> [2020] VSC 783 the accused was charged with murder. The identity of the shooter was in dispute. </w:t>
      </w:r>
      <w:r w:rsidR="000A2449">
        <w:rPr>
          <w:rFonts w:ascii="Arial" w:hAnsi="Arial" w:cs="Arial"/>
          <w:color w:val="000000"/>
          <w:sz w:val="20"/>
          <w:szCs w:val="20"/>
        </w:rPr>
        <w:t>Beale J held that evidence that the accused had set fire to the deceased’s restaurant approximately 7 weeks before the shooting was admissible in the murder trial as evidence of a motive to kill notwithstanding that other evidence of the accused’s animosity to the accused was available to the prosecution. In admitting the impugned evidence his Honour said at [21]-[23]:</w:t>
      </w:r>
    </w:p>
    <w:p w14:paraId="375A8B24" w14:textId="1CD6EF95" w:rsidR="000A2449" w:rsidRDefault="000A2449" w:rsidP="000A2449">
      <w:pPr>
        <w:spacing w:before="80"/>
        <w:ind w:left="567" w:right="567"/>
        <w:jc w:val="both"/>
        <w:rPr>
          <w:rFonts w:ascii="Arial" w:hAnsi="Arial" w:cs="Arial"/>
          <w:sz w:val="20"/>
        </w:rPr>
      </w:pPr>
      <w:r>
        <w:rPr>
          <w:rFonts w:ascii="Arial" w:hAnsi="Arial" w:cs="Arial"/>
          <w:sz w:val="20"/>
        </w:rPr>
        <w:t>[21] “</w:t>
      </w:r>
      <w:r w:rsidRPr="000A2449">
        <w:rPr>
          <w:rFonts w:ascii="Arial" w:hAnsi="Arial" w:cs="Arial"/>
          <w:color w:val="000000"/>
          <w:sz w:val="20"/>
          <w:szCs w:val="20"/>
        </w:rPr>
        <w:t>I consider that the probative value of the evidence is high. The fact that there is other evidence of animus does not diminish the probative value of the impugned evidence, which has the capacity to provide the jury with greater insight into the depths of D’s feelings about V. Actions speak louder than words. That is especially so of extreme actions such as arson.</w:t>
      </w:r>
    </w:p>
    <w:p w14:paraId="4D7FD5A0" w14:textId="6484ECBC" w:rsidR="000A2449" w:rsidRDefault="000A2449" w:rsidP="000A2449">
      <w:pPr>
        <w:spacing w:before="80"/>
        <w:ind w:left="567" w:right="567"/>
        <w:jc w:val="both"/>
        <w:rPr>
          <w:rFonts w:ascii="Arial" w:hAnsi="Arial" w:cs="Arial"/>
          <w:sz w:val="20"/>
        </w:rPr>
      </w:pPr>
      <w:r>
        <w:rPr>
          <w:rFonts w:ascii="Arial" w:hAnsi="Arial" w:cs="Arial"/>
          <w:sz w:val="20"/>
        </w:rPr>
        <w:t xml:space="preserve">[22] </w:t>
      </w:r>
      <w:r w:rsidRPr="000A2449">
        <w:rPr>
          <w:rFonts w:ascii="Arial" w:hAnsi="Arial" w:cs="Arial"/>
          <w:color w:val="000000"/>
          <w:sz w:val="20"/>
          <w:szCs w:val="20"/>
        </w:rPr>
        <w:t xml:space="preserve">The danger of rank propensity reasoning can be ameliorated if not eliminated by a direction in accordance with s 29 of the </w:t>
      </w:r>
      <w:r w:rsidRPr="000A2449">
        <w:rPr>
          <w:rFonts w:ascii="Arial" w:hAnsi="Arial" w:cs="Arial"/>
          <w:i/>
          <w:iCs/>
          <w:color w:val="000000"/>
          <w:sz w:val="20"/>
          <w:szCs w:val="20"/>
        </w:rPr>
        <w:t>Jury Directions Act 2015</w:t>
      </w:r>
      <w:r w:rsidRPr="000A2449">
        <w:rPr>
          <w:rFonts w:ascii="Arial" w:hAnsi="Arial" w:cs="Arial"/>
          <w:color w:val="000000"/>
          <w:sz w:val="20"/>
          <w:szCs w:val="20"/>
        </w:rPr>
        <w:t xml:space="preserve"> (Vic). Assisted by such a </w:t>
      </w:r>
      <w:r w:rsidRPr="000A2449">
        <w:rPr>
          <w:rFonts w:ascii="Arial" w:hAnsi="Arial" w:cs="Arial"/>
          <w:color w:val="000000"/>
          <w:sz w:val="20"/>
          <w:szCs w:val="20"/>
        </w:rPr>
        <w:lastRenderedPageBreak/>
        <w:t>direction, the jury can reasonably be expected to discriminate between legitimate reasoning (if D lit the fire, he harboured intense hostility for V at a time proximate to the shooting and thus had a motive to kill him) and illegitimate reasoning (D is an arsonist and therefore the kind of person who would commit murder). In my view, the risk of illegitimate reasoning by the jury is also reduced by the fact that the uncharged act is not an offence of physical violence against another person.</w:t>
      </w:r>
    </w:p>
    <w:p w14:paraId="4327B3F1" w14:textId="1DDEAC8A" w:rsidR="000A2449" w:rsidRDefault="000A2449" w:rsidP="000A2449">
      <w:pPr>
        <w:spacing w:before="80"/>
        <w:ind w:left="567" w:right="567"/>
        <w:jc w:val="both"/>
        <w:rPr>
          <w:rFonts w:ascii="Arial" w:hAnsi="Arial" w:cs="Arial"/>
          <w:sz w:val="20"/>
        </w:rPr>
      </w:pPr>
      <w:r>
        <w:rPr>
          <w:rFonts w:ascii="Arial" w:hAnsi="Arial" w:cs="Arial"/>
          <w:sz w:val="20"/>
        </w:rPr>
        <w:t xml:space="preserve">[23] </w:t>
      </w:r>
      <w:r w:rsidRPr="000A2449">
        <w:rPr>
          <w:rFonts w:ascii="Arial" w:hAnsi="Arial" w:cs="Arial"/>
          <w:color w:val="000000"/>
          <w:sz w:val="20"/>
          <w:szCs w:val="20"/>
        </w:rPr>
        <w:t>Consequently, the impugned evidence has probative value which is not outweighed by the danger of unfair prejudice (s 137</w:t>
      </w:r>
      <w:r>
        <w:rPr>
          <w:rFonts w:ascii="Arial" w:hAnsi="Arial" w:cs="Arial"/>
          <w:color w:val="000000"/>
          <w:sz w:val="20"/>
          <w:szCs w:val="20"/>
        </w:rPr>
        <w:t xml:space="preserve"> [</w:t>
      </w:r>
      <w:r w:rsidRPr="000A2449">
        <w:rPr>
          <w:rFonts w:ascii="Arial" w:hAnsi="Arial" w:cs="Arial"/>
          <w:i/>
          <w:iCs/>
          <w:color w:val="000000"/>
          <w:sz w:val="20"/>
          <w:szCs w:val="20"/>
        </w:rPr>
        <w:t>Evidence Act</w:t>
      </w:r>
      <w:r w:rsidRPr="00095F39">
        <w:rPr>
          <w:rFonts w:ascii="Arial" w:hAnsi="Arial" w:cs="Arial"/>
          <w:color w:val="000000"/>
          <w:sz w:val="20"/>
          <w:szCs w:val="20"/>
        </w:rPr>
        <w:t>]</w:t>
      </w:r>
      <w:r w:rsidRPr="000A2449">
        <w:rPr>
          <w:rFonts w:ascii="Arial" w:hAnsi="Arial" w:cs="Arial"/>
          <w:color w:val="000000"/>
          <w:sz w:val="20"/>
          <w:szCs w:val="20"/>
        </w:rPr>
        <w:t>).</w:t>
      </w:r>
      <w:r>
        <w:rPr>
          <w:rFonts w:ascii="Arial" w:hAnsi="Arial" w:cs="Arial"/>
          <w:color w:val="000000"/>
          <w:sz w:val="20"/>
          <w:szCs w:val="20"/>
        </w:rPr>
        <w:t>”</w:t>
      </w:r>
    </w:p>
    <w:p w14:paraId="09FC75D0" w14:textId="77777777" w:rsidR="000A2449" w:rsidRDefault="000A2449" w:rsidP="000A2449">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3"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3"/>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0077FD" w:rsidRPr="000077FD">
        <w:rPr>
          <w:rFonts w:ascii="Arial" w:hAnsi="Arial" w:cs="Arial"/>
          <w:color w:val="000000"/>
          <w:sz w:val="16"/>
          <w:szCs w:val="16"/>
        </w:rPr>
        <w:t>;</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4" w:name="_10.3.3.5D_Contested_hearing"/>
      <w:bookmarkStart w:id="155" w:name="_10.3.3.5D_Contested_hearing_1"/>
      <w:bookmarkEnd w:id="154"/>
      <w:bookmarkEnd w:id="155"/>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3CBC84C6"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6"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6"/>
      <w:r>
        <w:rPr>
          <w:rFonts w:ascii="Arial" w:hAnsi="Arial" w:cs="Arial"/>
          <w:sz w:val="20"/>
          <w:szCs w:val="20"/>
        </w:rPr>
        <w:t xml:space="preserve">{re </w:t>
      </w:r>
      <w:r w:rsidRPr="002408A1">
        <w:rPr>
          <w:rFonts w:ascii="Arial" w:hAnsi="Arial" w:cs="Arial"/>
          <w:sz w:val="20"/>
          <w:szCs w:val="20"/>
        </w:rPr>
        <w:t xml:space="preserve">ss 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A50832"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7"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7"/>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8"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8"/>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Default="009139A3" w:rsidP="001362CB">
      <w:pPr>
        <w:rPr>
          <w:rFonts w:ascii="Arial" w:hAnsi="Arial" w:cs="Arial"/>
          <w:sz w:val="20"/>
          <w:szCs w:val="20"/>
        </w:rPr>
      </w:pPr>
    </w:p>
    <w:p w14:paraId="5D2FF1B6" w14:textId="63A58BCD" w:rsidR="00C30EDA" w:rsidRDefault="00C30EDA" w:rsidP="00C30EDA">
      <w:pPr>
        <w:pStyle w:val="Heading3"/>
        <w:keepNext/>
        <w:spacing w:after="80" w:line="240" w:lineRule="auto"/>
        <w:rPr>
          <w:rFonts w:ascii="Arial" w:hAnsi="Arial" w:cs="Arial"/>
          <w:b/>
          <w:bCs/>
          <w:sz w:val="20"/>
        </w:rPr>
      </w:pPr>
      <w:bookmarkStart w:id="159" w:name="_10.3.3.6_Duty_of"/>
      <w:bookmarkEnd w:id="159"/>
      <w:r>
        <w:rPr>
          <w:rFonts w:ascii="Arial" w:hAnsi="Arial" w:cs="Arial"/>
          <w:b/>
          <w:bCs/>
          <w:sz w:val="20"/>
        </w:rPr>
        <w:t>10.3.3.6 Duty of prosecutor</w:t>
      </w:r>
    </w:p>
    <w:p w14:paraId="54A5672E" w14:textId="0FC94B1B" w:rsidR="00C30EDA" w:rsidRPr="00920BCD" w:rsidRDefault="00C30EDA"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0" w:name="_10.3.3_‘No-case’_procedure"/>
      <w:bookmarkStart w:id="161" w:name="_Toc73162082"/>
      <w:bookmarkEnd w:id="160"/>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lastRenderedPageBreak/>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lastRenderedPageBreak/>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2" w:name="_10.3.5_Sentence_indication"/>
      <w:bookmarkEnd w:id="161"/>
      <w:bookmarkEnd w:id="162"/>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Street">
        <w:smartTag w:uri="urn:schemas-microsoft-com:office:smarttags" w:element="address">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lastRenderedPageBreak/>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3" w:name="_10.3.5_No_summary"/>
      <w:bookmarkStart w:id="164" w:name="_10.3.5_Summary_case"/>
      <w:bookmarkEnd w:id="163"/>
      <w:bookmarkEnd w:id="164"/>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w:t>
      </w:r>
      <w:r w:rsidRPr="00CF7E5C">
        <w:rPr>
          <w:rFonts w:ascii="Arial" w:hAnsi="Arial" w:cs="Arial"/>
          <w:sz w:val="20"/>
          <w:szCs w:val="20"/>
        </w:rPr>
        <w:lastRenderedPageBreak/>
        <w:t xml:space="preserve">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5" w:name="_10.3.6_Plea_agreements"/>
      <w:bookmarkEnd w:id="165"/>
      <w:r w:rsidRPr="0085159B">
        <w:rPr>
          <w:rFonts w:ascii="Arial" w:hAnsi="Arial" w:cs="Arial"/>
          <w:b/>
          <w:bCs/>
          <w:sz w:val="20"/>
        </w:rPr>
        <w:lastRenderedPageBreak/>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6" w:name="_10.3.7_Withdrawal_of"/>
      <w:bookmarkEnd w:id="166"/>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place">
        <w:smartTag w:uri="urn:schemas-microsoft-com:office:smarttags" w:element="City">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r w:rsidRPr="0000665E">
        <w:rPr>
          <w:rFonts w:ascii="Arial" w:hAnsi="Arial" w:cs="Arial"/>
          <w:color w:val="000000"/>
          <w:sz w:val="20"/>
          <w:szCs w:val="20"/>
        </w:rPr>
        <w:lastRenderedPageBreak/>
        <w:t>(‘</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7" w:name="_10.3.8_Duplicity,_Uncertainty"/>
      <w:bookmarkEnd w:id="167"/>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w:t>
      </w:r>
      <w:r>
        <w:rPr>
          <w:rFonts w:ascii="Arial" w:hAnsi="Arial" w:cs="Arial"/>
          <w:sz w:val="20"/>
        </w:rPr>
        <w:lastRenderedPageBreak/>
        <w:t xml:space="preserve">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lastRenderedPageBreak/>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w:t>
      </w:r>
      <w:r>
        <w:rPr>
          <w:rFonts w:ascii="Arial" w:hAnsi="Arial" w:cs="Arial"/>
          <w:sz w:val="20"/>
        </w:rPr>
        <w:lastRenderedPageBreak/>
        <w:t>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8" w:name="_10.3.9_“Representative”_counts"/>
      <w:bookmarkEnd w:id="168"/>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lastRenderedPageBreak/>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 xml:space="preserve">offending the subject of </w:t>
      </w:r>
      <w:r w:rsidRPr="00F052E4">
        <w:rPr>
          <w:rFonts w:ascii="Arial" w:hAnsi="Arial" w:cs="Arial"/>
          <w:sz w:val="20"/>
        </w:rPr>
        <w:lastRenderedPageBreak/>
        <w:t>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w:t>
      </w:r>
      <w:r>
        <w:rPr>
          <w:rFonts w:ascii="Arial" w:hAnsi="Arial" w:cs="Arial"/>
          <w:sz w:val="20"/>
        </w:rPr>
        <w:lastRenderedPageBreak/>
        <w:t xml:space="preserve">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9" w:name="_Toc30691451"/>
      <w:bookmarkStart w:id="170" w:name="_Toc30691830"/>
      <w:bookmarkStart w:id="171" w:name="_Toc30692210"/>
      <w:bookmarkStart w:id="172" w:name="_Toc30692968"/>
      <w:bookmarkStart w:id="173" w:name="_Toc30693347"/>
      <w:bookmarkStart w:id="174" w:name="_Toc30693725"/>
      <w:bookmarkStart w:id="175" w:name="_Toc30694103"/>
      <w:bookmarkStart w:id="176" w:name="_Toc30694483"/>
      <w:bookmarkStart w:id="177" w:name="_Toc30699073"/>
      <w:bookmarkStart w:id="178" w:name="_Toc30699458"/>
      <w:bookmarkStart w:id="179" w:name="_Toc30699843"/>
      <w:bookmarkStart w:id="180" w:name="_Toc30700998"/>
      <w:bookmarkStart w:id="181" w:name="_Toc30701385"/>
      <w:bookmarkStart w:id="182" w:name="_Toc30743992"/>
      <w:bookmarkStart w:id="183" w:name="_Toc30754815"/>
      <w:bookmarkStart w:id="184" w:name="_Toc30757271"/>
      <w:bookmarkStart w:id="185" w:name="_Toc30757819"/>
      <w:bookmarkStart w:id="186" w:name="_Toc30758219"/>
      <w:bookmarkStart w:id="187" w:name="_Toc30762980"/>
      <w:bookmarkStart w:id="188" w:name="_Toc30767634"/>
      <w:bookmarkStart w:id="189"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0" w:name="_10.3.10_Right_to"/>
      <w:bookmarkEnd w:id="190"/>
      <w:r w:rsidRPr="0000665E">
        <w:rPr>
          <w:rFonts w:ascii="Arial" w:hAnsi="Arial" w:cs="Arial"/>
          <w:b/>
          <w:bCs/>
          <w:color w:val="000000"/>
          <w:sz w:val="20"/>
        </w:rPr>
        <w:lastRenderedPageBreak/>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1"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1"/>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lastRenderedPageBreak/>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at [63]-[70], Lasry J held that the conduct 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2"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2"/>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 xml:space="preserve">“Abuse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w:t>
      </w:r>
      <w:r w:rsidRPr="00B31CE4">
        <w:rPr>
          <w:rFonts w:ascii="Arial" w:hAnsi="Arial" w:cs="Arial"/>
          <w:color w:val="000000"/>
          <w:sz w:val="18"/>
          <w:szCs w:val="18"/>
        </w:rPr>
        <w:lastRenderedPageBreak/>
        <w:t>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 xml:space="preserve">Hence, superior courts have inherent jurisdiction to stay criminal proceedings which are an abuse of process, the jurisdiction to grant a stay having the dual purpose of preventing an abuse of process, or the prosecution of a criminal proceeding </w:t>
      </w:r>
      <w:r w:rsidR="0016086E" w:rsidRPr="0016086E">
        <w:rPr>
          <w:rFonts w:ascii="Arial" w:hAnsi="Arial" w:cs="Arial"/>
          <w:sz w:val="20"/>
          <w:szCs w:val="16"/>
        </w:rPr>
        <w:lastRenderedPageBreak/>
        <w:t>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w:t>
      </w:r>
      <w:r>
        <w:rPr>
          <w:rFonts w:ascii="Arial" w:hAnsi="Arial" w:cs="Arial"/>
          <w:sz w:val="20"/>
        </w:rPr>
        <w:lastRenderedPageBreak/>
        <w:t>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The expression ‘abuse of process’ encompasses not only circumstances within the narrow conception of that term — such as bringing a proceeding for an improper purpose, or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3" w:name="_10.3.11_Abuse_of"/>
      <w:bookmarkEnd w:id="193"/>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w:t>
      </w:r>
      <w:r w:rsidR="00754EE7">
        <w:rPr>
          <w:rFonts w:ascii="Arial" w:hAnsi="Arial" w:cs="Arial"/>
          <w:sz w:val="20"/>
        </w:rPr>
        <w:lastRenderedPageBreak/>
        <w:t xml:space="preserve">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4" w:name="_10.3.12_Joinder_or"/>
      <w:bookmarkEnd w:id="194"/>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46A4202"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Making reference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r w:rsidR="00372C90">
        <w:rPr>
          <w:rFonts w:ascii="Arial" w:hAnsi="Arial" w:cs="Arial"/>
          <w:sz w:val="20"/>
          <w:szCs w:val="20"/>
        </w:rPr>
        <w:t xml:space="preserve"> See also </w:t>
      </w:r>
      <w:bookmarkStart w:id="195" w:name="_Hlk190240155"/>
      <w:r w:rsidR="00372C90" w:rsidRPr="00372C90">
        <w:rPr>
          <w:rFonts w:ascii="Arial" w:hAnsi="Arial" w:cs="Arial"/>
          <w:i/>
          <w:iCs/>
          <w:sz w:val="20"/>
          <w:szCs w:val="20"/>
        </w:rPr>
        <w:t>Kannan v The King</w:t>
      </w:r>
      <w:r w:rsidR="00372C90">
        <w:rPr>
          <w:rFonts w:ascii="Arial" w:hAnsi="Arial" w:cs="Arial"/>
          <w:sz w:val="20"/>
          <w:szCs w:val="20"/>
        </w:rPr>
        <w:t xml:space="preserve"> [2023] VSCA 58 at [21]-[51]</w:t>
      </w:r>
      <w:bookmarkEnd w:id="195"/>
      <w:r w:rsidR="00372C90">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6"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6"/>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7" w:name="_Toc4663795"/>
      <w:r w:rsidRPr="000B6A21">
        <w:rPr>
          <w:rFonts w:ascii="Arial" w:hAnsi="Arial" w:cs="Arial"/>
          <w:sz w:val="20"/>
        </w:rPr>
        <w:t>57</w:t>
      </w:r>
      <w:r w:rsidRPr="000B6A21">
        <w:rPr>
          <w:rFonts w:ascii="Arial" w:hAnsi="Arial" w:cs="Arial"/>
          <w:sz w:val="20"/>
        </w:rPr>
        <w:tab/>
        <w:t>Joint hearing of charges on separate charge-sheets</w:t>
      </w:r>
      <w:bookmarkEnd w:id="197"/>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3796"/>
      <w:r w:rsidRPr="000B6A21">
        <w:rPr>
          <w:rFonts w:ascii="Arial" w:hAnsi="Arial" w:cs="Arial"/>
          <w:sz w:val="20"/>
        </w:rPr>
        <w:t>58</w:t>
      </w:r>
      <w:r w:rsidRPr="000B6A21">
        <w:rPr>
          <w:rFonts w:ascii="Arial" w:hAnsi="Arial" w:cs="Arial"/>
          <w:sz w:val="20"/>
        </w:rPr>
        <w:tab/>
        <w:t>Order for separate hearing</w:t>
      </w:r>
      <w:bookmarkEnd w:id="198"/>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lastRenderedPageBreak/>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4328"/>
      <w:r w:rsidRPr="000B6A21">
        <w:rPr>
          <w:rFonts w:ascii="Arial" w:hAnsi="Arial" w:cs="Arial"/>
          <w:sz w:val="20"/>
        </w:rPr>
        <w:t>5</w:t>
      </w:r>
      <w:r w:rsidRPr="000B6A21">
        <w:rPr>
          <w:rFonts w:ascii="Arial" w:hAnsi="Arial" w:cs="Arial"/>
          <w:sz w:val="20"/>
        </w:rPr>
        <w:tab/>
        <w:t>Joinder of charges</w:t>
      </w:r>
      <w:bookmarkEnd w:id="199"/>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lastRenderedPageBreak/>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w:t>
      </w:r>
      <w:r w:rsidRPr="000B6A21">
        <w:rPr>
          <w:rFonts w:ascii="Arial" w:hAnsi="Arial" w:cs="Arial"/>
          <w:sz w:val="20"/>
          <w:szCs w:val="20"/>
        </w:rPr>
        <w:lastRenderedPageBreak/>
        <w:t xml:space="preserve">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0" w:name="_10.3.13_Transfer_of"/>
      <w:bookmarkStart w:id="201" w:name="_10.4_Doli_incapax"/>
      <w:bookmarkEnd w:id="200"/>
      <w:bookmarkEnd w:id="201"/>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City">
        <w:smartTag w:uri="urn:schemas-microsoft-com:office:smarttags" w:element="place">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2" w:name="_10.4.1_The_principle"/>
      <w:bookmarkStart w:id="203" w:name="_Toc54454700"/>
      <w:bookmarkStart w:id="204" w:name="_Toc54544606"/>
      <w:bookmarkStart w:id="205" w:name="_Toc54634645"/>
      <w:bookmarkStart w:id="206" w:name="_Hlk111623801"/>
      <w:bookmarkEnd w:id="202"/>
      <w:r>
        <w:rPr>
          <w:rFonts w:ascii="Arial" w:hAnsi="Arial" w:cs="Arial"/>
          <w:b/>
          <w:bCs/>
          <w:sz w:val="20"/>
        </w:rPr>
        <w:t>10.4.1</w:t>
      </w:r>
      <w:r>
        <w:rPr>
          <w:rFonts w:ascii="Arial" w:hAnsi="Arial" w:cs="Arial"/>
          <w:b/>
          <w:bCs/>
          <w:sz w:val="20"/>
        </w:rPr>
        <w:tab/>
      </w:r>
      <w:bookmarkEnd w:id="203"/>
      <w:bookmarkEnd w:id="204"/>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5"/>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6"/>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7" w:name="_10.4.2_Earlier_Australian"/>
      <w:bookmarkStart w:id="208" w:name="_Toc54454701"/>
      <w:bookmarkStart w:id="209" w:name="_Toc54544607"/>
      <w:bookmarkStart w:id="210" w:name="_Toc54634646"/>
      <w:bookmarkEnd w:id="207"/>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8"/>
      <w:bookmarkEnd w:id="209"/>
      <w:r>
        <w:rPr>
          <w:rFonts w:ascii="Arial" w:hAnsi="Arial" w:cs="Arial"/>
          <w:b/>
          <w:bCs/>
          <w:sz w:val="20"/>
        </w:rPr>
        <w:t>ies</w:t>
      </w:r>
      <w:bookmarkEnd w:id="210"/>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1" w:name="_10.4.3_Demise_of"/>
      <w:bookmarkStart w:id="212" w:name="_Toc54544608"/>
      <w:bookmarkStart w:id="213" w:name="_Toc54634647"/>
      <w:bookmarkEnd w:id="211"/>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2"/>
      <w:bookmarkEnd w:id="213"/>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Street">
        <w:smartTag w:uri="urn:schemas-microsoft-com:office:smarttags" w:element="address">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4" w:name="_10.4.4_History_of"/>
      <w:bookmarkStart w:id="215" w:name="_Toc54544609"/>
      <w:bookmarkStart w:id="216" w:name="_Toc54634648"/>
      <w:bookmarkEnd w:id="214"/>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5"/>
      <w:bookmarkEnd w:id="216"/>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It was not until as late as 1588 that a clear age below which liability did not apply was fixed.  Lambard's Eirenarcha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7" w:name="_10.4.5_The_principle"/>
      <w:bookmarkEnd w:id="217"/>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Jagot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8"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8"/>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 xml:space="preserve">not made </w:t>
      </w:r>
      <w:r w:rsidR="00E62793">
        <w:rPr>
          <w:rFonts w:ascii="Arial" w:hAnsi="Arial" w:cs="Arial"/>
          <w:sz w:val="20"/>
          <w:szCs w:val="16"/>
        </w:rPr>
        <w:lastRenderedPageBreak/>
        <w:t>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lastRenderedPageBreak/>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lastRenderedPageBreak/>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w:t>
      </w:r>
      <w:r w:rsidRPr="00A84DF8">
        <w:rPr>
          <w:rFonts w:ascii="Arial" w:hAnsi="Arial" w:cs="Arial"/>
          <w:sz w:val="20"/>
        </w:rPr>
        <w:lastRenderedPageBreak/>
        <w:t>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9" w:name="Heading1756"/>
      <w:bookmarkEnd w:id="219"/>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 xml:space="preserve">Accordingly, it is unnecessary for me to conclude whether the evidence establishes beyond reasonable doubt that PM entered into an agreement, arrangement or </w:t>
      </w:r>
      <w:r w:rsidRPr="004B5457">
        <w:rPr>
          <w:rFonts w:ascii="Arial" w:hAnsi="Arial" w:cs="Arial"/>
          <w:color w:val="000000"/>
          <w:sz w:val="20"/>
          <w:szCs w:val="20"/>
        </w:rPr>
        <w:lastRenderedPageBreak/>
        <w:t>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20" w:name="_Toc146090596"/>
      <w:bookmarkStart w:id="221" w:name="Heading1765"/>
      <w:bookmarkEnd w:id="220"/>
      <w:bookmarkEnd w:id="221"/>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2" w:name="_10.5_Effect_of"/>
      <w:bookmarkEnd w:id="222"/>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3" w:name="_10.5.1_Mandatory_adjournment"/>
      <w:bookmarkEnd w:id="223"/>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lastRenderedPageBreak/>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4" w:name="_10.5.2_Hearing_of"/>
      <w:bookmarkEnd w:id="224"/>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5" w:name="_10.5.3_Privilege_against"/>
      <w:bookmarkEnd w:id="225"/>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6" w:name="_10.6_Unfitness_to"/>
      <w:bookmarkEnd w:id="226"/>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7" w:name="_A_BACKGROUND_"/>
      <w:bookmarkEnd w:id="227"/>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8" w:name="_B_AMENDMENTS_TO"/>
      <w:bookmarkEnd w:id="228"/>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9" w:name="_C_APPLICATION_OF"/>
      <w:bookmarkEnd w:id="229"/>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0" w:name="_D_CONSTITUTION_OF"/>
      <w:bookmarkEnd w:id="230"/>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1" w:name="_E_WHEN_IS"/>
      <w:bookmarkEnd w:id="231"/>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2"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2"/>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3" w:name="_F_PRESUMPTIONS,_STANDARD"/>
      <w:bookmarkEnd w:id="233"/>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4" w:name="_G_QUESTION_OF"/>
      <w:bookmarkEnd w:id="234"/>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5" w:name="_H_INVESTIGATION_OF"/>
      <w:bookmarkEnd w:id="235"/>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6" w:name="_I_ORDERS_PENDING"/>
      <w:bookmarkEnd w:id="236"/>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7" w:name="_J_PROCEDURE_ON"/>
      <w:bookmarkEnd w:id="237"/>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8" w:name="_K_WHAT_HAPPENS"/>
      <w:bookmarkEnd w:id="238"/>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9" w:name="_L_SPECIAL_HEARING"/>
      <w:bookmarkEnd w:id="239"/>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0" w:name="_M_DEFENCE_OF"/>
      <w:bookmarkEnd w:id="240"/>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lastRenderedPageBreak/>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57563D55"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w:t>
      </w:r>
      <w:r w:rsidR="00AD2015">
        <w:rPr>
          <w:rFonts w:ascii="Arial" w:hAnsi="Arial" w:cs="Arial"/>
          <w:color w:val="000000"/>
          <w:sz w:val="20"/>
        </w:rPr>
        <w:lastRenderedPageBreak/>
        <w:t>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38ZC(1)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lastRenderedPageBreak/>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 xml:space="preserve">D(2).  The issue she had then to </w:t>
      </w:r>
      <w:r>
        <w:rPr>
          <w:rFonts w:ascii="Arial" w:hAnsi="Arial" w:cs="Arial"/>
          <w:sz w:val="20"/>
          <w:szCs w:val="20"/>
        </w:rPr>
        <w:lastRenderedPageBreak/>
        <w:t>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1" w:name="_N_DISPOSITION_OF"/>
      <w:bookmarkEnd w:id="241"/>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w:t>
      </w:r>
      <w:r w:rsidR="00EE5AEC">
        <w:rPr>
          <w:rFonts w:ascii="Arial" w:hAnsi="Arial" w:cs="Arial"/>
          <w:sz w:val="20"/>
          <w:szCs w:val="20"/>
        </w:rPr>
        <w:lastRenderedPageBreak/>
        <w:t xml:space="preserve">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2" w:name="_O_REPORTS_AS"/>
      <w:bookmarkEnd w:id="242"/>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3" w:name="_P_CERTIFICATE_OF"/>
      <w:bookmarkEnd w:id="243"/>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lastRenderedPageBreak/>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4" w:name="_Q_VARIATION,_REVOCATION,"/>
      <w:bookmarkEnd w:id="244"/>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 xml:space="preserve">give proper effect to the principles in ss.39 </w:t>
      </w:r>
      <w:r w:rsidR="009E0C38">
        <w:rPr>
          <w:rFonts w:ascii="Arial" w:hAnsi="Arial" w:cs="Arial"/>
          <w:sz w:val="20"/>
        </w:rPr>
        <w:lastRenderedPageBreak/>
        <w:t>&amp;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5"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5"/>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6"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6"/>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w:t>
      </w:r>
      <w:r w:rsidRPr="003D6C9F">
        <w:rPr>
          <w:rFonts w:ascii="Arial" w:hAnsi="Arial" w:cs="Arial"/>
          <w:sz w:val="20"/>
          <w:szCs w:val="20"/>
        </w:rPr>
        <w:lastRenderedPageBreak/>
        <w:t xml:space="preserve">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0E844BD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7" w:name="_R_NON-COMPLIANCE_WITH"/>
      <w:bookmarkEnd w:id="247"/>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place">
        <w:smartTag w:uri="urn:schemas-microsoft-com:office:smarttags" w:element="Stat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8" w:name="_S_AGE_JURISDICTION|CMIA-s.38ZG"/>
      <w:bookmarkEnd w:id="248"/>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9" w:name="_T_PRINCIPLES_ON"/>
      <w:bookmarkEnd w:id="249"/>
      <w:r>
        <w:rPr>
          <w:rFonts w:ascii="Arial" w:hAnsi="Arial" w:cs="Arial"/>
          <w:b/>
          <w:color w:val="FFFFFF"/>
          <w:sz w:val="22"/>
          <w:shd w:val="clear" w:color="auto" w:fill="000000"/>
        </w:rPr>
        <w:lastRenderedPageBreak/>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0" w:name="_U_MATTERS_TO"/>
      <w:bookmarkEnd w:id="250"/>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1" w:name="_V_APPEALS|CMIA-Part_5A"/>
      <w:bookmarkEnd w:id="251"/>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lastRenderedPageBreak/>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2" w:name="_V_SUPPRESSION_ORDER|CMIA-s.75"/>
      <w:bookmarkEnd w:id="252"/>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3" w:name="_10.7_Court_diversion"/>
      <w:bookmarkEnd w:id="253"/>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4" w:name="_A_OFFENCES_FOR"/>
      <w:bookmarkEnd w:id="254"/>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5" w:name="_B_PURPOSES_OF"/>
      <w:bookmarkEnd w:id="255"/>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6" w:name="_C_PRE-CONDITIONS_FOR"/>
      <w:bookmarkEnd w:id="256"/>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7" w:name="_D_ADJOURNMENT_TO"/>
      <w:bookmarkEnd w:id="257"/>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8" w:name="_E_MATTERS_TO"/>
      <w:bookmarkEnd w:id="258"/>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9" w:name="_F_THE_CHILDREN’S"/>
      <w:bookmarkEnd w:id="259"/>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0" w:name="_G_EXTENSION_OF"/>
      <w:bookmarkEnd w:id="260"/>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1" w:name="_H_CONCLUSION_OF"/>
      <w:bookmarkEnd w:id="261"/>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2" w:name="_K_STATISTICS"/>
      <w:bookmarkStart w:id="263" w:name="_I_DIVERSION_STATISTICS"/>
      <w:bookmarkEnd w:id="262"/>
      <w:bookmarkEnd w:id="263"/>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4" w:name="_Hlk148944254"/>
            <w:r w:rsidRPr="00F46B9E">
              <w:rPr>
                <w:rFonts w:ascii="Arial" w:hAnsi="Arial" w:cs="Arial"/>
                <w:sz w:val="20"/>
                <w:szCs w:val="20"/>
              </w:rPr>
              <w:t xml:space="preserve">Excluding uncompleted diversions, 98% of diversion plans were successfully completed.  </w:t>
            </w:r>
            <w:bookmarkEnd w:id="264"/>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5" w:name="_J_SECRETARY_HAS"/>
            <w:bookmarkEnd w:id="265"/>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6" w:name="_L_STATUTORY_REVIEW"/>
      <w:bookmarkEnd w:id="266"/>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7" w:name="_10.8_The_“ROPES”"/>
      <w:bookmarkEnd w:id="267"/>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8" w:name="_10.8.1_The_program"/>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9" w:name="_10.8.2_The_target"/>
      <w:bookmarkEnd w:id="269"/>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place">
        <w:smartTag w:uri="urn:schemas-microsoft-com:office:smarttags" w:element="City">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0" w:name="_10.8.3_The_aims"/>
      <w:bookmarkEnd w:id="270"/>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1" w:name="_10.8.4_The_content"/>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2" w:name="_10.8.5_The_consequence"/>
      <w:bookmarkEnd w:id="272"/>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C5A0A" w14:textId="77777777" w:rsidR="000134BA" w:rsidRDefault="000134BA">
      <w:r>
        <w:separator/>
      </w:r>
    </w:p>
  </w:endnote>
  <w:endnote w:type="continuationSeparator" w:id="0">
    <w:p w14:paraId="61896A0A" w14:textId="77777777" w:rsidR="000134BA" w:rsidRDefault="0001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2CB532FE" w:rsidR="00CB5B87" w:rsidRDefault="00CB5B87">
    <w:pPr>
      <w:pStyle w:val="Footer"/>
    </w:pPr>
    <w:r>
      <w:rPr>
        <w:rStyle w:val="PageNumber"/>
        <w:rFonts w:ascii="Arial" w:hAnsi="Arial" w:cs="Arial"/>
        <w:b/>
        <w:bCs/>
        <w:sz w:val="16"/>
      </w:rPr>
      <w:t xml:space="preserve">Last updated </w:t>
    </w:r>
    <w:r w:rsidR="008862C2">
      <w:rPr>
        <w:rStyle w:val="PageNumber"/>
        <w:rFonts w:ascii="Arial" w:hAnsi="Arial" w:cs="Arial"/>
        <w:b/>
        <w:bCs/>
        <w:sz w:val="16"/>
      </w:rPr>
      <w:t>12</w:t>
    </w:r>
    <w:r w:rsidR="004D453D">
      <w:rPr>
        <w:rStyle w:val="PageNumber"/>
        <w:rFonts w:ascii="Arial" w:hAnsi="Arial" w:cs="Arial"/>
        <w:b/>
        <w:bCs/>
        <w:sz w:val="16"/>
      </w:rPr>
      <w:t xml:space="preserve"> May</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FF01" w14:textId="77777777" w:rsidR="000134BA" w:rsidRDefault="000134BA">
      <w:r>
        <w:separator/>
      </w:r>
    </w:p>
  </w:footnote>
  <w:footnote w:type="continuationSeparator" w:id="0">
    <w:p w14:paraId="56DC67ED" w14:textId="77777777" w:rsidR="000134BA" w:rsidRDefault="00013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3"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7"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9"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1"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2"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7"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2"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0"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2"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3"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5"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4"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6"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7"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8"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3"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6"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7"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8"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91"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3"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6"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9"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0"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2"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2"/>
  </w:num>
  <w:num w:numId="2" w16cid:durableId="1518930696">
    <w:abstractNumId w:val="41"/>
  </w:num>
  <w:num w:numId="3" w16cid:durableId="533857439">
    <w:abstractNumId w:val="40"/>
  </w:num>
  <w:num w:numId="4" w16cid:durableId="108941524">
    <w:abstractNumId w:val="76"/>
  </w:num>
  <w:num w:numId="5" w16cid:durableId="1290622740">
    <w:abstractNumId w:val="31"/>
  </w:num>
  <w:num w:numId="6" w16cid:durableId="293950207">
    <w:abstractNumId w:val="90"/>
  </w:num>
  <w:num w:numId="7" w16cid:durableId="932053166">
    <w:abstractNumId w:val="68"/>
  </w:num>
  <w:num w:numId="8" w16cid:durableId="1768575532">
    <w:abstractNumId w:val="48"/>
  </w:num>
  <w:num w:numId="9" w16cid:durableId="45297735">
    <w:abstractNumId w:val="21"/>
  </w:num>
  <w:num w:numId="10" w16cid:durableId="123163608">
    <w:abstractNumId w:val="46"/>
  </w:num>
  <w:num w:numId="11" w16cid:durableId="319044883">
    <w:abstractNumId w:val="69"/>
  </w:num>
  <w:num w:numId="12" w16cid:durableId="681787156">
    <w:abstractNumId w:val="94"/>
  </w:num>
  <w:num w:numId="13" w16cid:durableId="752706318">
    <w:abstractNumId w:val="93"/>
  </w:num>
  <w:num w:numId="14" w16cid:durableId="1053964263">
    <w:abstractNumId w:val="10"/>
  </w:num>
  <w:num w:numId="15" w16cid:durableId="211578649">
    <w:abstractNumId w:val="24"/>
  </w:num>
  <w:num w:numId="16" w16cid:durableId="27460194">
    <w:abstractNumId w:val="71"/>
  </w:num>
  <w:num w:numId="17" w16cid:durableId="29038114">
    <w:abstractNumId w:val="85"/>
  </w:num>
  <w:num w:numId="18" w16cid:durableId="603462408">
    <w:abstractNumId w:val="55"/>
  </w:num>
  <w:num w:numId="19" w16cid:durableId="854537546">
    <w:abstractNumId w:val="45"/>
  </w:num>
  <w:num w:numId="20" w16cid:durableId="1610428143">
    <w:abstractNumId w:val="8"/>
  </w:num>
  <w:num w:numId="21" w16cid:durableId="1028405940">
    <w:abstractNumId w:val="98"/>
  </w:num>
  <w:num w:numId="22" w16cid:durableId="570192650">
    <w:abstractNumId w:val="19"/>
  </w:num>
  <w:num w:numId="23" w16cid:durableId="699088725">
    <w:abstractNumId w:val="7"/>
  </w:num>
  <w:num w:numId="24" w16cid:durableId="967660956">
    <w:abstractNumId w:val="17"/>
  </w:num>
  <w:num w:numId="25" w16cid:durableId="672226692">
    <w:abstractNumId w:val="26"/>
  </w:num>
  <w:num w:numId="26" w16cid:durableId="1985113314">
    <w:abstractNumId w:val="56"/>
  </w:num>
  <w:num w:numId="27" w16cid:durableId="1387141631">
    <w:abstractNumId w:val="29"/>
  </w:num>
  <w:num w:numId="28" w16cid:durableId="1721057490">
    <w:abstractNumId w:val="12"/>
  </w:num>
  <w:num w:numId="29" w16cid:durableId="1760518028">
    <w:abstractNumId w:val="59"/>
  </w:num>
  <w:num w:numId="30" w16cid:durableId="964774121">
    <w:abstractNumId w:val="102"/>
  </w:num>
  <w:num w:numId="31" w16cid:durableId="344326424">
    <w:abstractNumId w:val="61"/>
  </w:num>
  <w:num w:numId="32" w16cid:durableId="1825929220">
    <w:abstractNumId w:val="20"/>
  </w:num>
  <w:num w:numId="33" w16cid:durableId="580993568">
    <w:abstractNumId w:val="37"/>
  </w:num>
  <w:num w:numId="34" w16cid:durableId="1285648812">
    <w:abstractNumId w:val="99"/>
  </w:num>
  <w:num w:numId="35" w16cid:durableId="1541282616">
    <w:abstractNumId w:val="101"/>
  </w:num>
  <w:num w:numId="36" w16cid:durableId="1020815478">
    <w:abstractNumId w:val="13"/>
  </w:num>
  <w:num w:numId="37" w16cid:durableId="1754549002">
    <w:abstractNumId w:val="4"/>
  </w:num>
  <w:num w:numId="38" w16cid:durableId="1396006305">
    <w:abstractNumId w:val="89"/>
  </w:num>
  <w:num w:numId="39" w16cid:durableId="1928877651">
    <w:abstractNumId w:val="86"/>
  </w:num>
  <w:num w:numId="40" w16cid:durableId="1241452986">
    <w:abstractNumId w:val="47"/>
  </w:num>
  <w:num w:numId="41" w16cid:durableId="1650743759">
    <w:abstractNumId w:val="70"/>
  </w:num>
  <w:num w:numId="42" w16cid:durableId="953974627">
    <w:abstractNumId w:val="97"/>
  </w:num>
  <w:num w:numId="43" w16cid:durableId="107045950">
    <w:abstractNumId w:val="34"/>
  </w:num>
  <w:num w:numId="44" w16cid:durableId="1183397123">
    <w:abstractNumId w:val="67"/>
  </w:num>
  <w:num w:numId="45" w16cid:durableId="1438016748">
    <w:abstractNumId w:val="49"/>
  </w:num>
  <w:num w:numId="46" w16cid:durableId="166482326">
    <w:abstractNumId w:val="6"/>
  </w:num>
  <w:num w:numId="47" w16cid:durableId="1982224275">
    <w:abstractNumId w:val="92"/>
  </w:num>
  <w:num w:numId="48" w16cid:durableId="2018994504">
    <w:abstractNumId w:val="3"/>
  </w:num>
  <w:num w:numId="49" w16cid:durableId="1937134170">
    <w:abstractNumId w:val="52"/>
  </w:num>
  <w:num w:numId="50" w16cid:durableId="1969820662">
    <w:abstractNumId w:val="51"/>
  </w:num>
  <w:num w:numId="51" w16cid:durableId="961762973">
    <w:abstractNumId w:val="73"/>
  </w:num>
  <w:num w:numId="52" w16cid:durableId="1174491273">
    <w:abstractNumId w:val="60"/>
  </w:num>
  <w:num w:numId="53" w16cid:durableId="150341575">
    <w:abstractNumId w:val="38"/>
  </w:num>
  <w:num w:numId="54" w16cid:durableId="2081051675">
    <w:abstractNumId w:val="62"/>
  </w:num>
  <w:num w:numId="55" w16cid:durableId="776102614">
    <w:abstractNumId w:val="27"/>
  </w:num>
  <w:num w:numId="56" w16cid:durableId="1008020792">
    <w:abstractNumId w:val="77"/>
  </w:num>
  <w:num w:numId="57" w16cid:durableId="1005354406">
    <w:abstractNumId w:val="88"/>
  </w:num>
  <w:num w:numId="58" w16cid:durableId="1134059955">
    <w:abstractNumId w:val="5"/>
  </w:num>
  <w:num w:numId="59" w16cid:durableId="423263357">
    <w:abstractNumId w:val="53"/>
  </w:num>
  <w:num w:numId="60" w16cid:durableId="1519781288">
    <w:abstractNumId w:val="9"/>
  </w:num>
  <w:num w:numId="61" w16cid:durableId="2140605916">
    <w:abstractNumId w:val="80"/>
  </w:num>
  <w:num w:numId="62" w16cid:durableId="317271790">
    <w:abstractNumId w:val="81"/>
  </w:num>
  <w:num w:numId="63" w16cid:durableId="1273515851">
    <w:abstractNumId w:val="57"/>
  </w:num>
  <w:num w:numId="64" w16cid:durableId="651179938">
    <w:abstractNumId w:val="35"/>
  </w:num>
  <w:num w:numId="65" w16cid:durableId="1669167818">
    <w:abstractNumId w:val="74"/>
  </w:num>
  <w:num w:numId="66" w16cid:durableId="609779310">
    <w:abstractNumId w:val="96"/>
  </w:num>
  <w:num w:numId="67" w16cid:durableId="2083946328">
    <w:abstractNumId w:val="36"/>
  </w:num>
  <w:num w:numId="68" w16cid:durableId="1665012405">
    <w:abstractNumId w:val="32"/>
  </w:num>
  <w:num w:numId="69" w16cid:durableId="1679691392">
    <w:abstractNumId w:val="39"/>
  </w:num>
  <w:num w:numId="70" w16cid:durableId="989481962">
    <w:abstractNumId w:val="2"/>
  </w:num>
  <w:num w:numId="71" w16cid:durableId="874856198">
    <w:abstractNumId w:val="63"/>
  </w:num>
  <w:num w:numId="72" w16cid:durableId="892499393">
    <w:abstractNumId w:val="65"/>
  </w:num>
  <w:num w:numId="73" w16cid:durableId="102193255">
    <w:abstractNumId w:val="15"/>
  </w:num>
  <w:num w:numId="74" w16cid:durableId="1669096050">
    <w:abstractNumId w:val="66"/>
  </w:num>
  <w:num w:numId="75" w16cid:durableId="693850865">
    <w:abstractNumId w:val="42"/>
  </w:num>
  <w:num w:numId="76" w16cid:durableId="338579296">
    <w:abstractNumId w:val="54"/>
  </w:num>
  <w:num w:numId="77" w16cid:durableId="154998671">
    <w:abstractNumId w:val="58"/>
  </w:num>
  <w:num w:numId="78" w16cid:durableId="1868179036">
    <w:abstractNumId w:val="18"/>
  </w:num>
  <w:num w:numId="79" w16cid:durableId="58485440">
    <w:abstractNumId w:val="95"/>
  </w:num>
  <w:num w:numId="80" w16cid:durableId="1061320167">
    <w:abstractNumId w:val="83"/>
  </w:num>
  <w:num w:numId="81" w16cid:durableId="1370957676">
    <w:abstractNumId w:val="72"/>
  </w:num>
  <w:num w:numId="82" w16cid:durableId="1959024595">
    <w:abstractNumId w:val="14"/>
  </w:num>
  <w:num w:numId="83" w16cid:durableId="1162818172">
    <w:abstractNumId w:val="75"/>
  </w:num>
  <w:num w:numId="84" w16cid:durableId="1829902836">
    <w:abstractNumId w:val="79"/>
  </w:num>
  <w:num w:numId="85" w16cid:durableId="1555846823">
    <w:abstractNumId w:val="30"/>
  </w:num>
  <w:num w:numId="86" w16cid:durableId="2111463123">
    <w:abstractNumId w:val="0"/>
  </w:num>
  <w:num w:numId="87" w16cid:durableId="853300517">
    <w:abstractNumId w:val="82"/>
  </w:num>
  <w:num w:numId="88" w16cid:durableId="1349454166">
    <w:abstractNumId w:val="78"/>
  </w:num>
  <w:num w:numId="89" w16cid:durableId="1713924764">
    <w:abstractNumId w:val="84"/>
  </w:num>
  <w:num w:numId="90" w16cid:durableId="934098101">
    <w:abstractNumId w:val="43"/>
  </w:num>
  <w:num w:numId="91" w16cid:durableId="137571430">
    <w:abstractNumId w:val="103"/>
  </w:num>
  <w:num w:numId="92" w16cid:durableId="414522899">
    <w:abstractNumId w:val="91"/>
  </w:num>
  <w:num w:numId="93" w16cid:durableId="1956406748">
    <w:abstractNumId w:val="100"/>
  </w:num>
  <w:num w:numId="94" w16cid:durableId="801000039">
    <w:abstractNumId w:val="25"/>
  </w:num>
  <w:num w:numId="95" w16cid:durableId="1016272444">
    <w:abstractNumId w:val="44"/>
  </w:num>
  <w:num w:numId="96" w16cid:durableId="1817606599">
    <w:abstractNumId w:val="11"/>
  </w:num>
  <w:num w:numId="97" w16cid:durableId="1959753109">
    <w:abstractNumId w:val="33"/>
  </w:num>
  <w:num w:numId="98" w16cid:durableId="1560171631">
    <w:abstractNumId w:val="23"/>
  </w:num>
  <w:num w:numId="99" w16cid:durableId="324893244">
    <w:abstractNumId w:val="87"/>
  </w:num>
  <w:num w:numId="100" w16cid:durableId="116341225">
    <w:abstractNumId w:val="64"/>
  </w:num>
  <w:num w:numId="101" w16cid:durableId="1577352012">
    <w:abstractNumId w:val="16"/>
  </w:num>
  <w:num w:numId="102" w16cid:durableId="434056869">
    <w:abstractNumId w:val="50"/>
  </w:num>
  <w:num w:numId="103" w16cid:durableId="1157183632">
    <w:abstractNumId w:val="28"/>
  </w:num>
  <w:num w:numId="104" w16cid:durableId="1775439221">
    <w:abstractNumId w:val="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3081"/>
    <w:rsid w:val="000134BA"/>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5F39"/>
    <w:rsid w:val="00096D5E"/>
    <w:rsid w:val="00097FD3"/>
    <w:rsid w:val="000A1653"/>
    <w:rsid w:val="000A2449"/>
    <w:rsid w:val="000A2D10"/>
    <w:rsid w:val="000A3EA1"/>
    <w:rsid w:val="000A44F4"/>
    <w:rsid w:val="000A6085"/>
    <w:rsid w:val="000A7670"/>
    <w:rsid w:val="000B0563"/>
    <w:rsid w:val="000B16A7"/>
    <w:rsid w:val="000B1D27"/>
    <w:rsid w:val="000B1E42"/>
    <w:rsid w:val="000B23AE"/>
    <w:rsid w:val="000B3533"/>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4774E"/>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45A8"/>
    <w:rsid w:val="00174761"/>
    <w:rsid w:val="00174B32"/>
    <w:rsid w:val="001760B6"/>
    <w:rsid w:val="001766CF"/>
    <w:rsid w:val="001774E9"/>
    <w:rsid w:val="00177A10"/>
    <w:rsid w:val="0018044A"/>
    <w:rsid w:val="001825D6"/>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076D"/>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4E"/>
    <w:rsid w:val="00201765"/>
    <w:rsid w:val="00202383"/>
    <w:rsid w:val="002023A5"/>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BD3"/>
    <w:rsid w:val="0024658C"/>
    <w:rsid w:val="00250173"/>
    <w:rsid w:val="00251729"/>
    <w:rsid w:val="0025181F"/>
    <w:rsid w:val="002521F8"/>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4C8"/>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4C80"/>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33B"/>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992"/>
    <w:rsid w:val="004849D4"/>
    <w:rsid w:val="0048553C"/>
    <w:rsid w:val="0048594F"/>
    <w:rsid w:val="00491118"/>
    <w:rsid w:val="00493B0B"/>
    <w:rsid w:val="00493DF1"/>
    <w:rsid w:val="004942D6"/>
    <w:rsid w:val="00494F3E"/>
    <w:rsid w:val="00495577"/>
    <w:rsid w:val="0049689F"/>
    <w:rsid w:val="00497749"/>
    <w:rsid w:val="004A03B2"/>
    <w:rsid w:val="004A068B"/>
    <w:rsid w:val="004A0CA9"/>
    <w:rsid w:val="004A119A"/>
    <w:rsid w:val="004A26EC"/>
    <w:rsid w:val="004A3166"/>
    <w:rsid w:val="004A5BD8"/>
    <w:rsid w:val="004A6074"/>
    <w:rsid w:val="004A61D9"/>
    <w:rsid w:val="004A6AFE"/>
    <w:rsid w:val="004A79EA"/>
    <w:rsid w:val="004B09A9"/>
    <w:rsid w:val="004B284D"/>
    <w:rsid w:val="004B2DBD"/>
    <w:rsid w:val="004B3059"/>
    <w:rsid w:val="004B379D"/>
    <w:rsid w:val="004B4034"/>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53D"/>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838"/>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DC2"/>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4521"/>
    <w:rsid w:val="006551EB"/>
    <w:rsid w:val="00655547"/>
    <w:rsid w:val="006555B3"/>
    <w:rsid w:val="0065617E"/>
    <w:rsid w:val="006561FF"/>
    <w:rsid w:val="0065792B"/>
    <w:rsid w:val="00657948"/>
    <w:rsid w:val="00660A2C"/>
    <w:rsid w:val="00660ACA"/>
    <w:rsid w:val="0066162D"/>
    <w:rsid w:val="00661965"/>
    <w:rsid w:val="006619EE"/>
    <w:rsid w:val="00661B16"/>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2FE8"/>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6E2"/>
    <w:rsid w:val="006C24A8"/>
    <w:rsid w:val="006C3099"/>
    <w:rsid w:val="006C3325"/>
    <w:rsid w:val="006C3AC5"/>
    <w:rsid w:val="006C3FE7"/>
    <w:rsid w:val="006C4A4A"/>
    <w:rsid w:val="006C6504"/>
    <w:rsid w:val="006C7B2F"/>
    <w:rsid w:val="006C7B93"/>
    <w:rsid w:val="006D0B24"/>
    <w:rsid w:val="006D0C11"/>
    <w:rsid w:val="006D16B9"/>
    <w:rsid w:val="006D284B"/>
    <w:rsid w:val="006D4E76"/>
    <w:rsid w:val="006D6CAC"/>
    <w:rsid w:val="006E04E6"/>
    <w:rsid w:val="006E1662"/>
    <w:rsid w:val="006E231C"/>
    <w:rsid w:val="006E2482"/>
    <w:rsid w:val="006E33F5"/>
    <w:rsid w:val="006E356E"/>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55B0"/>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5C4C"/>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6AC5"/>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1A96"/>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B18"/>
    <w:rsid w:val="007F09C7"/>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6CCE"/>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372B3"/>
    <w:rsid w:val="0083744A"/>
    <w:rsid w:val="0083772D"/>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2C2"/>
    <w:rsid w:val="0088633A"/>
    <w:rsid w:val="00886936"/>
    <w:rsid w:val="00890310"/>
    <w:rsid w:val="0089055A"/>
    <w:rsid w:val="008907E3"/>
    <w:rsid w:val="00890898"/>
    <w:rsid w:val="00890B4D"/>
    <w:rsid w:val="00891114"/>
    <w:rsid w:val="0089267B"/>
    <w:rsid w:val="008926C1"/>
    <w:rsid w:val="008929CF"/>
    <w:rsid w:val="00892E35"/>
    <w:rsid w:val="0089381C"/>
    <w:rsid w:val="008941B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352C"/>
    <w:rsid w:val="00934008"/>
    <w:rsid w:val="00935F7C"/>
    <w:rsid w:val="00936593"/>
    <w:rsid w:val="00936A5B"/>
    <w:rsid w:val="00936D50"/>
    <w:rsid w:val="00937698"/>
    <w:rsid w:val="0093792D"/>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6DE"/>
    <w:rsid w:val="00957CCF"/>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1B40"/>
    <w:rsid w:val="009C3C09"/>
    <w:rsid w:val="009C5D4F"/>
    <w:rsid w:val="009C65E5"/>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432B"/>
    <w:rsid w:val="009F60B3"/>
    <w:rsid w:val="009F6A04"/>
    <w:rsid w:val="009F6A51"/>
    <w:rsid w:val="009F7396"/>
    <w:rsid w:val="00A002C6"/>
    <w:rsid w:val="00A003A7"/>
    <w:rsid w:val="00A0120F"/>
    <w:rsid w:val="00A0133E"/>
    <w:rsid w:val="00A01AD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C02"/>
    <w:rsid w:val="00A21D6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E1F"/>
    <w:rsid w:val="00A9346E"/>
    <w:rsid w:val="00A9452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7C53"/>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11"/>
    <w:rsid w:val="00B11FC3"/>
    <w:rsid w:val="00B140FF"/>
    <w:rsid w:val="00B149B0"/>
    <w:rsid w:val="00B14E2B"/>
    <w:rsid w:val="00B1509E"/>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3F2E"/>
    <w:rsid w:val="00B340B5"/>
    <w:rsid w:val="00B345B6"/>
    <w:rsid w:val="00B346A3"/>
    <w:rsid w:val="00B34C16"/>
    <w:rsid w:val="00B3664A"/>
    <w:rsid w:val="00B368B7"/>
    <w:rsid w:val="00B37060"/>
    <w:rsid w:val="00B4128C"/>
    <w:rsid w:val="00B41297"/>
    <w:rsid w:val="00B423AC"/>
    <w:rsid w:val="00B42BEA"/>
    <w:rsid w:val="00B42C76"/>
    <w:rsid w:val="00B431D9"/>
    <w:rsid w:val="00B432F1"/>
    <w:rsid w:val="00B4442A"/>
    <w:rsid w:val="00B4457E"/>
    <w:rsid w:val="00B46674"/>
    <w:rsid w:val="00B46C24"/>
    <w:rsid w:val="00B4739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D1F"/>
    <w:rsid w:val="00B70F16"/>
    <w:rsid w:val="00B71092"/>
    <w:rsid w:val="00B71288"/>
    <w:rsid w:val="00B71B1D"/>
    <w:rsid w:val="00B71D43"/>
    <w:rsid w:val="00B72851"/>
    <w:rsid w:val="00B72A26"/>
    <w:rsid w:val="00B7357C"/>
    <w:rsid w:val="00B74AA9"/>
    <w:rsid w:val="00B74DB5"/>
    <w:rsid w:val="00B76518"/>
    <w:rsid w:val="00B770F5"/>
    <w:rsid w:val="00B802A5"/>
    <w:rsid w:val="00B80F2F"/>
    <w:rsid w:val="00B81254"/>
    <w:rsid w:val="00B8326A"/>
    <w:rsid w:val="00B8485A"/>
    <w:rsid w:val="00B865FF"/>
    <w:rsid w:val="00B86C0D"/>
    <w:rsid w:val="00B90314"/>
    <w:rsid w:val="00B903E6"/>
    <w:rsid w:val="00B90CC6"/>
    <w:rsid w:val="00B93469"/>
    <w:rsid w:val="00B94DA1"/>
    <w:rsid w:val="00B956E2"/>
    <w:rsid w:val="00B95FEA"/>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33A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DE3"/>
    <w:rsid w:val="00C55615"/>
    <w:rsid w:val="00C5574F"/>
    <w:rsid w:val="00C55A81"/>
    <w:rsid w:val="00C56B26"/>
    <w:rsid w:val="00C56FA6"/>
    <w:rsid w:val="00C57372"/>
    <w:rsid w:val="00C57AF5"/>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2561"/>
    <w:rsid w:val="00CB27EB"/>
    <w:rsid w:val="00CB379C"/>
    <w:rsid w:val="00CB3934"/>
    <w:rsid w:val="00CB4B92"/>
    <w:rsid w:val="00CB5B87"/>
    <w:rsid w:val="00CB5D5E"/>
    <w:rsid w:val="00CB5ED0"/>
    <w:rsid w:val="00CB62DE"/>
    <w:rsid w:val="00CB6410"/>
    <w:rsid w:val="00CB6CDE"/>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E54"/>
    <w:rsid w:val="00CE4A7D"/>
    <w:rsid w:val="00CE5579"/>
    <w:rsid w:val="00CE6C24"/>
    <w:rsid w:val="00CF01CA"/>
    <w:rsid w:val="00CF16BF"/>
    <w:rsid w:val="00CF2221"/>
    <w:rsid w:val="00CF282B"/>
    <w:rsid w:val="00CF290B"/>
    <w:rsid w:val="00CF418F"/>
    <w:rsid w:val="00CF4808"/>
    <w:rsid w:val="00CF4BD2"/>
    <w:rsid w:val="00CF53CA"/>
    <w:rsid w:val="00CF55D6"/>
    <w:rsid w:val="00CF5BCE"/>
    <w:rsid w:val="00CF7E5C"/>
    <w:rsid w:val="00D017DA"/>
    <w:rsid w:val="00D02936"/>
    <w:rsid w:val="00D029D3"/>
    <w:rsid w:val="00D03139"/>
    <w:rsid w:val="00D0514C"/>
    <w:rsid w:val="00D05839"/>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A4E"/>
    <w:rsid w:val="00D56268"/>
    <w:rsid w:val="00D60042"/>
    <w:rsid w:val="00D6111F"/>
    <w:rsid w:val="00D61A8C"/>
    <w:rsid w:val="00D61E82"/>
    <w:rsid w:val="00D6313A"/>
    <w:rsid w:val="00D63605"/>
    <w:rsid w:val="00D63FFC"/>
    <w:rsid w:val="00D643DB"/>
    <w:rsid w:val="00D6515C"/>
    <w:rsid w:val="00D653D3"/>
    <w:rsid w:val="00D6714D"/>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1B63"/>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784"/>
    <w:rsid w:val="00E64A0B"/>
    <w:rsid w:val="00E7004C"/>
    <w:rsid w:val="00E712CE"/>
    <w:rsid w:val="00E7139F"/>
    <w:rsid w:val="00E7147E"/>
    <w:rsid w:val="00E73009"/>
    <w:rsid w:val="00E74A29"/>
    <w:rsid w:val="00E7529F"/>
    <w:rsid w:val="00E75458"/>
    <w:rsid w:val="00E75F2D"/>
    <w:rsid w:val="00E76FFE"/>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45E7"/>
    <w:rsid w:val="00ED4766"/>
    <w:rsid w:val="00ED507F"/>
    <w:rsid w:val="00ED7A0B"/>
    <w:rsid w:val="00EE0294"/>
    <w:rsid w:val="00EE1221"/>
    <w:rsid w:val="00EE2DB7"/>
    <w:rsid w:val="00EE2F78"/>
    <w:rsid w:val="00EE3382"/>
    <w:rsid w:val="00EE36C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124D"/>
    <w:rsid w:val="00F03A9B"/>
    <w:rsid w:val="00F045E8"/>
    <w:rsid w:val="00F04669"/>
    <w:rsid w:val="00F04FB0"/>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5FD9"/>
    <w:rsid w:val="00F27307"/>
    <w:rsid w:val="00F27497"/>
    <w:rsid w:val="00F30618"/>
    <w:rsid w:val="00F318CA"/>
    <w:rsid w:val="00F32553"/>
    <w:rsid w:val="00F333AB"/>
    <w:rsid w:val="00F3502C"/>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2103"/>
    <w:rsid w:val="00F82384"/>
    <w:rsid w:val="00F83B65"/>
    <w:rsid w:val="00F83D2F"/>
    <w:rsid w:val="00F83DE8"/>
    <w:rsid w:val="00F863F6"/>
    <w:rsid w:val="00F86EF4"/>
    <w:rsid w:val="00F8723D"/>
    <w:rsid w:val="00F87BE8"/>
    <w:rsid w:val="00F906A7"/>
    <w:rsid w:val="00F90B1F"/>
    <w:rsid w:val="00F93A6E"/>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04FF"/>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50CC"/>
    <w:rsid w:val="00FD6727"/>
    <w:rsid w:val="00FD78C7"/>
    <w:rsid w:val="00FE278A"/>
    <w:rsid w:val="00FE2E76"/>
    <w:rsid w:val="00FE4E5D"/>
    <w:rsid w:val="00FE4F82"/>
    <w:rsid w:val="00FE529F"/>
    <w:rsid w:val="00FE5888"/>
    <w:rsid w:val="00FE673C"/>
    <w:rsid w:val="00FE6B6A"/>
    <w:rsid w:val="00FF0A1C"/>
    <w:rsid w:val="00FF0BB4"/>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121</Pages>
  <Words>78295</Words>
  <Characters>446287</Characters>
  <Application>Microsoft Office Word</Application>
  <DocSecurity>0</DocSecurity>
  <Lines>3719</Lines>
  <Paragraphs>1047</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523535</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2025-05-08T20:55:00Z</dcterms:created>
  <dcterms:modified xsi:type="dcterms:W3CDTF">2025-05-08T20:55:00Z</dcterms:modified>
</cp:coreProperties>
</file>