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0992" w14:textId="6198234A" w:rsidR="00FE5D82" w:rsidRDefault="00644584" w:rsidP="009B5E21">
      <w:pPr>
        <w:spacing w:before="240" w:after="240" w:line="240" w:lineRule="auto"/>
        <w:contextualSpacing/>
        <w:rPr>
          <w:rFonts w:ascii="Verdana" w:hAnsi="Verdana" w:cstheme="minorHAnsi"/>
        </w:rPr>
      </w:pPr>
      <w:r w:rsidRPr="00D94E5D">
        <w:rPr>
          <w:rFonts w:ascii="Verdana" w:hAnsi="Verdana" w:cstheme="minorHAnsi"/>
        </w:rPr>
        <w:t>IN THE CHILDREN’S COURT</w:t>
      </w:r>
      <w:r w:rsidR="00C87734">
        <w:rPr>
          <w:rFonts w:ascii="Verdana" w:hAnsi="Verdana" w:cstheme="minorHAnsi"/>
        </w:rPr>
        <w:t xml:space="preserve"> </w:t>
      </w:r>
      <w:r w:rsidRPr="00D94E5D">
        <w:rPr>
          <w:rFonts w:ascii="Verdana" w:hAnsi="Verdana" w:cstheme="minorHAnsi"/>
        </w:rPr>
        <w:t>OF VICTORIA</w:t>
      </w:r>
    </w:p>
    <w:p w14:paraId="5764B1F5" w14:textId="6F9F9158" w:rsidR="00644584" w:rsidRPr="00D94E5D" w:rsidRDefault="00FE5D82" w:rsidP="009B5E21">
      <w:pPr>
        <w:spacing w:before="240" w:after="240" w:line="240" w:lineRule="auto"/>
        <w:contextualSpacing/>
        <w:rPr>
          <w:rFonts w:ascii="Verdana" w:hAnsi="Verdana" w:cstheme="minorHAnsi"/>
        </w:rPr>
      </w:pPr>
      <w:r>
        <w:rPr>
          <w:rFonts w:ascii="Verdana" w:hAnsi="Verdana" w:cstheme="minorHAnsi"/>
        </w:rPr>
        <w:t>FAMILY DIVISION</w:t>
      </w:r>
    </w:p>
    <w:p w14:paraId="2FB686FD" w14:textId="77777777" w:rsidR="002B5C77" w:rsidRPr="00D94E5D" w:rsidRDefault="002B5C77" w:rsidP="00644584">
      <w:pPr>
        <w:spacing w:before="240" w:after="240"/>
        <w:contextualSpacing/>
        <w:rPr>
          <w:rFonts w:ascii="Verdana" w:hAnsi="Verdana" w:cstheme="minorHAnsi"/>
        </w:rPr>
      </w:pPr>
    </w:p>
    <w:p w14:paraId="0864D759" w14:textId="79E2EBE3" w:rsidR="00644584" w:rsidRPr="00D94E5D" w:rsidRDefault="00D94E5D" w:rsidP="007B729D">
      <w:pPr>
        <w:spacing w:before="240" w:after="0" w:line="240" w:lineRule="auto"/>
        <w:contextualSpacing/>
        <w:rPr>
          <w:rFonts w:ascii="Verdana" w:hAnsi="Verdana" w:cstheme="minorHAnsi"/>
        </w:rPr>
      </w:pPr>
      <w:r w:rsidRPr="00D94E5D">
        <w:rPr>
          <w:rFonts w:ascii="Verdana" w:hAnsi="Verdana" w:cstheme="minorHAnsi"/>
        </w:rPr>
        <w:t>DEPARTMENT OF FAMILIES, FAIRNESS AND HOUSING</w:t>
      </w:r>
      <w:r w:rsidR="00D66845" w:rsidRPr="00D94E5D">
        <w:rPr>
          <w:rFonts w:ascii="Verdana" w:hAnsi="Verdana" w:cstheme="minorHAnsi"/>
        </w:rPr>
        <w:t xml:space="preserve">    </w:t>
      </w:r>
      <w:r w:rsidR="00644584" w:rsidRPr="00D94E5D">
        <w:rPr>
          <w:rFonts w:ascii="Verdana" w:hAnsi="Verdana" w:cstheme="minorHAnsi"/>
        </w:rPr>
        <w:tab/>
        <w:t xml:space="preserve">         </w:t>
      </w:r>
      <w:r w:rsidR="00D66845" w:rsidRPr="00D94E5D">
        <w:rPr>
          <w:rFonts w:ascii="Verdana" w:hAnsi="Verdana" w:cstheme="minorHAnsi"/>
        </w:rPr>
        <w:t xml:space="preserve">         </w:t>
      </w:r>
      <w:r w:rsidR="00644584" w:rsidRPr="00D94E5D">
        <w:rPr>
          <w:rFonts w:ascii="Verdana" w:hAnsi="Verdana" w:cstheme="minorHAnsi"/>
        </w:rPr>
        <w:t>Applicant</w:t>
      </w:r>
    </w:p>
    <w:p w14:paraId="10CBB45A" w14:textId="77777777" w:rsidR="008C322C" w:rsidRPr="00D94E5D" w:rsidRDefault="008C322C" w:rsidP="007B729D">
      <w:pPr>
        <w:spacing w:after="0" w:line="240" w:lineRule="auto"/>
        <w:contextualSpacing/>
        <w:rPr>
          <w:rFonts w:ascii="Verdana" w:hAnsi="Verdana" w:cstheme="minorHAnsi"/>
        </w:rPr>
      </w:pPr>
    </w:p>
    <w:p w14:paraId="1FA62C27" w14:textId="0368A0DF" w:rsidR="00644584" w:rsidRPr="00D94E5D" w:rsidRDefault="00D94E5D" w:rsidP="007B729D">
      <w:pPr>
        <w:spacing w:after="0" w:line="240" w:lineRule="auto"/>
        <w:contextualSpacing/>
        <w:rPr>
          <w:rFonts w:ascii="Verdana" w:hAnsi="Verdana" w:cstheme="minorHAnsi"/>
        </w:rPr>
      </w:pPr>
      <w:r>
        <w:rPr>
          <w:rFonts w:ascii="Verdana" w:hAnsi="Verdana" w:cstheme="minorHAnsi"/>
        </w:rPr>
        <w:t>a</w:t>
      </w:r>
      <w:r w:rsidR="00644584" w:rsidRPr="00D94E5D">
        <w:rPr>
          <w:rFonts w:ascii="Verdana" w:hAnsi="Verdana" w:cstheme="minorHAnsi"/>
        </w:rPr>
        <w:t>nd</w:t>
      </w:r>
    </w:p>
    <w:p w14:paraId="4570322A" w14:textId="77777777" w:rsidR="00D66845" w:rsidRPr="00D94E5D" w:rsidRDefault="00D66845" w:rsidP="007B729D">
      <w:pPr>
        <w:spacing w:after="0" w:line="240" w:lineRule="auto"/>
        <w:contextualSpacing/>
        <w:rPr>
          <w:rFonts w:ascii="Verdana" w:hAnsi="Verdana" w:cstheme="minorHAnsi"/>
        </w:rPr>
      </w:pPr>
    </w:p>
    <w:p w14:paraId="10D9CFB0" w14:textId="03FA9131" w:rsidR="00644584" w:rsidRPr="00D94E5D" w:rsidRDefault="003A2F8C" w:rsidP="00644584">
      <w:pPr>
        <w:spacing w:before="240" w:after="240"/>
        <w:contextualSpacing/>
        <w:rPr>
          <w:rFonts w:ascii="Verdana" w:hAnsi="Verdana" w:cstheme="minorHAnsi"/>
        </w:rPr>
      </w:pPr>
      <w:r>
        <w:rPr>
          <w:rFonts w:ascii="Verdana" w:hAnsi="Verdana" w:cstheme="minorHAnsi"/>
        </w:rPr>
        <w:t>APRIL PRICE</w:t>
      </w:r>
      <w:r w:rsidR="00971AD5"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2B5C77">
        <w:rPr>
          <w:rFonts w:ascii="Verdana" w:hAnsi="Verdana" w:cstheme="minorHAnsi"/>
        </w:rPr>
        <w:tab/>
      </w:r>
      <w:r w:rsidR="00644584" w:rsidRPr="00D94E5D">
        <w:rPr>
          <w:rFonts w:ascii="Verdana" w:hAnsi="Verdana" w:cstheme="minorHAnsi"/>
        </w:rPr>
        <w:t>Mother</w:t>
      </w:r>
    </w:p>
    <w:p w14:paraId="0F015F84" w14:textId="3361CF9A" w:rsidR="00644584" w:rsidRPr="00D94E5D" w:rsidRDefault="003A2F8C" w:rsidP="00644584">
      <w:pPr>
        <w:spacing w:before="240" w:after="240"/>
        <w:contextualSpacing/>
        <w:rPr>
          <w:rFonts w:ascii="Verdana" w:hAnsi="Verdana" w:cstheme="minorHAnsi"/>
        </w:rPr>
      </w:pPr>
      <w:r>
        <w:rPr>
          <w:rFonts w:ascii="Verdana" w:hAnsi="Verdana" w:cstheme="minorHAnsi"/>
        </w:rPr>
        <w:t>BROCK WEST</w:t>
      </w:r>
      <w:r w:rsidR="00644584" w:rsidRPr="00D94E5D">
        <w:rPr>
          <w:rFonts w:ascii="Verdana" w:hAnsi="Verdana" w:cstheme="minorHAnsi"/>
        </w:rPr>
        <w:tab/>
      </w:r>
      <w:r w:rsidR="00971AD5"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t>Father</w:t>
      </w:r>
    </w:p>
    <w:p w14:paraId="42BA16DB" w14:textId="79217134" w:rsidR="00644584" w:rsidRPr="00D94E5D" w:rsidRDefault="003A2F8C" w:rsidP="00644584">
      <w:pPr>
        <w:spacing w:before="240" w:after="240"/>
        <w:contextualSpacing/>
        <w:rPr>
          <w:rFonts w:ascii="Verdana" w:hAnsi="Verdana" w:cstheme="minorHAnsi"/>
        </w:rPr>
      </w:pPr>
      <w:r>
        <w:rPr>
          <w:rFonts w:ascii="Verdana" w:hAnsi="Verdana" w:cstheme="minorHAnsi"/>
        </w:rPr>
        <w:t>MARIA</w:t>
      </w:r>
      <w:r w:rsidR="00093A9F" w:rsidRPr="00D94E5D">
        <w:rPr>
          <w:rFonts w:ascii="Verdana" w:hAnsi="Verdana" w:cstheme="minorHAnsi"/>
        </w:rPr>
        <w:t xml:space="preserve"> </w:t>
      </w:r>
      <w:r>
        <w:rPr>
          <w:rFonts w:ascii="Verdana" w:hAnsi="Verdana" w:cstheme="minorHAnsi"/>
        </w:rPr>
        <w:t>WEST</w:t>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t xml:space="preserve"> </w:t>
      </w:r>
      <w:r w:rsidR="00644584" w:rsidRPr="00D94E5D">
        <w:rPr>
          <w:rFonts w:ascii="Verdana" w:hAnsi="Verdana" w:cstheme="minorHAnsi"/>
        </w:rPr>
        <w:tab/>
      </w:r>
      <w:r w:rsidR="00644584" w:rsidRPr="00D94E5D">
        <w:rPr>
          <w:rFonts w:ascii="Verdana" w:hAnsi="Verdana" w:cstheme="minorHAnsi"/>
        </w:rPr>
        <w:tab/>
      </w:r>
      <w:r w:rsidR="007E2E29" w:rsidRPr="00D94E5D">
        <w:rPr>
          <w:rFonts w:ascii="Verdana" w:hAnsi="Verdana" w:cstheme="minorHAnsi"/>
        </w:rPr>
        <w:tab/>
      </w:r>
      <w:proofErr w:type="gramStart"/>
      <w:r w:rsidR="00644584" w:rsidRPr="00D94E5D">
        <w:rPr>
          <w:rFonts w:ascii="Verdana" w:hAnsi="Verdana" w:cstheme="minorHAnsi"/>
        </w:rPr>
        <w:t xml:space="preserve">Child  </w:t>
      </w:r>
      <w:r>
        <w:rPr>
          <w:rFonts w:ascii="Verdana" w:hAnsi="Verdana" w:cstheme="minorHAnsi"/>
        </w:rPr>
        <w:t>GREGORY</w:t>
      </w:r>
      <w:proofErr w:type="gramEnd"/>
      <w:r w:rsidR="00093A9F" w:rsidRPr="00D94E5D">
        <w:rPr>
          <w:rFonts w:ascii="Verdana" w:hAnsi="Verdana" w:cstheme="minorHAnsi"/>
        </w:rPr>
        <w:t xml:space="preserve"> </w:t>
      </w:r>
      <w:r>
        <w:rPr>
          <w:rFonts w:ascii="Verdana" w:hAnsi="Verdana" w:cstheme="minorHAnsi"/>
        </w:rPr>
        <w:t>WEST</w:t>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644584" w:rsidRPr="00D94E5D">
        <w:rPr>
          <w:rFonts w:ascii="Verdana" w:hAnsi="Verdana" w:cstheme="minorHAnsi"/>
        </w:rPr>
        <w:tab/>
      </w:r>
      <w:r w:rsidR="007E2E29" w:rsidRPr="00D94E5D">
        <w:rPr>
          <w:rFonts w:ascii="Verdana" w:hAnsi="Verdana" w:cstheme="minorHAnsi"/>
        </w:rPr>
        <w:tab/>
      </w:r>
      <w:r w:rsidR="00644584" w:rsidRPr="00D94E5D">
        <w:rPr>
          <w:rFonts w:ascii="Verdana" w:hAnsi="Verdana" w:cstheme="minorHAnsi"/>
        </w:rPr>
        <w:t>Child</w:t>
      </w:r>
    </w:p>
    <w:p w14:paraId="2E2D4FA4" w14:textId="77777777" w:rsidR="009E1942" w:rsidRPr="00D94E5D" w:rsidRDefault="009E1942" w:rsidP="00644584">
      <w:pPr>
        <w:spacing w:before="240" w:after="240"/>
        <w:contextualSpacing/>
        <w:rPr>
          <w:rFonts w:ascii="Verdana" w:hAnsi="Verdana" w:cstheme="minorHAnsi"/>
          <w:b/>
          <w:bCs/>
        </w:rPr>
      </w:pPr>
    </w:p>
    <w:tbl>
      <w:tblPr>
        <w:tblW w:w="10458" w:type="dxa"/>
        <w:tblLayout w:type="fixed"/>
        <w:tblLook w:val="0000" w:firstRow="0" w:lastRow="0" w:firstColumn="0" w:lastColumn="0" w:noHBand="0" w:noVBand="0"/>
      </w:tblPr>
      <w:tblGrid>
        <w:gridCol w:w="3798"/>
        <w:gridCol w:w="6660"/>
      </w:tblGrid>
      <w:tr w:rsidR="00093A9F" w:rsidRPr="00D94E5D" w14:paraId="16688F66" w14:textId="77777777" w:rsidTr="00714496">
        <w:tc>
          <w:tcPr>
            <w:tcW w:w="3798" w:type="dxa"/>
          </w:tcPr>
          <w:p w14:paraId="691DF087" w14:textId="77777777" w:rsidR="00093A9F" w:rsidRPr="00D94E5D" w:rsidRDefault="00093A9F" w:rsidP="00714496">
            <w:pPr>
              <w:rPr>
                <w:rFonts w:ascii="Verdana" w:hAnsi="Verdana"/>
                <w:caps/>
              </w:rPr>
            </w:pPr>
            <w:r w:rsidRPr="00D94E5D">
              <w:rPr>
                <w:rFonts w:ascii="Verdana" w:hAnsi="Verdana"/>
                <w:caps/>
                <w:u w:val="single"/>
              </w:rPr>
              <w:t>MAGISTRATE</w:t>
            </w:r>
            <w:r w:rsidRPr="00D94E5D">
              <w:rPr>
                <w:rFonts w:ascii="Verdana" w:hAnsi="Verdana"/>
                <w:caps/>
              </w:rPr>
              <w:t>:</w:t>
            </w:r>
          </w:p>
        </w:tc>
        <w:tc>
          <w:tcPr>
            <w:tcW w:w="6660" w:type="dxa"/>
          </w:tcPr>
          <w:p w14:paraId="3CA1633A" w14:textId="7D17E7BE" w:rsidR="00093A9F" w:rsidRPr="00D94E5D" w:rsidRDefault="009E1942" w:rsidP="00714496">
            <w:pPr>
              <w:rPr>
                <w:rFonts w:ascii="Verdana" w:hAnsi="Verdana"/>
              </w:rPr>
            </w:pPr>
            <w:bookmarkStart w:id="0" w:name="COVjud"/>
            <w:bookmarkEnd w:id="0"/>
            <w:r w:rsidRPr="00D94E5D">
              <w:rPr>
                <w:rFonts w:ascii="Verdana" w:hAnsi="Verdana"/>
              </w:rPr>
              <w:t>STEAD</w:t>
            </w:r>
          </w:p>
        </w:tc>
      </w:tr>
      <w:tr w:rsidR="00093A9F" w:rsidRPr="00D94E5D" w14:paraId="7A3923CC" w14:textId="77777777" w:rsidTr="00714496">
        <w:tc>
          <w:tcPr>
            <w:tcW w:w="3798" w:type="dxa"/>
          </w:tcPr>
          <w:p w14:paraId="2AA28B57" w14:textId="77777777" w:rsidR="00093A9F" w:rsidRPr="00D94E5D" w:rsidRDefault="00093A9F" w:rsidP="00714496">
            <w:pPr>
              <w:rPr>
                <w:rFonts w:ascii="Verdana" w:hAnsi="Verdana"/>
              </w:rPr>
            </w:pPr>
            <w:r w:rsidRPr="00D94E5D">
              <w:rPr>
                <w:rFonts w:ascii="Verdana" w:hAnsi="Verdana"/>
                <w:u w:val="single"/>
              </w:rPr>
              <w:t>DATE OF HEARING</w:t>
            </w:r>
            <w:r w:rsidRPr="00D94E5D">
              <w:rPr>
                <w:rFonts w:ascii="Verdana" w:hAnsi="Verdana"/>
              </w:rPr>
              <w:t>:</w:t>
            </w:r>
          </w:p>
        </w:tc>
        <w:tc>
          <w:tcPr>
            <w:tcW w:w="6660" w:type="dxa"/>
          </w:tcPr>
          <w:p w14:paraId="38C860DF" w14:textId="36BA60AD" w:rsidR="00093A9F" w:rsidRPr="00D94E5D" w:rsidRDefault="00093A9F" w:rsidP="00714496">
            <w:pPr>
              <w:rPr>
                <w:rFonts w:ascii="Verdana" w:hAnsi="Verdana"/>
              </w:rPr>
            </w:pPr>
            <w:bookmarkStart w:id="1" w:name="COVdoh"/>
            <w:bookmarkEnd w:id="1"/>
            <w:r w:rsidRPr="00D94E5D">
              <w:rPr>
                <w:rFonts w:ascii="Verdana" w:hAnsi="Verdana" w:cstheme="minorHAnsi"/>
              </w:rPr>
              <w:t xml:space="preserve">11 – 15 July 2022 &amp; 10 </w:t>
            </w:r>
            <w:r w:rsidR="003D1F49" w:rsidRPr="00D94E5D">
              <w:rPr>
                <w:rFonts w:ascii="Verdana" w:hAnsi="Verdana" w:cstheme="minorHAnsi"/>
              </w:rPr>
              <w:t>–</w:t>
            </w:r>
            <w:r w:rsidR="003D1F49">
              <w:rPr>
                <w:rFonts w:ascii="Verdana" w:hAnsi="Verdana" w:cstheme="minorHAnsi"/>
              </w:rPr>
              <w:t xml:space="preserve"> </w:t>
            </w:r>
            <w:r w:rsidRPr="00D94E5D">
              <w:rPr>
                <w:rFonts w:ascii="Verdana" w:hAnsi="Verdana" w:cstheme="minorHAnsi"/>
              </w:rPr>
              <w:t>13 October 2022</w:t>
            </w:r>
            <w:r w:rsidRPr="00D94E5D">
              <w:rPr>
                <w:rFonts w:ascii="Verdana" w:hAnsi="Verdana"/>
              </w:rPr>
              <w:fldChar w:fldCharType="begin"/>
            </w:r>
            <w:r w:rsidRPr="00D94E5D">
              <w:rPr>
                <w:rFonts w:ascii="Verdana" w:hAnsi="Verdana"/>
              </w:rPr>
              <w:instrText xml:space="preserve">  </w:instrText>
            </w:r>
            <w:r w:rsidRPr="00D94E5D">
              <w:rPr>
                <w:rFonts w:ascii="Verdana" w:hAnsi="Verdana"/>
              </w:rPr>
              <w:fldChar w:fldCharType="end"/>
            </w:r>
          </w:p>
        </w:tc>
      </w:tr>
      <w:tr w:rsidR="00093A9F" w:rsidRPr="00D94E5D" w14:paraId="4796E118" w14:textId="77777777" w:rsidTr="00714496">
        <w:tc>
          <w:tcPr>
            <w:tcW w:w="3798" w:type="dxa"/>
          </w:tcPr>
          <w:p w14:paraId="7D1F52AD" w14:textId="77777777" w:rsidR="00093A9F" w:rsidRPr="00D94E5D" w:rsidRDefault="00093A9F" w:rsidP="00714496">
            <w:pPr>
              <w:rPr>
                <w:rFonts w:ascii="Verdana" w:hAnsi="Verdana"/>
                <w:u w:val="single"/>
              </w:rPr>
            </w:pPr>
            <w:r w:rsidRPr="00D94E5D">
              <w:rPr>
                <w:rFonts w:ascii="Verdana" w:hAnsi="Verdana"/>
                <w:u w:val="single"/>
              </w:rPr>
              <w:t>DATE OF DECISION</w:t>
            </w:r>
            <w:r w:rsidRPr="00D94E5D">
              <w:rPr>
                <w:rFonts w:ascii="Verdana" w:hAnsi="Verdana"/>
              </w:rPr>
              <w:t>:</w:t>
            </w:r>
          </w:p>
        </w:tc>
        <w:tc>
          <w:tcPr>
            <w:tcW w:w="6660" w:type="dxa"/>
          </w:tcPr>
          <w:p w14:paraId="35B3A392" w14:textId="7DFBA799" w:rsidR="00093A9F" w:rsidRPr="00D94E5D" w:rsidRDefault="00F5407E" w:rsidP="00714496">
            <w:pPr>
              <w:rPr>
                <w:rFonts w:ascii="Verdana" w:hAnsi="Verdana"/>
              </w:rPr>
            </w:pPr>
            <w:bookmarkStart w:id="2" w:name="COVdoj"/>
            <w:bookmarkEnd w:id="2"/>
            <w:r w:rsidRPr="00D94E5D">
              <w:rPr>
                <w:rFonts w:ascii="Verdana" w:hAnsi="Verdana"/>
              </w:rPr>
              <w:t>16 December 2022</w:t>
            </w:r>
          </w:p>
        </w:tc>
      </w:tr>
      <w:tr w:rsidR="007B729D" w:rsidRPr="00D94E5D" w14:paraId="02222E29" w14:textId="77777777" w:rsidTr="007B729D">
        <w:tc>
          <w:tcPr>
            <w:tcW w:w="3798" w:type="dxa"/>
          </w:tcPr>
          <w:p w14:paraId="1D4C36A1" w14:textId="0B893975" w:rsidR="007B729D" w:rsidRPr="007B729D" w:rsidRDefault="007B729D" w:rsidP="00FA389E">
            <w:pPr>
              <w:rPr>
                <w:rFonts w:ascii="Verdana" w:hAnsi="Verdana"/>
                <w:u w:val="single"/>
              </w:rPr>
            </w:pPr>
            <w:r>
              <w:rPr>
                <w:rFonts w:ascii="Verdana" w:hAnsi="Verdana"/>
                <w:u w:val="single"/>
              </w:rPr>
              <w:t>CASE MAY BE CITED AS</w:t>
            </w:r>
            <w:r w:rsidRPr="007B729D">
              <w:rPr>
                <w:rFonts w:ascii="Verdana" w:hAnsi="Verdana"/>
              </w:rPr>
              <w:t>:</w:t>
            </w:r>
          </w:p>
        </w:tc>
        <w:tc>
          <w:tcPr>
            <w:tcW w:w="6660" w:type="dxa"/>
          </w:tcPr>
          <w:p w14:paraId="0FD8903D" w14:textId="48A3D641" w:rsidR="007B729D" w:rsidRPr="00D94E5D" w:rsidRDefault="007B729D" w:rsidP="00FA389E">
            <w:pPr>
              <w:rPr>
                <w:rFonts w:ascii="Verdana" w:hAnsi="Verdana"/>
              </w:rPr>
            </w:pPr>
            <w:r w:rsidRPr="007B729D">
              <w:rPr>
                <w:rFonts w:ascii="Verdana" w:hAnsi="Verdana" w:cstheme="minorHAnsi"/>
              </w:rPr>
              <w:t>DFFH v West (a pseudonym)</w:t>
            </w:r>
            <w:r w:rsidRPr="00D94E5D">
              <w:rPr>
                <w:rFonts w:ascii="Verdana" w:hAnsi="Verdana"/>
              </w:rPr>
              <w:fldChar w:fldCharType="begin"/>
            </w:r>
            <w:r w:rsidRPr="00D94E5D">
              <w:rPr>
                <w:rFonts w:ascii="Verdana" w:hAnsi="Verdana"/>
              </w:rPr>
              <w:instrText xml:space="preserve">  </w:instrText>
            </w:r>
            <w:r w:rsidRPr="00D94E5D">
              <w:rPr>
                <w:rFonts w:ascii="Verdana" w:hAnsi="Verdana"/>
              </w:rPr>
              <w:fldChar w:fldCharType="end"/>
            </w:r>
          </w:p>
        </w:tc>
      </w:tr>
      <w:tr w:rsidR="007B729D" w:rsidRPr="00D94E5D" w14:paraId="7E17B280" w14:textId="77777777" w:rsidTr="007B729D">
        <w:tc>
          <w:tcPr>
            <w:tcW w:w="3798" w:type="dxa"/>
          </w:tcPr>
          <w:p w14:paraId="74517EA2" w14:textId="20BAD82E" w:rsidR="007B729D" w:rsidRPr="00D94E5D" w:rsidRDefault="007B729D" w:rsidP="00FA389E">
            <w:pPr>
              <w:rPr>
                <w:rFonts w:ascii="Verdana" w:hAnsi="Verdana"/>
                <w:u w:val="single"/>
              </w:rPr>
            </w:pPr>
            <w:r>
              <w:rPr>
                <w:rFonts w:ascii="Verdana" w:hAnsi="Verdana"/>
                <w:u w:val="single"/>
              </w:rPr>
              <w:t>MEDIUM NEUTRAL CITATION</w:t>
            </w:r>
            <w:r w:rsidRPr="007B729D">
              <w:rPr>
                <w:rFonts w:ascii="Verdana" w:hAnsi="Verdana"/>
                <w:u w:val="single"/>
              </w:rPr>
              <w:t>:</w:t>
            </w:r>
          </w:p>
        </w:tc>
        <w:tc>
          <w:tcPr>
            <w:tcW w:w="6660" w:type="dxa"/>
          </w:tcPr>
          <w:p w14:paraId="7573FF57" w14:textId="314BCB75" w:rsidR="007B729D" w:rsidRPr="00D94E5D" w:rsidRDefault="007B729D" w:rsidP="00FA389E">
            <w:pPr>
              <w:rPr>
                <w:rFonts w:ascii="Verdana" w:hAnsi="Verdana"/>
              </w:rPr>
            </w:pPr>
            <w:r>
              <w:rPr>
                <w:rFonts w:ascii="Verdana" w:hAnsi="Verdana"/>
              </w:rPr>
              <w:t>[</w:t>
            </w:r>
            <w:r w:rsidRPr="00D94E5D">
              <w:rPr>
                <w:rFonts w:ascii="Verdana" w:hAnsi="Verdana"/>
              </w:rPr>
              <w:t>2022</w:t>
            </w:r>
            <w:r>
              <w:rPr>
                <w:rFonts w:ascii="Verdana" w:hAnsi="Verdana"/>
              </w:rPr>
              <w:t xml:space="preserve">] </w:t>
            </w:r>
            <w:proofErr w:type="spellStart"/>
            <w:r>
              <w:rPr>
                <w:rFonts w:ascii="Verdana" w:hAnsi="Verdana"/>
              </w:rPr>
              <w:t>VChC</w:t>
            </w:r>
            <w:proofErr w:type="spellEnd"/>
            <w:r>
              <w:rPr>
                <w:rFonts w:ascii="Verdana" w:hAnsi="Verdana"/>
              </w:rPr>
              <w:t xml:space="preserve"> </w:t>
            </w:r>
            <w:r w:rsidR="009B5E21">
              <w:rPr>
                <w:rFonts w:ascii="Verdana" w:hAnsi="Verdana"/>
              </w:rPr>
              <w:t>2</w:t>
            </w:r>
          </w:p>
        </w:tc>
      </w:tr>
    </w:tbl>
    <w:p w14:paraId="15F843F9" w14:textId="71591292" w:rsidR="00452F55" w:rsidRDefault="00452F55" w:rsidP="00452F55">
      <w:pPr>
        <w:spacing w:line="240" w:lineRule="auto"/>
        <w:jc w:val="both"/>
        <w:rPr>
          <w:rFonts w:ascii="Verdana" w:hAnsi="Verdana"/>
        </w:rPr>
      </w:pPr>
      <w:bookmarkStart w:id="3" w:name="_Hlk122345185"/>
      <w:r>
        <w:rPr>
          <w:rFonts w:ascii="Verdana" w:hAnsi="Verdana"/>
          <w:u w:val="single"/>
        </w:rPr>
        <w:t>CATCHWORDS:</w:t>
      </w:r>
      <w:r>
        <w:rPr>
          <w:rFonts w:ascii="Tahoma" w:hAnsi="Tahoma" w:cs="Tahoma"/>
          <w:sz w:val="24"/>
          <w:szCs w:val="24"/>
        </w:rPr>
        <w:t xml:space="preserve"> </w:t>
      </w:r>
      <w:r>
        <w:rPr>
          <w:rFonts w:ascii="Verdana" w:hAnsi="Verdana"/>
        </w:rPr>
        <w:t xml:space="preserve">Child protection – preterm twins with marks – medical imaging, repeat x-rays – protection applications by emergency care under s.162(1)(c) and (e) CYFA – medical expert witnesses’ evidence regarding the marks and single fracture to each child – accepted that the marks were not deliberately inflicted – unlikely that the parents will inadvertently cause further marks to the children in providing care in the future – medical imaging and timing of rib fractures – medical opinion of causative mechanism and explanations for the rib fractures – signs of bone fragility in the twins – many other people handled the children during the relevant period; possibility that rib fractures could have been accidentally inflicted – no evidence that the children have been or are likely to be emotionally or psychologically harmed by their parents – DFFH invited the Court to strike out ground (e) – whether protection application proved under s.162(1)(c) – no direct witness evidence which supports a finding that the parents inflicted the rib fractures – parents cannot be reasonably expected to protect children from an unknown underlying vulnerability – no adverse inference against parents not giving evidence in the circumstances – no finding that the parents are objectively responsible for causing or failing to protect the children from significant harm from physical injury – no sensible basis for inferring that such harm is likely to occur in the future – protection application on ground (c) is dismissed.   </w:t>
      </w:r>
      <w:bookmarkEnd w:id="3"/>
    </w:p>
    <w:p w14:paraId="24CBC75A" w14:textId="5B06ED7C" w:rsidR="00FE5D82" w:rsidRDefault="00FE5D82" w:rsidP="00644584">
      <w:pPr>
        <w:spacing w:before="240" w:after="240"/>
        <w:contextualSpacing/>
        <w:rPr>
          <w:rFonts w:ascii="Verdana" w:hAnsi="Verdana" w:cstheme="minorHAnsi"/>
        </w:rPr>
      </w:pPr>
    </w:p>
    <w:p w14:paraId="2D659A7E" w14:textId="41F403CF" w:rsidR="009235F0" w:rsidRPr="00D94E5D" w:rsidRDefault="00093A9F" w:rsidP="00644584">
      <w:pPr>
        <w:spacing w:before="240" w:after="240"/>
        <w:contextualSpacing/>
        <w:rPr>
          <w:rFonts w:ascii="Verdana" w:hAnsi="Verdana" w:cstheme="minorHAnsi"/>
        </w:rPr>
      </w:pPr>
      <w:r w:rsidRPr="00D94E5D">
        <w:rPr>
          <w:rFonts w:ascii="Verdana" w:hAnsi="Verdana" w:cstheme="minorHAnsi"/>
          <w:u w:val="single"/>
        </w:rPr>
        <w:t>APPEARANCES</w:t>
      </w:r>
      <w:r w:rsidRPr="00D94E5D">
        <w:rPr>
          <w:rFonts w:ascii="Verdana" w:hAnsi="Verdana" w:cstheme="minorHAnsi"/>
        </w:rPr>
        <w:tab/>
      </w:r>
      <w:r w:rsidRPr="00D94E5D">
        <w:rPr>
          <w:rFonts w:ascii="Verdana" w:hAnsi="Verdana" w:cstheme="minorHAnsi"/>
        </w:rPr>
        <w:tab/>
      </w:r>
      <w:r w:rsidRPr="00D94E5D">
        <w:rPr>
          <w:rFonts w:ascii="Verdana" w:hAnsi="Verdana" w:cstheme="minorHAnsi"/>
          <w:u w:val="single"/>
        </w:rPr>
        <w:t>COUNSEL</w:t>
      </w:r>
      <w:r w:rsidRPr="00D94E5D">
        <w:rPr>
          <w:rFonts w:ascii="Verdana" w:hAnsi="Verdana" w:cstheme="minorHAnsi"/>
        </w:rPr>
        <w:tab/>
      </w:r>
      <w:r w:rsidRPr="00D94E5D">
        <w:rPr>
          <w:rFonts w:ascii="Verdana" w:hAnsi="Verdana" w:cstheme="minorHAnsi"/>
        </w:rPr>
        <w:tab/>
      </w:r>
      <w:r w:rsidRPr="00D94E5D">
        <w:rPr>
          <w:rFonts w:ascii="Verdana" w:hAnsi="Verdana" w:cstheme="minorHAnsi"/>
        </w:rPr>
        <w:tab/>
      </w:r>
      <w:r w:rsidRPr="00D94E5D">
        <w:rPr>
          <w:rFonts w:ascii="Verdana" w:hAnsi="Verdana" w:cstheme="minorHAnsi"/>
          <w:u w:val="single"/>
        </w:rPr>
        <w:t>SOLICITORS</w:t>
      </w:r>
    </w:p>
    <w:p w14:paraId="532074AE" w14:textId="2C3E9F52" w:rsidR="00644584" w:rsidRPr="00D94E5D" w:rsidRDefault="00644584" w:rsidP="00644584">
      <w:pPr>
        <w:spacing w:before="240" w:after="240"/>
        <w:contextualSpacing/>
        <w:rPr>
          <w:rFonts w:ascii="Verdana" w:hAnsi="Verdana" w:cstheme="minorHAnsi"/>
        </w:rPr>
      </w:pPr>
      <w:r w:rsidRPr="00D94E5D">
        <w:rPr>
          <w:rFonts w:ascii="Verdana" w:hAnsi="Verdana" w:cstheme="minorHAnsi"/>
        </w:rPr>
        <w:t>DFFH</w:t>
      </w:r>
      <w:r w:rsidRPr="00D94E5D">
        <w:rPr>
          <w:rFonts w:ascii="Verdana" w:hAnsi="Verdana" w:cstheme="minorHAnsi"/>
        </w:rPr>
        <w:tab/>
      </w:r>
      <w:r w:rsidR="008C322C" w:rsidRPr="00D94E5D">
        <w:rPr>
          <w:rFonts w:ascii="Verdana" w:hAnsi="Verdana" w:cstheme="minorHAnsi"/>
        </w:rPr>
        <w:tab/>
      </w:r>
      <w:r w:rsidR="00093A9F" w:rsidRPr="00D94E5D">
        <w:rPr>
          <w:rFonts w:ascii="Verdana" w:hAnsi="Verdana" w:cstheme="minorHAnsi"/>
        </w:rPr>
        <w:tab/>
      </w:r>
      <w:r w:rsidR="00093A9F" w:rsidRPr="00D94E5D">
        <w:rPr>
          <w:rFonts w:ascii="Verdana" w:hAnsi="Verdana" w:cstheme="minorHAnsi"/>
        </w:rPr>
        <w:tab/>
      </w:r>
      <w:r w:rsidR="00971AD5" w:rsidRPr="00D94E5D">
        <w:rPr>
          <w:rFonts w:ascii="Verdana" w:hAnsi="Verdana" w:cstheme="minorHAnsi"/>
        </w:rPr>
        <w:t>Ms K Cullen</w:t>
      </w:r>
      <w:r w:rsidR="00971AD5" w:rsidRPr="00D94E5D">
        <w:rPr>
          <w:rFonts w:ascii="Verdana" w:hAnsi="Verdana" w:cstheme="minorHAnsi"/>
        </w:rPr>
        <w:tab/>
      </w:r>
      <w:r w:rsidR="00093A9F" w:rsidRPr="00D94E5D">
        <w:rPr>
          <w:rFonts w:ascii="Verdana" w:hAnsi="Verdana" w:cstheme="minorHAnsi"/>
        </w:rPr>
        <w:t xml:space="preserve"> </w:t>
      </w:r>
      <w:r w:rsidR="00093A9F" w:rsidRPr="00D94E5D">
        <w:rPr>
          <w:rFonts w:ascii="Verdana" w:hAnsi="Verdana" w:cstheme="minorHAnsi"/>
        </w:rPr>
        <w:tab/>
      </w:r>
      <w:r w:rsidR="00093A9F" w:rsidRPr="00D94E5D">
        <w:rPr>
          <w:rFonts w:ascii="Verdana" w:hAnsi="Verdana" w:cstheme="minorHAnsi"/>
        </w:rPr>
        <w:tab/>
        <w:t>CPLO</w:t>
      </w:r>
    </w:p>
    <w:p w14:paraId="1F291B51" w14:textId="7D3615BB" w:rsidR="00644584" w:rsidRPr="00D94E5D" w:rsidRDefault="00F5407E" w:rsidP="00644584">
      <w:pPr>
        <w:spacing w:before="240" w:after="240"/>
        <w:contextualSpacing/>
        <w:rPr>
          <w:rFonts w:ascii="Verdana" w:hAnsi="Verdana" w:cstheme="minorHAnsi"/>
        </w:rPr>
      </w:pPr>
      <w:r w:rsidRPr="00D94E5D">
        <w:rPr>
          <w:rFonts w:ascii="Verdana" w:hAnsi="Verdana" w:cstheme="minorHAnsi"/>
        </w:rPr>
        <w:t>Mother</w:t>
      </w:r>
      <w:r w:rsidR="00644584" w:rsidRPr="00D94E5D">
        <w:rPr>
          <w:rFonts w:ascii="Verdana" w:hAnsi="Verdana" w:cstheme="minorHAnsi"/>
        </w:rPr>
        <w:tab/>
      </w:r>
      <w:r w:rsidR="00093A9F" w:rsidRPr="00D94E5D">
        <w:rPr>
          <w:rFonts w:ascii="Verdana" w:hAnsi="Verdana" w:cstheme="minorHAnsi"/>
        </w:rPr>
        <w:tab/>
      </w:r>
      <w:r w:rsidR="00093A9F" w:rsidRPr="00D94E5D">
        <w:rPr>
          <w:rFonts w:ascii="Verdana" w:hAnsi="Verdana" w:cstheme="minorHAnsi"/>
        </w:rPr>
        <w:tab/>
      </w:r>
      <w:r w:rsidR="00971AD5" w:rsidRPr="00D94E5D">
        <w:rPr>
          <w:rFonts w:ascii="Verdana" w:hAnsi="Verdana" w:cstheme="minorHAnsi"/>
        </w:rPr>
        <w:t>Mr A Kennedy</w:t>
      </w:r>
      <w:r w:rsidRPr="00D94E5D">
        <w:rPr>
          <w:rFonts w:ascii="Verdana" w:hAnsi="Verdana" w:cstheme="minorHAnsi"/>
        </w:rPr>
        <w:tab/>
      </w:r>
      <w:r w:rsidRPr="00D94E5D">
        <w:rPr>
          <w:rFonts w:ascii="Verdana" w:hAnsi="Verdana" w:cstheme="minorHAnsi"/>
        </w:rPr>
        <w:tab/>
        <w:t xml:space="preserve">Gorman &amp; Hannan </w:t>
      </w:r>
    </w:p>
    <w:p w14:paraId="0709BFAE" w14:textId="3CED817C" w:rsidR="00644584" w:rsidRPr="00D94E5D" w:rsidRDefault="00F5407E" w:rsidP="00644584">
      <w:pPr>
        <w:spacing w:before="240" w:after="240"/>
        <w:contextualSpacing/>
        <w:rPr>
          <w:rFonts w:ascii="Verdana" w:hAnsi="Verdana" w:cstheme="minorHAnsi"/>
        </w:rPr>
      </w:pPr>
      <w:r w:rsidRPr="00D94E5D">
        <w:rPr>
          <w:rFonts w:ascii="Verdana" w:hAnsi="Verdana" w:cstheme="minorHAnsi"/>
        </w:rPr>
        <w:t>Father</w:t>
      </w:r>
      <w:r w:rsidR="00644584" w:rsidRPr="00D94E5D">
        <w:rPr>
          <w:rFonts w:ascii="Verdana" w:hAnsi="Verdana" w:cstheme="minorHAnsi"/>
        </w:rPr>
        <w:tab/>
      </w:r>
      <w:r w:rsidR="00093A9F" w:rsidRPr="00D94E5D">
        <w:rPr>
          <w:rFonts w:ascii="Verdana" w:hAnsi="Verdana" w:cstheme="minorHAnsi"/>
        </w:rPr>
        <w:tab/>
      </w:r>
      <w:r w:rsidR="00093A9F" w:rsidRPr="00D94E5D">
        <w:rPr>
          <w:rFonts w:ascii="Verdana" w:hAnsi="Verdana" w:cstheme="minorHAnsi"/>
        </w:rPr>
        <w:tab/>
      </w:r>
      <w:r w:rsidRPr="00D94E5D">
        <w:rPr>
          <w:rFonts w:ascii="Verdana" w:hAnsi="Verdana" w:cstheme="minorHAnsi"/>
        </w:rPr>
        <w:tab/>
      </w:r>
      <w:r w:rsidR="00971AD5" w:rsidRPr="00D94E5D">
        <w:rPr>
          <w:rFonts w:ascii="Verdana" w:hAnsi="Verdana" w:cstheme="minorHAnsi"/>
        </w:rPr>
        <w:t xml:space="preserve">Ms R </w:t>
      </w:r>
      <w:proofErr w:type="spellStart"/>
      <w:r w:rsidR="00971AD5" w:rsidRPr="00D94E5D">
        <w:rPr>
          <w:rFonts w:ascii="Verdana" w:hAnsi="Verdana" w:cstheme="minorHAnsi"/>
        </w:rPr>
        <w:t>Aoukar</w:t>
      </w:r>
      <w:proofErr w:type="spellEnd"/>
      <w:r w:rsidRPr="00D94E5D">
        <w:rPr>
          <w:rFonts w:ascii="Verdana" w:hAnsi="Verdana" w:cstheme="minorHAnsi"/>
        </w:rPr>
        <w:tab/>
      </w:r>
      <w:r w:rsidRPr="00D94E5D">
        <w:rPr>
          <w:rFonts w:ascii="Verdana" w:hAnsi="Verdana" w:cstheme="minorHAnsi"/>
        </w:rPr>
        <w:tab/>
      </w:r>
      <w:r w:rsidRPr="00D94E5D">
        <w:rPr>
          <w:rFonts w:ascii="Verdana" w:hAnsi="Verdana" w:cstheme="minorHAnsi"/>
        </w:rPr>
        <w:tab/>
        <w:t>Stokes Pretty Lawyers</w:t>
      </w:r>
    </w:p>
    <w:p w14:paraId="28D05024" w14:textId="66FF5345" w:rsidR="007B729D" w:rsidRPr="007B729D" w:rsidRDefault="007B729D" w:rsidP="007B729D">
      <w:pPr>
        <w:spacing w:after="0" w:line="240" w:lineRule="auto"/>
        <w:jc w:val="center"/>
        <w:rPr>
          <w:rFonts w:ascii="Verdana" w:hAnsi="Verdana" w:cstheme="minorHAnsi"/>
          <w:b/>
          <w:bCs/>
        </w:rPr>
      </w:pPr>
      <w:r w:rsidRPr="007B729D">
        <w:rPr>
          <w:rFonts w:ascii="Verdana" w:hAnsi="Verdana" w:cstheme="minorHAnsi"/>
          <w:b/>
          <w:bCs/>
        </w:rPr>
        <w:lastRenderedPageBreak/>
        <w:t>REASONS FOR DECISION</w:t>
      </w:r>
    </w:p>
    <w:p w14:paraId="5A9F4C5E" w14:textId="77777777" w:rsidR="007B729D" w:rsidRPr="007B729D" w:rsidRDefault="007B729D" w:rsidP="007B729D">
      <w:pPr>
        <w:spacing w:after="0" w:line="240" w:lineRule="auto"/>
        <w:rPr>
          <w:rFonts w:ascii="Verdana" w:hAnsi="Verdana" w:cstheme="minorHAnsi"/>
        </w:rPr>
      </w:pPr>
    </w:p>
    <w:p w14:paraId="0176183A" w14:textId="70AB1D63" w:rsidR="00644584" w:rsidRDefault="00971AD5" w:rsidP="003D1F4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Department of Families</w:t>
      </w:r>
      <w:r w:rsidR="00D66845" w:rsidRPr="00D94E5D">
        <w:rPr>
          <w:rFonts w:ascii="Verdana" w:hAnsi="Verdana" w:cstheme="minorHAnsi"/>
        </w:rPr>
        <w:t>,</w:t>
      </w:r>
      <w:r w:rsidRPr="00D94E5D">
        <w:rPr>
          <w:rFonts w:ascii="Verdana" w:hAnsi="Verdana" w:cstheme="minorHAnsi"/>
        </w:rPr>
        <w:t xml:space="preserve"> Fairness and Housing </w:t>
      </w:r>
      <w:r w:rsidR="003D1F49">
        <w:rPr>
          <w:rFonts w:ascii="Verdana" w:hAnsi="Verdana" w:cstheme="minorHAnsi"/>
        </w:rPr>
        <w:t xml:space="preserve">(DFFH) </w:t>
      </w:r>
      <w:r w:rsidRPr="00D94E5D">
        <w:rPr>
          <w:rFonts w:ascii="Verdana" w:hAnsi="Verdana" w:cstheme="minorHAnsi"/>
        </w:rPr>
        <w:t xml:space="preserve">issued protection applications by emergency care for </w:t>
      </w:r>
      <w:r w:rsidR="003A2F8C">
        <w:rPr>
          <w:rFonts w:ascii="Verdana" w:hAnsi="Verdana" w:cstheme="minorHAnsi"/>
        </w:rPr>
        <w:t>Maria</w:t>
      </w:r>
      <w:r w:rsidRPr="00D94E5D">
        <w:rPr>
          <w:rFonts w:ascii="Verdana" w:hAnsi="Verdana" w:cstheme="minorHAnsi"/>
        </w:rPr>
        <w:t xml:space="preserve"> and </w:t>
      </w:r>
      <w:r w:rsidR="003A2F8C">
        <w:rPr>
          <w:rFonts w:ascii="Verdana" w:hAnsi="Verdana" w:cstheme="minorHAnsi"/>
        </w:rPr>
        <w:t>Gregory</w:t>
      </w:r>
      <w:r w:rsidRPr="00D94E5D">
        <w:rPr>
          <w:rFonts w:ascii="Verdana" w:hAnsi="Verdana" w:cstheme="minorHAnsi"/>
        </w:rPr>
        <w:t xml:space="preserve"> </w:t>
      </w:r>
      <w:r w:rsidR="003A2F8C">
        <w:rPr>
          <w:rFonts w:ascii="Verdana" w:hAnsi="Verdana" w:cstheme="minorHAnsi"/>
        </w:rPr>
        <w:t>West</w:t>
      </w:r>
      <w:r w:rsidRPr="00D94E5D">
        <w:rPr>
          <w:rFonts w:ascii="Verdana" w:hAnsi="Verdana" w:cstheme="minorHAnsi"/>
        </w:rPr>
        <w:t xml:space="preserve"> on 15 March 2022.</w:t>
      </w:r>
    </w:p>
    <w:p w14:paraId="5CC854F6" w14:textId="77777777" w:rsidR="00DC4328" w:rsidRPr="00D94E5D" w:rsidRDefault="00DC4328" w:rsidP="002B5C77">
      <w:pPr>
        <w:pStyle w:val="ListParagraph"/>
        <w:spacing w:after="240" w:line="276" w:lineRule="auto"/>
        <w:ind w:left="851"/>
        <w:rPr>
          <w:rFonts w:ascii="Verdana" w:hAnsi="Verdana" w:cstheme="minorHAnsi"/>
        </w:rPr>
      </w:pPr>
    </w:p>
    <w:p w14:paraId="386C5962" w14:textId="10F0A286" w:rsidR="00971AD5" w:rsidRDefault="003A2F8C" w:rsidP="003D1F49">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Maria</w:t>
      </w:r>
      <w:r w:rsidR="00971AD5" w:rsidRPr="00D94E5D">
        <w:rPr>
          <w:rFonts w:ascii="Verdana" w:hAnsi="Verdana" w:cstheme="minorHAnsi"/>
        </w:rPr>
        <w:t xml:space="preserve"> and </w:t>
      </w:r>
      <w:r>
        <w:rPr>
          <w:rFonts w:ascii="Verdana" w:hAnsi="Verdana" w:cstheme="minorHAnsi"/>
        </w:rPr>
        <w:t>Gregory</w:t>
      </w:r>
      <w:r w:rsidR="00971AD5" w:rsidRPr="00D94E5D">
        <w:rPr>
          <w:rFonts w:ascii="Verdana" w:hAnsi="Verdana" w:cstheme="minorHAnsi"/>
        </w:rPr>
        <w:t xml:space="preserve"> are </w:t>
      </w:r>
      <w:r w:rsidR="00236E9E" w:rsidRPr="00D94E5D">
        <w:rPr>
          <w:rFonts w:ascii="Verdana" w:hAnsi="Verdana" w:cstheme="minorHAnsi"/>
        </w:rPr>
        <w:t>non-identical</w:t>
      </w:r>
      <w:r w:rsidR="00971AD5" w:rsidRPr="00D94E5D">
        <w:rPr>
          <w:rFonts w:ascii="Verdana" w:hAnsi="Verdana" w:cstheme="minorHAnsi"/>
        </w:rPr>
        <w:t xml:space="preserve"> twins, </w:t>
      </w:r>
      <w:r w:rsidR="00971AD5" w:rsidRPr="005C3439">
        <w:rPr>
          <w:rFonts w:ascii="Verdana" w:hAnsi="Verdana" w:cstheme="minorHAnsi"/>
        </w:rPr>
        <w:t xml:space="preserve">born </w:t>
      </w:r>
      <w:r w:rsidR="002B5C77" w:rsidRPr="005C3439">
        <w:rPr>
          <w:rFonts w:ascii="Verdana" w:hAnsi="Verdana" w:cstheme="minorHAnsi"/>
        </w:rPr>
        <w:t>in</w:t>
      </w:r>
      <w:r w:rsidR="00971AD5" w:rsidRPr="005C3439">
        <w:rPr>
          <w:rFonts w:ascii="Verdana" w:hAnsi="Verdana" w:cstheme="minorHAnsi"/>
        </w:rPr>
        <w:t xml:space="preserve"> January</w:t>
      </w:r>
      <w:r w:rsidR="00971AD5" w:rsidRPr="00D94E5D">
        <w:rPr>
          <w:rFonts w:ascii="Verdana" w:hAnsi="Verdana" w:cstheme="minorHAnsi"/>
        </w:rPr>
        <w:t xml:space="preserve"> 2022 by emergency caesarean section birth. The children were born preterm at 36 weeks gestation</w:t>
      </w:r>
      <w:r w:rsidR="002E3E9A" w:rsidRPr="00D94E5D">
        <w:rPr>
          <w:rFonts w:ascii="Verdana" w:hAnsi="Verdana" w:cstheme="minorHAnsi"/>
        </w:rPr>
        <w:t xml:space="preserve">. Ms </w:t>
      </w:r>
      <w:r>
        <w:rPr>
          <w:rFonts w:ascii="Verdana" w:hAnsi="Verdana" w:cstheme="minorHAnsi"/>
        </w:rPr>
        <w:t>Price</w:t>
      </w:r>
      <w:r w:rsidR="002E3E9A" w:rsidRPr="00D94E5D">
        <w:rPr>
          <w:rFonts w:ascii="Verdana" w:hAnsi="Verdana" w:cstheme="minorHAnsi"/>
        </w:rPr>
        <w:t xml:space="preserve"> entered labour spontaneously, however surgical intervention was required as the twins were in breech position.</w:t>
      </w:r>
    </w:p>
    <w:p w14:paraId="4C7EC52E" w14:textId="77777777" w:rsidR="00DC4328" w:rsidRPr="00D94E5D" w:rsidRDefault="00DC4328" w:rsidP="002B5C77">
      <w:pPr>
        <w:pStyle w:val="ListParagraph"/>
        <w:spacing w:after="240" w:line="276" w:lineRule="auto"/>
        <w:ind w:left="851"/>
        <w:rPr>
          <w:rFonts w:ascii="Verdana" w:hAnsi="Verdana" w:cstheme="minorHAnsi"/>
        </w:rPr>
      </w:pPr>
    </w:p>
    <w:p w14:paraId="255A3DF8" w14:textId="642D9A90" w:rsidR="002E3E9A" w:rsidRDefault="002E3E9A" w:rsidP="003D1F4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On 10 March 2022 the parents took the children to the Maternal and Child Health Clinic for a routine developmental check. Mr </w:t>
      </w:r>
      <w:r w:rsidR="003A2F8C">
        <w:rPr>
          <w:rFonts w:ascii="Verdana" w:hAnsi="Verdana" w:cstheme="minorHAnsi"/>
        </w:rPr>
        <w:t>West</w:t>
      </w:r>
      <w:r w:rsidRPr="00D94E5D">
        <w:rPr>
          <w:rFonts w:ascii="Verdana" w:hAnsi="Verdana" w:cstheme="minorHAnsi"/>
        </w:rPr>
        <w:t xml:space="preserve"> alerted the nurse to a red mark on </w:t>
      </w:r>
      <w:r w:rsidR="003A2F8C">
        <w:rPr>
          <w:rFonts w:ascii="Verdana" w:hAnsi="Verdana" w:cstheme="minorHAnsi"/>
        </w:rPr>
        <w:t>Gregory</w:t>
      </w:r>
      <w:r w:rsidRPr="00D94E5D">
        <w:rPr>
          <w:rFonts w:ascii="Verdana" w:hAnsi="Verdana" w:cstheme="minorHAnsi"/>
        </w:rPr>
        <w:t xml:space="preserve">’s chin, and when </w:t>
      </w:r>
      <w:r w:rsidR="003A2F8C">
        <w:rPr>
          <w:rFonts w:ascii="Verdana" w:hAnsi="Verdana" w:cstheme="minorHAnsi"/>
        </w:rPr>
        <w:t>Maria</w:t>
      </w:r>
      <w:r w:rsidRPr="00D94E5D">
        <w:rPr>
          <w:rFonts w:ascii="Verdana" w:hAnsi="Verdana" w:cstheme="minorHAnsi"/>
        </w:rPr>
        <w:t xml:space="preserve"> was undressed for weighing the </w:t>
      </w:r>
      <w:r w:rsidR="00B555AE" w:rsidRPr="00D94E5D">
        <w:rPr>
          <w:rFonts w:ascii="Verdana" w:hAnsi="Verdana" w:cstheme="minorHAnsi"/>
        </w:rPr>
        <w:t>Maternal and Child Health Nurse</w:t>
      </w:r>
      <w:r w:rsidRPr="00D94E5D">
        <w:rPr>
          <w:rFonts w:ascii="Verdana" w:hAnsi="Verdana" w:cstheme="minorHAnsi"/>
        </w:rPr>
        <w:t xml:space="preserve"> </w:t>
      </w:r>
      <w:r w:rsidR="00D66845" w:rsidRPr="00D94E5D">
        <w:rPr>
          <w:rFonts w:ascii="Verdana" w:hAnsi="Verdana" w:cstheme="minorHAnsi"/>
        </w:rPr>
        <w:t xml:space="preserve">Ms </w:t>
      </w:r>
      <w:r w:rsidR="003A2F8C">
        <w:rPr>
          <w:rFonts w:ascii="Verdana" w:hAnsi="Verdana" w:cstheme="minorHAnsi"/>
        </w:rPr>
        <w:t>Jane White</w:t>
      </w:r>
      <w:r w:rsidR="00D66845" w:rsidRPr="00D94E5D">
        <w:rPr>
          <w:rFonts w:ascii="Verdana" w:hAnsi="Verdana" w:cstheme="minorHAnsi"/>
        </w:rPr>
        <w:t xml:space="preserve"> </w:t>
      </w:r>
      <w:r w:rsidRPr="00D94E5D">
        <w:rPr>
          <w:rFonts w:ascii="Verdana" w:hAnsi="Verdana" w:cstheme="minorHAnsi"/>
        </w:rPr>
        <w:t>noticed other small mark</w:t>
      </w:r>
      <w:r w:rsidR="00554F91" w:rsidRPr="00D94E5D">
        <w:rPr>
          <w:rFonts w:ascii="Verdana" w:hAnsi="Verdana" w:cstheme="minorHAnsi"/>
        </w:rPr>
        <w:t>s</w:t>
      </w:r>
      <w:r w:rsidRPr="00D94E5D">
        <w:rPr>
          <w:rFonts w:ascii="Verdana" w:hAnsi="Verdana" w:cstheme="minorHAnsi"/>
        </w:rPr>
        <w:t xml:space="preserve"> </w:t>
      </w:r>
      <w:r w:rsidR="00554F91" w:rsidRPr="00D94E5D">
        <w:rPr>
          <w:rFonts w:ascii="Verdana" w:hAnsi="Verdana" w:cstheme="minorHAnsi"/>
        </w:rPr>
        <w:t>on</w:t>
      </w:r>
      <w:r w:rsidRPr="00D94E5D">
        <w:rPr>
          <w:rFonts w:ascii="Verdana" w:hAnsi="Verdana" w:cstheme="minorHAnsi"/>
        </w:rPr>
        <w:t xml:space="preserve"> her legs.</w:t>
      </w:r>
    </w:p>
    <w:p w14:paraId="13CAE0F2" w14:textId="77777777" w:rsidR="00DC4328" w:rsidRPr="00D94E5D" w:rsidRDefault="00DC4328" w:rsidP="003D1F49">
      <w:pPr>
        <w:pStyle w:val="ListParagraph"/>
        <w:spacing w:after="240" w:line="276" w:lineRule="auto"/>
        <w:ind w:left="851"/>
        <w:rPr>
          <w:rFonts w:ascii="Verdana" w:hAnsi="Verdana" w:cstheme="minorHAnsi"/>
        </w:rPr>
      </w:pPr>
    </w:p>
    <w:p w14:paraId="518692EC" w14:textId="4DBB8F12" w:rsidR="00554F91" w:rsidRDefault="006E45DC" w:rsidP="003D1F49">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 xml:space="preserve">Ms </w:t>
      </w:r>
      <w:r w:rsidR="003A2F8C">
        <w:rPr>
          <w:rFonts w:ascii="Verdana" w:hAnsi="Verdana" w:cstheme="minorHAnsi"/>
        </w:rPr>
        <w:t>White</w:t>
      </w:r>
      <w:r w:rsidR="00554F91" w:rsidRPr="00D94E5D">
        <w:rPr>
          <w:rFonts w:ascii="Verdana" w:hAnsi="Verdana" w:cstheme="minorHAnsi"/>
        </w:rPr>
        <w:t xml:space="preserve"> described how the father without hesitation attributed the marks to his performance of leg exercises </w:t>
      </w:r>
      <w:r w:rsidR="00C63F13">
        <w:rPr>
          <w:rFonts w:ascii="Verdana" w:hAnsi="Verdana" w:cstheme="minorHAnsi"/>
        </w:rPr>
        <w:t xml:space="preserve">to relieve wind </w:t>
      </w:r>
      <w:r w:rsidR="00554F91" w:rsidRPr="00D94E5D">
        <w:rPr>
          <w:rFonts w:ascii="Verdana" w:hAnsi="Verdana" w:cstheme="minorHAnsi"/>
        </w:rPr>
        <w:t>on the twins. She thought he was referring to exercises they had been advised to do to address talipes noticed at birth.</w:t>
      </w:r>
    </w:p>
    <w:p w14:paraId="2889751B" w14:textId="77777777" w:rsidR="00DC4328" w:rsidRPr="00DC4328" w:rsidRDefault="00DC4328" w:rsidP="003D1F49">
      <w:pPr>
        <w:pStyle w:val="ListParagraph"/>
        <w:spacing w:line="276" w:lineRule="auto"/>
        <w:ind w:left="851"/>
        <w:rPr>
          <w:rFonts w:ascii="Verdana" w:hAnsi="Verdana" w:cstheme="minorHAnsi"/>
        </w:rPr>
      </w:pPr>
    </w:p>
    <w:p w14:paraId="5D3163AC" w14:textId="6EF26E55" w:rsidR="00DC4328" w:rsidRDefault="00554F91" w:rsidP="003D1F4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Ms </w:t>
      </w:r>
      <w:r w:rsidR="003A2F8C">
        <w:rPr>
          <w:rFonts w:ascii="Verdana" w:hAnsi="Verdana" w:cstheme="minorHAnsi"/>
        </w:rPr>
        <w:t>White</w:t>
      </w:r>
      <w:r w:rsidRPr="00D94E5D">
        <w:rPr>
          <w:rFonts w:ascii="Verdana" w:hAnsi="Verdana" w:cstheme="minorHAnsi"/>
        </w:rPr>
        <w:t xml:space="preserve"> described the marks as ‘bruise like’ and </w:t>
      </w:r>
      <w:r w:rsidR="002E3E9A" w:rsidRPr="00D94E5D">
        <w:rPr>
          <w:rFonts w:ascii="Verdana" w:hAnsi="Verdana" w:cstheme="minorHAnsi"/>
        </w:rPr>
        <w:t xml:space="preserve">directed the parents to attend the Royal Children’s Hospital </w:t>
      </w:r>
      <w:r w:rsidR="00144F9F" w:rsidRPr="00D94E5D">
        <w:rPr>
          <w:rFonts w:ascii="Verdana" w:hAnsi="Verdana" w:cstheme="minorHAnsi"/>
        </w:rPr>
        <w:t xml:space="preserve">(RCH) </w:t>
      </w:r>
      <w:r w:rsidR="002E3E9A" w:rsidRPr="00D94E5D">
        <w:rPr>
          <w:rFonts w:ascii="Verdana" w:hAnsi="Verdana" w:cstheme="minorHAnsi"/>
        </w:rPr>
        <w:t xml:space="preserve">that day to have the cause </w:t>
      </w:r>
      <w:r w:rsidR="00D66845" w:rsidRPr="00D94E5D">
        <w:rPr>
          <w:rFonts w:ascii="Verdana" w:hAnsi="Verdana" w:cstheme="minorHAnsi"/>
        </w:rPr>
        <w:t xml:space="preserve">of </w:t>
      </w:r>
      <w:r w:rsidR="002E3E9A" w:rsidRPr="00D94E5D">
        <w:rPr>
          <w:rFonts w:ascii="Verdana" w:hAnsi="Verdana" w:cstheme="minorHAnsi"/>
        </w:rPr>
        <w:t>the marks medically assessed.</w:t>
      </w:r>
    </w:p>
    <w:p w14:paraId="7A53F108" w14:textId="77777777" w:rsidR="00DC4328" w:rsidRPr="00DC4328" w:rsidRDefault="00DC4328" w:rsidP="003D1F49">
      <w:pPr>
        <w:pStyle w:val="ListParagraph"/>
        <w:spacing w:line="276" w:lineRule="auto"/>
        <w:ind w:left="851"/>
        <w:rPr>
          <w:rFonts w:ascii="Verdana" w:hAnsi="Verdana" w:cstheme="minorHAnsi"/>
        </w:rPr>
      </w:pPr>
    </w:p>
    <w:p w14:paraId="08BD2905" w14:textId="641CC5B8" w:rsidR="002E3E9A" w:rsidRDefault="002E3E9A" w:rsidP="003D1F4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parents attended the RCH</w:t>
      </w:r>
      <w:r w:rsidR="006E45DC">
        <w:rPr>
          <w:rFonts w:ascii="Verdana" w:hAnsi="Verdana" w:cstheme="minorHAnsi"/>
        </w:rPr>
        <w:t xml:space="preserve"> that afternoon</w:t>
      </w:r>
      <w:r w:rsidRPr="00D94E5D">
        <w:rPr>
          <w:rFonts w:ascii="Verdana" w:hAnsi="Verdana" w:cstheme="minorHAnsi"/>
        </w:rPr>
        <w:t xml:space="preserve"> as </w:t>
      </w:r>
      <w:r w:rsidR="00811E37" w:rsidRPr="00D94E5D">
        <w:rPr>
          <w:rFonts w:ascii="Verdana" w:hAnsi="Verdana" w:cstheme="minorHAnsi"/>
        </w:rPr>
        <w:t>directed and</w:t>
      </w:r>
      <w:r w:rsidRPr="00D94E5D">
        <w:rPr>
          <w:rFonts w:ascii="Verdana" w:hAnsi="Verdana" w:cstheme="minorHAnsi"/>
        </w:rPr>
        <w:t xml:space="preserve"> consented to scans and testing to try to determine the cause.</w:t>
      </w:r>
      <w:r w:rsidR="00554F91" w:rsidRPr="00D94E5D">
        <w:rPr>
          <w:rFonts w:ascii="Verdana" w:hAnsi="Verdana" w:cstheme="minorHAnsi"/>
        </w:rPr>
        <w:t xml:space="preserve"> The children were admitted to the hospital on the afternoon of 10 March 2022. Medical imaging </w:t>
      </w:r>
      <w:r w:rsidR="00C63F13">
        <w:rPr>
          <w:rFonts w:ascii="Verdana" w:hAnsi="Verdana" w:cstheme="minorHAnsi"/>
        </w:rPr>
        <w:t>and blood tests were</w:t>
      </w:r>
      <w:r w:rsidR="00554F91" w:rsidRPr="00D94E5D">
        <w:rPr>
          <w:rFonts w:ascii="Verdana" w:hAnsi="Verdana" w:cstheme="minorHAnsi"/>
        </w:rPr>
        <w:t xml:space="preserve"> undertaken in compliance with protocols for identifying child physical abuse with the informed consent of the parents.</w:t>
      </w:r>
    </w:p>
    <w:p w14:paraId="5E482D27" w14:textId="77777777" w:rsidR="00DC4328" w:rsidRPr="00D94E5D" w:rsidRDefault="00DC4328" w:rsidP="002B5C77">
      <w:pPr>
        <w:pStyle w:val="ListParagraph"/>
        <w:spacing w:after="240" w:line="276" w:lineRule="auto"/>
        <w:ind w:left="851"/>
        <w:rPr>
          <w:rFonts w:ascii="Verdana" w:hAnsi="Verdana" w:cstheme="minorHAnsi"/>
        </w:rPr>
      </w:pPr>
    </w:p>
    <w:p w14:paraId="1DF90B07" w14:textId="59794CFC" w:rsidR="00554F91" w:rsidRDefault="00554F91" w:rsidP="003D1F4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Suspected Child Abuse </w:t>
      </w:r>
      <w:r w:rsidR="006E45DC">
        <w:rPr>
          <w:rFonts w:ascii="Verdana" w:hAnsi="Verdana" w:cstheme="minorHAnsi"/>
        </w:rPr>
        <w:t xml:space="preserve">Network </w:t>
      </w:r>
      <w:r w:rsidRPr="00D94E5D">
        <w:rPr>
          <w:rFonts w:ascii="Verdana" w:hAnsi="Verdana" w:cstheme="minorHAnsi"/>
        </w:rPr>
        <w:t xml:space="preserve">Meeting held on </w:t>
      </w:r>
      <w:r w:rsidR="00D66845" w:rsidRPr="00D94E5D">
        <w:rPr>
          <w:rFonts w:ascii="Verdana" w:hAnsi="Verdana" w:cstheme="minorHAnsi"/>
        </w:rPr>
        <w:t>1</w:t>
      </w:r>
      <w:r w:rsidRPr="00D94E5D">
        <w:rPr>
          <w:rFonts w:ascii="Verdana" w:hAnsi="Verdana" w:cstheme="minorHAnsi"/>
        </w:rPr>
        <w:t xml:space="preserve">5 March 2022 </w:t>
      </w:r>
      <w:r w:rsidR="00236E9E" w:rsidRPr="00D94E5D">
        <w:rPr>
          <w:rFonts w:ascii="Verdana" w:hAnsi="Verdana" w:cstheme="minorHAnsi"/>
        </w:rPr>
        <w:t xml:space="preserve">was </w:t>
      </w:r>
      <w:r w:rsidRPr="00D94E5D">
        <w:rPr>
          <w:rFonts w:ascii="Verdana" w:hAnsi="Verdana" w:cstheme="minorHAnsi"/>
        </w:rPr>
        <w:t xml:space="preserve">attended by a </w:t>
      </w:r>
      <w:r w:rsidR="003D1F49">
        <w:rPr>
          <w:rFonts w:ascii="Verdana" w:hAnsi="Verdana" w:cstheme="minorHAnsi"/>
        </w:rPr>
        <w:t>representative from the Victoria</w:t>
      </w:r>
      <w:r w:rsidR="006443D9">
        <w:rPr>
          <w:rFonts w:ascii="Verdana" w:hAnsi="Verdana" w:cstheme="minorHAnsi"/>
        </w:rPr>
        <w:t>n</w:t>
      </w:r>
      <w:r w:rsidR="003D1F49">
        <w:rPr>
          <w:rFonts w:ascii="Verdana" w:hAnsi="Verdana" w:cstheme="minorHAnsi"/>
        </w:rPr>
        <w:t xml:space="preserve"> Forensic Paediatric Medical Service (</w:t>
      </w:r>
      <w:r w:rsidRPr="00D94E5D">
        <w:rPr>
          <w:rFonts w:ascii="Verdana" w:hAnsi="Verdana" w:cstheme="minorHAnsi"/>
        </w:rPr>
        <w:t>VFPMS</w:t>
      </w:r>
      <w:r w:rsidR="003D1F49">
        <w:rPr>
          <w:rFonts w:ascii="Verdana" w:hAnsi="Verdana" w:cstheme="minorHAnsi"/>
        </w:rPr>
        <w:t>)</w:t>
      </w:r>
      <w:r w:rsidRPr="00D94E5D">
        <w:rPr>
          <w:rFonts w:ascii="Verdana" w:hAnsi="Verdana" w:cstheme="minorHAnsi"/>
        </w:rPr>
        <w:t>, Police representative and Child Protection representatives</w:t>
      </w:r>
      <w:r w:rsidR="00236E9E" w:rsidRPr="00D94E5D">
        <w:rPr>
          <w:rFonts w:ascii="Verdana" w:hAnsi="Verdana" w:cstheme="minorHAnsi"/>
        </w:rPr>
        <w:t xml:space="preserve">. The DFFH </w:t>
      </w:r>
      <w:r w:rsidR="00295783" w:rsidRPr="00D94E5D">
        <w:rPr>
          <w:rFonts w:ascii="Verdana" w:hAnsi="Verdana" w:cstheme="minorHAnsi"/>
        </w:rPr>
        <w:t xml:space="preserve">were informed and believed that the medical imaging performed at the RCH revealed that </w:t>
      </w:r>
      <w:r w:rsidR="00295783" w:rsidRPr="00D94E5D">
        <w:rPr>
          <w:rFonts w:ascii="Verdana" w:hAnsi="Verdana" w:cstheme="minorHAnsi"/>
          <w:i/>
          <w:iCs/>
        </w:rPr>
        <w:t>both</w:t>
      </w:r>
      <w:r w:rsidR="00295783" w:rsidRPr="00D94E5D">
        <w:rPr>
          <w:rFonts w:ascii="Verdana" w:hAnsi="Verdana" w:cstheme="minorHAnsi"/>
        </w:rPr>
        <w:t xml:space="preserve"> children had </w:t>
      </w:r>
      <w:r w:rsidR="00295783" w:rsidRPr="00D94E5D">
        <w:rPr>
          <w:rFonts w:ascii="Verdana" w:hAnsi="Verdana" w:cstheme="minorHAnsi"/>
          <w:i/>
          <w:iCs/>
        </w:rPr>
        <w:t xml:space="preserve">bilateral rib fractures and that </w:t>
      </w:r>
      <w:r w:rsidR="003A2F8C">
        <w:rPr>
          <w:rFonts w:ascii="Verdana" w:hAnsi="Verdana" w:cstheme="minorHAnsi"/>
          <w:i/>
          <w:iCs/>
        </w:rPr>
        <w:t>Gregory</w:t>
      </w:r>
      <w:r w:rsidR="00295783" w:rsidRPr="00D94E5D">
        <w:rPr>
          <w:rFonts w:ascii="Verdana" w:hAnsi="Verdana" w:cstheme="minorHAnsi"/>
          <w:i/>
          <w:iCs/>
        </w:rPr>
        <w:t xml:space="preserve"> had a possible skull </w:t>
      </w:r>
      <w:r w:rsidR="004B5704" w:rsidRPr="00D94E5D">
        <w:rPr>
          <w:rFonts w:ascii="Verdana" w:hAnsi="Verdana" w:cstheme="minorHAnsi"/>
          <w:i/>
          <w:iCs/>
        </w:rPr>
        <w:t>fracture</w:t>
      </w:r>
      <w:r w:rsidR="004B5704" w:rsidRPr="00D94E5D">
        <w:rPr>
          <w:rFonts w:ascii="Verdana" w:hAnsi="Verdana" w:cstheme="minorHAnsi"/>
        </w:rPr>
        <w:t xml:space="preserve"> and</w:t>
      </w:r>
      <w:r w:rsidRPr="00D94E5D">
        <w:rPr>
          <w:rFonts w:ascii="Verdana" w:hAnsi="Verdana" w:cstheme="minorHAnsi"/>
        </w:rPr>
        <w:t xml:space="preserve"> </w:t>
      </w:r>
      <w:r w:rsidR="00C63F13">
        <w:rPr>
          <w:rFonts w:ascii="Verdana" w:hAnsi="Verdana" w:cstheme="minorHAnsi"/>
        </w:rPr>
        <w:t xml:space="preserve">that the VFPMS clinician had </w:t>
      </w:r>
      <w:r w:rsidRPr="00D94E5D">
        <w:rPr>
          <w:rFonts w:ascii="Verdana" w:hAnsi="Verdana" w:cstheme="minorHAnsi"/>
        </w:rPr>
        <w:t>formed the view that these reported injuries were highly likely to be non-accidental.</w:t>
      </w:r>
    </w:p>
    <w:p w14:paraId="1E135044" w14:textId="77777777" w:rsidR="00DC4328" w:rsidRPr="00D94E5D" w:rsidRDefault="00DC4328" w:rsidP="002B5C77">
      <w:pPr>
        <w:pStyle w:val="ListParagraph"/>
        <w:spacing w:after="240" w:line="276" w:lineRule="auto"/>
        <w:ind w:left="851"/>
        <w:rPr>
          <w:rFonts w:ascii="Verdana" w:hAnsi="Verdana" w:cstheme="minorHAnsi"/>
        </w:rPr>
      </w:pPr>
    </w:p>
    <w:p w14:paraId="5374A1CE" w14:textId="491A065C" w:rsidR="00FF2C4F" w:rsidRDefault="00FF2C4F" w:rsidP="00F9318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DFFH were </w:t>
      </w:r>
      <w:r w:rsidR="00554F91" w:rsidRPr="00D94E5D">
        <w:rPr>
          <w:rFonts w:ascii="Verdana" w:hAnsi="Verdana" w:cstheme="minorHAnsi"/>
        </w:rPr>
        <w:t>advised</w:t>
      </w:r>
      <w:r w:rsidRPr="00D94E5D">
        <w:rPr>
          <w:rFonts w:ascii="Verdana" w:hAnsi="Verdana" w:cstheme="minorHAnsi"/>
        </w:rPr>
        <w:t xml:space="preserve"> </w:t>
      </w:r>
      <w:r w:rsidR="00C63F13">
        <w:rPr>
          <w:rFonts w:ascii="Verdana" w:hAnsi="Verdana" w:cstheme="minorHAnsi"/>
        </w:rPr>
        <w:t xml:space="preserve">by the VFPMS clinician </w:t>
      </w:r>
      <w:r w:rsidRPr="00D94E5D">
        <w:rPr>
          <w:rFonts w:ascii="Verdana" w:hAnsi="Verdana" w:cstheme="minorHAnsi"/>
        </w:rPr>
        <w:t xml:space="preserve">that significant force </w:t>
      </w:r>
      <w:r w:rsidR="00144F9F" w:rsidRPr="00D94E5D">
        <w:rPr>
          <w:rFonts w:ascii="Verdana" w:hAnsi="Verdana" w:cstheme="minorHAnsi"/>
        </w:rPr>
        <w:t xml:space="preserve">akin to a car accident </w:t>
      </w:r>
      <w:r w:rsidRPr="00D94E5D">
        <w:rPr>
          <w:rFonts w:ascii="Verdana" w:hAnsi="Verdana" w:cstheme="minorHAnsi"/>
        </w:rPr>
        <w:t xml:space="preserve">was required to produce such </w:t>
      </w:r>
      <w:r w:rsidR="00D32CC5" w:rsidRPr="00D94E5D">
        <w:rPr>
          <w:rFonts w:ascii="Verdana" w:hAnsi="Verdana" w:cstheme="minorHAnsi"/>
        </w:rPr>
        <w:t>injuries and</w:t>
      </w:r>
      <w:r w:rsidRPr="00D94E5D">
        <w:rPr>
          <w:rFonts w:ascii="Verdana" w:hAnsi="Verdana" w:cstheme="minorHAnsi"/>
        </w:rPr>
        <w:t xml:space="preserve"> were </w:t>
      </w:r>
      <w:r w:rsidR="00C63F13">
        <w:rPr>
          <w:rFonts w:ascii="Verdana" w:hAnsi="Verdana" w:cstheme="minorHAnsi"/>
        </w:rPr>
        <w:t xml:space="preserve">also </w:t>
      </w:r>
      <w:r w:rsidRPr="00D94E5D">
        <w:rPr>
          <w:rFonts w:ascii="Verdana" w:hAnsi="Verdana" w:cstheme="minorHAnsi"/>
        </w:rPr>
        <w:t xml:space="preserve">advised that the discussions </w:t>
      </w:r>
      <w:r w:rsidR="00C63F13">
        <w:rPr>
          <w:rFonts w:ascii="Verdana" w:hAnsi="Verdana" w:cstheme="minorHAnsi"/>
        </w:rPr>
        <w:t xml:space="preserve">the clinician had </w:t>
      </w:r>
      <w:r w:rsidRPr="00D94E5D">
        <w:rPr>
          <w:rFonts w:ascii="Verdana" w:hAnsi="Verdana" w:cstheme="minorHAnsi"/>
        </w:rPr>
        <w:t xml:space="preserve">with the parents had not revealed any explanation </w:t>
      </w:r>
      <w:r w:rsidR="006E45DC" w:rsidRPr="00D94E5D">
        <w:rPr>
          <w:rFonts w:ascii="Verdana" w:hAnsi="Verdana" w:cstheme="minorHAnsi"/>
        </w:rPr>
        <w:t xml:space="preserve">involving such significant force </w:t>
      </w:r>
      <w:r w:rsidRPr="00D94E5D">
        <w:rPr>
          <w:rFonts w:ascii="Verdana" w:hAnsi="Verdana" w:cstheme="minorHAnsi"/>
        </w:rPr>
        <w:t xml:space="preserve">for </w:t>
      </w:r>
      <w:r w:rsidR="006E45DC">
        <w:rPr>
          <w:rFonts w:ascii="Verdana" w:hAnsi="Verdana" w:cstheme="minorHAnsi"/>
        </w:rPr>
        <w:t xml:space="preserve">the </w:t>
      </w:r>
      <w:r w:rsidRPr="00D94E5D">
        <w:rPr>
          <w:rFonts w:ascii="Verdana" w:hAnsi="Verdana" w:cstheme="minorHAnsi"/>
        </w:rPr>
        <w:t>injuries.</w:t>
      </w:r>
    </w:p>
    <w:p w14:paraId="627DA692" w14:textId="77777777" w:rsidR="00DC4328" w:rsidRPr="00D94E5D" w:rsidRDefault="00DC4328" w:rsidP="002B5C77">
      <w:pPr>
        <w:pStyle w:val="ListParagraph"/>
        <w:spacing w:after="240" w:line="276" w:lineRule="auto"/>
        <w:ind w:left="851"/>
        <w:rPr>
          <w:rFonts w:ascii="Verdana" w:hAnsi="Verdana" w:cstheme="minorHAnsi"/>
        </w:rPr>
      </w:pPr>
    </w:p>
    <w:p w14:paraId="41939060" w14:textId="3EEE8253" w:rsidR="009A6A93" w:rsidRPr="00D94E5D" w:rsidRDefault="009A6A93" w:rsidP="00F9318B">
      <w:pPr>
        <w:pStyle w:val="ListParagraph"/>
        <w:numPr>
          <w:ilvl w:val="0"/>
          <w:numId w:val="1"/>
        </w:numPr>
        <w:spacing w:after="0" w:line="276" w:lineRule="auto"/>
        <w:ind w:left="851" w:hanging="851"/>
        <w:jc w:val="both"/>
        <w:rPr>
          <w:rFonts w:ascii="Verdana" w:hAnsi="Verdana" w:cstheme="minorHAnsi"/>
        </w:rPr>
      </w:pPr>
      <w:r w:rsidRPr="00D94E5D">
        <w:rPr>
          <w:rFonts w:ascii="Verdana" w:hAnsi="Verdana" w:cstheme="minorHAnsi"/>
        </w:rPr>
        <w:t xml:space="preserve">On the strength of this information, the DFFH </w:t>
      </w:r>
      <w:r w:rsidR="00B555AE" w:rsidRPr="00D94E5D">
        <w:rPr>
          <w:rFonts w:ascii="Verdana" w:hAnsi="Verdana" w:cstheme="minorHAnsi"/>
        </w:rPr>
        <w:t xml:space="preserve">formed a reasonable suspicion that the parents were </w:t>
      </w:r>
      <w:r w:rsidR="00C63F13">
        <w:rPr>
          <w:rFonts w:ascii="Verdana" w:hAnsi="Verdana" w:cstheme="minorHAnsi"/>
        </w:rPr>
        <w:t>potentially</w:t>
      </w:r>
      <w:r w:rsidR="00B555AE" w:rsidRPr="00D94E5D">
        <w:rPr>
          <w:rFonts w:ascii="Verdana" w:hAnsi="Verdana" w:cstheme="minorHAnsi"/>
        </w:rPr>
        <w:t xml:space="preserve"> responsible for the injuries and </w:t>
      </w:r>
      <w:r w:rsidR="00295783" w:rsidRPr="00D94E5D">
        <w:rPr>
          <w:rFonts w:ascii="Verdana" w:hAnsi="Verdana" w:cstheme="minorHAnsi"/>
        </w:rPr>
        <w:t xml:space="preserve">properly </w:t>
      </w:r>
      <w:r w:rsidRPr="00D94E5D">
        <w:rPr>
          <w:rFonts w:ascii="Verdana" w:hAnsi="Verdana" w:cstheme="minorHAnsi"/>
        </w:rPr>
        <w:t xml:space="preserve">commenced these proceedings by taking the children into </w:t>
      </w:r>
      <w:r w:rsidR="00C63F13">
        <w:rPr>
          <w:rFonts w:ascii="Verdana" w:hAnsi="Verdana" w:cstheme="minorHAnsi"/>
        </w:rPr>
        <w:t>e</w:t>
      </w:r>
      <w:r w:rsidRPr="00D94E5D">
        <w:rPr>
          <w:rFonts w:ascii="Verdana" w:hAnsi="Verdana" w:cstheme="minorHAnsi"/>
        </w:rPr>
        <w:t xml:space="preserve">mergency </w:t>
      </w:r>
      <w:r w:rsidR="00C63F13">
        <w:rPr>
          <w:rFonts w:ascii="Verdana" w:hAnsi="Verdana" w:cstheme="minorHAnsi"/>
        </w:rPr>
        <w:t>c</w:t>
      </w:r>
      <w:r w:rsidR="00811E37" w:rsidRPr="00D94E5D">
        <w:rPr>
          <w:rFonts w:ascii="Verdana" w:hAnsi="Verdana" w:cstheme="minorHAnsi"/>
        </w:rPr>
        <w:t>are and</w:t>
      </w:r>
      <w:r w:rsidRPr="00D94E5D">
        <w:rPr>
          <w:rFonts w:ascii="Verdana" w:hAnsi="Verdana" w:cstheme="minorHAnsi"/>
        </w:rPr>
        <w:t xml:space="preserve"> seeking interim orders placing them with their maternal grandparents, whilst the DFFH, RCH and Victoria Police conducted further enquiries to investigate whether other circumstances and evidence supported the hypothesis that these injuries were not accidental or medical in origin.</w:t>
      </w:r>
    </w:p>
    <w:p w14:paraId="084046F2" w14:textId="77777777" w:rsidR="00F9318B" w:rsidRPr="00F9318B" w:rsidRDefault="00F9318B" w:rsidP="00F9318B">
      <w:pPr>
        <w:spacing w:after="0" w:line="240" w:lineRule="auto"/>
        <w:ind w:left="851"/>
        <w:rPr>
          <w:rFonts w:ascii="Verdana" w:hAnsi="Verdana" w:cstheme="minorHAnsi"/>
        </w:rPr>
      </w:pPr>
    </w:p>
    <w:p w14:paraId="03BCDE64" w14:textId="7521959F" w:rsidR="0048075D" w:rsidRDefault="0048075D" w:rsidP="00F9318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twins were discharged from the </w:t>
      </w:r>
      <w:r w:rsidR="00144F9F" w:rsidRPr="00D94E5D">
        <w:rPr>
          <w:rFonts w:ascii="Verdana" w:hAnsi="Verdana" w:cstheme="minorHAnsi"/>
        </w:rPr>
        <w:t>hospital</w:t>
      </w:r>
      <w:r w:rsidRPr="00D94E5D">
        <w:rPr>
          <w:rFonts w:ascii="Verdana" w:hAnsi="Verdana" w:cstheme="minorHAnsi"/>
        </w:rPr>
        <w:t xml:space="preserve"> on 16 March 2022 into the care of their maternal grandparents on an Interim Accommodation Order</w:t>
      </w:r>
      <w:r w:rsidR="00F9318B">
        <w:rPr>
          <w:rFonts w:ascii="Verdana" w:hAnsi="Verdana" w:cstheme="minorHAnsi"/>
        </w:rPr>
        <w:t xml:space="preserve"> (IAO)</w:t>
      </w:r>
      <w:r w:rsidR="00F420D7" w:rsidRPr="00D94E5D">
        <w:rPr>
          <w:rFonts w:ascii="Verdana" w:hAnsi="Verdana" w:cstheme="minorHAnsi"/>
        </w:rPr>
        <w:t>. The parents</w:t>
      </w:r>
      <w:r w:rsidR="00D66845" w:rsidRPr="00D94E5D">
        <w:rPr>
          <w:rFonts w:ascii="Verdana" w:hAnsi="Verdana" w:cstheme="minorHAnsi"/>
        </w:rPr>
        <w:t>’</w:t>
      </w:r>
      <w:r w:rsidR="00F420D7" w:rsidRPr="00D94E5D">
        <w:rPr>
          <w:rFonts w:ascii="Verdana" w:hAnsi="Verdana" w:cstheme="minorHAnsi"/>
        </w:rPr>
        <w:t xml:space="preserve"> contact was to be supervised by the Grandparents, and they were not permitted to stay in the home overnight.</w:t>
      </w:r>
    </w:p>
    <w:p w14:paraId="110D8C5F" w14:textId="77777777" w:rsidR="00DC4328" w:rsidRPr="00D94E5D" w:rsidRDefault="00DC4328" w:rsidP="002B5C77">
      <w:pPr>
        <w:pStyle w:val="ListParagraph"/>
        <w:spacing w:after="240" w:line="276" w:lineRule="auto"/>
        <w:ind w:left="851"/>
        <w:rPr>
          <w:rFonts w:ascii="Verdana" w:hAnsi="Verdana" w:cstheme="minorHAnsi"/>
        </w:rPr>
      </w:pPr>
    </w:p>
    <w:p w14:paraId="40D43620" w14:textId="52461D61" w:rsidR="00FE04BD" w:rsidRDefault="00FE04BD" w:rsidP="00F9318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On 29 March 2022, during repeat x-rays of the twin</w:t>
      </w:r>
      <w:r w:rsidR="00D66845" w:rsidRPr="00D94E5D">
        <w:rPr>
          <w:rFonts w:ascii="Verdana" w:hAnsi="Verdana" w:cstheme="minorHAnsi"/>
        </w:rPr>
        <w:t>s</w:t>
      </w:r>
      <w:r w:rsidRPr="00D94E5D">
        <w:rPr>
          <w:rFonts w:ascii="Verdana" w:hAnsi="Verdana" w:cstheme="minorHAnsi"/>
        </w:rPr>
        <w:t xml:space="preserve">, a new fracture on </w:t>
      </w:r>
      <w:r w:rsidR="003A2F8C">
        <w:rPr>
          <w:rFonts w:ascii="Verdana" w:hAnsi="Verdana" w:cstheme="minorHAnsi"/>
        </w:rPr>
        <w:t>Maria</w:t>
      </w:r>
      <w:r w:rsidRPr="00D94E5D">
        <w:rPr>
          <w:rFonts w:ascii="Verdana" w:hAnsi="Verdana" w:cstheme="minorHAnsi"/>
        </w:rPr>
        <w:t>’s rib was identified</w:t>
      </w:r>
      <w:r w:rsidR="00007867" w:rsidRPr="00D94E5D">
        <w:rPr>
          <w:rFonts w:ascii="Verdana" w:hAnsi="Verdana" w:cstheme="minorHAnsi"/>
        </w:rPr>
        <w:t xml:space="preserve">, and the earlier </w:t>
      </w:r>
      <w:r w:rsidR="00FA3D7D" w:rsidRPr="00D94E5D">
        <w:rPr>
          <w:rFonts w:ascii="Verdana" w:hAnsi="Verdana" w:cstheme="minorHAnsi"/>
        </w:rPr>
        <w:t xml:space="preserve">bilateral </w:t>
      </w:r>
      <w:r w:rsidR="00007867" w:rsidRPr="00D94E5D">
        <w:rPr>
          <w:rFonts w:ascii="Verdana" w:hAnsi="Verdana" w:cstheme="minorHAnsi"/>
        </w:rPr>
        <w:t>fractures</w:t>
      </w:r>
      <w:r w:rsidR="00FA3D7D" w:rsidRPr="00D94E5D">
        <w:rPr>
          <w:rFonts w:ascii="Verdana" w:hAnsi="Verdana" w:cstheme="minorHAnsi"/>
        </w:rPr>
        <w:t xml:space="preserve"> reported for </w:t>
      </w:r>
      <w:r w:rsidR="003A2F8C">
        <w:rPr>
          <w:rFonts w:ascii="Verdana" w:hAnsi="Verdana" w:cstheme="minorHAnsi"/>
        </w:rPr>
        <w:t>Gregory</w:t>
      </w:r>
      <w:r w:rsidR="00FA3D7D" w:rsidRPr="00D94E5D">
        <w:rPr>
          <w:rFonts w:ascii="Verdana" w:hAnsi="Verdana" w:cstheme="minorHAnsi"/>
        </w:rPr>
        <w:t xml:space="preserve">’s </w:t>
      </w:r>
      <w:r w:rsidR="00D66845" w:rsidRPr="00D94E5D">
        <w:rPr>
          <w:rFonts w:ascii="Verdana" w:hAnsi="Verdana" w:cstheme="minorHAnsi"/>
        </w:rPr>
        <w:t xml:space="preserve">and her </w:t>
      </w:r>
      <w:r w:rsidR="00FA3D7D" w:rsidRPr="00D94E5D">
        <w:rPr>
          <w:rFonts w:ascii="Verdana" w:hAnsi="Verdana" w:cstheme="minorHAnsi"/>
        </w:rPr>
        <w:t xml:space="preserve">ribs </w:t>
      </w:r>
      <w:r w:rsidR="00007867" w:rsidRPr="00D94E5D">
        <w:rPr>
          <w:rFonts w:ascii="Verdana" w:hAnsi="Verdana" w:cstheme="minorHAnsi"/>
        </w:rPr>
        <w:t>were excluded</w:t>
      </w:r>
      <w:r w:rsidR="00FA3D7D" w:rsidRPr="00D94E5D">
        <w:rPr>
          <w:rFonts w:ascii="Verdana" w:hAnsi="Verdana" w:cstheme="minorHAnsi"/>
        </w:rPr>
        <w:t xml:space="preserve">, </w:t>
      </w:r>
      <w:r w:rsidR="00C63F13">
        <w:rPr>
          <w:rFonts w:ascii="Verdana" w:hAnsi="Verdana" w:cstheme="minorHAnsi"/>
        </w:rPr>
        <w:t>so too</w:t>
      </w:r>
      <w:r w:rsidR="00FA3D7D" w:rsidRPr="00D94E5D">
        <w:rPr>
          <w:rFonts w:ascii="Verdana" w:hAnsi="Verdana" w:cstheme="minorHAnsi"/>
        </w:rPr>
        <w:t xml:space="preserve"> was the skull fracture reported for </w:t>
      </w:r>
      <w:r w:rsidR="003A2F8C">
        <w:rPr>
          <w:rFonts w:ascii="Verdana" w:hAnsi="Verdana" w:cstheme="minorHAnsi"/>
        </w:rPr>
        <w:t>Gregory</w:t>
      </w:r>
      <w:r w:rsidR="00FA3D7D" w:rsidRPr="00D94E5D">
        <w:rPr>
          <w:rFonts w:ascii="Verdana" w:hAnsi="Verdana" w:cstheme="minorHAnsi"/>
        </w:rPr>
        <w:t xml:space="preserve">. The fracture </w:t>
      </w:r>
      <w:r w:rsidR="00D66845" w:rsidRPr="00D94E5D">
        <w:rPr>
          <w:rFonts w:ascii="Verdana" w:hAnsi="Verdana" w:cstheme="minorHAnsi"/>
        </w:rPr>
        <w:t>observed on</w:t>
      </w:r>
      <w:r w:rsidR="00FA3D7D" w:rsidRPr="00D94E5D">
        <w:rPr>
          <w:rFonts w:ascii="Verdana" w:hAnsi="Verdana" w:cstheme="minorHAnsi"/>
        </w:rPr>
        <w:t xml:space="preserve"> </w:t>
      </w:r>
      <w:r w:rsidR="003A2F8C">
        <w:rPr>
          <w:rFonts w:ascii="Verdana" w:hAnsi="Verdana" w:cstheme="minorHAnsi"/>
        </w:rPr>
        <w:t>Gregory</w:t>
      </w:r>
      <w:r w:rsidR="00FA3D7D" w:rsidRPr="00D94E5D">
        <w:rPr>
          <w:rFonts w:ascii="Verdana" w:hAnsi="Verdana" w:cstheme="minorHAnsi"/>
        </w:rPr>
        <w:t xml:space="preserve"> was present on the imaging taken on 11 March, and there was no fracture on </w:t>
      </w:r>
      <w:r w:rsidR="003A2F8C">
        <w:rPr>
          <w:rFonts w:ascii="Verdana" w:hAnsi="Verdana" w:cstheme="minorHAnsi"/>
        </w:rPr>
        <w:t>Maria</w:t>
      </w:r>
      <w:r w:rsidR="00FA3D7D" w:rsidRPr="00D94E5D">
        <w:rPr>
          <w:rFonts w:ascii="Verdana" w:hAnsi="Verdana" w:cstheme="minorHAnsi"/>
        </w:rPr>
        <w:t xml:space="preserve"> until the imaging of 29 March 2022.</w:t>
      </w:r>
    </w:p>
    <w:p w14:paraId="703AE4C7" w14:textId="77777777" w:rsidR="00DC4328" w:rsidRPr="00DC4328" w:rsidRDefault="00DC4328" w:rsidP="00F9318B">
      <w:pPr>
        <w:pStyle w:val="ListParagraph"/>
        <w:spacing w:line="276" w:lineRule="auto"/>
        <w:ind w:left="851"/>
        <w:rPr>
          <w:rFonts w:ascii="Verdana" w:hAnsi="Verdana" w:cstheme="minorHAnsi"/>
        </w:rPr>
      </w:pPr>
    </w:p>
    <w:p w14:paraId="50EBB07A" w14:textId="23710F55" w:rsidR="00007867" w:rsidRDefault="00007867" w:rsidP="00F9318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DFFH were made aware of these </w:t>
      </w:r>
      <w:r w:rsidR="00F34581" w:rsidRPr="00D94E5D">
        <w:rPr>
          <w:rFonts w:ascii="Verdana" w:hAnsi="Verdana" w:cstheme="minorHAnsi"/>
        </w:rPr>
        <w:t xml:space="preserve">findings </w:t>
      </w:r>
      <w:r w:rsidR="00B938E7" w:rsidRPr="00D94E5D">
        <w:rPr>
          <w:rFonts w:ascii="Verdana" w:hAnsi="Verdana" w:cstheme="minorHAnsi"/>
        </w:rPr>
        <w:t>on 8 April 2022</w:t>
      </w:r>
      <w:r w:rsidR="00F9318B">
        <w:rPr>
          <w:rFonts w:ascii="Verdana" w:hAnsi="Verdana" w:cstheme="minorHAnsi"/>
        </w:rPr>
        <w:t>. They</w:t>
      </w:r>
      <w:r w:rsidRPr="00D94E5D">
        <w:rPr>
          <w:rFonts w:ascii="Verdana" w:hAnsi="Verdana" w:cstheme="minorHAnsi"/>
        </w:rPr>
        <w:t xml:space="preserve"> commenced proceedings alleging Breach of the IAO by emergency </w:t>
      </w:r>
      <w:r w:rsidR="00811E37" w:rsidRPr="00D94E5D">
        <w:rPr>
          <w:rFonts w:ascii="Verdana" w:hAnsi="Verdana" w:cstheme="minorHAnsi"/>
        </w:rPr>
        <w:t>care</w:t>
      </w:r>
      <w:r w:rsidR="00F9318B">
        <w:rPr>
          <w:rFonts w:ascii="Verdana" w:hAnsi="Verdana" w:cstheme="minorHAnsi"/>
        </w:rPr>
        <w:t>,</w:t>
      </w:r>
      <w:r w:rsidRPr="00D94E5D">
        <w:rPr>
          <w:rFonts w:ascii="Verdana" w:hAnsi="Verdana" w:cstheme="minorHAnsi"/>
        </w:rPr>
        <w:t xml:space="preserve"> removed the children from the care of the maternal grandparents, placed them with the </w:t>
      </w:r>
      <w:r w:rsidR="00F9318B">
        <w:rPr>
          <w:rFonts w:ascii="Verdana" w:hAnsi="Verdana" w:cstheme="minorHAnsi"/>
        </w:rPr>
        <w:t>p</w:t>
      </w:r>
      <w:r w:rsidRPr="00D94E5D">
        <w:rPr>
          <w:rFonts w:ascii="Verdana" w:hAnsi="Verdana" w:cstheme="minorHAnsi"/>
        </w:rPr>
        <w:t xml:space="preserve">aternal </w:t>
      </w:r>
      <w:r w:rsidR="00F9318B">
        <w:rPr>
          <w:rFonts w:ascii="Verdana" w:hAnsi="Verdana" w:cstheme="minorHAnsi"/>
        </w:rPr>
        <w:t>g</w:t>
      </w:r>
      <w:r w:rsidRPr="00D94E5D">
        <w:rPr>
          <w:rFonts w:ascii="Verdana" w:hAnsi="Verdana" w:cstheme="minorHAnsi"/>
        </w:rPr>
        <w:t xml:space="preserve">randmother, and excluded the mother, who was breastfeeding the children, and father from having </w:t>
      </w:r>
      <w:r w:rsidRPr="00D94E5D">
        <w:rPr>
          <w:rFonts w:ascii="Verdana" w:hAnsi="Verdana" w:cstheme="minorHAnsi"/>
          <w:i/>
          <w:iCs/>
        </w:rPr>
        <w:t>any contact</w:t>
      </w:r>
      <w:r w:rsidRPr="00D94E5D">
        <w:rPr>
          <w:rFonts w:ascii="Verdana" w:hAnsi="Verdana" w:cstheme="minorHAnsi"/>
        </w:rPr>
        <w:t xml:space="preserve"> until the matter was returned to Court.</w:t>
      </w:r>
    </w:p>
    <w:p w14:paraId="6F46E0E8" w14:textId="77777777" w:rsidR="00DC4328" w:rsidRPr="00DC4328" w:rsidRDefault="00DC4328" w:rsidP="00F9318B">
      <w:pPr>
        <w:pStyle w:val="ListParagraph"/>
        <w:spacing w:line="276" w:lineRule="auto"/>
        <w:ind w:left="851"/>
        <w:rPr>
          <w:rFonts w:ascii="Verdana" w:hAnsi="Verdana" w:cstheme="minorHAnsi"/>
        </w:rPr>
      </w:pPr>
    </w:p>
    <w:p w14:paraId="25186CFD" w14:textId="1918C09F" w:rsidR="00B938E7" w:rsidRPr="006E45DC" w:rsidRDefault="00B938E7" w:rsidP="00F9318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breach application was heard by the Court on 11 April 2022. By the time of the hearing, the parents had arranged a consultation and examination of the twin</w:t>
      </w:r>
      <w:r w:rsidR="00C63F13">
        <w:rPr>
          <w:rFonts w:ascii="Verdana" w:hAnsi="Verdana" w:cstheme="minorHAnsi"/>
        </w:rPr>
        <w:t>s</w:t>
      </w:r>
      <w:r w:rsidRPr="00D94E5D">
        <w:rPr>
          <w:rFonts w:ascii="Verdana" w:hAnsi="Verdana" w:cstheme="minorHAnsi"/>
        </w:rPr>
        <w:t xml:space="preserve"> by Professor </w:t>
      </w:r>
      <w:r w:rsidR="003A2F8C">
        <w:rPr>
          <w:rFonts w:ascii="Verdana" w:hAnsi="Verdana" w:cstheme="minorHAnsi"/>
        </w:rPr>
        <w:t>AN</w:t>
      </w:r>
      <w:r w:rsidRPr="00D94E5D">
        <w:rPr>
          <w:rFonts w:ascii="Verdana" w:hAnsi="Verdana" w:cstheme="minorHAnsi"/>
        </w:rPr>
        <w:t>, who provided a letter to the Court indicating her concern</w:t>
      </w:r>
      <w:r w:rsidR="00C63F13">
        <w:rPr>
          <w:rFonts w:ascii="Verdana" w:hAnsi="Verdana" w:cstheme="minorHAnsi"/>
        </w:rPr>
        <w:t>s</w:t>
      </w:r>
      <w:r w:rsidRPr="00D94E5D">
        <w:rPr>
          <w:rFonts w:ascii="Verdana" w:hAnsi="Verdana" w:cstheme="minorHAnsi"/>
        </w:rPr>
        <w:t xml:space="preserve"> that the twins both showed signs of bone fragility.</w:t>
      </w:r>
      <w:r w:rsidR="00C63F13">
        <w:rPr>
          <w:rStyle w:val="FootnoteReference"/>
          <w:rFonts w:ascii="Verdana" w:hAnsi="Verdana" w:cstheme="minorHAnsi"/>
        </w:rPr>
        <w:footnoteReference w:id="1"/>
      </w:r>
      <w:r w:rsidR="006E45DC">
        <w:rPr>
          <w:rFonts w:ascii="Verdana" w:hAnsi="Verdana" w:cstheme="minorHAnsi"/>
        </w:rPr>
        <w:t xml:space="preserve"> Noting the potential medical explanation, t</w:t>
      </w:r>
      <w:r w:rsidRPr="006E45DC">
        <w:rPr>
          <w:rFonts w:ascii="Verdana" w:hAnsi="Verdana" w:cstheme="minorHAnsi"/>
        </w:rPr>
        <w:t xml:space="preserve">he Court returned the children to the care of the maternal </w:t>
      </w:r>
      <w:r w:rsidR="00C70107" w:rsidRPr="006E45DC">
        <w:rPr>
          <w:rFonts w:ascii="Verdana" w:hAnsi="Verdana" w:cstheme="minorHAnsi"/>
        </w:rPr>
        <w:t>grandparents and</w:t>
      </w:r>
      <w:r w:rsidRPr="006E45DC">
        <w:rPr>
          <w:rFonts w:ascii="Verdana" w:hAnsi="Verdana" w:cstheme="minorHAnsi"/>
        </w:rPr>
        <w:t xml:space="preserve"> varied the parental contact condition to allow them to reside in the home under the full supervision of the maternal grandparents. This order remained the same until the final contest was adjourned part heard, where it was varied by consent to progress </w:t>
      </w:r>
      <w:r w:rsidR="00554F91" w:rsidRPr="006E45DC">
        <w:rPr>
          <w:rFonts w:ascii="Verdana" w:hAnsi="Verdana" w:cstheme="minorHAnsi"/>
        </w:rPr>
        <w:t>t</w:t>
      </w:r>
      <w:r w:rsidRPr="006E45DC">
        <w:rPr>
          <w:rFonts w:ascii="Verdana" w:hAnsi="Verdana" w:cstheme="minorHAnsi"/>
        </w:rPr>
        <w:t>he parents</w:t>
      </w:r>
      <w:r w:rsidR="00D66845" w:rsidRPr="006E45DC">
        <w:rPr>
          <w:rFonts w:ascii="Verdana" w:hAnsi="Verdana" w:cstheme="minorHAnsi"/>
        </w:rPr>
        <w:t>’</w:t>
      </w:r>
      <w:r w:rsidRPr="006E45DC">
        <w:rPr>
          <w:rFonts w:ascii="Verdana" w:hAnsi="Verdana" w:cstheme="minorHAnsi"/>
        </w:rPr>
        <w:t xml:space="preserve"> contact to monitored</w:t>
      </w:r>
      <w:r w:rsidR="00C70107" w:rsidRPr="006E45DC">
        <w:rPr>
          <w:rFonts w:ascii="Verdana" w:hAnsi="Verdana" w:cstheme="minorHAnsi"/>
        </w:rPr>
        <w:t xml:space="preserve"> in some circumstances.</w:t>
      </w:r>
    </w:p>
    <w:p w14:paraId="7CF23095" w14:textId="77777777" w:rsidR="00DC4328" w:rsidRPr="00D94E5D" w:rsidRDefault="00DC4328" w:rsidP="002B5C77">
      <w:pPr>
        <w:pStyle w:val="ListParagraph"/>
        <w:spacing w:after="240" w:line="276" w:lineRule="auto"/>
        <w:ind w:left="851"/>
        <w:rPr>
          <w:rFonts w:ascii="Verdana" w:hAnsi="Verdana" w:cstheme="minorHAnsi"/>
        </w:rPr>
      </w:pPr>
    </w:p>
    <w:p w14:paraId="37ACE469" w14:textId="675FE01F" w:rsidR="00295783" w:rsidRDefault="00295783" w:rsidP="00F9318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lastRenderedPageBreak/>
        <w:t xml:space="preserve">At the time of issuing the Protection Application, the DFFH asserted that the twins </w:t>
      </w:r>
      <w:proofErr w:type="gramStart"/>
      <w:r w:rsidRPr="00D94E5D">
        <w:rPr>
          <w:rFonts w:ascii="Verdana" w:hAnsi="Verdana" w:cstheme="minorHAnsi"/>
        </w:rPr>
        <w:t>were in need of</w:t>
      </w:r>
      <w:proofErr w:type="gramEnd"/>
      <w:r w:rsidRPr="00D94E5D">
        <w:rPr>
          <w:rFonts w:ascii="Verdana" w:hAnsi="Verdana" w:cstheme="minorHAnsi"/>
        </w:rPr>
        <w:t xml:space="preserve"> protection under s.162(1)(c)</w:t>
      </w:r>
      <w:r w:rsidR="006E45DC">
        <w:rPr>
          <w:rFonts w:ascii="Verdana" w:hAnsi="Verdana" w:cstheme="minorHAnsi"/>
        </w:rPr>
        <w:t xml:space="preserve"> </w:t>
      </w:r>
      <w:r w:rsidRPr="00D94E5D">
        <w:rPr>
          <w:rFonts w:ascii="Verdana" w:hAnsi="Verdana" w:cstheme="minorHAnsi"/>
        </w:rPr>
        <w:t>and(e) of the Children</w:t>
      </w:r>
      <w:r w:rsidR="00D66845" w:rsidRPr="00D94E5D">
        <w:rPr>
          <w:rFonts w:ascii="Verdana" w:hAnsi="Verdana" w:cstheme="minorHAnsi"/>
        </w:rPr>
        <w:t>,</w:t>
      </w:r>
      <w:r w:rsidRPr="00D94E5D">
        <w:rPr>
          <w:rFonts w:ascii="Verdana" w:hAnsi="Verdana" w:cstheme="minorHAnsi"/>
        </w:rPr>
        <w:t xml:space="preserve"> Youth and Families Act</w:t>
      </w:r>
      <w:r w:rsidR="00D66845" w:rsidRPr="00D94E5D">
        <w:rPr>
          <w:rFonts w:ascii="Verdana" w:hAnsi="Verdana" w:cstheme="minorHAnsi"/>
        </w:rPr>
        <w:t xml:space="preserve"> 2005</w:t>
      </w:r>
      <w:r w:rsidRPr="00D94E5D">
        <w:rPr>
          <w:rFonts w:ascii="Verdana" w:hAnsi="Verdana" w:cstheme="minorHAnsi"/>
        </w:rPr>
        <w:t>.</w:t>
      </w:r>
    </w:p>
    <w:p w14:paraId="69D7070A" w14:textId="77777777" w:rsidR="00DC4328" w:rsidRPr="00D94E5D" w:rsidRDefault="00DC4328" w:rsidP="002B5C77">
      <w:pPr>
        <w:pStyle w:val="ListParagraph"/>
        <w:spacing w:after="240" w:line="276" w:lineRule="auto"/>
        <w:ind w:left="851"/>
        <w:rPr>
          <w:rFonts w:ascii="Verdana" w:hAnsi="Verdana" w:cstheme="minorHAnsi"/>
        </w:rPr>
      </w:pPr>
    </w:p>
    <w:p w14:paraId="7EC35680" w14:textId="48AB22FD" w:rsidR="00295783" w:rsidRDefault="00295783"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When this final contested hearing commenced, the DFFH sought proof of the protection application on both original grounds assert</w:t>
      </w:r>
      <w:r w:rsidR="006E45DC">
        <w:rPr>
          <w:rFonts w:ascii="Verdana" w:hAnsi="Verdana" w:cstheme="minorHAnsi"/>
        </w:rPr>
        <w:t>ing</w:t>
      </w:r>
      <w:r w:rsidRPr="00D94E5D">
        <w:rPr>
          <w:rFonts w:ascii="Verdana" w:hAnsi="Verdana" w:cstheme="minorHAnsi"/>
        </w:rPr>
        <w:t xml:space="preserve"> that a permanent non</w:t>
      </w:r>
      <w:r w:rsidR="00530E97" w:rsidRPr="00D94E5D">
        <w:rPr>
          <w:rFonts w:ascii="Verdana" w:hAnsi="Verdana" w:cstheme="minorHAnsi"/>
        </w:rPr>
        <w:t>-</w:t>
      </w:r>
      <w:r w:rsidRPr="00D94E5D">
        <w:rPr>
          <w:rFonts w:ascii="Verdana" w:hAnsi="Verdana" w:cstheme="minorHAnsi"/>
        </w:rPr>
        <w:t xml:space="preserve">reunification case plan was the only way to provide safety for the </w:t>
      </w:r>
      <w:r w:rsidR="006E45DC" w:rsidRPr="00D94E5D">
        <w:rPr>
          <w:rFonts w:ascii="Verdana" w:hAnsi="Verdana" w:cstheme="minorHAnsi"/>
        </w:rPr>
        <w:t>twins</w:t>
      </w:r>
      <w:r w:rsidR="006E45DC">
        <w:rPr>
          <w:rFonts w:ascii="Verdana" w:hAnsi="Verdana" w:cstheme="minorHAnsi"/>
        </w:rPr>
        <w:t xml:space="preserve"> and sought that the </w:t>
      </w:r>
      <w:r w:rsidR="006443D9">
        <w:rPr>
          <w:rFonts w:ascii="Verdana" w:hAnsi="Verdana" w:cstheme="minorHAnsi"/>
        </w:rPr>
        <w:t>C</w:t>
      </w:r>
      <w:r w:rsidR="006E45DC">
        <w:rPr>
          <w:rFonts w:ascii="Verdana" w:hAnsi="Verdana" w:cstheme="minorHAnsi"/>
        </w:rPr>
        <w:t>ourt make care by Secretary order</w:t>
      </w:r>
      <w:r w:rsidR="006443D9">
        <w:rPr>
          <w:rFonts w:ascii="Verdana" w:hAnsi="Verdana" w:cstheme="minorHAnsi"/>
        </w:rPr>
        <w:t>s</w:t>
      </w:r>
      <w:r w:rsidRPr="00D94E5D">
        <w:rPr>
          <w:rFonts w:ascii="Verdana" w:hAnsi="Verdana" w:cstheme="minorHAnsi"/>
        </w:rPr>
        <w:t xml:space="preserve">. </w:t>
      </w:r>
    </w:p>
    <w:p w14:paraId="4681335B" w14:textId="77777777" w:rsidR="00DC4328" w:rsidRPr="00D94E5D" w:rsidRDefault="00DC4328" w:rsidP="002B5C77">
      <w:pPr>
        <w:pStyle w:val="ListParagraph"/>
        <w:spacing w:after="240" w:line="276" w:lineRule="auto"/>
        <w:ind w:left="851"/>
        <w:rPr>
          <w:rFonts w:ascii="Verdana" w:hAnsi="Verdana" w:cstheme="minorHAnsi"/>
        </w:rPr>
      </w:pPr>
    </w:p>
    <w:p w14:paraId="26DA5BD8" w14:textId="659BFB47" w:rsidR="00295783" w:rsidRDefault="00295783"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parents were united in seeking that the protection application be dismissed for want of evidence supporting proof on either ground.</w:t>
      </w:r>
    </w:p>
    <w:p w14:paraId="292CD909" w14:textId="77777777" w:rsidR="00DC4328" w:rsidRPr="00DC4328" w:rsidRDefault="00DC4328" w:rsidP="006443D9">
      <w:pPr>
        <w:pStyle w:val="ListParagraph"/>
        <w:spacing w:line="276" w:lineRule="auto"/>
        <w:ind w:left="851"/>
        <w:rPr>
          <w:rFonts w:ascii="Verdana" w:hAnsi="Verdana" w:cstheme="minorHAnsi"/>
        </w:rPr>
      </w:pPr>
    </w:p>
    <w:p w14:paraId="22024450" w14:textId="053EE8E8" w:rsidR="00295783" w:rsidRDefault="00295783"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At the conclusion of the evidence, the DFFH sought proof of the protection application </w:t>
      </w:r>
      <w:r w:rsidR="00236E9E" w:rsidRPr="00D94E5D">
        <w:rPr>
          <w:rFonts w:ascii="Verdana" w:hAnsi="Verdana" w:cstheme="minorHAnsi"/>
        </w:rPr>
        <w:t>of</w:t>
      </w:r>
      <w:r w:rsidRPr="00D94E5D">
        <w:rPr>
          <w:rFonts w:ascii="Verdana" w:hAnsi="Verdana" w:cstheme="minorHAnsi"/>
        </w:rPr>
        <w:t xml:space="preserve"> ground </w:t>
      </w:r>
      <w:r w:rsidR="00A61382" w:rsidRPr="00D94E5D">
        <w:rPr>
          <w:rFonts w:ascii="Verdana" w:hAnsi="Verdana" w:cstheme="minorHAnsi"/>
        </w:rPr>
        <w:t xml:space="preserve">(c) actual harm and ground (e) likely </w:t>
      </w:r>
      <w:r w:rsidR="00236E9E" w:rsidRPr="00D94E5D">
        <w:rPr>
          <w:rFonts w:ascii="Verdana" w:hAnsi="Verdana" w:cstheme="minorHAnsi"/>
        </w:rPr>
        <w:t>harm and</w:t>
      </w:r>
      <w:r w:rsidRPr="00D94E5D">
        <w:rPr>
          <w:rFonts w:ascii="Verdana" w:hAnsi="Verdana" w:cstheme="minorHAnsi"/>
        </w:rPr>
        <w:t xml:space="preserve"> had changed their recommended disposition to a Family Reunification Order until 15 March 2023. The parents remained of the view that the evidence did not support a finding of proof.</w:t>
      </w:r>
    </w:p>
    <w:p w14:paraId="2E372D3A" w14:textId="77777777" w:rsidR="006E45DC" w:rsidRPr="006E45DC" w:rsidRDefault="006E45DC" w:rsidP="006443D9">
      <w:pPr>
        <w:pStyle w:val="ListParagraph"/>
        <w:spacing w:line="276" w:lineRule="auto"/>
        <w:ind w:left="851"/>
        <w:rPr>
          <w:rFonts w:ascii="Verdana" w:hAnsi="Verdana" w:cstheme="minorHAnsi"/>
        </w:rPr>
      </w:pPr>
    </w:p>
    <w:p w14:paraId="46917986" w14:textId="4C511828" w:rsidR="00FA3D7D" w:rsidRPr="00D94E5D" w:rsidRDefault="00FA3D7D"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Subsequently in submissions filed on behalf of the Secretary on 4 November 2022, the Court was invited to ‘strike out’ the Secretary’s application for proof of the application on s.162(1)(e).</w:t>
      </w:r>
    </w:p>
    <w:p w14:paraId="5F47666C" w14:textId="0D96FECB" w:rsidR="00C70107" w:rsidRPr="000836A3" w:rsidRDefault="00DD20AF" w:rsidP="006443D9">
      <w:pPr>
        <w:spacing w:after="240" w:line="276" w:lineRule="auto"/>
        <w:ind w:left="851" w:hanging="851"/>
        <w:rPr>
          <w:rFonts w:ascii="Verdana" w:hAnsi="Verdana" w:cstheme="minorHAnsi"/>
          <w:b/>
          <w:bCs/>
        </w:rPr>
      </w:pPr>
      <w:r w:rsidRPr="000836A3">
        <w:rPr>
          <w:rFonts w:ascii="Verdana" w:hAnsi="Verdana" w:cstheme="minorHAnsi"/>
          <w:b/>
          <w:bCs/>
        </w:rPr>
        <w:t>MEDICAL EXPERT WITNESSES</w:t>
      </w:r>
    </w:p>
    <w:p w14:paraId="2C53DC7F" w14:textId="3BAE0D53" w:rsidR="00C70107" w:rsidRDefault="00C70107"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I heard evidence from multiple medical witnesses regarding the marks and </w:t>
      </w:r>
      <w:r w:rsidR="001A2EFA" w:rsidRPr="00D94E5D">
        <w:rPr>
          <w:rFonts w:ascii="Verdana" w:hAnsi="Verdana" w:cstheme="minorHAnsi"/>
        </w:rPr>
        <w:t>single fracture to each child.</w:t>
      </w:r>
    </w:p>
    <w:p w14:paraId="1F41F150" w14:textId="77777777" w:rsidR="00DC4328" w:rsidRPr="00D94E5D" w:rsidRDefault="00DC4328" w:rsidP="002B5C77">
      <w:pPr>
        <w:pStyle w:val="ListParagraph"/>
        <w:spacing w:after="240" w:line="276" w:lineRule="auto"/>
        <w:ind w:left="851"/>
        <w:rPr>
          <w:rFonts w:ascii="Verdana" w:hAnsi="Verdana" w:cstheme="minorHAnsi"/>
        </w:rPr>
      </w:pPr>
    </w:p>
    <w:p w14:paraId="2F7F26B6" w14:textId="142B5898" w:rsidR="001A2EFA" w:rsidRDefault="001A2EFA"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Dr </w:t>
      </w:r>
      <w:r w:rsidR="003A2F8C">
        <w:rPr>
          <w:rFonts w:ascii="Verdana" w:hAnsi="Verdana" w:cstheme="minorHAnsi"/>
        </w:rPr>
        <w:t>MC</w:t>
      </w:r>
      <w:r w:rsidRPr="00D94E5D">
        <w:rPr>
          <w:rFonts w:ascii="Verdana" w:hAnsi="Verdana" w:cstheme="minorHAnsi"/>
        </w:rPr>
        <w:t>, paediatric radiologist</w:t>
      </w:r>
      <w:r w:rsidR="00530E97" w:rsidRPr="00D94E5D">
        <w:rPr>
          <w:rFonts w:ascii="Verdana" w:hAnsi="Verdana" w:cstheme="minorHAnsi"/>
        </w:rPr>
        <w:t>,</w:t>
      </w:r>
      <w:r w:rsidRPr="00D94E5D">
        <w:rPr>
          <w:rFonts w:ascii="Verdana" w:hAnsi="Verdana" w:cstheme="minorHAnsi"/>
        </w:rPr>
        <w:t xml:space="preserve"> and current Vice President of the World Federation of Paediatric Imaging</w:t>
      </w:r>
      <w:r w:rsidRPr="00D94E5D">
        <w:rPr>
          <w:rStyle w:val="FootnoteReference"/>
          <w:rFonts w:ascii="Verdana" w:hAnsi="Verdana" w:cstheme="minorHAnsi"/>
        </w:rPr>
        <w:footnoteReference w:id="2"/>
      </w:r>
      <w:r w:rsidR="00530E97" w:rsidRPr="00D94E5D">
        <w:rPr>
          <w:rFonts w:ascii="Verdana" w:hAnsi="Verdana" w:cstheme="minorHAnsi"/>
        </w:rPr>
        <w:t xml:space="preserve">, </w:t>
      </w:r>
      <w:r w:rsidRPr="00D94E5D">
        <w:rPr>
          <w:rFonts w:ascii="Verdana" w:hAnsi="Verdana" w:cstheme="minorHAnsi"/>
        </w:rPr>
        <w:t>gave evidence of his review of the medical imaging findings for each child taken on 11 March and 29 March 2022.</w:t>
      </w:r>
    </w:p>
    <w:p w14:paraId="1009943C" w14:textId="77777777" w:rsidR="00DC4328" w:rsidRPr="00DC4328" w:rsidRDefault="00DC4328" w:rsidP="006443D9">
      <w:pPr>
        <w:pStyle w:val="ListParagraph"/>
        <w:spacing w:line="276" w:lineRule="auto"/>
        <w:ind w:left="851"/>
        <w:jc w:val="both"/>
        <w:rPr>
          <w:rFonts w:ascii="Verdana" w:hAnsi="Verdana" w:cstheme="minorHAnsi"/>
        </w:rPr>
      </w:pPr>
    </w:p>
    <w:p w14:paraId="24FB3663" w14:textId="16067DE8" w:rsidR="001A2EFA" w:rsidRDefault="001A2EFA" w:rsidP="002B5C77">
      <w:pPr>
        <w:pStyle w:val="ListParagraph"/>
        <w:numPr>
          <w:ilvl w:val="0"/>
          <w:numId w:val="1"/>
        </w:numPr>
        <w:spacing w:after="240" w:line="276" w:lineRule="auto"/>
        <w:ind w:left="851" w:hanging="851"/>
        <w:rPr>
          <w:rFonts w:ascii="Verdana" w:hAnsi="Verdana" w:cstheme="minorHAnsi"/>
        </w:rPr>
      </w:pPr>
      <w:r w:rsidRPr="00D94E5D">
        <w:rPr>
          <w:rFonts w:ascii="Verdana" w:hAnsi="Verdana" w:cstheme="minorHAnsi"/>
        </w:rPr>
        <w:t xml:space="preserve">Associate Professor </w:t>
      </w:r>
      <w:r w:rsidR="003A2F8C">
        <w:rPr>
          <w:rFonts w:ascii="Verdana" w:hAnsi="Verdana" w:cstheme="minorHAnsi"/>
        </w:rPr>
        <w:t>HS</w:t>
      </w:r>
      <w:r w:rsidRPr="00D94E5D">
        <w:rPr>
          <w:rFonts w:ascii="Verdana" w:hAnsi="Verdana" w:cstheme="minorHAnsi"/>
        </w:rPr>
        <w:t>, Paediatric Haematologist</w:t>
      </w:r>
      <w:r w:rsidR="00530E97" w:rsidRPr="00D94E5D">
        <w:rPr>
          <w:rFonts w:ascii="Verdana" w:hAnsi="Verdana" w:cstheme="minorHAnsi"/>
        </w:rPr>
        <w:t>,</w:t>
      </w:r>
      <w:r w:rsidRPr="00D94E5D">
        <w:rPr>
          <w:rFonts w:ascii="Verdana" w:hAnsi="Verdana" w:cstheme="minorHAnsi"/>
        </w:rPr>
        <w:t xml:space="preserve"> gave evidence about the blood test investigations undertaken on each child to exclude known blood disorders. </w:t>
      </w:r>
    </w:p>
    <w:p w14:paraId="5A76D297" w14:textId="77777777" w:rsidR="00DC4328" w:rsidRPr="00DC4328" w:rsidRDefault="00DC4328" w:rsidP="006443D9">
      <w:pPr>
        <w:pStyle w:val="ListParagraph"/>
        <w:spacing w:line="276" w:lineRule="auto"/>
        <w:ind w:left="851"/>
        <w:rPr>
          <w:rFonts w:ascii="Verdana" w:hAnsi="Verdana" w:cstheme="minorHAnsi"/>
        </w:rPr>
      </w:pPr>
    </w:p>
    <w:p w14:paraId="4C091B1A" w14:textId="6DFC3D51" w:rsidR="002A51BB" w:rsidRDefault="002A51BB"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Professor </w:t>
      </w:r>
      <w:r w:rsidR="003A2F8C">
        <w:rPr>
          <w:rFonts w:ascii="Verdana" w:hAnsi="Verdana" w:cstheme="minorHAnsi"/>
        </w:rPr>
        <w:t>AN</w:t>
      </w:r>
      <w:r w:rsidR="006443D9">
        <w:rPr>
          <w:rFonts w:ascii="Verdana" w:hAnsi="Verdana" w:cstheme="minorHAnsi"/>
        </w:rPr>
        <w:t>,</w:t>
      </w:r>
      <w:r w:rsidRPr="00D94E5D">
        <w:rPr>
          <w:rFonts w:ascii="Verdana" w:hAnsi="Verdana" w:cstheme="minorHAnsi"/>
        </w:rPr>
        <w:t xml:space="preserve"> a paediatric endocrinologist of 32 </w:t>
      </w:r>
      <w:r w:rsidR="004D699C" w:rsidRPr="00D94E5D">
        <w:rPr>
          <w:rFonts w:ascii="Verdana" w:hAnsi="Verdana" w:cstheme="minorHAnsi"/>
        </w:rPr>
        <w:t>years’ experience</w:t>
      </w:r>
      <w:r w:rsidR="00530E97" w:rsidRPr="00D94E5D">
        <w:rPr>
          <w:rFonts w:ascii="Verdana" w:hAnsi="Verdana" w:cstheme="minorHAnsi"/>
        </w:rPr>
        <w:t>,</w:t>
      </w:r>
      <w:r w:rsidRPr="00D94E5D">
        <w:rPr>
          <w:rFonts w:ascii="Verdana" w:hAnsi="Verdana" w:cstheme="minorHAnsi"/>
        </w:rPr>
        <w:t xml:space="preserve"> gave evidence of her assessment of the </w:t>
      </w:r>
      <w:r w:rsidR="004D699C" w:rsidRPr="00D94E5D">
        <w:rPr>
          <w:rFonts w:ascii="Verdana" w:hAnsi="Verdana" w:cstheme="minorHAnsi"/>
        </w:rPr>
        <w:t>signs of bone fragility in each child, and of her referral of the twin</w:t>
      </w:r>
      <w:r w:rsidR="00B555AE" w:rsidRPr="00D94E5D">
        <w:rPr>
          <w:rFonts w:ascii="Verdana" w:hAnsi="Verdana" w:cstheme="minorHAnsi"/>
        </w:rPr>
        <w:t>s</w:t>
      </w:r>
      <w:r w:rsidR="004D699C" w:rsidRPr="00D94E5D">
        <w:rPr>
          <w:rFonts w:ascii="Verdana" w:hAnsi="Verdana" w:cstheme="minorHAnsi"/>
        </w:rPr>
        <w:t xml:space="preserve"> for genetic testing and seeking the second opinion of Associate Professor </w:t>
      </w:r>
      <w:r w:rsidR="003A2F8C">
        <w:rPr>
          <w:rFonts w:ascii="Verdana" w:hAnsi="Verdana" w:cstheme="minorHAnsi"/>
        </w:rPr>
        <w:t>HS</w:t>
      </w:r>
      <w:r w:rsidR="004D699C" w:rsidRPr="00D94E5D">
        <w:rPr>
          <w:rFonts w:ascii="Verdana" w:hAnsi="Verdana" w:cstheme="minorHAnsi"/>
        </w:rPr>
        <w:t xml:space="preserve"> regarding their blood tests and Clexane</w:t>
      </w:r>
      <w:r w:rsidR="0077226C" w:rsidRPr="00D94E5D">
        <w:rPr>
          <w:rStyle w:val="FootnoteReference"/>
          <w:rFonts w:ascii="Verdana" w:hAnsi="Verdana" w:cstheme="minorHAnsi"/>
        </w:rPr>
        <w:footnoteReference w:id="3"/>
      </w:r>
      <w:r w:rsidR="004D699C" w:rsidRPr="00D94E5D">
        <w:rPr>
          <w:rFonts w:ascii="Verdana" w:hAnsi="Verdana" w:cstheme="minorHAnsi"/>
        </w:rPr>
        <w:t xml:space="preserve">, and Professor </w:t>
      </w:r>
      <w:r w:rsidR="003A2F8C">
        <w:rPr>
          <w:rFonts w:ascii="Verdana" w:hAnsi="Verdana" w:cstheme="minorHAnsi"/>
        </w:rPr>
        <w:t>RS</w:t>
      </w:r>
      <w:r w:rsidR="004D699C" w:rsidRPr="00D94E5D">
        <w:rPr>
          <w:rFonts w:ascii="Verdana" w:hAnsi="Verdana" w:cstheme="minorHAnsi"/>
        </w:rPr>
        <w:t xml:space="preserve"> regarding bone fragility.</w:t>
      </w:r>
    </w:p>
    <w:p w14:paraId="7A7C3117" w14:textId="77777777" w:rsidR="00DC4328" w:rsidRPr="00DC4328" w:rsidRDefault="00DC4328" w:rsidP="006443D9">
      <w:pPr>
        <w:pStyle w:val="ListParagraph"/>
        <w:spacing w:line="276" w:lineRule="auto"/>
        <w:ind w:left="851"/>
        <w:rPr>
          <w:rFonts w:ascii="Verdana" w:hAnsi="Verdana" w:cstheme="minorHAnsi"/>
        </w:rPr>
      </w:pPr>
    </w:p>
    <w:p w14:paraId="6C15D597" w14:textId="7FCBFE2F" w:rsidR="004D699C" w:rsidRDefault="004D699C"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lastRenderedPageBreak/>
        <w:t xml:space="preserve">Professor </w:t>
      </w:r>
      <w:r w:rsidR="003A2F8C">
        <w:rPr>
          <w:rFonts w:ascii="Verdana" w:hAnsi="Verdana" w:cstheme="minorHAnsi"/>
        </w:rPr>
        <w:t>LG</w:t>
      </w:r>
      <w:r w:rsidR="006443D9">
        <w:rPr>
          <w:rFonts w:ascii="Verdana" w:hAnsi="Verdana" w:cstheme="minorHAnsi"/>
        </w:rPr>
        <w:t>,</w:t>
      </w:r>
      <w:r w:rsidRPr="00D94E5D">
        <w:rPr>
          <w:rFonts w:ascii="Verdana" w:hAnsi="Verdana" w:cstheme="minorHAnsi"/>
        </w:rPr>
        <w:t xml:space="preserve"> Paediatric Haematologist of over 20 </w:t>
      </w:r>
      <w:r w:rsidR="00236E9E" w:rsidRPr="00D94E5D">
        <w:rPr>
          <w:rFonts w:ascii="Verdana" w:hAnsi="Verdana" w:cstheme="minorHAnsi"/>
        </w:rPr>
        <w:t>years’ experience</w:t>
      </w:r>
      <w:r w:rsidR="00530E97" w:rsidRPr="00D94E5D">
        <w:rPr>
          <w:rFonts w:ascii="Verdana" w:hAnsi="Verdana" w:cstheme="minorHAnsi"/>
        </w:rPr>
        <w:t>,</w:t>
      </w:r>
      <w:r w:rsidRPr="00D94E5D">
        <w:rPr>
          <w:rFonts w:ascii="Verdana" w:hAnsi="Verdana" w:cstheme="minorHAnsi"/>
        </w:rPr>
        <w:t xml:space="preserve"> was called to give evidence about whether the use of low molecular weight heparins after the </w:t>
      </w:r>
      <w:r w:rsidR="00530E97" w:rsidRPr="00D94E5D">
        <w:rPr>
          <w:rFonts w:ascii="Verdana" w:hAnsi="Verdana" w:cstheme="minorHAnsi"/>
        </w:rPr>
        <w:t>caesarean</w:t>
      </w:r>
      <w:r w:rsidRPr="00D94E5D">
        <w:rPr>
          <w:rFonts w:ascii="Verdana" w:hAnsi="Verdana" w:cstheme="minorHAnsi"/>
        </w:rPr>
        <w:t xml:space="preserve"> section delivery would have any impact upon the bone health of the twins. </w:t>
      </w:r>
    </w:p>
    <w:p w14:paraId="28E18E8A" w14:textId="77777777" w:rsidR="00DC4328" w:rsidRPr="00DC4328" w:rsidRDefault="00DC4328" w:rsidP="006443D9">
      <w:pPr>
        <w:pStyle w:val="ListParagraph"/>
        <w:spacing w:line="276" w:lineRule="auto"/>
        <w:ind w:left="851"/>
        <w:rPr>
          <w:rFonts w:ascii="Verdana" w:hAnsi="Verdana" w:cstheme="minorHAnsi"/>
        </w:rPr>
      </w:pPr>
    </w:p>
    <w:p w14:paraId="1CE5FC93" w14:textId="6BDC1E8B" w:rsidR="00BA4AA2" w:rsidRDefault="00BA4AA2"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Dr </w:t>
      </w:r>
      <w:r w:rsidR="003A2F8C">
        <w:rPr>
          <w:rFonts w:ascii="Verdana" w:hAnsi="Verdana" w:cstheme="minorHAnsi"/>
        </w:rPr>
        <w:t>HM</w:t>
      </w:r>
      <w:r w:rsidRPr="00D94E5D">
        <w:rPr>
          <w:rFonts w:ascii="Verdana" w:hAnsi="Verdana" w:cstheme="minorHAnsi"/>
        </w:rPr>
        <w:t xml:space="preserve">, </w:t>
      </w:r>
      <w:r w:rsidR="00530E97" w:rsidRPr="00D94E5D">
        <w:rPr>
          <w:rFonts w:ascii="Verdana" w:hAnsi="Verdana" w:cstheme="minorHAnsi"/>
        </w:rPr>
        <w:t>P</w:t>
      </w:r>
      <w:r w:rsidRPr="00D94E5D">
        <w:rPr>
          <w:rFonts w:ascii="Verdana" w:hAnsi="Verdana" w:cstheme="minorHAnsi"/>
        </w:rPr>
        <w:t>aediatrician</w:t>
      </w:r>
      <w:r w:rsidR="00530E97" w:rsidRPr="00D94E5D">
        <w:rPr>
          <w:rFonts w:ascii="Verdana" w:hAnsi="Verdana" w:cstheme="minorHAnsi"/>
        </w:rPr>
        <w:t>,</w:t>
      </w:r>
      <w:r w:rsidRPr="00D94E5D">
        <w:rPr>
          <w:rFonts w:ascii="Verdana" w:hAnsi="Verdana" w:cstheme="minorHAnsi"/>
        </w:rPr>
        <w:t xml:space="preserve"> gave evidence of her assessment conducted at the Victorian Forensic Paediatric Medical Service. Dr </w:t>
      </w:r>
      <w:r w:rsidR="003A2F8C">
        <w:rPr>
          <w:rFonts w:ascii="Verdana" w:hAnsi="Verdana" w:cstheme="minorHAnsi"/>
        </w:rPr>
        <w:t>HM</w:t>
      </w:r>
      <w:r w:rsidRPr="00D94E5D">
        <w:rPr>
          <w:rFonts w:ascii="Verdana" w:hAnsi="Verdana" w:cstheme="minorHAnsi"/>
        </w:rPr>
        <w:t xml:space="preserve"> has been a qualified paediatrician since January 2022. She undertook one subject in the </w:t>
      </w:r>
      <w:r w:rsidR="00D44874" w:rsidRPr="00D94E5D">
        <w:rPr>
          <w:rFonts w:ascii="Verdana" w:hAnsi="Verdana" w:cstheme="minorHAnsi"/>
        </w:rPr>
        <w:t>Master of Forensic</w:t>
      </w:r>
      <w:r w:rsidRPr="00D94E5D">
        <w:rPr>
          <w:rFonts w:ascii="Verdana" w:hAnsi="Verdana" w:cstheme="minorHAnsi"/>
        </w:rPr>
        <w:t xml:space="preserve"> Paediatrics at Monash </w:t>
      </w:r>
      <w:r w:rsidR="00236E9E" w:rsidRPr="00D94E5D">
        <w:rPr>
          <w:rFonts w:ascii="Verdana" w:hAnsi="Verdana" w:cstheme="minorHAnsi"/>
        </w:rPr>
        <w:t>University and</w:t>
      </w:r>
      <w:r w:rsidRPr="00D94E5D">
        <w:rPr>
          <w:rFonts w:ascii="Verdana" w:hAnsi="Verdana" w:cstheme="minorHAnsi"/>
        </w:rPr>
        <w:t xml:space="preserve"> spent approximately a year working on average 2 days per week with the VFPMS.</w:t>
      </w:r>
      <w:r w:rsidR="00E03CEC" w:rsidRPr="00D94E5D">
        <w:rPr>
          <w:rFonts w:ascii="Verdana" w:hAnsi="Verdana" w:cstheme="minorHAnsi"/>
        </w:rPr>
        <w:t xml:space="preserve"> Dr </w:t>
      </w:r>
      <w:r w:rsidR="003A2F8C">
        <w:rPr>
          <w:rFonts w:ascii="Verdana" w:hAnsi="Verdana" w:cstheme="minorHAnsi"/>
        </w:rPr>
        <w:t>HM</w:t>
      </w:r>
      <w:r w:rsidR="00E03CEC" w:rsidRPr="00D94E5D">
        <w:rPr>
          <w:rFonts w:ascii="Verdana" w:hAnsi="Verdana" w:cstheme="minorHAnsi"/>
        </w:rPr>
        <w:t xml:space="preserve"> has no other specialisations relevant to the issues in this matter</w:t>
      </w:r>
      <w:r w:rsidR="00D44874" w:rsidRPr="00D94E5D">
        <w:rPr>
          <w:rFonts w:ascii="Verdana" w:hAnsi="Verdana" w:cstheme="minorHAnsi"/>
        </w:rPr>
        <w:t>, having pursued a different specialisation and no longer engages in forensic assessments.</w:t>
      </w:r>
    </w:p>
    <w:p w14:paraId="2B0DAD81" w14:textId="77777777" w:rsidR="00DC4328" w:rsidRPr="00DC4328" w:rsidRDefault="00DC4328" w:rsidP="006443D9">
      <w:pPr>
        <w:pStyle w:val="ListParagraph"/>
        <w:spacing w:line="276" w:lineRule="auto"/>
        <w:ind w:left="851"/>
        <w:jc w:val="both"/>
        <w:rPr>
          <w:rFonts w:ascii="Verdana" w:hAnsi="Verdana" w:cstheme="minorHAnsi"/>
        </w:rPr>
      </w:pPr>
    </w:p>
    <w:p w14:paraId="24F133F2" w14:textId="051DE981" w:rsidR="00BA4AA2" w:rsidRPr="00D94E5D" w:rsidRDefault="00E03CEC"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Professor </w:t>
      </w:r>
      <w:r w:rsidR="003A2F8C">
        <w:rPr>
          <w:rFonts w:ascii="Verdana" w:hAnsi="Verdana" w:cstheme="minorHAnsi"/>
        </w:rPr>
        <w:t>RS</w:t>
      </w:r>
      <w:r w:rsidRPr="00D94E5D">
        <w:rPr>
          <w:rFonts w:ascii="Verdana" w:hAnsi="Verdana" w:cstheme="minorHAnsi"/>
        </w:rPr>
        <w:t>, Paediatric Endocrinologist</w:t>
      </w:r>
      <w:r w:rsidR="00530E97" w:rsidRPr="00D94E5D">
        <w:rPr>
          <w:rFonts w:ascii="Verdana" w:hAnsi="Verdana" w:cstheme="minorHAnsi"/>
        </w:rPr>
        <w:t>,</w:t>
      </w:r>
      <w:r w:rsidRPr="00D94E5D">
        <w:rPr>
          <w:rFonts w:ascii="Verdana" w:hAnsi="Verdana" w:cstheme="minorHAnsi"/>
        </w:rPr>
        <w:t xml:space="preserve"> gave evidence of his assessment of the x-ray images of the children and signs of bone fragility at the request of Professor </w:t>
      </w:r>
      <w:r w:rsidR="003A2F8C">
        <w:rPr>
          <w:rFonts w:ascii="Verdana" w:hAnsi="Verdana" w:cstheme="minorHAnsi"/>
        </w:rPr>
        <w:t>AN</w:t>
      </w:r>
      <w:r w:rsidRPr="00D94E5D">
        <w:rPr>
          <w:rFonts w:ascii="Verdana" w:hAnsi="Verdana" w:cstheme="minorHAnsi"/>
        </w:rPr>
        <w:t xml:space="preserve">. Professor </w:t>
      </w:r>
      <w:r w:rsidR="003A2F8C">
        <w:rPr>
          <w:rFonts w:ascii="Verdana" w:hAnsi="Verdana" w:cstheme="minorHAnsi"/>
        </w:rPr>
        <w:t>RS</w:t>
      </w:r>
      <w:r w:rsidRPr="00D94E5D">
        <w:rPr>
          <w:rFonts w:ascii="Verdana" w:hAnsi="Verdana" w:cstheme="minorHAnsi"/>
        </w:rPr>
        <w:t xml:space="preserve"> is the current Director of the </w:t>
      </w:r>
      <w:r w:rsidR="00554F91" w:rsidRPr="00D94E5D">
        <w:rPr>
          <w:rFonts w:ascii="Verdana" w:hAnsi="Verdana" w:cstheme="minorHAnsi"/>
        </w:rPr>
        <w:t>University</w:t>
      </w:r>
      <w:r w:rsidRPr="00D94E5D">
        <w:rPr>
          <w:rFonts w:ascii="Verdana" w:hAnsi="Verdana" w:cstheme="minorHAnsi"/>
        </w:rPr>
        <w:t xml:space="preserve"> of Queensland Health Research Centre and Professor of Paediatric Bone and Mineral Medicine at the </w:t>
      </w:r>
      <w:r w:rsidR="00554F91" w:rsidRPr="00D94E5D">
        <w:rPr>
          <w:rFonts w:ascii="Verdana" w:hAnsi="Verdana" w:cstheme="minorHAnsi"/>
        </w:rPr>
        <w:t>U</w:t>
      </w:r>
      <w:r w:rsidRPr="00D94E5D">
        <w:rPr>
          <w:rFonts w:ascii="Verdana" w:hAnsi="Verdana" w:cstheme="minorHAnsi"/>
        </w:rPr>
        <w:t xml:space="preserve">niversity of </w:t>
      </w:r>
      <w:r w:rsidR="00DD20AF" w:rsidRPr="00D94E5D">
        <w:rPr>
          <w:rFonts w:ascii="Verdana" w:hAnsi="Verdana" w:cstheme="minorHAnsi"/>
        </w:rPr>
        <w:t>Sydney and</w:t>
      </w:r>
      <w:r w:rsidR="00554F91" w:rsidRPr="00D94E5D">
        <w:rPr>
          <w:rFonts w:ascii="Verdana" w:hAnsi="Verdana" w:cstheme="minorHAnsi"/>
        </w:rPr>
        <w:t xml:space="preserve"> has been the Chair of the Australasian Paediatric Endocrine Group Bone and Mineral working group since 2012.</w:t>
      </w:r>
      <w:r w:rsidR="00554F91" w:rsidRPr="00D94E5D">
        <w:rPr>
          <w:rStyle w:val="FootnoteReference"/>
          <w:rFonts w:ascii="Verdana" w:hAnsi="Verdana" w:cstheme="minorHAnsi"/>
        </w:rPr>
        <w:footnoteReference w:id="4"/>
      </w:r>
    </w:p>
    <w:p w14:paraId="347521D6" w14:textId="77777777" w:rsidR="000836A3" w:rsidRDefault="00DD20AF" w:rsidP="002B5C77">
      <w:pPr>
        <w:spacing w:after="0" w:line="276" w:lineRule="auto"/>
        <w:rPr>
          <w:rFonts w:ascii="Verdana" w:hAnsi="Verdana" w:cstheme="minorHAnsi"/>
          <w:b/>
          <w:bCs/>
        </w:rPr>
      </w:pPr>
      <w:r w:rsidRPr="000836A3">
        <w:rPr>
          <w:rFonts w:ascii="Verdana" w:hAnsi="Verdana" w:cstheme="minorHAnsi"/>
          <w:b/>
          <w:bCs/>
        </w:rPr>
        <w:t xml:space="preserve">LIKELY CAUSE OF THE MARKINGS ON THE TWINS: </w:t>
      </w:r>
    </w:p>
    <w:p w14:paraId="251D3435" w14:textId="71514D1A" w:rsidR="00DD20AF" w:rsidRPr="000836A3" w:rsidRDefault="00DD20AF" w:rsidP="006443D9">
      <w:pPr>
        <w:spacing w:after="240" w:line="276" w:lineRule="auto"/>
        <w:rPr>
          <w:rFonts w:ascii="Verdana" w:hAnsi="Verdana" w:cstheme="minorHAnsi"/>
          <w:b/>
          <w:bCs/>
        </w:rPr>
      </w:pPr>
      <w:r w:rsidRPr="000836A3">
        <w:rPr>
          <w:rFonts w:ascii="Verdana" w:hAnsi="Verdana" w:cstheme="minorHAnsi"/>
          <w:b/>
          <w:bCs/>
        </w:rPr>
        <w:t>PARENTS’ EXPLANATIONS AND MEDICAL OPINION</w:t>
      </w:r>
    </w:p>
    <w:p w14:paraId="68CADE0D" w14:textId="4C07F28A" w:rsidR="00D44874" w:rsidRDefault="0077226C"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marks </w:t>
      </w:r>
      <w:r w:rsidR="006E45DC">
        <w:rPr>
          <w:rFonts w:ascii="Verdana" w:hAnsi="Verdana" w:cstheme="minorHAnsi"/>
        </w:rPr>
        <w:t xml:space="preserve">of concern </w:t>
      </w:r>
      <w:r w:rsidRPr="00D94E5D">
        <w:rPr>
          <w:rFonts w:ascii="Verdana" w:hAnsi="Verdana" w:cstheme="minorHAnsi"/>
        </w:rPr>
        <w:t xml:space="preserve">on </w:t>
      </w:r>
      <w:r w:rsidR="003A2F8C">
        <w:rPr>
          <w:rFonts w:ascii="Verdana" w:hAnsi="Verdana" w:cstheme="minorHAnsi"/>
        </w:rPr>
        <w:t>Maria</w:t>
      </w:r>
      <w:r w:rsidRPr="00D94E5D">
        <w:rPr>
          <w:rFonts w:ascii="Verdana" w:hAnsi="Verdana" w:cstheme="minorHAnsi"/>
        </w:rPr>
        <w:t xml:space="preserve"> were on her legs. On </w:t>
      </w:r>
      <w:r w:rsidR="003A2F8C">
        <w:rPr>
          <w:rFonts w:ascii="Verdana" w:hAnsi="Verdana" w:cstheme="minorHAnsi"/>
        </w:rPr>
        <w:t>Gregory</w:t>
      </w:r>
      <w:r w:rsidRPr="00D94E5D">
        <w:rPr>
          <w:rFonts w:ascii="Verdana" w:hAnsi="Verdana" w:cstheme="minorHAnsi"/>
        </w:rPr>
        <w:t xml:space="preserve"> there was an area of redness on his chin, and a very small, discoloured area on his right knee of approximately 3mm. </w:t>
      </w:r>
      <w:r w:rsidR="00D44874" w:rsidRPr="00D94E5D">
        <w:rPr>
          <w:rFonts w:ascii="Verdana" w:hAnsi="Verdana" w:cstheme="minorHAnsi"/>
        </w:rPr>
        <w:t>There were no marks or bruises on either child’s chest or back either on 10 or 11 March, or 29 March 2022.</w:t>
      </w:r>
    </w:p>
    <w:p w14:paraId="42843829" w14:textId="77777777" w:rsidR="00C63F13" w:rsidRDefault="00C63F13" w:rsidP="002B5C77">
      <w:pPr>
        <w:pStyle w:val="ListParagraph"/>
        <w:spacing w:after="240" w:line="276" w:lineRule="auto"/>
        <w:ind w:left="851"/>
        <w:rPr>
          <w:rFonts w:ascii="Verdana" w:hAnsi="Verdana" w:cstheme="minorHAnsi"/>
        </w:rPr>
      </w:pPr>
    </w:p>
    <w:p w14:paraId="45527F3B" w14:textId="18F180CC" w:rsidR="00B938E7" w:rsidRDefault="00D32CC5"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Dr </w:t>
      </w:r>
      <w:r w:rsidR="003A2F8C">
        <w:rPr>
          <w:rFonts w:ascii="Verdana" w:hAnsi="Verdana" w:cstheme="minorHAnsi"/>
        </w:rPr>
        <w:t>HM</w:t>
      </w:r>
      <w:r w:rsidRPr="00D94E5D">
        <w:rPr>
          <w:rFonts w:ascii="Verdana" w:hAnsi="Verdana" w:cstheme="minorHAnsi"/>
        </w:rPr>
        <w:t xml:space="preserve"> did not assess </w:t>
      </w:r>
      <w:r w:rsidR="003A2F8C">
        <w:rPr>
          <w:rFonts w:ascii="Verdana" w:hAnsi="Verdana" w:cstheme="minorHAnsi"/>
        </w:rPr>
        <w:t>Gregory</w:t>
      </w:r>
      <w:r w:rsidRPr="00D94E5D">
        <w:rPr>
          <w:rFonts w:ascii="Verdana" w:hAnsi="Verdana" w:cstheme="minorHAnsi"/>
        </w:rPr>
        <w:t xml:space="preserve"> in person, she </w:t>
      </w:r>
      <w:r w:rsidR="00D44874" w:rsidRPr="00D94E5D">
        <w:rPr>
          <w:rFonts w:ascii="Verdana" w:hAnsi="Verdana" w:cstheme="minorHAnsi"/>
        </w:rPr>
        <w:t>viewed</w:t>
      </w:r>
      <w:r w:rsidRPr="00D94E5D">
        <w:rPr>
          <w:rFonts w:ascii="Verdana" w:hAnsi="Verdana" w:cstheme="minorHAnsi"/>
        </w:rPr>
        <w:t xml:space="preserve"> the clinical photographs – as did Professor</w:t>
      </w:r>
      <w:r w:rsidR="00D44874" w:rsidRPr="00D94E5D">
        <w:rPr>
          <w:rFonts w:ascii="Verdana" w:hAnsi="Verdana" w:cstheme="minorHAnsi"/>
        </w:rPr>
        <w:t>s</w:t>
      </w:r>
      <w:r w:rsidRPr="00D94E5D">
        <w:rPr>
          <w:rFonts w:ascii="Verdana" w:hAnsi="Verdana" w:cstheme="minorHAnsi"/>
        </w:rPr>
        <w:t xml:space="preserve"> </w:t>
      </w:r>
      <w:r w:rsidR="003A2F8C">
        <w:rPr>
          <w:rFonts w:ascii="Verdana" w:hAnsi="Verdana" w:cstheme="minorHAnsi"/>
        </w:rPr>
        <w:t>AN</w:t>
      </w:r>
      <w:r w:rsidR="00D44874" w:rsidRPr="00D94E5D">
        <w:rPr>
          <w:rFonts w:ascii="Verdana" w:hAnsi="Verdana" w:cstheme="minorHAnsi"/>
        </w:rPr>
        <w:t xml:space="preserve"> and </w:t>
      </w:r>
      <w:r w:rsidR="003A2F8C">
        <w:rPr>
          <w:rFonts w:ascii="Verdana" w:hAnsi="Verdana" w:cstheme="minorHAnsi"/>
        </w:rPr>
        <w:t>LG</w:t>
      </w:r>
      <w:r w:rsidRPr="00D94E5D">
        <w:rPr>
          <w:rFonts w:ascii="Verdana" w:hAnsi="Verdana" w:cstheme="minorHAnsi"/>
        </w:rPr>
        <w:t xml:space="preserve">. Dr </w:t>
      </w:r>
      <w:r w:rsidR="003A2F8C">
        <w:rPr>
          <w:rFonts w:ascii="Verdana" w:hAnsi="Verdana" w:cstheme="minorHAnsi"/>
        </w:rPr>
        <w:t>HM</w:t>
      </w:r>
      <w:r w:rsidRPr="00D94E5D">
        <w:rPr>
          <w:rFonts w:ascii="Verdana" w:hAnsi="Verdana" w:cstheme="minorHAnsi"/>
        </w:rPr>
        <w:t xml:space="preserve"> did assess </w:t>
      </w:r>
      <w:r w:rsidR="003A2F8C">
        <w:rPr>
          <w:rFonts w:ascii="Verdana" w:hAnsi="Verdana" w:cstheme="minorHAnsi"/>
        </w:rPr>
        <w:t>Maria</w:t>
      </w:r>
      <w:r w:rsidR="00DD20AF" w:rsidRPr="00D94E5D">
        <w:rPr>
          <w:rFonts w:ascii="Verdana" w:hAnsi="Verdana" w:cstheme="minorHAnsi"/>
        </w:rPr>
        <w:t>.</w:t>
      </w:r>
      <w:r w:rsidR="00236E9E" w:rsidRPr="00D94E5D">
        <w:rPr>
          <w:rFonts w:ascii="Verdana" w:hAnsi="Verdana" w:cstheme="minorHAnsi"/>
        </w:rPr>
        <w:t xml:space="preserve"> Dr</w:t>
      </w:r>
      <w:r w:rsidR="006443D9">
        <w:rPr>
          <w:rFonts w:ascii="Verdana" w:hAnsi="Verdana" w:cstheme="minorHAnsi"/>
        </w:rPr>
        <w:t> </w:t>
      </w:r>
      <w:r w:rsidR="003A2F8C">
        <w:rPr>
          <w:rFonts w:ascii="Verdana" w:hAnsi="Verdana" w:cstheme="minorHAnsi"/>
        </w:rPr>
        <w:t>AN</w:t>
      </w:r>
      <w:r w:rsidR="00236E9E" w:rsidRPr="00D94E5D">
        <w:rPr>
          <w:rFonts w:ascii="Verdana" w:hAnsi="Verdana" w:cstheme="minorHAnsi"/>
        </w:rPr>
        <w:t xml:space="preserve"> assessed both </w:t>
      </w:r>
      <w:r w:rsidR="003254DB" w:rsidRPr="00D94E5D">
        <w:rPr>
          <w:rFonts w:ascii="Verdana" w:hAnsi="Verdana" w:cstheme="minorHAnsi"/>
        </w:rPr>
        <w:t>twins,</w:t>
      </w:r>
      <w:r w:rsidR="007F7D31" w:rsidRPr="00D94E5D">
        <w:rPr>
          <w:rFonts w:ascii="Verdana" w:hAnsi="Verdana" w:cstheme="minorHAnsi"/>
        </w:rPr>
        <w:t xml:space="preserve"> but all marks had resolved by the time she saw </w:t>
      </w:r>
      <w:r w:rsidR="00236E9E" w:rsidRPr="00D94E5D">
        <w:rPr>
          <w:rFonts w:ascii="Verdana" w:hAnsi="Verdana" w:cstheme="minorHAnsi"/>
        </w:rPr>
        <w:t>them</w:t>
      </w:r>
      <w:r w:rsidR="007F7D31" w:rsidRPr="00D94E5D">
        <w:rPr>
          <w:rFonts w:ascii="Verdana" w:hAnsi="Verdana" w:cstheme="minorHAnsi"/>
        </w:rPr>
        <w:t xml:space="preserve"> on</w:t>
      </w:r>
      <w:r w:rsidR="00B938E7" w:rsidRPr="00D94E5D">
        <w:rPr>
          <w:rFonts w:ascii="Verdana" w:hAnsi="Verdana" w:cstheme="minorHAnsi"/>
        </w:rPr>
        <w:t xml:space="preserve"> 11 April 2022</w:t>
      </w:r>
      <w:r w:rsidRPr="00D94E5D">
        <w:rPr>
          <w:rFonts w:ascii="Verdana" w:hAnsi="Verdana" w:cstheme="minorHAnsi"/>
        </w:rPr>
        <w:t xml:space="preserve">. </w:t>
      </w:r>
    </w:p>
    <w:p w14:paraId="3F583E3E" w14:textId="77777777" w:rsidR="00DC4328" w:rsidRPr="00D94E5D" w:rsidRDefault="00DC4328" w:rsidP="002B5C77">
      <w:pPr>
        <w:pStyle w:val="ListParagraph"/>
        <w:spacing w:after="240" w:line="276" w:lineRule="auto"/>
        <w:ind w:left="851"/>
        <w:rPr>
          <w:rFonts w:ascii="Verdana" w:hAnsi="Verdana" w:cstheme="minorHAnsi"/>
        </w:rPr>
      </w:pPr>
    </w:p>
    <w:p w14:paraId="2A21D384" w14:textId="03E6DFE4" w:rsidR="00DC4328" w:rsidRDefault="00D32CC5"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In her evidence </w:t>
      </w:r>
      <w:r w:rsidR="00B938E7" w:rsidRPr="00D94E5D">
        <w:rPr>
          <w:rFonts w:ascii="Verdana" w:hAnsi="Verdana" w:cstheme="minorHAnsi"/>
        </w:rPr>
        <w:t xml:space="preserve">Dr </w:t>
      </w:r>
      <w:r w:rsidR="003A2F8C">
        <w:rPr>
          <w:rFonts w:ascii="Verdana" w:hAnsi="Verdana" w:cstheme="minorHAnsi"/>
        </w:rPr>
        <w:t>HM</w:t>
      </w:r>
      <w:r w:rsidRPr="00D94E5D">
        <w:rPr>
          <w:rFonts w:ascii="Verdana" w:hAnsi="Verdana" w:cstheme="minorHAnsi"/>
        </w:rPr>
        <w:t xml:space="preserve"> stated that </w:t>
      </w:r>
      <w:r w:rsidR="003A2F8C">
        <w:rPr>
          <w:rFonts w:ascii="Verdana" w:hAnsi="Verdana" w:cstheme="minorHAnsi"/>
        </w:rPr>
        <w:t>Gregory</w:t>
      </w:r>
      <w:r w:rsidRPr="00D94E5D">
        <w:rPr>
          <w:rFonts w:ascii="Verdana" w:hAnsi="Verdana" w:cstheme="minorHAnsi"/>
        </w:rPr>
        <w:t xml:space="preserve"> had been initially present when she commenced her discussion with the parents and assessment of </w:t>
      </w:r>
      <w:r w:rsidR="003A2F8C">
        <w:rPr>
          <w:rFonts w:ascii="Verdana" w:hAnsi="Verdana" w:cstheme="minorHAnsi"/>
        </w:rPr>
        <w:t>Maria</w:t>
      </w:r>
      <w:r w:rsidRPr="00D94E5D">
        <w:rPr>
          <w:rFonts w:ascii="Verdana" w:hAnsi="Verdana" w:cstheme="minorHAnsi"/>
        </w:rPr>
        <w:t xml:space="preserve"> and that he was taken to have medical imaging done.</w:t>
      </w:r>
      <w:r w:rsidR="007F7D31" w:rsidRPr="00D94E5D">
        <w:rPr>
          <w:rFonts w:ascii="Verdana" w:hAnsi="Verdana" w:cstheme="minorHAnsi"/>
        </w:rPr>
        <w:t xml:space="preserve"> She did not in her </w:t>
      </w:r>
      <w:r w:rsidR="00B938E7" w:rsidRPr="00D94E5D">
        <w:rPr>
          <w:rFonts w:ascii="Verdana" w:hAnsi="Verdana" w:cstheme="minorHAnsi"/>
        </w:rPr>
        <w:t>report,</w:t>
      </w:r>
      <w:r w:rsidR="007F7D31" w:rsidRPr="00D94E5D">
        <w:rPr>
          <w:rFonts w:ascii="Verdana" w:hAnsi="Verdana" w:cstheme="minorHAnsi"/>
        </w:rPr>
        <w:t xml:space="preserve"> or her evidence</w:t>
      </w:r>
      <w:r w:rsidR="006443D9">
        <w:rPr>
          <w:rFonts w:ascii="Verdana" w:hAnsi="Verdana" w:cstheme="minorHAnsi"/>
        </w:rPr>
        <w:t>,</w:t>
      </w:r>
      <w:r w:rsidR="007F7D31" w:rsidRPr="00D94E5D">
        <w:rPr>
          <w:rFonts w:ascii="Verdana" w:hAnsi="Verdana" w:cstheme="minorHAnsi"/>
        </w:rPr>
        <w:t xml:space="preserve"> note having observed the pink mark on his chin.</w:t>
      </w:r>
    </w:p>
    <w:p w14:paraId="5972967A" w14:textId="77777777" w:rsidR="00DC4328" w:rsidRPr="00DC4328" w:rsidRDefault="00DC4328" w:rsidP="006443D9">
      <w:pPr>
        <w:pStyle w:val="ListParagraph"/>
        <w:spacing w:line="276" w:lineRule="auto"/>
        <w:ind w:left="851"/>
        <w:rPr>
          <w:rFonts w:ascii="Verdana" w:hAnsi="Verdana" w:cstheme="minorHAnsi"/>
        </w:rPr>
      </w:pPr>
    </w:p>
    <w:p w14:paraId="5F3FBBEC" w14:textId="60D08B64" w:rsidR="00D32CC5" w:rsidRDefault="00D32CC5"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father has never resiled from the likelihood that he may have used to</w:t>
      </w:r>
      <w:r w:rsidR="00530E97" w:rsidRPr="00D94E5D">
        <w:rPr>
          <w:rFonts w:ascii="Verdana" w:hAnsi="Verdana" w:cstheme="minorHAnsi"/>
        </w:rPr>
        <w:t>o</w:t>
      </w:r>
      <w:r w:rsidRPr="00D94E5D">
        <w:rPr>
          <w:rFonts w:ascii="Verdana" w:hAnsi="Verdana" w:cstheme="minorHAnsi"/>
        </w:rPr>
        <w:t xml:space="preserve"> much pressure in his performing of the exercises to assist the children to pass wind.</w:t>
      </w:r>
    </w:p>
    <w:p w14:paraId="4A9167C5" w14:textId="77777777" w:rsidR="00DC4328" w:rsidRPr="00DC4328" w:rsidRDefault="00DC4328" w:rsidP="006443D9">
      <w:pPr>
        <w:pStyle w:val="ListParagraph"/>
        <w:spacing w:line="276" w:lineRule="auto"/>
        <w:ind w:left="851"/>
        <w:rPr>
          <w:rFonts w:ascii="Verdana" w:hAnsi="Verdana" w:cstheme="minorHAnsi"/>
        </w:rPr>
      </w:pPr>
    </w:p>
    <w:p w14:paraId="2B193B7B" w14:textId="4EEEB9AE" w:rsidR="00D32CC5" w:rsidRDefault="00236E9E" w:rsidP="006443D9">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lastRenderedPageBreak/>
        <w:t xml:space="preserve">During the interviews conducted by Dr </w:t>
      </w:r>
      <w:r w:rsidR="003A2F8C">
        <w:rPr>
          <w:rFonts w:ascii="Verdana" w:hAnsi="Verdana" w:cstheme="minorHAnsi"/>
        </w:rPr>
        <w:t>HM</w:t>
      </w:r>
      <w:r w:rsidRPr="00D94E5D">
        <w:rPr>
          <w:rFonts w:ascii="Verdana" w:hAnsi="Verdana" w:cstheme="minorHAnsi"/>
        </w:rPr>
        <w:t>, a possible explanation was given by the parents that</w:t>
      </w:r>
      <w:r w:rsidR="00D32CC5" w:rsidRPr="00D94E5D">
        <w:rPr>
          <w:rFonts w:ascii="Verdana" w:hAnsi="Verdana" w:cstheme="minorHAnsi"/>
        </w:rPr>
        <w:t xml:space="preserve"> the instruction given to hold the babies</w:t>
      </w:r>
      <w:r w:rsidR="00530E97" w:rsidRPr="00D94E5D">
        <w:rPr>
          <w:rFonts w:ascii="Verdana" w:hAnsi="Verdana" w:cstheme="minorHAnsi"/>
        </w:rPr>
        <w:t>’</w:t>
      </w:r>
      <w:r w:rsidR="00D32CC5" w:rsidRPr="00D94E5D">
        <w:rPr>
          <w:rFonts w:ascii="Verdana" w:hAnsi="Verdana" w:cstheme="minorHAnsi"/>
        </w:rPr>
        <w:t xml:space="preserve"> chin to assist with latching for breastfeeding may have caused the pink mark on </w:t>
      </w:r>
      <w:r w:rsidR="003A2F8C">
        <w:rPr>
          <w:rFonts w:ascii="Verdana" w:hAnsi="Verdana" w:cstheme="minorHAnsi"/>
        </w:rPr>
        <w:t>Gregory</w:t>
      </w:r>
      <w:r w:rsidR="00D32CC5" w:rsidRPr="00D94E5D">
        <w:rPr>
          <w:rFonts w:ascii="Verdana" w:hAnsi="Verdana" w:cstheme="minorHAnsi"/>
        </w:rPr>
        <w:t>’s chin, or both parents thought perhaps pressure from the dummy could have caused this mark.</w:t>
      </w:r>
    </w:p>
    <w:p w14:paraId="11806819" w14:textId="77777777" w:rsidR="00DC4328" w:rsidRPr="00DC4328" w:rsidRDefault="00DC4328" w:rsidP="006443D9">
      <w:pPr>
        <w:pStyle w:val="ListParagraph"/>
        <w:spacing w:line="276" w:lineRule="auto"/>
        <w:ind w:left="851"/>
        <w:rPr>
          <w:rFonts w:ascii="Verdana" w:hAnsi="Verdana" w:cstheme="minorHAnsi"/>
        </w:rPr>
      </w:pPr>
    </w:p>
    <w:p w14:paraId="026231D3" w14:textId="6F7A64E6" w:rsidR="00B938E7" w:rsidRPr="006443D9" w:rsidRDefault="00B938E7" w:rsidP="0063569B">
      <w:pPr>
        <w:pStyle w:val="ListParagraph"/>
        <w:numPr>
          <w:ilvl w:val="0"/>
          <w:numId w:val="1"/>
        </w:numPr>
        <w:spacing w:after="240" w:line="276" w:lineRule="auto"/>
        <w:ind w:left="851" w:hanging="851"/>
        <w:jc w:val="both"/>
        <w:rPr>
          <w:rFonts w:ascii="Verdana" w:hAnsi="Verdana" w:cstheme="minorHAnsi"/>
        </w:rPr>
      </w:pPr>
      <w:r w:rsidRPr="006443D9">
        <w:rPr>
          <w:rFonts w:ascii="Verdana" w:hAnsi="Verdana" w:cstheme="minorHAnsi"/>
        </w:rPr>
        <w:t>The medical examinations of both children revealed no retinal haemorrhages, and no subdural haemorrhages or other brain changes.</w:t>
      </w:r>
      <w:r w:rsidR="006443D9">
        <w:rPr>
          <w:rFonts w:ascii="Verdana" w:hAnsi="Verdana" w:cstheme="minorHAnsi"/>
        </w:rPr>
        <w:t xml:space="preserve"> </w:t>
      </w:r>
      <w:r w:rsidRPr="006443D9">
        <w:rPr>
          <w:rFonts w:ascii="Verdana" w:hAnsi="Verdana" w:cstheme="minorHAnsi"/>
        </w:rPr>
        <w:t>They also excluded known bleeding disorders and known genetic abnormalities.</w:t>
      </w:r>
    </w:p>
    <w:p w14:paraId="5C9521D5" w14:textId="77777777" w:rsidR="00DC4328" w:rsidRDefault="00DC4328" w:rsidP="002B5C77">
      <w:pPr>
        <w:pStyle w:val="ListParagraph"/>
        <w:spacing w:after="240" w:line="276" w:lineRule="auto"/>
        <w:ind w:left="851"/>
        <w:rPr>
          <w:rFonts w:ascii="Verdana" w:hAnsi="Verdana" w:cstheme="minorHAnsi"/>
        </w:rPr>
      </w:pPr>
    </w:p>
    <w:p w14:paraId="713120FF" w14:textId="7F6D927E" w:rsidR="00CF28E1" w:rsidRDefault="00CF28E1"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evidence of Associate Professor </w:t>
      </w:r>
      <w:r w:rsidR="003A2F8C">
        <w:rPr>
          <w:rFonts w:ascii="Verdana" w:hAnsi="Verdana" w:cstheme="minorHAnsi"/>
        </w:rPr>
        <w:t>HS</w:t>
      </w:r>
      <w:r w:rsidRPr="00D94E5D">
        <w:rPr>
          <w:rFonts w:ascii="Verdana" w:hAnsi="Verdana" w:cstheme="minorHAnsi"/>
        </w:rPr>
        <w:t xml:space="preserve"> was that the twins both had borderline factor XI results, and that the PFA platelet clotting test had been unable to be performed. His opinion based on the result</w:t>
      </w:r>
      <w:r w:rsidR="00530E97" w:rsidRPr="00D94E5D">
        <w:rPr>
          <w:rFonts w:ascii="Verdana" w:hAnsi="Verdana" w:cstheme="minorHAnsi"/>
        </w:rPr>
        <w:t xml:space="preserve"> of the blood tests</w:t>
      </w:r>
      <w:r w:rsidRPr="00D94E5D">
        <w:rPr>
          <w:rFonts w:ascii="Verdana" w:hAnsi="Verdana" w:cstheme="minorHAnsi"/>
        </w:rPr>
        <w:t xml:space="preserve"> was that the factor XI abnormality was not at a level associated with spontaneous bleeding or bruising. Associate Professor </w:t>
      </w:r>
      <w:r w:rsidR="003A2F8C">
        <w:rPr>
          <w:rFonts w:ascii="Verdana" w:hAnsi="Verdana" w:cstheme="minorHAnsi"/>
        </w:rPr>
        <w:t>HS</w:t>
      </w:r>
      <w:r w:rsidRPr="00D94E5D">
        <w:rPr>
          <w:rFonts w:ascii="Verdana" w:hAnsi="Verdana" w:cstheme="minorHAnsi"/>
        </w:rPr>
        <w:t xml:space="preserve"> was consulted by both Dr </w:t>
      </w:r>
      <w:r w:rsidR="003A2F8C">
        <w:rPr>
          <w:rFonts w:ascii="Verdana" w:hAnsi="Verdana" w:cstheme="minorHAnsi"/>
        </w:rPr>
        <w:t>HM</w:t>
      </w:r>
      <w:r w:rsidRPr="00D94E5D">
        <w:rPr>
          <w:rFonts w:ascii="Verdana" w:hAnsi="Verdana" w:cstheme="minorHAnsi"/>
        </w:rPr>
        <w:t xml:space="preserve"> of VFPMS and Professor </w:t>
      </w:r>
      <w:r w:rsidR="003A2F8C">
        <w:rPr>
          <w:rFonts w:ascii="Verdana" w:hAnsi="Verdana" w:cstheme="minorHAnsi"/>
        </w:rPr>
        <w:t>AN</w:t>
      </w:r>
      <w:r w:rsidRPr="00D94E5D">
        <w:rPr>
          <w:rFonts w:ascii="Verdana" w:hAnsi="Verdana" w:cstheme="minorHAnsi"/>
        </w:rPr>
        <w:t xml:space="preserve"> regarding the blood test results. He also gave evidence regarding the potential impact on the twin of the mother being prescribed Clexane, a low molecular weight heparin, post c-section. The question of whether this medication had a role in any of the injuries was first raised in the Emergency Department of the Royal Children’s Hospital. In his opinion, the use of Clexane would not have caused the abnormal factor XI, or other mild abnormalities described in the children’s blood tests as he understood low molecular weight heparins to not be orally available in breast milk.</w:t>
      </w:r>
    </w:p>
    <w:p w14:paraId="2944123F" w14:textId="77777777" w:rsidR="00DC4328" w:rsidRDefault="00DC4328" w:rsidP="002B5C77">
      <w:pPr>
        <w:pStyle w:val="ListParagraph"/>
        <w:spacing w:after="240" w:line="276" w:lineRule="auto"/>
        <w:ind w:left="851"/>
        <w:rPr>
          <w:rFonts w:ascii="Verdana" w:hAnsi="Verdana" w:cstheme="minorHAnsi"/>
        </w:rPr>
      </w:pPr>
    </w:p>
    <w:p w14:paraId="47CE12E4" w14:textId="1199E096" w:rsidR="00D44874" w:rsidRDefault="00D44874"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evidence of </w:t>
      </w:r>
      <w:r w:rsidR="0012239A">
        <w:rPr>
          <w:rFonts w:ascii="Verdana" w:hAnsi="Verdana" w:cstheme="minorHAnsi"/>
        </w:rPr>
        <w:t xml:space="preserve">both </w:t>
      </w:r>
      <w:r w:rsidRPr="00D94E5D">
        <w:rPr>
          <w:rFonts w:ascii="Verdana" w:hAnsi="Verdana" w:cstheme="minorHAnsi"/>
        </w:rPr>
        <w:t xml:space="preserve">Dr </w:t>
      </w:r>
      <w:r w:rsidR="003A2F8C">
        <w:rPr>
          <w:rFonts w:ascii="Verdana" w:hAnsi="Verdana" w:cstheme="minorHAnsi"/>
        </w:rPr>
        <w:t>HM</w:t>
      </w:r>
      <w:r w:rsidRPr="00D94E5D">
        <w:rPr>
          <w:rFonts w:ascii="Verdana" w:hAnsi="Verdana" w:cstheme="minorHAnsi"/>
        </w:rPr>
        <w:t xml:space="preserve"> and Professor </w:t>
      </w:r>
      <w:r w:rsidR="003A2F8C">
        <w:rPr>
          <w:rFonts w:ascii="Verdana" w:hAnsi="Verdana" w:cstheme="minorHAnsi"/>
        </w:rPr>
        <w:t>AN</w:t>
      </w:r>
      <w:r w:rsidRPr="00D94E5D">
        <w:rPr>
          <w:rFonts w:ascii="Verdana" w:hAnsi="Verdana" w:cstheme="minorHAnsi"/>
        </w:rPr>
        <w:t xml:space="preserve"> was that the marks see</w:t>
      </w:r>
      <w:r w:rsidR="00530E97" w:rsidRPr="00D94E5D">
        <w:rPr>
          <w:rFonts w:ascii="Verdana" w:hAnsi="Verdana" w:cstheme="minorHAnsi"/>
        </w:rPr>
        <w:t>n</w:t>
      </w:r>
      <w:r w:rsidRPr="00D94E5D">
        <w:rPr>
          <w:rFonts w:ascii="Verdana" w:hAnsi="Verdana" w:cstheme="minorHAnsi"/>
        </w:rPr>
        <w:t xml:space="preserve"> on the skin were of differing mechanism to the single rib fracture in each child.</w:t>
      </w:r>
    </w:p>
    <w:p w14:paraId="4F0724FB" w14:textId="77777777" w:rsidR="00DC4328" w:rsidRPr="00DC4328" w:rsidRDefault="00DC4328" w:rsidP="006E52F0">
      <w:pPr>
        <w:pStyle w:val="ListParagraph"/>
        <w:spacing w:line="276" w:lineRule="auto"/>
        <w:ind w:left="851"/>
        <w:rPr>
          <w:rFonts w:ascii="Verdana" w:hAnsi="Verdana" w:cstheme="minorHAnsi"/>
        </w:rPr>
      </w:pPr>
    </w:p>
    <w:p w14:paraId="47B78BAB" w14:textId="572754E3" w:rsidR="00D44874" w:rsidRDefault="00D44874"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There was </w:t>
      </w:r>
      <w:r w:rsidR="00DB1A55">
        <w:rPr>
          <w:rFonts w:ascii="Verdana" w:hAnsi="Verdana" w:cstheme="minorHAnsi"/>
        </w:rPr>
        <w:t>some</w:t>
      </w:r>
      <w:r w:rsidRPr="00D94E5D">
        <w:rPr>
          <w:rFonts w:ascii="Verdana" w:hAnsi="Verdana" w:cstheme="minorHAnsi"/>
        </w:rPr>
        <w:t xml:space="preserve"> dispute between the categorisation of the marks between the medical witnesses shown the images – Professor </w:t>
      </w:r>
      <w:r w:rsidR="003A2F8C">
        <w:rPr>
          <w:rFonts w:ascii="Verdana" w:hAnsi="Verdana" w:cstheme="minorHAnsi"/>
        </w:rPr>
        <w:t>AN</w:t>
      </w:r>
      <w:r w:rsidRPr="00D94E5D">
        <w:rPr>
          <w:rFonts w:ascii="Verdana" w:hAnsi="Verdana" w:cstheme="minorHAnsi"/>
        </w:rPr>
        <w:t xml:space="preserve">, Professor </w:t>
      </w:r>
      <w:r w:rsidR="003A2F8C">
        <w:rPr>
          <w:rFonts w:ascii="Verdana" w:hAnsi="Verdana" w:cstheme="minorHAnsi"/>
        </w:rPr>
        <w:t>LG</w:t>
      </w:r>
      <w:r w:rsidRPr="00D94E5D">
        <w:rPr>
          <w:rFonts w:ascii="Verdana" w:hAnsi="Verdana" w:cstheme="minorHAnsi"/>
        </w:rPr>
        <w:t xml:space="preserve"> and Dr </w:t>
      </w:r>
      <w:r w:rsidR="003A2F8C">
        <w:rPr>
          <w:rFonts w:ascii="Verdana" w:hAnsi="Verdana" w:cstheme="minorHAnsi"/>
        </w:rPr>
        <w:t>HM</w:t>
      </w:r>
      <w:r w:rsidRPr="00D94E5D">
        <w:rPr>
          <w:rFonts w:ascii="Verdana" w:hAnsi="Verdana" w:cstheme="minorHAnsi"/>
        </w:rPr>
        <w:t>.</w:t>
      </w:r>
    </w:p>
    <w:p w14:paraId="210A7C84" w14:textId="77777777" w:rsidR="00DC4328" w:rsidRPr="00DC4328" w:rsidRDefault="00DC4328" w:rsidP="006E52F0">
      <w:pPr>
        <w:pStyle w:val="ListParagraph"/>
        <w:spacing w:line="276" w:lineRule="auto"/>
        <w:ind w:left="851"/>
        <w:rPr>
          <w:rFonts w:ascii="Verdana" w:hAnsi="Verdana" w:cstheme="minorHAnsi"/>
        </w:rPr>
      </w:pPr>
    </w:p>
    <w:p w14:paraId="020BAE76" w14:textId="3A7B21A5" w:rsidR="00D32CC5" w:rsidRDefault="00D32CC5"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Professor </w:t>
      </w:r>
      <w:r w:rsidR="003A2F8C">
        <w:rPr>
          <w:rFonts w:ascii="Verdana" w:hAnsi="Verdana" w:cstheme="minorHAnsi"/>
        </w:rPr>
        <w:t>AN</w:t>
      </w:r>
      <w:r w:rsidRPr="00D94E5D">
        <w:rPr>
          <w:rFonts w:ascii="Verdana" w:hAnsi="Verdana" w:cstheme="minorHAnsi"/>
        </w:rPr>
        <w:t xml:space="preserve"> disputed the characterisation of the </w:t>
      </w:r>
      <w:r w:rsidR="00DC4328">
        <w:rPr>
          <w:rFonts w:ascii="Verdana" w:hAnsi="Verdana" w:cstheme="minorHAnsi"/>
        </w:rPr>
        <w:t>two</w:t>
      </w:r>
      <w:r w:rsidRPr="00D94E5D">
        <w:rPr>
          <w:rFonts w:ascii="Verdana" w:hAnsi="Verdana" w:cstheme="minorHAnsi"/>
        </w:rPr>
        <w:t xml:space="preserve"> marks on </w:t>
      </w:r>
      <w:r w:rsidR="003A2F8C">
        <w:rPr>
          <w:rFonts w:ascii="Verdana" w:hAnsi="Verdana" w:cstheme="minorHAnsi"/>
        </w:rPr>
        <w:t>Gregory</w:t>
      </w:r>
      <w:r w:rsidRPr="00D94E5D">
        <w:rPr>
          <w:rFonts w:ascii="Verdana" w:hAnsi="Verdana" w:cstheme="minorHAnsi"/>
        </w:rPr>
        <w:t xml:space="preserve"> as bruises, noting that she had been informed the marks disappeared </w:t>
      </w:r>
      <w:r w:rsidR="007F7D31" w:rsidRPr="00D94E5D">
        <w:rPr>
          <w:rFonts w:ascii="Verdana" w:hAnsi="Verdana" w:cstheme="minorHAnsi"/>
        </w:rPr>
        <w:t>by 12</w:t>
      </w:r>
      <w:r w:rsidR="006E52F0">
        <w:rPr>
          <w:rFonts w:ascii="Verdana" w:hAnsi="Verdana" w:cstheme="minorHAnsi"/>
        </w:rPr>
        <w:t> </w:t>
      </w:r>
      <w:r w:rsidR="007F7D31" w:rsidRPr="00D94E5D">
        <w:rPr>
          <w:rFonts w:ascii="Verdana" w:hAnsi="Verdana" w:cstheme="minorHAnsi"/>
        </w:rPr>
        <w:t>March 2022</w:t>
      </w:r>
      <w:r w:rsidRPr="00D94E5D">
        <w:rPr>
          <w:rFonts w:ascii="Verdana" w:hAnsi="Verdana" w:cstheme="minorHAnsi"/>
        </w:rPr>
        <w:t xml:space="preserve"> which in her opinion made them more consistent with pressure marks.</w:t>
      </w:r>
    </w:p>
    <w:p w14:paraId="076BF102" w14:textId="77777777" w:rsidR="00E62172" w:rsidRPr="00E62172" w:rsidRDefault="00E62172" w:rsidP="006E52F0">
      <w:pPr>
        <w:pStyle w:val="ListParagraph"/>
        <w:spacing w:line="276" w:lineRule="auto"/>
        <w:ind w:left="851"/>
        <w:jc w:val="both"/>
        <w:rPr>
          <w:rFonts w:ascii="Verdana" w:hAnsi="Verdana" w:cstheme="minorHAnsi"/>
        </w:rPr>
      </w:pPr>
    </w:p>
    <w:p w14:paraId="3CC1009D" w14:textId="1445F7C5" w:rsidR="00D44874" w:rsidRDefault="00D44874"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Dr </w:t>
      </w:r>
      <w:r w:rsidR="003A2F8C">
        <w:rPr>
          <w:rFonts w:ascii="Verdana" w:hAnsi="Verdana" w:cstheme="minorHAnsi"/>
        </w:rPr>
        <w:t>HM</w:t>
      </w:r>
      <w:r w:rsidRPr="00D94E5D">
        <w:rPr>
          <w:rFonts w:ascii="Verdana" w:hAnsi="Verdana" w:cstheme="minorHAnsi"/>
        </w:rPr>
        <w:t xml:space="preserve"> conceded from the clinical photographs</w:t>
      </w:r>
      <w:r w:rsidR="00530E97" w:rsidRPr="00D94E5D">
        <w:rPr>
          <w:rFonts w:ascii="Verdana" w:hAnsi="Verdana" w:cstheme="minorHAnsi"/>
        </w:rPr>
        <w:t xml:space="preserve"> that</w:t>
      </w:r>
      <w:r w:rsidRPr="00D94E5D">
        <w:rPr>
          <w:rFonts w:ascii="Verdana" w:hAnsi="Verdana" w:cstheme="minorHAnsi"/>
        </w:rPr>
        <w:t xml:space="preserve"> she could not say without doubt that the pink mark on </w:t>
      </w:r>
      <w:r w:rsidR="003A2F8C">
        <w:rPr>
          <w:rFonts w:ascii="Verdana" w:hAnsi="Verdana" w:cstheme="minorHAnsi"/>
        </w:rPr>
        <w:t>Gregory</w:t>
      </w:r>
      <w:r w:rsidRPr="00D94E5D">
        <w:rPr>
          <w:rFonts w:ascii="Verdana" w:hAnsi="Verdana" w:cstheme="minorHAnsi"/>
        </w:rPr>
        <w:t>’s chin was a bruise.</w:t>
      </w:r>
    </w:p>
    <w:p w14:paraId="24310AD4" w14:textId="77777777" w:rsidR="00DC4328" w:rsidRPr="00D94E5D" w:rsidRDefault="00DC4328" w:rsidP="002B5C77">
      <w:pPr>
        <w:pStyle w:val="ListParagraph"/>
        <w:spacing w:after="240" w:line="276" w:lineRule="auto"/>
        <w:ind w:left="851"/>
        <w:rPr>
          <w:rFonts w:ascii="Verdana" w:hAnsi="Verdana" w:cstheme="minorHAnsi"/>
        </w:rPr>
      </w:pPr>
    </w:p>
    <w:p w14:paraId="15309101" w14:textId="1AF077F6" w:rsidR="00D32CC5" w:rsidRDefault="00D32CC5"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images were also shown to Professor </w:t>
      </w:r>
      <w:r w:rsidR="003A2F8C">
        <w:rPr>
          <w:rFonts w:ascii="Verdana" w:hAnsi="Verdana" w:cstheme="minorHAnsi"/>
        </w:rPr>
        <w:t>LG</w:t>
      </w:r>
      <w:r w:rsidRPr="00D94E5D">
        <w:rPr>
          <w:rFonts w:ascii="Verdana" w:hAnsi="Verdana" w:cstheme="minorHAnsi"/>
        </w:rPr>
        <w:t xml:space="preserve">, paediatric haematologist. His evidence was that he could not say whether they were accidental or not, but that the maternal and child health nurse was justified in referring the </w:t>
      </w:r>
      <w:r w:rsidRPr="00D94E5D">
        <w:rPr>
          <w:rFonts w:ascii="Verdana" w:hAnsi="Verdana" w:cstheme="minorHAnsi"/>
        </w:rPr>
        <w:lastRenderedPageBreak/>
        <w:t xml:space="preserve">children to the RCH as it is unusual for ‘bruising’ on young babies, and </w:t>
      </w:r>
      <w:r w:rsidR="00E62172">
        <w:rPr>
          <w:rFonts w:ascii="Verdana" w:hAnsi="Verdana" w:cstheme="minorHAnsi"/>
        </w:rPr>
        <w:t xml:space="preserve">it was </w:t>
      </w:r>
      <w:r w:rsidRPr="00D94E5D">
        <w:rPr>
          <w:rFonts w:ascii="Verdana" w:hAnsi="Verdana" w:cstheme="minorHAnsi"/>
        </w:rPr>
        <w:t xml:space="preserve">important to assess to see if any urgent treatment </w:t>
      </w:r>
      <w:r w:rsidR="00E62172">
        <w:rPr>
          <w:rFonts w:ascii="Verdana" w:hAnsi="Verdana" w:cstheme="minorHAnsi"/>
        </w:rPr>
        <w:t xml:space="preserve">was </w:t>
      </w:r>
      <w:r w:rsidRPr="00D94E5D">
        <w:rPr>
          <w:rFonts w:ascii="Verdana" w:hAnsi="Verdana" w:cstheme="minorHAnsi"/>
        </w:rPr>
        <w:t>required for issues such as vitamin K disorder. Of all the clinical photographs, his opinion was that only</w:t>
      </w:r>
      <w:r w:rsidR="00DC4328">
        <w:rPr>
          <w:rFonts w:ascii="Verdana" w:hAnsi="Verdana" w:cstheme="minorHAnsi"/>
        </w:rPr>
        <w:t xml:space="preserve"> two</w:t>
      </w:r>
      <w:r w:rsidRPr="00D94E5D">
        <w:rPr>
          <w:rFonts w:ascii="Verdana" w:hAnsi="Verdana" w:cstheme="minorHAnsi"/>
        </w:rPr>
        <w:t xml:space="preserve"> were bruises</w:t>
      </w:r>
      <w:r w:rsidR="00FB588E">
        <w:rPr>
          <w:rFonts w:ascii="Verdana" w:hAnsi="Verdana" w:cstheme="minorHAnsi"/>
        </w:rPr>
        <w:t>,</w:t>
      </w:r>
      <w:r w:rsidRPr="00D94E5D">
        <w:rPr>
          <w:rFonts w:ascii="Verdana" w:hAnsi="Verdana" w:cstheme="minorHAnsi"/>
        </w:rPr>
        <w:t xml:space="preserve"> those being on the calf and thigh of </w:t>
      </w:r>
      <w:r w:rsidR="003A2F8C">
        <w:rPr>
          <w:rFonts w:ascii="Verdana" w:hAnsi="Verdana" w:cstheme="minorHAnsi"/>
        </w:rPr>
        <w:t>Maria</w:t>
      </w:r>
      <w:r w:rsidRPr="00D94E5D">
        <w:rPr>
          <w:rFonts w:ascii="Verdana" w:hAnsi="Verdana" w:cstheme="minorHAnsi"/>
        </w:rPr>
        <w:t>.</w:t>
      </w:r>
    </w:p>
    <w:p w14:paraId="654D84AE" w14:textId="77777777" w:rsidR="00DC4328" w:rsidRPr="00DC4328" w:rsidRDefault="00DC4328" w:rsidP="006E52F0">
      <w:pPr>
        <w:pStyle w:val="ListParagraph"/>
        <w:spacing w:line="276" w:lineRule="auto"/>
        <w:ind w:left="851"/>
        <w:rPr>
          <w:rFonts w:ascii="Verdana" w:hAnsi="Verdana" w:cstheme="minorHAnsi"/>
        </w:rPr>
      </w:pPr>
    </w:p>
    <w:p w14:paraId="03378652" w14:textId="32A82D4A" w:rsidR="00D32CC5" w:rsidRDefault="00D32CC5"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In response to a </w:t>
      </w:r>
      <w:proofErr w:type="gramStart"/>
      <w:r w:rsidRPr="00D94E5D">
        <w:rPr>
          <w:rFonts w:ascii="Verdana" w:hAnsi="Verdana" w:cstheme="minorHAnsi"/>
        </w:rPr>
        <w:t>question</w:t>
      </w:r>
      <w:proofErr w:type="gramEnd"/>
      <w:r w:rsidRPr="00D94E5D">
        <w:rPr>
          <w:rFonts w:ascii="Verdana" w:hAnsi="Verdana" w:cstheme="minorHAnsi"/>
        </w:rPr>
        <w:t xml:space="preserve"> I asked based on evidence that the markings were present for 48 hours or less, Professor </w:t>
      </w:r>
      <w:r w:rsidR="003A2F8C">
        <w:rPr>
          <w:rFonts w:ascii="Verdana" w:hAnsi="Verdana" w:cstheme="minorHAnsi"/>
        </w:rPr>
        <w:t>LG</w:t>
      </w:r>
      <w:r w:rsidRPr="00D94E5D">
        <w:rPr>
          <w:rFonts w:ascii="Verdana" w:hAnsi="Verdana" w:cstheme="minorHAnsi"/>
        </w:rPr>
        <w:t xml:space="preserve"> stated that this spoke to the amount of force likely to have caused them, and had earlier stated that in babies, forces are exaggerated, and in his opinion based on results of blood tests, that </w:t>
      </w:r>
      <w:r w:rsidR="00FB588E">
        <w:rPr>
          <w:rFonts w:ascii="Verdana" w:hAnsi="Verdana" w:cstheme="minorHAnsi"/>
        </w:rPr>
        <w:t xml:space="preserve">the </w:t>
      </w:r>
      <w:r w:rsidRPr="00D94E5D">
        <w:rPr>
          <w:rFonts w:ascii="Verdana" w:hAnsi="Verdana" w:cstheme="minorHAnsi"/>
        </w:rPr>
        <w:t>likely cause was “some kind of handling over and above normal”.</w:t>
      </w:r>
    </w:p>
    <w:p w14:paraId="7D9DADE9" w14:textId="77777777" w:rsidR="00DC4328" w:rsidRPr="00DC4328" w:rsidRDefault="00DC4328" w:rsidP="006E52F0">
      <w:pPr>
        <w:pStyle w:val="ListParagraph"/>
        <w:spacing w:line="276" w:lineRule="auto"/>
        <w:ind w:left="851"/>
        <w:rPr>
          <w:rFonts w:ascii="Verdana" w:hAnsi="Verdana" w:cstheme="minorHAnsi"/>
        </w:rPr>
      </w:pPr>
    </w:p>
    <w:p w14:paraId="0428AFB1" w14:textId="582D55EF" w:rsidR="00D32CC5" w:rsidRDefault="00D32CC5"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Professor </w:t>
      </w:r>
      <w:r w:rsidR="003A2F8C">
        <w:rPr>
          <w:rFonts w:ascii="Verdana" w:hAnsi="Verdana" w:cstheme="minorHAnsi"/>
        </w:rPr>
        <w:t>AN</w:t>
      </w:r>
      <w:r w:rsidRPr="00D94E5D">
        <w:rPr>
          <w:rFonts w:ascii="Verdana" w:hAnsi="Verdana" w:cstheme="minorHAnsi"/>
        </w:rPr>
        <w:t>’s opinion as to likely causes for the marks was that the father’s explanation of the leg cycling exercises, and the rings he wore are consistent with a possible mechanism. Her opinion was that it was more likely they were “more likely accidental damage by an inexperienced parent”</w:t>
      </w:r>
      <w:r w:rsidR="00530E97" w:rsidRPr="00D94E5D">
        <w:rPr>
          <w:rFonts w:ascii="Verdana" w:hAnsi="Verdana" w:cstheme="minorHAnsi"/>
        </w:rPr>
        <w:t>.</w:t>
      </w:r>
    </w:p>
    <w:p w14:paraId="02F166ED" w14:textId="77777777" w:rsidR="00DC4328" w:rsidRPr="00DC4328" w:rsidRDefault="00DC4328" w:rsidP="006E52F0">
      <w:pPr>
        <w:pStyle w:val="ListParagraph"/>
        <w:spacing w:line="276" w:lineRule="auto"/>
        <w:ind w:left="851"/>
        <w:rPr>
          <w:rFonts w:ascii="Verdana" w:hAnsi="Verdana" w:cstheme="minorHAnsi"/>
        </w:rPr>
      </w:pPr>
    </w:p>
    <w:p w14:paraId="4FDA4C37" w14:textId="1AC5E8EB" w:rsidR="00D32CC5" w:rsidRDefault="00D32CC5" w:rsidP="002B5C77">
      <w:pPr>
        <w:pStyle w:val="ListParagraph"/>
        <w:numPr>
          <w:ilvl w:val="0"/>
          <w:numId w:val="1"/>
        </w:numPr>
        <w:spacing w:after="240" w:line="276" w:lineRule="auto"/>
        <w:ind w:left="851" w:hanging="851"/>
        <w:rPr>
          <w:rFonts w:ascii="Verdana" w:hAnsi="Verdana" w:cstheme="minorHAnsi"/>
        </w:rPr>
      </w:pPr>
      <w:r w:rsidRPr="00D94E5D">
        <w:rPr>
          <w:rFonts w:ascii="Verdana" w:hAnsi="Verdana" w:cstheme="minorHAnsi"/>
        </w:rPr>
        <w:t xml:space="preserve">Dr </w:t>
      </w:r>
      <w:r w:rsidR="003A2F8C">
        <w:rPr>
          <w:rFonts w:ascii="Verdana" w:hAnsi="Verdana" w:cstheme="minorHAnsi"/>
        </w:rPr>
        <w:t>HM</w:t>
      </w:r>
      <w:r w:rsidRPr="00D94E5D">
        <w:rPr>
          <w:rFonts w:ascii="Verdana" w:hAnsi="Verdana" w:cstheme="minorHAnsi"/>
        </w:rPr>
        <w:t xml:space="preserve"> disputed that the marks on </w:t>
      </w:r>
      <w:r w:rsidR="003A2F8C">
        <w:rPr>
          <w:rFonts w:ascii="Verdana" w:hAnsi="Verdana" w:cstheme="minorHAnsi"/>
        </w:rPr>
        <w:t>Maria</w:t>
      </w:r>
      <w:r w:rsidRPr="00D94E5D">
        <w:rPr>
          <w:rFonts w:ascii="Verdana" w:hAnsi="Verdana" w:cstheme="minorHAnsi"/>
        </w:rPr>
        <w:t xml:space="preserve"> could have been caused by the leg cycling, as she was of the view </w:t>
      </w:r>
      <w:proofErr w:type="gramStart"/>
      <w:r w:rsidRPr="00D94E5D">
        <w:rPr>
          <w:rFonts w:ascii="Verdana" w:hAnsi="Verdana" w:cstheme="minorHAnsi"/>
        </w:rPr>
        <w:t>that ”much</w:t>
      </w:r>
      <w:proofErr w:type="gramEnd"/>
      <w:r w:rsidRPr="00D94E5D">
        <w:rPr>
          <w:rFonts w:ascii="Verdana" w:hAnsi="Verdana" w:cstheme="minorHAnsi"/>
        </w:rPr>
        <w:t xml:space="preserve"> greater force than normal </w:t>
      </w:r>
      <w:r w:rsidR="00E62172">
        <w:rPr>
          <w:rFonts w:ascii="Verdana" w:hAnsi="Verdana" w:cstheme="minorHAnsi"/>
        </w:rPr>
        <w:t xml:space="preserve">was </w:t>
      </w:r>
      <w:r w:rsidRPr="00D94E5D">
        <w:rPr>
          <w:rFonts w:ascii="Verdana" w:hAnsi="Verdana" w:cstheme="minorHAnsi"/>
        </w:rPr>
        <w:t>required to cause markings”.</w:t>
      </w:r>
    </w:p>
    <w:p w14:paraId="5368E418" w14:textId="77777777" w:rsidR="00DC4328" w:rsidRPr="00DC4328" w:rsidRDefault="00DC4328" w:rsidP="006E52F0">
      <w:pPr>
        <w:pStyle w:val="ListParagraph"/>
        <w:spacing w:line="276" w:lineRule="auto"/>
        <w:ind w:left="851"/>
        <w:rPr>
          <w:rFonts w:ascii="Verdana" w:hAnsi="Verdana" w:cstheme="minorHAnsi"/>
        </w:rPr>
      </w:pPr>
    </w:p>
    <w:p w14:paraId="22754FDD" w14:textId="4F649EC5" w:rsidR="00D32CC5" w:rsidRDefault="00D32CC5" w:rsidP="002B5C77">
      <w:pPr>
        <w:pStyle w:val="ListParagraph"/>
        <w:numPr>
          <w:ilvl w:val="0"/>
          <w:numId w:val="1"/>
        </w:numPr>
        <w:spacing w:after="240" w:line="276" w:lineRule="auto"/>
        <w:ind w:left="851" w:hanging="851"/>
        <w:rPr>
          <w:rFonts w:ascii="Verdana" w:hAnsi="Verdana" w:cstheme="minorHAnsi"/>
        </w:rPr>
      </w:pPr>
      <w:r w:rsidRPr="00D94E5D">
        <w:rPr>
          <w:rFonts w:ascii="Verdana" w:hAnsi="Verdana" w:cstheme="minorHAnsi"/>
        </w:rPr>
        <w:t>All medical professionals who gave evidence agreed that bruising in non-mobile infants is concerning. I agree.</w:t>
      </w:r>
    </w:p>
    <w:p w14:paraId="43FBFB8F" w14:textId="77777777" w:rsidR="00DC4328" w:rsidRPr="00DC4328" w:rsidRDefault="00DC4328" w:rsidP="006E52F0">
      <w:pPr>
        <w:pStyle w:val="ListParagraph"/>
        <w:spacing w:line="276" w:lineRule="auto"/>
        <w:ind w:left="851"/>
        <w:rPr>
          <w:rFonts w:ascii="Verdana" w:hAnsi="Verdana" w:cstheme="minorHAnsi"/>
        </w:rPr>
      </w:pPr>
    </w:p>
    <w:p w14:paraId="09859074" w14:textId="50D4DC84" w:rsidR="00D32CC5" w:rsidRDefault="00D32CC5"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marks had all disappeared by the time the </w:t>
      </w:r>
      <w:r w:rsidR="00D44874" w:rsidRPr="00D94E5D">
        <w:rPr>
          <w:rFonts w:ascii="Verdana" w:hAnsi="Verdana" w:cstheme="minorHAnsi"/>
        </w:rPr>
        <w:t>t</w:t>
      </w:r>
      <w:r w:rsidRPr="00D94E5D">
        <w:rPr>
          <w:rFonts w:ascii="Verdana" w:hAnsi="Verdana" w:cstheme="minorHAnsi"/>
        </w:rPr>
        <w:t xml:space="preserve">wins were discharged from the RCH as inpatients on 16 March 2022. </w:t>
      </w:r>
      <w:r w:rsidR="005D3242" w:rsidRPr="00D94E5D">
        <w:rPr>
          <w:rFonts w:ascii="Verdana" w:hAnsi="Verdana" w:cstheme="minorHAnsi"/>
        </w:rPr>
        <w:t xml:space="preserve">The mother informed </w:t>
      </w:r>
      <w:r w:rsidR="00530E97" w:rsidRPr="00D94E5D">
        <w:rPr>
          <w:rFonts w:ascii="Verdana" w:hAnsi="Verdana" w:cstheme="minorHAnsi"/>
        </w:rPr>
        <w:t xml:space="preserve">the then allocated child protection practitioner </w:t>
      </w:r>
      <w:r w:rsidR="005D3242" w:rsidRPr="00D94E5D">
        <w:rPr>
          <w:rFonts w:ascii="Verdana" w:hAnsi="Verdana" w:cstheme="minorHAnsi"/>
        </w:rPr>
        <w:t xml:space="preserve">Ms </w:t>
      </w:r>
      <w:r w:rsidR="00DB1A55">
        <w:rPr>
          <w:rFonts w:ascii="Verdana" w:hAnsi="Verdana" w:cstheme="minorHAnsi"/>
        </w:rPr>
        <w:t>TH</w:t>
      </w:r>
      <w:r w:rsidR="005D3242" w:rsidRPr="00D94E5D">
        <w:rPr>
          <w:rFonts w:ascii="Verdana" w:hAnsi="Verdana" w:cstheme="minorHAnsi"/>
        </w:rPr>
        <w:t xml:space="preserve"> during a phone call on 21 March that they had all resolved by 12 March</w:t>
      </w:r>
      <w:r w:rsidR="005D3242" w:rsidRPr="00D94E5D">
        <w:rPr>
          <w:rStyle w:val="FootnoteReference"/>
          <w:rFonts w:ascii="Verdana" w:hAnsi="Verdana" w:cstheme="minorHAnsi"/>
        </w:rPr>
        <w:footnoteReference w:id="5"/>
      </w:r>
      <w:r w:rsidR="005D3242" w:rsidRPr="00D94E5D">
        <w:rPr>
          <w:rFonts w:ascii="Verdana" w:hAnsi="Verdana" w:cstheme="minorHAnsi"/>
        </w:rPr>
        <w:t xml:space="preserve">, and no evidence was led to dispute this. </w:t>
      </w:r>
      <w:r w:rsidRPr="00D94E5D">
        <w:rPr>
          <w:rFonts w:ascii="Verdana" w:hAnsi="Verdana" w:cstheme="minorHAnsi"/>
        </w:rPr>
        <w:t xml:space="preserve">I accept the opinion of Professor </w:t>
      </w:r>
      <w:r w:rsidR="003A2F8C">
        <w:rPr>
          <w:rFonts w:ascii="Verdana" w:hAnsi="Verdana" w:cstheme="minorHAnsi"/>
        </w:rPr>
        <w:t>LG</w:t>
      </w:r>
      <w:r w:rsidRPr="00D94E5D">
        <w:rPr>
          <w:rFonts w:ascii="Verdana" w:hAnsi="Verdana" w:cstheme="minorHAnsi"/>
        </w:rPr>
        <w:t xml:space="preserve"> that </w:t>
      </w:r>
      <w:r w:rsidR="005D3242" w:rsidRPr="00D94E5D">
        <w:rPr>
          <w:rFonts w:ascii="Verdana" w:hAnsi="Verdana" w:cstheme="minorHAnsi"/>
        </w:rPr>
        <w:t>the short duration of the marks</w:t>
      </w:r>
      <w:r w:rsidRPr="00D94E5D">
        <w:rPr>
          <w:rFonts w:ascii="Verdana" w:hAnsi="Verdana" w:cstheme="minorHAnsi"/>
        </w:rPr>
        <w:t xml:space="preserve"> speaks to the amount of force applied </w:t>
      </w:r>
      <w:r w:rsidR="005D3242" w:rsidRPr="00D94E5D">
        <w:rPr>
          <w:rFonts w:ascii="Verdana" w:hAnsi="Verdana" w:cstheme="minorHAnsi"/>
        </w:rPr>
        <w:t>being lesser.</w:t>
      </w:r>
      <w:r w:rsidRPr="00D94E5D">
        <w:rPr>
          <w:rFonts w:ascii="Verdana" w:hAnsi="Verdana" w:cstheme="minorHAnsi"/>
        </w:rPr>
        <w:t xml:space="preserve"> </w:t>
      </w:r>
    </w:p>
    <w:p w14:paraId="6F904D0B" w14:textId="77777777" w:rsidR="00DC4328" w:rsidRPr="00DC4328" w:rsidRDefault="00DC4328" w:rsidP="006E52F0">
      <w:pPr>
        <w:pStyle w:val="ListParagraph"/>
        <w:spacing w:line="276" w:lineRule="auto"/>
        <w:ind w:left="851"/>
        <w:jc w:val="both"/>
        <w:rPr>
          <w:rFonts w:ascii="Verdana" w:hAnsi="Verdana" w:cstheme="minorHAnsi"/>
        </w:rPr>
      </w:pPr>
    </w:p>
    <w:p w14:paraId="64036A56" w14:textId="21B29CD0" w:rsidR="00D32CC5" w:rsidRDefault="00D32CC5"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No possible causes other than those raised by the parents have been suggested by medical experts.</w:t>
      </w:r>
      <w:r w:rsidR="007F7D31" w:rsidRPr="00D94E5D">
        <w:rPr>
          <w:rFonts w:ascii="Verdana" w:hAnsi="Verdana" w:cstheme="minorHAnsi"/>
        </w:rPr>
        <w:t xml:space="preserve"> There were no patterns to the bruising to indicate another obvious cause.</w:t>
      </w:r>
    </w:p>
    <w:p w14:paraId="33DCCC2B" w14:textId="77777777" w:rsidR="00DC4328" w:rsidRPr="00DC4328" w:rsidRDefault="00DC4328" w:rsidP="006E52F0">
      <w:pPr>
        <w:pStyle w:val="ListParagraph"/>
        <w:spacing w:line="276" w:lineRule="auto"/>
        <w:ind w:left="851"/>
        <w:jc w:val="both"/>
        <w:rPr>
          <w:rFonts w:ascii="Verdana" w:hAnsi="Verdana" w:cstheme="minorHAnsi"/>
        </w:rPr>
      </w:pPr>
    </w:p>
    <w:p w14:paraId="1DB0F4D0" w14:textId="12A837FF" w:rsidR="005D3242" w:rsidRDefault="005D3242"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I accept the evidence of Associate </w:t>
      </w:r>
      <w:r w:rsidR="00A37C55" w:rsidRPr="00D94E5D">
        <w:rPr>
          <w:rFonts w:ascii="Verdana" w:hAnsi="Verdana" w:cstheme="minorHAnsi"/>
        </w:rPr>
        <w:t>Professor</w:t>
      </w:r>
      <w:r w:rsidRPr="00D94E5D">
        <w:rPr>
          <w:rFonts w:ascii="Verdana" w:hAnsi="Verdana" w:cstheme="minorHAnsi"/>
        </w:rPr>
        <w:t xml:space="preserve"> </w:t>
      </w:r>
      <w:r w:rsidR="003A2F8C">
        <w:rPr>
          <w:rFonts w:ascii="Verdana" w:hAnsi="Verdana" w:cstheme="minorHAnsi"/>
        </w:rPr>
        <w:t>HS</w:t>
      </w:r>
      <w:r w:rsidRPr="00D94E5D">
        <w:rPr>
          <w:rFonts w:ascii="Verdana" w:hAnsi="Verdana" w:cstheme="minorHAnsi"/>
        </w:rPr>
        <w:t xml:space="preserve"> and Professor </w:t>
      </w:r>
      <w:r w:rsidR="003A2F8C">
        <w:rPr>
          <w:rFonts w:ascii="Verdana" w:hAnsi="Verdana" w:cstheme="minorHAnsi"/>
        </w:rPr>
        <w:t>LG</w:t>
      </w:r>
      <w:r w:rsidRPr="00D94E5D">
        <w:rPr>
          <w:rFonts w:ascii="Verdana" w:hAnsi="Verdana" w:cstheme="minorHAnsi"/>
        </w:rPr>
        <w:t xml:space="preserve"> that the prescribed use of low molecular weight heparins by the mother did not play a causative factor in the appearance of the marks/bruising.</w:t>
      </w:r>
    </w:p>
    <w:p w14:paraId="0DB5B7C6" w14:textId="77777777" w:rsidR="00DC4328" w:rsidRPr="00DC4328" w:rsidRDefault="00DC4328" w:rsidP="006E52F0">
      <w:pPr>
        <w:pStyle w:val="ListParagraph"/>
        <w:spacing w:line="276" w:lineRule="auto"/>
        <w:ind w:left="851"/>
        <w:jc w:val="both"/>
        <w:rPr>
          <w:rFonts w:ascii="Verdana" w:hAnsi="Verdana" w:cstheme="minorHAnsi"/>
        </w:rPr>
      </w:pPr>
    </w:p>
    <w:p w14:paraId="721347EC" w14:textId="40DC1C60" w:rsidR="00D32CC5" w:rsidRPr="00D94E5D" w:rsidRDefault="00D32CC5" w:rsidP="006E52F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father suggested his actions likely cause</w:t>
      </w:r>
      <w:r w:rsidR="007F7D31" w:rsidRPr="00D94E5D">
        <w:rPr>
          <w:rFonts w:ascii="Verdana" w:hAnsi="Verdana" w:cstheme="minorHAnsi"/>
        </w:rPr>
        <w:t>d</w:t>
      </w:r>
      <w:r w:rsidRPr="00D94E5D">
        <w:rPr>
          <w:rFonts w:ascii="Verdana" w:hAnsi="Verdana" w:cstheme="minorHAnsi"/>
        </w:rPr>
        <w:t xml:space="preserve"> </w:t>
      </w:r>
      <w:r w:rsidR="007F7D31" w:rsidRPr="00D94E5D">
        <w:rPr>
          <w:rFonts w:ascii="Verdana" w:hAnsi="Verdana" w:cstheme="minorHAnsi"/>
        </w:rPr>
        <w:t>the</w:t>
      </w:r>
      <w:r w:rsidRPr="00D94E5D">
        <w:rPr>
          <w:rFonts w:ascii="Verdana" w:hAnsi="Verdana" w:cstheme="minorHAnsi"/>
        </w:rPr>
        <w:t xml:space="preserve"> marks to the legs. I</w:t>
      </w:r>
      <w:r w:rsidR="006E52F0">
        <w:rPr>
          <w:rFonts w:ascii="Verdana" w:hAnsi="Verdana" w:cstheme="minorHAnsi"/>
        </w:rPr>
        <w:t> </w:t>
      </w:r>
      <w:r w:rsidRPr="00D94E5D">
        <w:rPr>
          <w:rFonts w:ascii="Verdana" w:hAnsi="Verdana" w:cstheme="minorHAnsi"/>
        </w:rPr>
        <w:t xml:space="preserve">accept that this explanation is the most probable cause, and that his </w:t>
      </w:r>
      <w:r w:rsidRPr="00D94E5D">
        <w:rPr>
          <w:rFonts w:ascii="Verdana" w:hAnsi="Verdana" w:cstheme="minorHAnsi"/>
        </w:rPr>
        <w:lastRenderedPageBreak/>
        <w:t>concession that he may have used to</w:t>
      </w:r>
      <w:r w:rsidR="00530E97" w:rsidRPr="00D94E5D">
        <w:rPr>
          <w:rFonts w:ascii="Verdana" w:hAnsi="Verdana" w:cstheme="minorHAnsi"/>
        </w:rPr>
        <w:t>o</w:t>
      </w:r>
      <w:r w:rsidRPr="00D94E5D">
        <w:rPr>
          <w:rFonts w:ascii="Verdana" w:hAnsi="Verdana" w:cstheme="minorHAnsi"/>
        </w:rPr>
        <w:t xml:space="preserve"> much pressure in his grip, combined with the large solid rings he wore on his fingers is an </w:t>
      </w:r>
      <w:r w:rsidR="00A37C55" w:rsidRPr="00D94E5D">
        <w:rPr>
          <w:rFonts w:ascii="Verdana" w:hAnsi="Verdana" w:cstheme="minorHAnsi"/>
        </w:rPr>
        <w:t>honest</w:t>
      </w:r>
      <w:r w:rsidRPr="00D94E5D">
        <w:rPr>
          <w:rFonts w:ascii="Verdana" w:hAnsi="Verdana" w:cstheme="minorHAnsi"/>
        </w:rPr>
        <w:t xml:space="preserve"> one.</w:t>
      </w:r>
    </w:p>
    <w:p w14:paraId="68BB0B0A" w14:textId="3EEFD599" w:rsidR="00D32CC5"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pink mark on </w:t>
      </w:r>
      <w:r w:rsidR="003A2F8C">
        <w:rPr>
          <w:rFonts w:ascii="Verdana" w:hAnsi="Verdana" w:cstheme="minorHAnsi"/>
        </w:rPr>
        <w:t>Gregory</w:t>
      </w:r>
      <w:r w:rsidRPr="00D94E5D">
        <w:rPr>
          <w:rFonts w:ascii="Verdana" w:hAnsi="Verdana" w:cstheme="minorHAnsi"/>
        </w:rPr>
        <w:t>’s chin is on the edge of a pronounced milia. The limited duration of it being observed speaks to a lesser force being the cause. The mechanism of the mother holding his chin to help him latch for breastfeeding is a likely cause.</w:t>
      </w:r>
    </w:p>
    <w:p w14:paraId="56667A0F" w14:textId="77777777" w:rsidR="00DC4328" w:rsidRDefault="00DC4328" w:rsidP="005F3672">
      <w:pPr>
        <w:pStyle w:val="ListParagraph"/>
        <w:spacing w:after="240" w:line="276" w:lineRule="auto"/>
        <w:ind w:left="851"/>
        <w:jc w:val="both"/>
        <w:rPr>
          <w:rFonts w:ascii="Verdana" w:hAnsi="Verdana" w:cstheme="minorHAnsi"/>
        </w:rPr>
      </w:pPr>
    </w:p>
    <w:p w14:paraId="6AA36475" w14:textId="78044F69" w:rsidR="00D32CC5"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twins have been examined and checked repeatedly since discharge from the RCH by Enhanced Maternal and Child </w:t>
      </w:r>
      <w:r w:rsidR="00530E97" w:rsidRPr="00D94E5D">
        <w:rPr>
          <w:rFonts w:ascii="Verdana" w:hAnsi="Verdana" w:cstheme="minorHAnsi"/>
        </w:rPr>
        <w:t>H</w:t>
      </w:r>
      <w:r w:rsidRPr="00D94E5D">
        <w:rPr>
          <w:rFonts w:ascii="Verdana" w:hAnsi="Verdana" w:cstheme="minorHAnsi"/>
        </w:rPr>
        <w:t>ealth nurses, Queen Elizabeth Centre parenting and skills development staff, a repeat examination by a different VFPMS clinician, and child protection staff. No</w:t>
      </w:r>
      <w:r w:rsidR="005F3672">
        <w:rPr>
          <w:rFonts w:ascii="Verdana" w:hAnsi="Verdana" w:cstheme="minorHAnsi"/>
        </w:rPr>
        <w:t> </w:t>
      </w:r>
      <w:r w:rsidRPr="00D94E5D">
        <w:rPr>
          <w:rFonts w:ascii="Verdana" w:hAnsi="Verdana" w:cstheme="minorHAnsi"/>
        </w:rPr>
        <w:t>repeat of any concerning marking on either child has occurred in the past 8 months.</w:t>
      </w:r>
    </w:p>
    <w:p w14:paraId="7F19C6CF" w14:textId="77777777" w:rsidR="0081252E" w:rsidRPr="0081252E" w:rsidRDefault="0081252E" w:rsidP="005F3672">
      <w:pPr>
        <w:pStyle w:val="ListParagraph"/>
        <w:spacing w:line="276" w:lineRule="auto"/>
        <w:ind w:left="851"/>
        <w:jc w:val="both"/>
        <w:rPr>
          <w:rFonts w:ascii="Verdana" w:hAnsi="Verdana" w:cstheme="minorHAnsi"/>
        </w:rPr>
      </w:pPr>
    </w:p>
    <w:p w14:paraId="1951D6F0" w14:textId="2674CA2E" w:rsidR="00D32CC5"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wind relieving and talipes exercises were done </w:t>
      </w:r>
      <w:r w:rsidR="00A37C55" w:rsidRPr="00D94E5D">
        <w:rPr>
          <w:rFonts w:ascii="Verdana" w:hAnsi="Verdana" w:cstheme="minorHAnsi"/>
        </w:rPr>
        <w:t>on</w:t>
      </w:r>
      <w:r w:rsidRPr="00D94E5D">
        <w:rPr>
          <w:rFonts w:ascii="Verdana" w:hAnsi="Verdana" w:cstheme="minorHAnsi"/>
        </w:rPr>
        <w:t xml:space="preserve"> the advice of medical professionals, as was the holding of the chin to assist with breastfeeding. I accept that the marks were not deliberately inflicted.</w:t>
      </w:r>
    </w:p>
    <w:p w14:paraId="7BEFC596" w14:textId="77777777" w:rsidR="0081252E" w:rsidRPr="0081252E" w:rsidRDefault="0081252E" w:rsidP="005F3672">
      <w:pPr>
        <w:pStyle w:val="ListParagraph"/>
        <w:spacing w:line="276" w:lineRule="auto"/>
        <w:ind w:left="851"/>
        <w:rPr>
          <w:rFonts w:ascii="Verdana" w:hAnsi="Verdana" w:cstheme="minorHAnsi"/>
        </w:rPr>
      </w:pPr>
    </w:p>
    <w:p w14:paraId="73AF8762" w14:textId="2DA7806D" w:rsidR="00D32CC5"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notes tendered into evidence of Ms </w:t>
      </w:r>
      <w:r w:rsidR="00F4389E">
        <w:rPr>
          <w:rFonts w:ascii="Verdana" w:hAnsi="Verdana" w:cstheme="minorHAnsi"/>
        </w:rPr>
        <w:t>Janine Finch</w:t>
      </w:r>
      <w:r w:rsidRPr="00D94E5D">
        <w:rPr>
          <w:rFonts w:ascii="Verdana" w:hAnsi="Verdana" w:cstheme="minorHAnsi"/>
        </w:rPr>
        <w:t>, EMCHN confirm that the parents ceased the wind relieving exercise</w:t>
      </w:r>
      <w:r w:rsidR="00A37C55" w:rsidRPr="00D94E5D">
        <w:rPr>
          <w:rFonts w:ascii="Verdana" w:hAnsi="Verdana" w:cstheme="minorHAnsi"/>
        </w:rPr>
        <w:t>s</w:t>
      </w:r>
      <w:r w:rsidRPr="00D94E5D">
        <w:rPr>
          <w:rFonts w:ascii="Verdana" w:hAnsi="Verdana" w:cstheme="minorHAnsi"/>
        </w:rPr>
        <w:t xml:space="preserve"> on the children.</w:t>
      </w:r>
    </w:p>
    <w:p w14:paraId="2AF8A055" w14:textId="77777777" w:rsidR="0081252E" w:rsidRPr="0081252E" w:rsidRDefault="0081252E" w:rsidP="005F3672">
      <w:pPr>
        <w:pStyle w:val="ListParagraph"/>
        <w:spacing w:line="276" w:lineRule="auto"/>
        <w:ind w:left="851"/>
        <w:rPr>
          <w:rFonts w:ascii="Verdana" w:hAnsi="Verdana" w:cstheme="minorHAnsi"/>
        </w:rPr>
      </w:pPr>
    </w:p>
    <w:p w14:paraId="2FE99E68" w14:textId="74DB3D58" w:rsidR="00D32CC5"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evidence of PASDS, EMCH nurses and child protection employees who conducted home visits is that </w:t>
      </w:r>
      <w:r w:rsidR="004E0889" w:rsidRPr="00D94E5D">
        <w:rPr>
          <w:rFonts w:ascii="Verdana" w:hAnsi="Verdana" w:cstheme="minorHAnsi"/>
        </w:rPr>
        <w:t xml:space="preserve">the </w:t>
      </w:r>
      <w:r w:rsidRPr="00D94E5D">
        <w:rPr>
          <w:rFonts w:ascii="Verdana" w:hAnsi="Verdana" w:cstheme="minorHAnsi"/>
        </w:rPr>
        <w:t xml:space="preserve">parents were consistently observed to provide gentle, </w:t>
      </w:r>
      <w:proofErr w:type="gramStart"/>
      <w:r w:rsidRPr="00D94E5D">
        <w:rPr>
          <w:rFonts w:ascii="Verdana" w:hAnsi="Verdana" w:cstheme="minorHAnsi"/>
        </w:rPr>
        <w:t>nurturing</w:t>
      </w:r>
      <w:proofErr w:type="gramEnd"/>
      <w:r w:rsidRPr="00D94E5D">
        <w:rPr>
          <w:rFonts w:ascii="Verdana" w:hAnsi="Verdana" w:cstheme="minorHAnsi"/>
        </w:rPr>
        <w:t xml:space="preserve"> and responsive care to the twins post discharge.</w:t>
      </w:r>
      <w:r w:rsidR="00A37C55" w:rsidRPr="00D94E5D">
        <w:rPr>
          <w:rFonts w:ascii="Verdana" w:hAnsi="Verdana" w:cstheme="minorHAnsi"/>
        </w:rPr>
        <w:t xml:space="preserve"> The </w:t>
      </w:r>
      <w:r w:rsidR="00E62172">
        <w:rPr>
          <w:rFonts w:ascii="Verdana" w:hAnsi="Verdana" w:cstheme="minorHAnsi"/>
        </w:rPr>
        <w:t>B</w:t>
      </w:r>
      <w:r w:rsidR="00A37C55" w:rsidRPr="00D94E5D">
        <w:rPr>
          <w:rFonts w:ascii="Verdana" w:hAnsi="Verdana" w:cstheme="minorHAnsi"/>
        </w:rPr>
        <w:t xml:space="preserve">reastfeeding </w:t>
      </w:r>
      <w:r w:rsidR="00E62172">
        <w:rPr>
          <w:rFonts w:ascii="Verdana" w:hAnsi="Verdana" w:cstheme="minorHAnsi"/>
        </w:rPr>
        <w:t>S</w:t>
      </w:r>
      <w:r w:rsidR="00A37C55" w:rsidRPr="00D94E5D">
        <w:rPr>
          <w:rFonts w:ascii="Verdana" w:hAnsi="Verdana" w:cstheme="minorHAnsi"/>
        </w:rPr>
        <w:t xml:space="preserve">ervice and Maternal and </w:t>
      </w:r>
      <w:r w:rsidR="00530E97" w:rsidRPr="00D94E5D">
        <w:rPr>
          <w:rFonts w:ascii="Verdana" w:hAnsi="Verdana" w:cstheme="minorHAnsi"/>
        </w:rPr>
        <w:t>C</w:t>
      </w:r>
      <w:r w:rsidR="00A37C55" w:rsidRPr="00D94E5D">
        <w:rPr>
          <w:rFonts w:ascii="Verdana" w:hAnsi="Verdana" w:cstheme="minorHAnsi"/>
        </w:rPr>
        <w:t xml:space="preserve">hild </w:t>
      </w:r>
      <w:r w:rsidR="00530E97" w:rsidRPr="00D94E5D">
        <w:rPr>
          <w:rFonts w:ascii="Verdana" w:hAnsi="Verdana" w:cstheme="minorHAnsi"/>
        </w:rPr>
        <w:t>H</w:t>
      </w:r>
      <w:r w:rsidR="00A37C55" w:rsidRPr="00D94E5D">
        <w:rPr>
          <w:rFonts w:ascii="Verdana" w:hAnsi="Verdana" w:cstheme="minorHAnsi"/>
        </w:rPr>
        <w:t xml:space="preserve">ealth </w:t>
      </w:r>
      <w:r w:rsidR="00530E97" w:rsidRPr="00D94E5D">
        <w:rPr>
          <w:rFonts w:ascii="Verdana" w:hAnsi="Verdana" w:cstheme="minorHAnsi"/>
        </w:rPr>
        <w:t>N</w:t>
      </w:r>
      <w:r w:rsidR="00A37C55" w:rsidRPr="00D94E5D">
        <w:rPr>
          <w:rFonts w:ascii="Verdana" w:hAnsi="Verdana" w:cstheme="minorHAnsi"/>
        </w:rPr>
        <w:t>urse had not noticed any marks on the children prior to 10 March 2022. The most recent breastfeeding nurse appointment had been on 7 March 2022</w:t>
      </w:r>
      <w:r w:rsidR="004E0889" w:rsidRPr="00D94E5D">
        <w:rPr>
          <w:rFonts w:ascii="Verdana" w:hAnsi="Verdana" w:cstheme="minorHAnsi"/>
        </w:rPr>
        <w:t>, where there were no concerns reported about the care provided to the twins</w:t>
      </w:r>
      <w:r w:rsidR="00A37C55" w:rsidRPr="00D94E5D">
        <w:rPr>
          <w:rFonts w:ascii="Verdana" w:hAnsi="Verdana" w:cstheme="minorHAnsi"/>
        </w:rPr>
        <w:t>.</w:t>
      </w:r>
    </w:p>
    <w:p w14:paraId="7544A5C4" w14:textId="77777777" w:rsidR="005F3672" w:rsidRPr="005F3672" w:rsidRDefault="005F3672" w:rsidP="005F3672">
      <w:pPr>
        <w:pStyle w:val="ListParagraph"/>
        <w:spacing w:after="0" w:line="240" w:lineRule="auto"/>
        <w:ind w:left="851"/>
        <w:rPr>
          <w:rFonts w:ascii="Verdana" w:hAnsi="Verdana" w:cstheme="minorHAnsi"/>
        </w:rPr>
      </w:pPr>
    </w:p>
    <w:p w14:paraId="306ED386" w14:textId="4EBD3001" w:rsidR="00D32CC5" w:rsidRPr="00D94E5D"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On the strength and abundance of evidence of proper care over the last 8 months, I find that it is unlikely </w:t>
      </w:r>
      <w:r w:rsidR="00530E97" w:rsidRPr="00D94E5D">
        <w:rPr>
          <w:rFonts w:ascii="Verdana" w:hAnsi="Verdana" w:cstheme="minorHAnsi"/>
        </w:rPr>
        <w:t>that</w:t>
      </w:r>
      <w:r w:rsidRPr="00D94E5D">
        <w:rPr>
          <w:rFonts w:ascii="Verdana" w:hAnsi="Verdana" w:cstheme="minorHAnsi"/>
        </w:rPr>
        <w:t xml:space="preserve"> the parents </w:t>
      </w:r>
      <w:r w:rsidR="00530E97" w:rsidRPr="00D94E5D">
        <w:rPr>
          <w:rFonts w:ascii="Verdana" w:hAnsi="Verdana" w:cstheme="minorHAnsi"/>
        </w:rPr>
        <w:t>will</w:t>
      </w:r>
      <w:r w:rsidRPr="00D94E5D">
        <w:rPr>
          <w:rFonts w:ascii="Verdana" w:hAnsi="Verdana" w:cstheme="minorHAnsi"/>
        </w:rPr>
        <w:t xml:space="preserve"> inadvertently cause further marks to the children in providing care in the future.</w:t>
      </w:r>
    </w:p>
    <w:p w14:paraId="3D4B437F" w14:textId="723B88E0" w:rsidR="00DD638E" w:rsidRPr="000836A3" w:rsidRDefault="00DD20AF" w:rsidP="002B5C77">
      <w:pPr>
        <w:spacing w:after="240" w:line="276" w:lineRule="auto"/>
        <w:ind w:left="851" w:hanging="851"/>
        <w:rPr>
          <w:rFonts w:ascii="Verdana" w:hAnsi="Verdana" w:cstheme="minorHAnsi"/>
          <w:b/>
          <w:bCs/>
        </w:rPr>
      </w:pPr>
      <w:r w:rsidRPr="000836A3">
        <w:rPr>
          <w:rFonts w:ascii="Verdana" w:hAnsi="Verdana" w:cstheme="minorHAnsi"/>
          <w:b/>
          <w:bCs/>
        </w:rPr>
        <w:t>MEDICAL IMAGING AND TIMING OF RIB FRACTURES</w:t>
      </w:r>
    </w:p>
    <w:p w14:paraId="5A4177D1" w14:textId="2B219553" w:rsidR="00DD638E" w:rsidRPr="000836A3" w:rsidRDefault="003A2F8C" w:rsidP="002B5C77">
      <w:pPr>
        <w:spacing w:after="240" w:line="276" w:lineRule="auto"/>
        <w:ind w:left="851" w:hanging="851"/>
        <w:rPr>
          <w:rFonts w:ascii="Verdana" w:hAnsi="Verdana" w:cstheme="minorHAnsi"/>
          <w:b/>
          <w:bCs/>
        </w:rPr>
      </w:pPr>
      <w:r>
        <w:rPr>
          <w:rFonts w:ascii="Verdana" w:hAnsi="Verdana" w:cstheme="minorHAnsi"/>
          <w:b/>
          <w:bCs/>
        </w:rPr>
        <w:t>GREGORY</w:t>
      </w:r>
    </w:p>
    <w:p w14:paraId="567467FC" w14:textId="16472691" w:rsidR="007F7D31" w:rsidRDefault="007F7D31"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Dr </w:t>
      </w:r>
      <w:r w:rsidR="003A2F8C">
        <w:rPr>
          <w:rFonts w:ascii="Verdana" w:hAnsi="Verdana" w:cstheme="minorHAnsi"/>
        </w:rPr>
        <w:t>MC</w:t>
      </w:r>
      <w:r w:rsidRPr="00D94E5D">
        <w:rPr>
          <w:rFonts w:ascii="Verdana" w:hAnsi="Verdana" w:cstheme="minorHAnsi"/>
        </w:rPr>
        <w:t xml:space="preserve"> gave evidence that </w:t>
      </w:r>
      <w:r w:rsidR="003A2F8C">
        <w:rPr>
          <w:rFonts w:ascii="Verdana" w:hAnsi="Verdana" w:cstheme="minorHAnsi"/>
        </w:rPr>
        <w:t>Gregory</w:t>
      </w:r>
      <w:r w:rsidRPr="00D94E5D">
        <w:rPr>
          <w:rFonts w:ascii="Verdana" w:hAnsi="Verdana" w:cstheme="minorHAnsi"/>
        </w:rPr>
        <w:t xml:space="preserve"> underwent a skeletal survey (x-ray) at 3:58pm on 11 March 2022, followed by a brain and spinal MRI at 6:57pm. He also underwent a </w:t>
      </w:r>
      <w:r w:rsidR="0077226C" w:rsidRPr="00D94E5D">
        <w:rPr>
          <w:rFonts w:ascii="Verdana" w:hAnsi="Verdana" w:cstheme="minorHAnsi"/>
        </w:rPr>
        <w:t>b</w:t>
      </w:r>
      <w:r w:rsidRPr="00D94E5D">
        <w:rPr>
          <w:rFonts w:ascii="Verdana" w:hAnsi="Verdana" w:cstheme="minorHAnsi"/>
        </w:rPr>
        <w:t xml:space="preserve">rain CT scan and </w:t>
      </w:r>
      <w:r w:rsidR="0077226C" w:rsidRPr="00D94E5D">
        <w:rPr>
          <w:rFonts w:ascii="Verdana" w:hAnsi="Verdana" w:cstheme="minorHAnsi"/>
        </w:rPr>
        <w:t>nuclear</w:t>
      </w:r>
      <w:r w:rsidRPr="00D94E5D">
        <w:rPr>
          <w:rFonts w:ascii="Verdana" w:hAnsi="Verdana" w:cstheme="minorHAnsi"/>
        </w:rPr>
        <w:t xml:space="preserve"> medicine </w:t>
      </w:r>
      <w:r w:rsidR="0077226C" w:rsidRPr="00D94E5D">
        <w:rPr>
          <w:rFonts w:ascii="Verdana" w:hAnsi="Verdana" w:cstheme="minorHAnsi"/>
        </w:rPr>
        <w:t>b</w:t>
      </w:r>
      <w:r w:rsidRPr="00D94E5D">
        <w:rPr>
          <w:rFonts w:ascii="Verdana" w:hAnsi="Verdana" w:cstheme="minorHAnsi"/>
        </w:rPr>
        <w:t xml:space="preserve">one </w:t>
      </w:r>
      <w:r w:rsidR="0077226C" w:rsidRPr="00D94E5D">
        <w:rPr>
          <w:rFonts w:ascii="Verdana" w:hAnsi="Verdana" w:cstheme="minorHAnsi"/>
        </w:rPr>
        <w:t>s</w:t>
      </w:r>
      <w:r w:rsidRPr="00D94E5D">
        <w:rPr>
          <w:rFonts w:ascii="Verdana" w:hAnsi="Verdana" w:cstheme="minorHAnsi"/>
        </w:rPr>
        <w:t>can</w:t>
      </w:r>
      <w:r w:rsidR="005F3672">
        <w:rPr>
          <w:rFonts w:ascii="Verdana" w:hAnsi="Verdana" w:cstheme="minorHAnsi"/>
        </w:rPr>
        <w:t>,</w:t>
      </w:r>
      <w:r w:rsidRPr="00D94E5D">
        <w:rPr>
          <w:rFonts w:ascii="Verdana" w:hAnsi="Verdana" w:cstheme="minorHAnsi"/>
        </w:rPr>
        <w:t xml:space="preserve"> both on 11 March. I am uncertain if he also underwent ophthalmological examination for retinal haemorrhages, as </w:t>
      </w:r>
      <w:r w:rsidR="00115B5A" w:rsidRPr="00D94E5D">
        <w:rPr>
          <w:rFonts w:ascii="Verdana" w:hAnsi="Verdana" w:cstheme="minorHAnsi"/>
        </w:rPr>
        <w:t>was</w:t>
      </w:r>
      <w:r w:rsidRPr="00D94E5D">
        <w:rPr>
          <w:rFonts w:ascii="Verdana" w:hAnsi="Verdana" w:cstheme="minorHAnsi"/>
        </w:rPr>
        <w:t xml:space="preserve"> performed on his twin sister as there is no mention of this in the VFPMS report. Clinical photography was also performed on this day</w:t>
      </w:r>
      <w:r w:rsidR="005F3672">
        <w:rPr>
          <w:rFonts w:ascii="Verdana" w:hAnsi="Verdana" w:cstheme="minorHAnsi"/>
        </w:rPr>
        <w:t>,</w:t>
      </w:r>
      <w:r w:rsidRPr="00D94E5D">
        <w:rPr>
          <w:rFonts w:ascii="Verdana" w:hAnsi="Verdana" w:cstheme="minorHAnsi"/>
        </w:rPr>
        <w:t xml:space="preserve"> the timing of which was not able to be </w:t>
      </w:r>
      <w:r w:rsidR="0077226C" w:rsidRPr="00D94E5D">
        <w:rPr>
          <w:rFonts w:ascii="Verdana" w:hAnsi="Verdana" w:cstheme="minorHAnsi"/>
        </w:rPr>
        <w:t>established</w:t>
      </w:r>
      <w:r w:rsidRPr="00D94E5D">
        <w:rPr>
          <w:rFonts w:ascii="Verdana" w:hAnsi="Verdana" w:cstheme="minorHAnsi"/>
        </w:rPr>
        <w:t xml:space="preserve"> in evidence.</w:t>
      </w:r>
    </w:p>
    <w:p w14:paraId="67E619FE" w14:textId="77777777" w:rsidR="0081252E" w:rsidRDefault="0081252E" w:rsidP="002B5C77">
      <w:pPr>
        <w:pStyle w:val="ListParagraph"/>
        <w:spacing w:after="240" w:line="276" w:lineRule="auto"/>
        <w:ind w:left="851"/>
        <w:rPr>
          <w:rFonts w:ascii="Verdana" w:hAnsi="Verdana" w:cstheme="minorHAnsi"/>
        </w:rPr>
      </w:pPr>
    </w:p>
    <w:p w14:paraId="3E269944" w14:textId="41F93DF9" w:rsidR="007F7D31" w:rsidRPr="005F3672" w:rsidRDefault="007F7D31" w:rsidP="005F3672">
      <w:pPr>
        <w:pStyle w:val="ListParagraph"/>
        <w:keepNext/>
        <w:keepLines/>
        <w:numPr>
          <w:ilvl w:val="0"/>
          <w:numId w:val="1"/>
        </w:numPr>
        <w:spacing w:after="0" w:line="276" w:lineRule="auto"/>
        <w:ind w:left="851" w:hanging="851"/>
        <w:jc w:val="both"/>
        <w:rPr>
          <w:rFonts w:ascii="Verdana" w:hAnsi="Verdana" w:cstheme="minorHAnsi"/>
        </w:rPr>
      </w:pPr>
      <w:r w:rsidRPr="005F3672">
        <w:rPr>
          <w:rFonts w:ascii="Verdana" w:hAnsi="Verdana" w:cstheme="minorHAnsi"/>
        </w:rPr>
        <w:t>On 29 March 2022, a repeat chest x-ray was performed</w:t>
      </w:r>
      <w:r w:rsidR="0077226C" w:rsidRPr="005F3672">
        <w:rPr>
          <w:rFonts w:ascii="Verdana" w:hAnsi="Verdana" w:cstheme="minorHAnsi"/>
        </w:rPr>
        <w:t xml:space="preserve"> on each child</w:t>
      </w:r>
      <w:r w:rsidRPr="005F3672">
        <w:rPr>
          <w:rFonts w:ascii="Verdana" w:hAnsi="Verdana" w:cstheme="minorHAnsi"/>
        </w:rPr>
        <w:t>.</w:t>
      </w:r>
      <w:r w:rsidR="005F3672" w:rsidRPr="005F3672">
        <w:rPr>
          <w:rFonts w:ascii="Verdana" w:hAnsi="Verdana" w:cstheme="minorHAnsi"/>
        </w:rPr>
        <w:t xml:space="preserve"> </w:t>
      </w:r>
      <w:r w:rsidRPr="005F3672">
        <w:rPr>
          <w:rFonts w:ascii="Verdana" w:hAnsi="Verdana" w:cstheme="minorHAnsi"/>
        </w:rPr>
        <w:t xml:space="preserve">The medical imaging was reviewed on 7 April 2022. Dr </w:t>
      </w:r>
      <w:r w:rsidR="003A2F8C" w:rsidRPr="005F3672">
        <w:rPr>
          <w:rFonts w:ascii="Verdana" w:hAnsi="Verdana" w:cstheme="minorHAnsi"/>
        </w:rPr>
        <w:t>MC</w:t>
      </w:r>
      <w:r w:rsidRPr="005F3672">
        <w:rPr>
          <w:rFonts w:ascii="Verdana" w:hAnsi="Verdana" w:cstheme="minorHAnsi"/>
        </w:rPr>
        <w:t xml:space="preserve"> participated in this review. </w:t>
      </w:r>
    </w:p>
    <w:p w14:paraId="2B0B17ED" w14:textId="77777777" w:rsidR="0081252E" w:rsidRPr="00D94E5D" w:rsidRDefault="0081252E" w:rsidP="002B5C77">
      <w:pPr>
        <w:pStyle w:val="ListParagraph"/>
        <w:spacing w:after="240" w:line="276" w:lineRule="auto"/>
        <w:ind w:left="851"/>
        <w:rPr>
          <w:rFonts w:ascii="Verdana" w:hAnsi="Verdana" w:cstheme="minorHAnsi"/>
        </w:rPr>
      </w:pPr>
    </w:p>
    <w:p w14:paraId="2B7EF0C9" w14:textId="3B80CC1A" w:rsidR="0048075D" w:rsidRDefault="00F34581"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F</w:t>
      </w:r>
      <w:r w:rsidR="0048075D" w:rsidRPr="00D94E5D">
        <w:rPr>
          <w:rFonts w:ascii="Verdana" w:hAnsi="Verdana" w:cstheme="minorHAnsi"/>
        </w:rPr>
        <w:t xml:space="preserve">or </w:t>
      </w:r>
      <w:r w:rsidR="003A2F8C">
        <w:rPr>
          <w:rFonts w:ascii="Verdana" w:hAnsi="Verdana" w:cstheme="minorHAnsi"/>
        </w:rPr>
        <w:t>Gregory</w:t>
      </w:r>
      <w:r w:rsidR="0048075D" w:rsidRPr="00D94E5D">
        <w:rPr>
          <w:rFonts w:ascii="Verdana" w:hAnsi="Verdana" w:cstheme="minorHAnsi"/>
        </w:rPr>
        <w:t xml:space="preserve"> only one </w:t>
      </w:r>
      <w:r w:rsidR="00724A43" w:rsidRPr="00D94E5D">
        <w:rPr>
          <w:rFonts w:ascii="Verdana" w:hAnsi="Verdana" w:cstheme="minorHAnsi"/>
        </w:rPr>
        <w:t>“</w:t>
      </w:r>
      <w:r w:rsidR="00724A43" w:rsidRPr="00D94E5D">
        <w:rPr>
          <w:rFonts w:ascii="Verdana" w:hAnsi="Verdana" w:cstheme="minorHAnsi"/>
          <w:i/>
          <w:iCs/>
        </w:rPr>
        <w:t>very subtle</w:t>
      </w:r>
      <w:r w:rsidR="00724A43" w:rsidRPr="00D94E5D">
        <w:rPr>
          <w:rFonts w:ascii="Verdana" w:hAnsi="Verdana" w:cstheme="minorHAnsi"/>
        </w:rPr>
        <w:t xml:space="preserve">” close to the vertebrae </w:t>
      </w:r>
      <w:r w:rsidR="0048075D" w:rsidRPr="00D94E5D">
        <w:rPr>
          <w:rFonts w:ascii="Verdana" w:hAnsi="Verdana" w:cstheme="minorHAnsi"/>
        </w:rPr>
        <w:t xml:space="preserve">fracture </w:t>
      </w:r>
      <w:r w:rsidRPr="00D94E5D">
        <w:rPr>
          <w:rFonts w:ascii="Verdana" w:hAnsi="Verdana" w:cstheme="minorHAnsi"/>
        </w:rPr>
        <w:t xml:space="preserve">of </w:t>
      </w:r>
      <w:r w:rsidR="0048075D" w:rsidRPr="00D94E5D">
        <w:rPr>
          <w:rFonts w:ascii="Verdana" w:hAnsi="Verdana" w:cstheme="minorHAnsi"/>
        </w:rPr>
        <w:t xml:space="preserve">the </w:t>
      </w:r>
      <w:r w:rsidR="00007867" w:rsidRPr="00D94E5D">
        <w:rPr>
          <w:rFonts w:ascii="Verdana" w:hAnsi="Verdana" w:cstheme="minorHAnsi"/>
        </w:rPr>
        <w:t>9</w:t>
      </w:r>
      <w:r w:rsidR="0048075D" w:rsidRPr="00D94E5D">
        <w:rPr>
          <w:rFonts w:ascii="Verdana" w:hAnsi="Verdana" w:cstheme="minorHAnsi"/>
          <w:vertAlign w:val="superscript"/>
        </w:rPr>
        <w:t>th</w:t>
      </w:r>
      <w:r w:rsidR="0048075D" w:rsidRPr="00D94E5D">
        <w:rPr>
          <w:rFonts w:ascii="Verdana" w:hAnsi="Verdana" w:cstheme="minorHAnsi"/>
        </w:rPr>
        <w:t xml:space="preserve"> left rib was </w:t>
      </w:r>
      <w:r w:rsidRPr="00D94E5D">
        <w:rPr>
          <w:rFonts w:ascii="Verdana" w:hAnsi="Verdana" w:cstheme="minorHAnsi"/>
        </w:rPr>
        <w:t>confirmed</w:t>
      </w:r>
      <w:r w:rsidR="0012239A">
        <w:rPr>
          <w:rFonts w:ascii="Verdana" w:hAnsi="Verdana" w:cstheme="minorHAnsi"/>
        </w:rPr>
        <w:t xml:space="preserve"> in the peer review</w:t>
      </w:r>
      <w:r w:rsidR="0048075D" w:rsidRPr="00D94E5D">
        <w:rPr>
          <w:rFonts w:ascii="Verdana" w:hAnsi="Verdana" w:cstheme="minorHAnsi"/>
        </w:rPr>
        <w:t xml:space="preserve">. </w:t>
      </w:r>
      <w:r w:rsidR="003A2F8C">
        <w:rPr>
          <w:rFonts w:ascii="Verdana" w:hAnsi="Verdana" w:cstheme="minorHAnsi"/>
        </w:rPr>
        <w:t>Gregory</w:t>
      </w:r>
      <w:r w:rsidR="0048075D" w:rsidRPr="00D94E5D">
        <w:rPr>
          <w:rFonts w:ascii="Verdana" w:hAnsi="Verdana" w:cstheme="minorHAnsi"/>
        </w:rPr>
        <w:t xml:space="preserve"> did not</w:t>
      </w:r>
      <w:r w:rsidR="00115B5A" w:rsidRPr="00D94E5D">
        <w:rPr>
          <w:rFonts w:ascii="Verdana" w:hAnsi="Verdana" w:cstheme="minorHAnsi"/>
        </w:rPr>
        <w:t>,</w:t>
      </w:r>
      <w:r w:rsidR="0048075D" w:rsidRPr="00D94E5D">
        <w:rPr>
          <w:rFonts w:ascii="Verdana" w:hAnsi="Verdana" w:cstheme="minorHAnsi"/>
        </w:rPr>
        <w:t xml:space="preserve"> in </w:t>
      </w:r>
      <w:r w:rsidR="00724A43" w:rsidRPr="00D94E5D">
        <w:rPr>
          <w:rFonts w:ascii="Verdana" w:hAnsi="Verdana" w:cstheme="minorHAnsi"/>
        </w:rPr>
        <w:t xml:space="preserve">Dr </w:t>
      </w:r>
      <w:r w:rsidR="003A2F8C">
        <w:rPr>
          <w:rFonts w:ascii="Verdana" w:hAnsi="Verdana" w:cstheme="minorHAnsi"/>
        </w:rPr>
        <w:t>MC</w:t>
      </w:r>
      <w:r w:rsidR="00724A43" w:rsidRPr="00D94E5D">
        <w:rPr>
          <w:rFonts w:ascii="Verdana" w:hAnsi="Verdana" w:cstheme="minorHAnsi"/>
        </w:rPr>
        <w:t>’s</w:t>
      </w:r>
      <w:r w:rsidR="0048075D" w:rsidRPr="00D94E5D">
        <w:rPr>
          <w:rFonts w:ascii="Verdana" w:hAnsi="Verdana" w:cstheme="minorHAnsi"/>
        </w:rPr>
        <w:t xml:space="preserve"> expert opinion, have </w:t>
      </w:r>
      <w:r w:rsidR="003847F0" w:rsidRPr="00D94E5D">
        <w:rPr>
          <w:rFonts w:ascii="Verdana" w:hAnsi="Verdana" w:cstheme="minorHAnsi"/>
        </w:rPr>
        <w:t>any</w:t>
      </w:r>
      <w:r w:rsidR="0048075D" w:rsidRPr="00D94E5D">
        <w:rPr>
          <w:rFonts w:ascii="Verdana" w:hAnsi="Verdana" w:cstheme="minorHAnsi"/>
        </w:rPr>
        <w:t xml:space="preserve"> skull fracture.</w:t>
      </w:r>
      <w:r w:rsidRPr="00D94E5D">
        <w:rPr>
          <w:rFonts w:ascii="Verdana" w:hAnsi="Verdana" w:cstheme="minorHAnsi"/>
        </w:rPr>
        <w:t xml:space="preserve"> His assessment for the timeframe for the rib fracture to have occurred was</w:t>
      </w:r>
      <w:r w:rsidRPr="00D94E5D">
        <w:rPr>
          <w:rFonts w:ascii="Verdana" w:hAnsi="Verdana" w:cstheme="minorHAnsi"/>
          <w:i/>
          <w:iCs/>
        </w:rPr>
        <w:t xml:space="preserve"> “a minute to a week before the x-ray” </w:t>
      </w:r>
      <w:r w:rsidRPr="00D94E5D">
        <w:rPr>
          <w:rFonts w:ascii="Verdana" w:hAnsi="Verdana" w:cstheme="minorHAnsi"/>
        </w:rPr>
        <w:t>as there was no evidence of any healing</w:t>
      </w:r>
      <w:r w:rsidR="007F7D31" w:rsidRPr="00D94E5D">
        <w:rPr>
          <w:rFonts w:ascii="Verdana" w:hAnsi="Verdana" w:cstheme="minorHAnsi"/>
        </w:rPr>
        <w:t>, and the MRI showed a bright signal over this rib</w:t>
      </w:r>
      <w:r w:rsidR="0012239A">
        <w:rPr>
          <w:rFonts w:ascii="Verdana" w:hAnsi="Verdana" w:cstheme="minorHAnsi"/>
        </w:rPr>
        <w:t xml:space="preserve"> consistent with a very recent injury</w:t>
      </w:r>
      <w:r w:rsidRPr="00D94E5D">
        <w:rPr>
          <w:rFonts w:ascii="Verdana" w:hAnsi="Verdana" w:cstheme="minorHAnsi"/>
        </w:rPr>
        <w:t>. This injury was seen on all three medical imaging scans performed on 11 March 2022.</w:t>
      </w:r>
    </w:p>
    <w:p w14:paraId="4DE04B10" w14:textId="77777777" w:rsidR="0081252E" w:rsidRDefault="0081252E" w:rsidP="002B5C77">
      <w:pPr>
        <w:pStyle w:val="ListParagraph"/>
        <w:spacing w:after="240" w:line="276" w:lineRule="auto"/>
        <w:ind w:left="851"/>
        <w:rPr>
          <w:rFonts w:ascii="Verdana" w:hAnsi="Verdana" w:cstheme="minorHAnsi"/>
        </w:rPr>
      </w:pPr>
    </w:p>
    <w:p w14:paraId="69DA4E88" w14:textId="12D6DB3C" w:rsidR="0065124A" w:rsidRPr="0081252E" w:rsidRDefault="0065124A" w:rsidP="005F3672">
      <w:pPr>
        <w:pStyle w:val="ListParagraph"/>
        <w:numPr>
          <w:ilvl w:val="0"/>
          <w:numId w:val="1"/>
        </w:numPr>
        <w:spacing w:after="240" w:line="276" w:lineRule="auto"/>
        <w:ind w:left="851" w:hanging="851"/>
        <w:jc w:val="both"/>
        <w:rPr>
          <w:rFonts w:ascii="Verdana" w:hAnsi="Verdana" w:cstheme="minorHAnsi"/>
        </w:rPr>
      </w:pPr>
      <w:r w:rsidRPr="0081252E">
        <w:rPr>
          <w:rFonts w:ascii="Verdana" w:hAnsi="Verdana" w:cstheme="minorHAnsi"/>
        </w:rPr>
        <w:t xml:space="preserve">His evidence was that the suspected fractures bilaterally on ribs 10 and 11 were not fractures. The repeat x-ray on 29 March showed clear callous formation </w:t>
      </w:r>
      <w:r w:rsidR="00E62172">
        <w:rPr>
          <w:rFonts w:ascii="Verdana" w:hAnsi="Verdana" w:cstheme="minorHAnsi"/>
        </w:rPr>
        <w:t>only on the 9</w:t>
      </w:r>
      <w:r w:rsidR="00E62172" w:rsidRPr="00E62172">
        <w:rPr>
          <w:rFonts w:ascii="Verdana" w:hAnsi="Verdana" w:cstheme="minorHAnsi"/>
          <w:vertAlign w:val="superscript"/>
        </w:rPr>
        <w:t>th</w:t>
      </w:r>
      <w:r w:rsidR="00E62172">
        <w:rPr>
          <w:rFonts w:ascii="Verdana" w:hAnsi="Verdana" w:cstheme="minorHAnsi"/>
        </w:rPr>
        <w:t xml:space="preserve"> left rib. This</w:t>
      </w:r>
      <w:r w:rsidRPr="0081252E">
        <w:rPr>
          <w:rFonts w:ascii="Verdana" w:hAnsi="Verdana" w:cstheme="minorHAnsi"/>
        </w:rPr>
        <w:t xml:space="preserve"> supported his estimate of timing for the fracture</w:t>
      </w:r>
      <w:r w:rsidR="00E62172">
        <w:rPr>
          <w:rFonts w:ascii="Verdana" w:hAnsi="Verdana" w:cstheme="minorHAnsi"/>
        </w:rPr>
        <w:t>, and the exclusion of the other earlier reported fractures</w:t>
      </w:r>
      <w:r w:rsidRPr="0081252E">
        <w:rPr>
          <w:rFonts w:ascii="Verdana" w:hAnsi="Verdana" w:cstheme="minorHAnsi"/>
        </w:rPr>
        <w:t>.</w:t>
      </w:r>
    </w:p>
    <w:p w14:paraId="36D4A554" w14:textId="2D7EF7D5" w:rsidR="00D32CC5" w:rsidRPr="000836A3" w:rsidRDefault="003A2F8C" w:rsidP="002B5C77">
      <w:pPr>
        <w:spacing w:after="240" w:line="276" w:lineRule="auto"/>
        <w:ind w:left="851" w:hanging="851"/>
        <w:rPr>
          <w:rFonts w:ascii="Verdana" w:hAnsi="Verdana" w:cstheme="minorHAnsi"/>
          <w:b/>
          <w:bCs/>
        </w:rPr>
      </w:pPr>
      <w:r>
        <w:rPr>
          <w:rFonts w:ascii="Verdana" w:hAnsi="Verdana" w:cstheme="minorHAnsi"/>
          <w:b/>
          <w:bCs/>
        </w:rPr>
        <w:t>MARIA</w:t>
      </w:r>
    </w:p>
    <w:p w14:paraId="6B40E1EF" w14:textId="2AFC9C61" w:rsidR="00D32CC5" w:rsidRDefault="003A2F8C" w:rsidP="005F3672">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Maria</w:t>
      </w:r>
      <w:r w:rsidR="00D32CC5" w:rsidRPr="00D94E5D">
        <w:rPr>
          <w:rFonts w:ascii="Verdana" w:hAnsi="Verdana" w:cstheme="minorHAnsi"/>
        </w:rPr>
        <w:t xml:space="preserve"> underwent similar scans also on 11 March and </w:t>
      </w:r>
      <w:r w:rsidR="005F3672">
        <w:rPr>
          <w:rFonts w:ascii="Verdana" w:hAnsi="Verdana" w:cstheme="minorHAnsi"/>
        </w:rPr>
        <w:t xml:space="preserve">a </w:t>
      </w:r>
      <w:r w:rsidR="00D32CC5" w:rsidRPr="00D94E5D">
        <w:rPr>
          <w:rFonts w:ascii="Verdana" w:hAnsi="Verdana" w:cstheme="minorHAnsi"/>
        </w:rPr>
        <w:t xml:space="preserve">repeat x-ray on 29 March. The skeletal survey was performed at 12:22pm, and the MRI at 5:50pm. </w:t>
      </w:r>
      <w:r>
        <w:rPr>
          <w:rFonts w:ascii="Verdana" w:hAnsi="Verdana" w:cstheme="minorHAnsi"/>
        </w:rPr>
        <w:t>Maria</w:t>
      </w:r>
      <w:r w:rsidR="00D32CC5" w:rsidRPr="00D94E5D">
        <w:rPr>
          <w:rFonts w:ascii="Verdana" w:hAnsi="Verdana" w:cstheme="minorHAnsi"/>
        </w:rPr>
        <w:t xml:space="preserve"> underwent ophthalmological examination for retinal haemorrhages also on this day. No retinal haemorrhages were observed. </w:t>
      </w:r>
    </w:p>
    <w:p w14:paraId="63E6DA88" w14:textId="77777777" w:rsidR="0081252E" w:rsidRPr="00D94E5D" w:rsidRDefault="0081252E" w:rsidP="002B5C77">
      <w:pPr>
        <w:pStyle w:val="ListParagraph"/>
        <w:spacing w:after="240" w:line="276" w:lineRule="auto"/>
        <w:ind w:left="851"/>
        <w:rPr>
          <w:rFonts w:ascii="Verdana" w:hAnsi="Verdana" w:cstheme="minorHAnsi"/>
        </w:rPr>
      </w:pPr>
    </w:p>
    <w:p w14:paraId="16D757EB" w14:textId="441FF136" w:rsidR="00D32CC5"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nuclear medicine scan, </w:t>
      </w:r>
      <w:proofErr w:type="gramStart"/>
      <w:r w:rsidRPr="00D94E5D">
        <w:rPr>
          <w:rFonts w:ascii="Verdana" w:hAnsi="Verdana" w:cstheme="minorHAnsi"/>
        </w:rPr>
        <w:t>MRI</w:t>
      </w:r>
      <w:proofErr w:type="gramEnd"/>
      <w:r w:rsidRPr="00D94E5D">
        <w:rPr>
          <w:rFonts w:ascii="Verdana" w:hAnsi="Verdana" w:cstheme="minorHAnsi"/>
        </w:rPr>
        <w:t xml:space="preserve"> and </w:t>
      </w:r>
      <w:r w:rsidR="0077226C" w:rsidRPr="00D94E5D">
        <w:rPr>
          <w:rFonts w:ascii="Verdana" w:hAnsi="Verdana" w:cstheme="minorHAnsi"/>
        </w:rPr>
        <w:t>s</w:t>
      </w:r>
      <w:r w:rsidRPr="00D94E5D">
        <w:rPr>
          <w:rFonts w:ascii="Verdana" w:hAnsi="Verdana" w:cstheme="minorHAnsi"/>
        </w:rPr>
        <w:t xml:space="preserve">keletal survey results for </w:t>
      </w:r>
      <w:r w:rsidR="003A2F8C">
        <w:rPr>
          <w:rFonts w:ascii="Verdana" w:hAnsi="Verdana" w:cstheme="minorHAnsi"/>
        </w:rPr>
        <w:t>Maria</w:t>
      </w:r>
      <w:r w:rsidRPr="00D94E5D">
        <w:rPr>
          <w:rFonts w:ascii="Verdana" w:hAnsi="Verdana" w:cstheme="minorHAnsi"/>
        </w:rPr>
        <w:t xml:space="preserve"> from 11 March </w:t>
      </w:r>
      <w:r w:rsidRPr="00D94E5D">
        <w:rPr>
          <w:rFonts w:ascii="Verdana" w:hAnsi="Verdana" w:cstheme="minorHAnsi"/>
          <w:i/>
          <w:iCs/>
        </w:rPr>
        <w:t>did not</w:t>
      </w:r>
      <w:r w:rsidRPr="00D94E5D">
        <w:rPr>
          <w:rFonts w:ascii="Verdana" w:hAnsi="Verdana" w:cstheme="minorHAnsi"/>
        </w:rPr>
        <w:t xml:space="preserve"> reveal that she had bilateral rib fractures, or multiple rib fractures. The imaging taken that day was contradictory: the </w:t>
      </w:r>
      <w:r w:rsidR="0077226C" w:rsidRPr="00D94E5D">
        <w:rPr>
          <w:rFonts w:ascii="Verdana" w:hAnsi="Verdana" w:cstheme="minorHAnsi"/>
        </w:rPr>
        <w:t>s</w:t>
      </w:r>
      <w:r w:rsidRPr="00D94E5D">
        <w:rPr>
          <w:rFonts w:ascii="Verdana" w:hAnsi="Verdana" w:cstheme="minorHAnsi"/>
        </w:rPr>
        <w:t xml:space="preserve">keletal survey and MRI revealed no bony abnormalities for </w:t>
      </w:r>
      <w:r w:rsidR="003A2F8C">
        <w:rPr>
          <w:rFonts w:ascii="Verdana" w:hAnsi="Verdana" w:cstheme="minorHAnsi"/>
        </w:rPr>
        <w:t>Maria</w:t>
      </w:r>
      <w:r w:rsidRPr="00D94E5D">
        <w:rPr>
          <w:rFonts w:ascii="Verdana" w:hAnsi="Verdana" w:cstheme="minorHAnsi"/>
        </w:rPr>
        <w:t>. The concern for rib fractures came from the nuclear medicine scan which concluded probable bilateral posterior rib fractures, (at left 10 and 11, and right 11) and recommended a repeat x-ray in 10 days.</w:t>
      </w:r>
      <w:r w:rsidRPr="00D94E5D">
        <w:rPr>
          <w:rStyle w:val="FootnoteReference"/>
          <w:rFonts w:ascii="Verdana" w:hAnsi="Verdana" w:cstheme="minorHAnsi"/>
        </w:rPr>
        <w:footnoteReference w:id="6"/>
      </w:r>
    </w:p>
    <w:p w14:paraId="3B1C37FB" w14:textId="77777777" w:rsidR="0081252E" w:rsidRPr="0081252E" w:rsidRDefault="0081252E" w:rsidP="005F3672">
      <w:pPr>
        <w:pStyle w:val="ListParagraph"/>
        <w:spacing w:line="276" w:lineRule="auto"/>
        <w:ind w:left="851"/>
        <w:rPr>
          <w:rFonts w:ascii="Verdana" w:hAnsi="Verdana" w:cstheme="minorHAnsi"/>
        </w:rPr>
      </w:pPr>
    </w:p>
    <w:p w14:paraId="5E548206" w14:textId="6CDD730E" w:rsidR="00D32CC5"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repeat x-rays were conducted on 29 March 2022. The earlier reported bilateral rib fractures were conclusively excluded, however</w:t>
      </w:r>
      <w:r w:rsidR="0012239A">
        <w:rPr>
          <w:rFonts w:ascii="Verdana" w:hAnsi="Verdana" w:cstheme="minorHAnsi"/>
        </w:rPr>
        <w:t xml:space="preserve"> these repeat scans</w:t>
      </w:r>
      <w:r w:rsidRPr="00D94E5D">
        <w:rPr>
          <w:rFonts w:ascii="Verdana" w:hAnsi="Verdana" w:cstheme="minorHAnsi"/>
        </w:rPr>
        <w:t xml:space="preserve"> showed a fracture of </w:t>
      </w:r>
      <w:r w:rsidR="003A2F8C">
        <w:rPr>
          <w:rFonts w:ascii="Verdana" w:hAnsi="Verdana" w:cstheme="minorHAnsi"/>
        </w:rPr>
        <w:t>Maria</w:t>
      </w:r>
      <w:r w:rsidRPr="00D94E5D">
        <w:rPr>
          <w:rFonts w:ascii="Verdana" w:hAnsi="Verdana" w:cstheme="minorHAnsi"/>
        </w:rPr>
        <w:t>’s right 7</w:t>
      </w:r>
      <w:r w:rsidRPr="00D94E5D">
        <w:rPr>
          <w:rFonts w:ascii="Verdana" w:hAnsi="Verdana" w:cstheme="minorHAnsi"/>
          <w:vertAlign w:val="superscript"/>
        </w:rPr>
        <w:t>th</w:t>
      </w:r>
      <w:r w:rsidRPr="00D94E5D">
        <w:rPr>
          <w:rFonts w:ascii="Verdana" w:hAnsi="Verdana" w:cstheme="minorHAnsi"/>
        </w:rPr>
        <w:t xml:space="preserve"> rib</w:t>
      </w:r>
      <w:r w:rsidR="0077226C" w:rsidRPr="00D94E5D">
        <w:rPr>
          <w:rFonts w:ascii="Verdana" w:hAnsi="Verdana" w:cstheme="minorHAnsi"/>
        </w:rPr>
        <w:t xml:space="preserve"> </w:t>
      </w:r>
      <w:proofErr w:type="gramStart"/>
      <w:r w:rsidR="0077226C" w:rsidRPr="00D94E5D">
        <w:rPr>
          <w:rFonts w:ascii="Verdana" w:hAnsi="Verdana" w:cstheme="minorHAnsi"/>
        </w:rPr>
        <w:t>not present</w:t>
      </w:r>
      <w:proofErr w:type="gramEnd"/>
      <w:r w:rsidR="0077226C" w:rsidRPr="00D94E5D">
        <w:rPr>
          <w:rFonts w:ascii="Verdana" w:hAnsi="Verdana" w:cstheme="minorHAnsi"/>
        </w:rPr>
        <w:t xml:space="preserve"> in the earlier scans</w:t>
      </w:r>
      <w:r w:rsidRPr="00D94E5D">
        <w:rPr>
          <w:rFonts w:ascii="Verdana" w:hAnsi="Verdana" w:cstheme="minorHAnsi"/>
        </w:rPr>
        <w:t>.</w:t>
      </w:r>
    </w:p>
    <w:p w14:paraId="14377E2B" w14:textId="77777777" w:rsidR="0081252E" w:rsidRPr="00D94E5D" w:rsidRDefault="0081252E" w:rsidP="002B5C77">
      <w:pPr>
        <w:pStyle w:val="ListParagraph"/>
        <w:spacing w:after="240" w:line="276" w:lineRule="auto"/>
        <w:ind w:left="851"/>
        <w:rPr>
          <w:rFonts w:ascii="Verdana" w:hAnsi="Verdana" w:cstheme="minorHAnsi"/>
        </w:rPr>
      </w:pPr>
    </w:p>
    <w:p w14:paraId="00D540A2" w14:textId="6DC1F5DB" w:rsidR="0081252E" w:rsidRDefault="00D32CC5"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evidence of Dr </w:t>
      </w:r>
      <w:r w:rsidR="003A2F8C">
        <w:rPr>
          <w:rFonts w:ascii="Verdana" w:hAnsi="Verdana" w:cstheme="minorHAnsi"/>
        </w:rPr>
        <w:t>MC</w:t>
      </w:r>
      <w:r w:rsidRPr="00D94E5D">
        <w:rPr>
          <w:rFonts w:ascii="Verdana" w:hAnsi="Verdana" w:cstheme="minorHAnsi"/>
        </w:rPr>
        <w:t xml:space="preserve">, consultant radiologist who reviewed </w:t>
      </w:r>
      <w:r w:rsidR="0077226C" w:rsidRPr="00D94E5D">
        <w:rPr>
          <w:rFonts w:ascii="Verdana" w:hAnsi="Verdana" w:cstheme="minorHAnsi"/>
        </w:rPr>
        <w:t>all</w:t>
      </w:r>
      <w:r w:rsidRPr="00D94E5D">
        <w:rPr>
          <w:rFonts w:ascii="Verdana" w:hAnsi="Verdana" w:cstheme="minorHAnsi"/>
        </w:rPr>
        <w:t xml:space="preserve"> the medical imaging taken of </w:t>
      </w:r>
      <w:r w:rsidR="003A2F8C">
        <w:rPr>
          <w:rFonts w:ascii="Verdana" w:hAnsi="Verdana" w:cstheme="minorHAnsi"/>
        </w:rPr>
        <w:t>Maria</w:t>
      </w:r>
      <w:r w:rsidRPr="00D94E5D">
        <w:rPr>
          <w:rFonts w:ascii="Verdana" w:hAnsi="Verdana" w:cstheme="minorHAnsi"/>
        </w:rPr>
        <w:t xml:space="preserve"> confirmed that in the medical imagery taken of the twins on 11 March 2022 there were no fractures identified on </w:t>
      </w:r>
      <w:r w:rsidR="003A2F8C">
        <w:rPr>
          <w:rFonts w:ascii="Verdana" w:hAnsi="Verdana" w:cstheme="minorHAnsi"/>
        </w:rPr>
        <w:t>Maria</w:t>
      </w:r>
      <w:r w:rsidRPr="00D94E5D">
        <w:rPr>
          <w:rFonts w:ascii="Verdana" w:hAnsi="Verdana" w:cstheme="minorHAnsi"/>
        </w:rPr>
        <w:t>, and the one fracture to her right 7</w:t>
      </w:r>
      <w:r w:rsidRPr="00D94E5D">
        <w:rPr>
          <w:rFonts w:ascii="Verdana" w:hAnsi="Verdana" w:cstheme="minorHAnsi"/>
          <w:vertAlign w:val="superscript"/>
        </w:rPr>
        <w:t>th</w:t>
      </w:r>
      <w:r w:rsidRPr="00D94E5D">
        <w:rPr>
          <w:rFonts w:ascii="Verdana" w:hAnsi="Verdana" w:cstheme="minorHAnsi"/>
        </w:rPr>
        <w:t xml:space="preserve"> rib occurred in a timeframe from</w:t>
      </w:r>
      <w:r w:rsidRPr="00D94E5D">
        <w:rPr>
          <w:rFonts w:ascii="Verdana" w:hAnsi="Verdana" w:cstheme="minorHAnsi"/>
          <w:i/>
          <w:iCs/>
        </w:rPr>
        <w:t xml:space="preserve"> “immediately after the scans on 11</w:t>
      </w:r>
      <w:r w:rsidRPr="00D94E5D">
        <w:rPr>
          <w:rFonts w:ascii="Verdana" w:hAnsi="Verdana" w:cstheme="minorHAnsi"/>
          <w:i/>
          <w:iCs/>
          <w:vertAlign w:val="superscript"/>
        </w:rPr>
        <w:t>th</w:t>
      </w:r>
      <w:r w:rsidRPr="00D94E5D">
        <w:rPr>
          <w:rFonts w:ascii="Verdana" w:hAnsi="Verdana" w:cstheme="minorHAnsi"/>
          <w:i/>
          <w:iCs/>
        </w:rPr>
        <w:t xml:space="preserve"> March to likely 2 weeks before 29 </w:t>
      </w:r>
      <w:r w:rsidRPr="00D94E5D">
        <w:rPr>
          <w:rFonts w:ascii="Verdana" w:hAnsi="Verdana" w:cstheme="minorHAnsi"/>
          <w:i/>
          <w:iCs/>
        </w:rPr>
        <w:lastRenderedPageBreak/>
        <w:t>March 2022</w:t>
      </w:r>
      <w:r w:rsidR="00E62172">
        <w:rPr>
          <w:rFonts w:ascii="Verdana" w:hAnsi="Verdana" w:cstheme="minorHAnsi"/>
          <w:i/>
          <w:iCs/>
        </w:rPr>
        <w:t>- less likely a week before</w:t>
      </w:r>
      <w:r w:rsidRPr="00D94E5D">
        <w:rPr>
          <w:rFonts w:ascii="Verdana" w:hAnsi="Verdana" w:cstheme="minorHAnsi"/>
        </w:rPr>
        <w:t xml:space="preserve">” based on the amount and pattern of callous formation. </w:t>
      </w:r>
    </w:p>
    <w:p w14:paraId="6B0D0E19" w14:textId="5F007DD2" w:rsidR="00D32CC5" w:rsidRPr="00D94E5D" w:rsidRDefault="00D32CC5" w:rsidP="002B5C77">
      <w:pPr>
        <w:pStyle w:val="ListParagraph"/>
        <w:spacing w:after="240" w:line="276" w:lineRule="auto"/>
        <w:ind w:left="851"/>
        <w:rPr>
          <w:rFonts w:ascii="Verdana" w:hAnsi="Verdana" w:cstheme="minorHAnsi"/>
        </w:rPr>
      </w:pPr>
    </w:p>
    <w:p w14:paraId="261181B5" w14:textId="4F1E5CD1" w:rsidR="00695D9C" w:rsidRDefault="00814341" w:rsidP="005F367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This places the most likely time frame for this injury from the evening of 11 March 2022 </w:t>
      </w:r>
      <w:r w:rsidR="006B11BE" w:rsidRPr="00D94E5D">
        <w:rPr>
          <w:rFonts w:ascii="Verdana" w:hAnsi="Verdana" w:cstheme="minorHAnsi"/>
        </w:rPr>
        <w:t>to 15 March 2022 (2 weeks prior to repeat x-ray)</w:t>
      </w:r>
      <w:r w:rsidR="0081252E">
        <w:rPr>
          <w:rFonts w:ascii="Verdana" w:hAnsi="Verdana" w:cstheme="minorHAnsi"/>
        </w:rPr>
        <w:t xml:space="preserve">, </w:t>
      </w:r>
      <w:r w:rsidR="0012239A">
        <w:rPr>
          <w:rFonts w:ascii="Verdana" w:hAnsi="Verdana" w:cstheme="minorHAnsi"/>
        </w:rPr>
        <w:t xml:space="preserve">less likely </w:t>
      </w:r>
      <w:r w:rsidR="0081252E">
        <w:rPr>
          <w:rFonts w:ascii="Verdana" w:hAnsi="Verdana" w:cstheme="minorHAnsi"/>
        </w:rPr>
        <w:t>up to one week before the repeat x-rays</w:t>
      </w:r>
      <w:r w:rsidR="006B11BE" w:rsidRPr="00D94E5D">
        <w:rPr>
          <w:rFonts w:ascii="Verdana" w:hAnsi="Verdana" w:cstheme="minorHAnsi"/>
        </w:rPr>
        <w:t>.</w:t>
      </w:r>
    </w:p>
    <w:p w14:paraId="434416DD" w14:textId="77777777" w:rsidR="0081252E" w:rsidRPr="0081252E" w:rsidRDefault="0081252E" w:rsidP="00685EF6">
      <w:pPr>
        <w:pStyle w:val="ListParagraph"/>
        <w:spacing w:line="276" w:lineRule="auto"/>
        <w:ind w:left="851"/>
        <w:rPr>
          <w:rFonts w:ascii="Verdana" w:hAnsi="Verdana" w:cstheme="minorHAnsi"/>
        </w:rPr>
      </w:pPr>
    </w:p>
    <w:p w14:paraId="599B93A5" w14:textId="287EC7FE" w:rsidR="00814341" w:rsidRDefault="00695D9C" w:rsidP="00685EF6">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Professor </w:t>
      </w:r>
      <w:r w:rsidR="003A2F8C">
        <w:rPr>
          <w:rFonts w:ascii="Verdana" w:hAnsi="Verdana" w:cstheme="minorHAnsi"/>
        </w:rPr>
        <w:t>AN</w:t>
      </w:r>
      <w:r w:rsidRPr="00D94E5D">
        <w:rPr>
          <w:rFonts w:ascii="Verdana" w:hAnsi="Verdana" w:cstheme="minorHAnsi"/>
        </w:rPr>
        <w:t xml:space="preserve"> concurred with Dr </w:t>
      </w:r>
      <w:r w:rsidR="003A2F8C">
        <w:rPr>
          <w:rFonts w:ascii="Verdana" w:hAnsi="Verdana" w:cstheme="minorHAnsi"/>
        </w:rPr>
        <w:t>MC</w:t>
      </w:r>
      <w:r w:rsidRPr="00D94E5D">
        <w:rPr>
          <w:rFonts w:ascii="Verdana" w:hAnsi="Verdana" w:cstheme="minorHAnsi"/>
        </w:rPr>
        <w:t xml:space="preserve">’s assessment of the likely timeframes. Professor </w:t>
      </w:r>
      <w:r w:rsidR="003A2F8C">
        <w:rPr>
          <w:rFonts w:ascii="Verdana" w:hAnsi="Verdana" w:cstheme="minorHAnsi"/>
        </w:rPr>
        <w:t>RS</w:t>
      </w:r>
      <w:r w:rsidRPr="00D94E5D">
        <w:rPr>
          <w:rFonts w:ascii="Verdana" w:hAnsi="Verdana" w:cstheme="minorHAnsi"/>
        </w:rPr>
        <w:t xml:space="preserve"> was not asked to comment on this issue. </w:t>
      </w:r>
      <w:r w:rsidR="005D3242" w:rsidRPr="00D94E5D">
        <w:rPr>
          <w:rFonts w:ascii="Verdana" w:hAnsi="Verdana" w:cstheme="minorHAnsi"/>
        </w:rPr>
        <w:t xml:space="preserve">I accept the evidence of Dr </w:t>
      </w:r>
      <w:r w:rsidR="003A2F8C">
        <w:rPr>
          <w:rFonts w:ascii="Verdana" w:hAnsi="Verdana" w:cstheme="minorHAnsi"/>
        </w:rPr>
        <w:t>MC</w:t>
      </w:r>
      <w:r w:rsidR="005D3242" w:rsidRPr="00D94E5D">
        <w:rPr>
          <w:rFonts w:ascii="Verdana" w:hAnsi="Verdana" w:cstheme="minorHAnsi"/>
        </w:rPr>
        <w:t xml:space="preserve"> regarding the time frame for the fractures to have occurred.</w:t>
      </w:r>
    </w:p>
    <w:p w14:paraId="0FD8C23E" w14:textId="77777777" w:rsidR="0081252E" w:rsidRPr="0081252E" w:rsidRDefault="0081252E" w:rsidP="00685EF6">
      <w:pPr>
        <w:pStyle w:val="ListParagraph"/>
        <w:spacing w:line="276" w:lineRule="auto"/>
        <w:ind w:left="851"/>
        <w:rPr>
          <w:rFonts w:ascii="Verdana" w:hAnsi="Verdana" w:cstheme="minorHAnsi"/>
        </w:rPr>
      </w:pPr>
    </w:p>
    <w:p w14:paraId="5912B516" w14:textId="5F7FF4B3" w:rsidR="0081252E" w:rsidRDefault="006B11BE" w:rsidP="002B5C77">
      <w:pPr>
        <w:pStyle w:val="ListParagraph"/>
        <w:numPr>
          <w:ilvl w:val="0"/>
          <w:numId w:val="1"/>
        </w:numPr>
        <w:spacing w:after="240" w:line="276" w:lineRule="auto"/>
        <w:ind w:left="851" w:hanging="851"/>
        <w:rPr>
          <w:rFonts w:ascii="Verdana" w:hAnsi="Verdana" w:cstheme="minorHAnsi"/>
        </w:rPr>
      </w:pPr>
      <w:r w:rsidRPr="00D94E5D">
        <w:rPr>
          <w:rFonts w:ascii="Verdana" w:hAnsi="Verdana" w:cstheme="minorHAnsi"/>
        </w:rPr>
        <w:t xml:space="preserve">Both infants were inpatients at the RCH during </w:t>
      </w:r>
      <w:r w:rsidR="00695D9C" w:rsidRPr="00D94E5D">
        <w:rPr>
          <w:rFonts w:ascii="Verdana" w:hAnsi="Verdana" w:cstheme="minorHAnsi"/>
        </w:rPr>
        <w:t xml:space="preserve">most of </w:t>
      </w:r>
      <w:r w:rsidRPr="00D94E5D">
        <w:rPr>
          <w:rFonts w:ascii="Verdana" w:hAnsi="Verdana" w:cstheme="minorHAnsi"/>
        </w:rPr>
        <w:t>this period</w:t>
      </w:r>
      <w:r w:rsidR="00E62172">
        <w:rPr>
          <w:rFonts w:ascii="Verdana" w:hAnsi="Verdana" w:cstheme="minorHAnsi"/>
        </w:rPr>
        <w:t>, (10-16 March 2022)</w:t>
      </w:r>
      <w:r w:rsidRPr="00D94E5D">
        <w:rPr>
          <w:rFonts w:ascii="Verdana" w:hAnsi="Verdana" w:cstheme="minorHAnsi"/>
        </w:rPr>
        <w:t>.</w:t>
      </w:r>
    </w:p>
    <w:p w14:paraId="4C015EEC" w14:textId="77777777" w:rsidR="0081252E" w:rsidRPr="0081252E" w:rsidRDefault="0081252E" w:rsidP="00685EF6">
      <w:pPr>
        <w:pStyle w:val="ListParagraph"/>
        <w:spacing w:line="276" w:lineRule="auto"/>
        <w:ind w:left="851"/>
        <w:rPr>
          <w:rFonts w:ascii="Verdana" w:hAnsi="Verdana" w:cstheme="minorHAnsi"/>
        </w:rPr>
      </w:pPr>
    </w:p>
    <w:p w14:paraId="06E522FD" w14:textId="5EA81F5A" w:rsidR="0003614C" w:rsidRPr="0081252E" w:rsidRDefault="0003614C" w:rsidP="00685EF6">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evidence of Ms </w:t>
      </w:r>
      <w:r w:rsidR="00DB1A55">
        <w:rPr>
          <w:rFonts w:ascii="Verdana" w:hAnsi="Verdana" w:cstheme="minorHAnsi"/>
        </w:rPr>
        <w:t>TH</w:t>
      </w:r>
      <w:r w:rsidRPr="00D94E5D">
        <w:rPr>
          <w:rFonts w:ascii="Verdana" w:hAnsi="Verdana" w:cstheme="minorHAnsi"/>
        </w:rPr>
        <w:t xml:space="preserve"> DFFH was that Dr </w:t>
      </w:r>
      <w:r w:rsidR="003A2F8C">
        <w:rPr>
          <w:rFonts w:ascii="Verdana" w:hAnsi="Verdana" w:cstheme="minorHAnsi"/>
        </w:rPr>
        <w:t>HM</w:t>
      </w:r>
      <w:r w:rsidRPr="00D94E5D">
        <w:rPr>
          <w:rFonts w:ascii="Verdana" w:hAnsi="Verdana" w:cstheme="minorHAnsi"/>
        </w:rPr>
        <w:t xml:space="preserve"> told her that the fracture to </w:t>
      </w:r>
      <w:r w:rsidR="003A2F8C">
        <w:rPr>
          <w:rFonts w:ascii="Verdana" w:hAnsi="Verdana" w:cstheme="minorHAnsi"/>
        </w:rPr>
        <w:t>Maria</w:t>
      </w:r>
      <w:r w:rsidRPr="00D94E5D">
        <w:rPr>
          <w:rFonts w:ascii="Verdana" w:hAnsi="Verdana" w:cstheme="minorHAnsi"/>
        </w:rPr>
        <w:t xml:space="preserve"> would have occurred post</w:t>
      </w:r>
      <w:r w:rsidR="00FB588E">
        <w:rPr>
          <w:rFonts w:ascii="Verdana" w:hAnsi="Verdana" w:cstheme="minorHAnsi"/>
        </w:rPr>
        <w:t>-</w:t>
      </w:r>
      <w:r w:rsidRPr="00D94E5D">
        <w:rPr>
          <w:rFonts w:ascii="Verdana" w:hAnsi="Verdana" w:cstheme="minorHAnsi"/>
        </w:rPr>
        <w:t>discharge, and that the fracture was only a week old.</w:t>
      </w:r>
      <w:r w:rsidR="0065124A" w:rsidRPr="00D94E5D">
        <w:rPr>
          <w:rFonts w:ascii="Verdana" w:hAnsi="Verdana" w:cstheme="minorHAnsi"/>
        </w:rPr>
        <w:t xml:space="preserve"> In her report for the VFPMS, </w:t>
      </w:r>
      <w:r w:rsidR="00115B5A" w:rsidRPr="00D94E5D">
        <w:rPr>
          <w:rFonts w:ascii="Verdana" w:hAnsi="Verdana" w:cstheme="minorHAnsi"/>
        </w:rPr>
        <w:t>D</w:t>
      </w:r>
      <w:r w:rsidR="0065124A" w:rsidRPr="00D94E5D">
        <w:rPr>
          <w:rFonts w:ascii="Verdana" w:hAnsi="Verdana" w:cstheme="minorHAnsi"/>
        </w:rPr>
        <w:t xml:space="preserve">r </w:t>
      </w:r>
      <w:r w:rsidR="003A2F8C">
        <w:rPr>
          <w:rFonts w:ascii="Verdana" w:hAnsi="Verdana" w:cstheme="minorHAnsi"/>
        </w:rPr>
        <w:t>HM</w:t>
      </w:r>
      <w:r w:rsidR="0065124A" w:rsidRPr="00D94E5D">
        <w:rPr>
          <w:rFonts w:ascii="Verdana" w:hAnsi="Verdana" w:cstheme="minorHAnsi"/>
        </w:rPr>
        <w:t xml:space="preserve"> did not include the assessment of Dr </w:t>
      </w:r>
      <w:r w:rsidR="003A2F8C">
        <w:rPr>
          <w:rFonts w:ascii="Verdana" w:hAnsi="Verdana" w:cstheme="minorHAnsi"/>
        </w:rPr>
        <w:t>MC</w:t>
      </w:r>
      <w:r w:rsidR="0065124A" w:rsidRPr="00D94E5D">
        <w:rPr>
          <w:rFonts w:ascii="Verdana" w:hAnsi="Verdana" w:cstheme="minorHAnsi"/>
        </w:rPr>
        <w:t xml:space="preserve"> as to the timing window for the fracture to </w:t>
      </w:r>
      <w:r w:rsidR="003A2F8C">
        <w:rPr>
          <w:rFonts w:ascii="Verdana" w:hAnsi="Verdana" w:cstheme="minorHAnsi"/>
        </w:rPr>
        <w:t>Maria</w:t>
      </w:r>
      <w:r w:rsidR="0065124A" w:rsidRPr="00D94E5D">
        <w:rPr>
          <w:rFonts w:ascii="Verdana" w:hAnsi="Verdana" w:cstheme="minorHAnsi"/>
        </w:rPr>
        <w:t xml:space="preserve">, instead stating </w:t>
      </w:r>
      <w:r w:rsidR="00E62172">
        <w:rPr>
          <w:rFonts w:ascii="Verdana" w:hAnsi="Verdana" w:cstheme="minorHAnsi"/>
        </w:rPr>
        <w:t xml:space="preserve">only that </w:t>
      </w:r>
      <w:r w:rsidR="0065124A" w:rsidRPr="00D94E5D">
        <w:rPr>
          <w:rFonts w:ascii="Verdana" w:hAnsi="Verdana" w:cstheme="minorHAnsi"/>
        </w:rPr>
        <w:t>it was “</w:t>
      </w:r>
      <w:r w:rsidR="0065124A" w:rsidRPr="00D94E5D">
        <w:rPr>
          <w:rFonts w:ascii="Verdana" w:hAnsi="Verdana" w:cstheme="minorHAnsi"/>
          <w:i/>
          <w:iCs/>
        </w:rPr>
        <w:t>highly likely to have occurred after 11 March 2022.”</w:t>
      </w:r>
    </w:p>
    <w:p w14:paraId="564700D4" w14:textId="77777777" w:rsidR="0081252E" w:rsidRPr="0081252E" w:rsidRDefault="0081252E" w:rsidP="002B5C77">
      <w:pPr>
        <w:pStyle w:val="ListParagraph"/>
        <w:spacing w:line="276" w:lineRule="auto"/>
        <w:rPr>
          <w:rFonts w:ascii="Verdana" w:hAnsi="Verdana" w:cstheme="minorHAnsi"/>
        </w:rPr>
      </w:pPr>
    </w:p>
    <w:p w14:paraId="1303A5ED" w14:textId="720E83C3" w:rsidR="0003614C" w:rsidRPr="00D94E5D" w:rsidRDefault="0003614C" w:rsidP="00685EF6">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CRIS note taken by Ms </w:t>
      </w:r>
      <w:r w:rsidR="00DB1A55">
        <w:rPr>
          <w:rFonts w:ascii="Verdana" w:hAnsi="Verdana" w:cstheme="minorHAnsi"/>
        </w:rPr>
        <w:t>TH</w:t>
      </w:r>
      <w:r w:rsidRPr="00D94E5D">
        <w:rPr>
          <w:rFonts w:ascii="Verdana" w:hAnsi="Verdana" w:cstheme="minorHAnsi"/>
        </w:rPr>
        <w:t xml:space="preserve"> of this conversation on 8 April 2022</w:t>
      </w:r>
      <w:r w:rsidR="00180C96" w:rsidRPr="00D94E5D">
        <w:rPr>
          <w:rStyle w:val="FootnoteReference"/>
          <w:rFonts w:ascii="Verdana" w:hAnsi="Verdana" w:cstheme="minorHAnsi"/>
        </w:rPr>
        <w:footnoteReference w:id="7"/>
      </w:r>
      <w:r w:rsidRPr="00D94E5D">
        <w:rPr>
          <w:rFonts w:ascii="Verdana" w:hAnsi="Verdana" w:cstheme="minorHAnsi"/>
        </w:rPr>
        <w:t xml:space="preserve"> confirms that she understood Dr </w:t>
      </w:r>
      <w:r w:rsidR="003A2F8C">
        <w:rPr>
          <w:rFonts w:ascii="Verdana" w:hAnsi="Verdana" w:cstheme="minorHAnsi"/>
        </w:rPr>
        <w:t>HM</w:t>
      </w:r>
      <w:r w:rsidRPr="00D94E5D">
        <w:rPr>
          <w:rFonts w:ascii="Verdana" w:hAnsi="Verdana" w:cstheme="minorHAnsi"/>
        </w:rPr>
        <w:t xml:space="preserve"> to say the fracture had occurred in the week prior to the repeat scan, and notes that the DFFH were to investigate whether either parent </w:t>
      </w:r>
      <w:r w:rsidR="004E0889" w:rsidRPr="00D94E5D">
        <w:rPr>
          <w:rFonts w:ascii="Verdana" w:hAnsi="Verdana" w:cstheme="minorHAnsi"/>
        </w:rPr>
        <w:t xml:space="preserve">was </w:t>
      </w:r>
      <w:r w:rsidRPr="00D94E5D">
        <w:rPr>
          <w:rFonts w:ascii="Verdana" w:hAnsi="Verdana" w:cstheme="minorHAnsi"/>
        </w:rPr>
        <w:t xml:space="preserve">left unsupervised when </w:t>
      </w:r>
      <w:r w:rsidR="004E0889" w:rsidRPr="00D94E5D">
        <w:rPr>
          <w:rFonts w:ascii="Verdana" w:hAnsi="Verdana" w:cstheme="minorHAnsi"/>
        </w:rPr>
        <w:t xml:space="preserve">with the </w:t>
      </w:r>
      <w:r w:rsidRPr="00D94E5D">
        <w:rPr>
          <w:rFonts w:ascii="Verdana" w:hAnsi="Verdana" w:cstheme="minorHAnsi"/>
        </w:rPr>
        <w:t>children in the hospital for any period, and whether the maternal grandparents had ever left the parents unsupervised since discharge, or whether they had cared for the twins unsupervised prior to 10 March.</w:t>
      </w:r>
    </w:p>
    <w:p w14:paraId="58DBD90A" w14:textId="7819EF6D" w:rsidR="009235F0" w:rsidRPr="000836A3" w:rsidRDefault="00DD20AF" w:rsidP="002B5C77">
      <w:pPr>
        <w:spacing w:after="240" w:line="276" w:lineRule="auto"/>
        <w:rPr>
          <w:rFonts w:ascii="Verdana" w:hAnsi="Verdana" w:cstheme="minorHAnsi"/>
          <w:b/>
          <w:bCs/>
        </w:rPr>
      </w:pPr>
      <w:r w:rsidRPr="000836A3">
        <w:rPr>
          <w:rFonts w:ascii="Verdana" w:hAnsi="Verdana" w:cstheme="minorHAnsi"/>
          <w:b/>
          <w:bCs/>
        </w:rPr>
        <w:t>EVIDENCE OF CARE PROVIDED TO THE TWINS DURING THE LIKELY PERIOD OF FRACTURES</w:t>
      </w:r>
    </w:p>
    <w:p w14:paraId="0619698C" w14:textId="4AECCF24" w:rsidR="0003614C" w:rsidRDefault="0003614C" w:rsidP="00685EF6">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No evidence was given that the maternal grandparents had provided care or support in the absence of a parent prior to 10 March 2022.</w:t>
      </w:r>
    </w:p>
    <w:p w14:paraId="79D371C4" w14:textId="77777777" w:rsidR="00B63D95" w:rsidRDefault="00B63D95" w:rsidP="002B5C77">
      <w:pPr>
        <w:pStyle w:val="ListParagraph"/>
        <w:spacing w:after="240" w:line="276" w:lineRule="auto"/>
        <w:ind w:left="851"/>
        <w:rPr>
          <w:rFonts w:ascii="Verdana" w:hAnsi="Verdana" w:cstheme="minorHAnsi"/>
        </w:rPr>
      </w:pPr>
    </w:p>
    <w:p w14:paraId="4CE0D746" w14:textId="63FCB6DA" w:rsidR="00B63D95" w:rsidRDefault="00B63D95" w:rsidP="00685EF6">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 xml:space="preserve">The reports of Dr </w:t>
      </w:r>
      <w:r w:rsidR="003A2F8C">
        <w:rPr>
          <w:rFonts w:ascii="Verdana" w:hAnsi="Verdana" w:cstheme="minorHAnsi"/>
        </w:rPr>
        <w:t>HM</w:t>
      </w:r>
      <w:r>
        <w:rPr>
          <w:rFonts w:ascii="Verdana" w:hAnsi="Verdana" w:cstheme="minorHAnsi"/>
        </w:rPr>
        <w:t xml:space="preserve"> include notes of her interviews of the parents.</w:t>
      </w:r>
      <w:r>
        <w:rPr>
          <w:rStyle w:val="FootnoteReference"/>
          <w:rFonts w:ascii="Verdana" w:hAnsi="Verdana" w:cstheme="minorHAnsi"/>
        </w:rPr>
        <w:footnoteReference w:id="8"/>
      </w:r>
      <w:r>
        <w:rPr>
          <w:rFonts w:ascii="Verdana" w:hAnsi="Verdana" w:cstheme="minorHAnsi"/>
        </w:rPr>
        <w:t xml:space="preserve"> Those interviews detail that the only time the twins were in the sole care of one parent (the father) was in the week post discharge from hospital </w:t>
      </w:r>
      <w:r w:rsidR="0057175C">
        <w:rPr>
          <w:rFonts w:ascii="Verdana" w:hAnsi="Verdana" w:cstheme="minorHAnsi"/>
        </w:rPr>
        <w:t>after their</w:t>
      </w:r>
      <w:r>
        <w:rPr>
          <w:rFonts w:ascii="Verdana" w:hAnsi="Verdana" w:cstheme="minorHAnsi"/>
        </w:rPr>
        <w:t xml:space="preserve"> birth when the mother attended a post birth medical check. This period is outside the window for the fracture to the rib of </w:t>
      </w:r>
      <w:r w:rsidR="003A2F8C">
        <w:rPr>
          <w:rFonts w:ascii="Verdana" w:hAnsi="Verdana" w:cstheme="minorHAnsi"/>
        </w:rPr>
        <w:t>Gregory</w:t>
      </w:r>
      <w:r>
        <w:rPr>
          <w:rFonts w:ascii="Verdana" w:hAnsi="Verdana" w:cstheme="minorHAnsi"/>
        </w:rPr>
        <w:t xml:space="preserve"> and the subsequent fracture to the rib of </w:t>
      </w:r>
      <w:r w:rsidR="003A2F8C">
        <w:rPr>
          <w:rFonts w:ascii="Verdana" w:hAnsi="Verdana" w:cstheme="minorHAnsi"/>
        </w:rPr>
        <w:t>Maria</w:t>
      </w:r>
      <w:r>
        <w:rPr>
          <w:rFonts w:ascii="Verdana" w:hAnsi="Verdana" w:cstheme="minorHAnsi"/>
        </w:rPr>
        <w:t xml:space="preserve"> to have occurred on the evidence of Dr </w:t>
      </w:r>
      <w:r w:rsidR="003A2F8C">
        <w:rPr>
          <w:rFonts w:ascii="Verdana" w:hAnsi="Verdana" w:cstheme="minorHAnsi"/>
        </w:rPr>
        <w:t>MC</w:t>
      </w:r>
      <w:r>
        <w:rPr>
          <w:rFonts w:ascii="Verdana" w:hAnsi="Verdana" w:cstheme="minorHAnsi"/>
        </w:rPr>
        <w:t>.</w:t>
      </w:r>
    </w:p>
    <w:p w14:paraId="68F93E18" w14:textId="77777777" w:rsidR="0081252E" w:rsidRDefault="0081252E" w:rsidP="002B5C77">
      <w:pPr>
        <w:pStyle w:val="ListParagraph"/>
        <w:spacing w:after="240" w:line="276" w:lineRule="auto"/>
        <w:ind w:left="851"/>
        <w:rPr>
          <w:rFonts w:ascii="Verdana" w:hAnsi="Verdana" w:cstheme="minorHAnsi"/>
        </w:rPr>
      </w:pPr>
    </w:p>
    <w:p w14:paraId="41160A85" w14:textId="25AD3383" w:rsidR="0003614C" w:rsidRDefault="0003614C" w:rsidP="00685EF6">
      <w:pPr>
        <w:pStyle w:val="ListParagraph"/>
        <w:numPr>
          <w:ilvl w:val="0"/>
          <w:numId w:val="1"/>
        </w:numPr>
        <w:spacing w:after="240" w:line="276" w:lineRule="auto"/>
        <w:ind w:left="851" w:hanging="851"/>
        <w:jc w:val="both"/>
        <w:rPr>
          <w:rFonts w:ascii="Verdana" w:hAnsi="Verdana" w:cstheme="minorHAnsi"/>
        </w:rPr>
      </w:pPr>
      <w:r w:rsidRPr="0081252E">
        <w:rPr>
          <w:rFonts w:ascii="Verdana" w:hAnsi="Verdana" w:cstheme="minorHAnsi"/>
        </w:rPr>
        <w:t xml:space="preserve">The conditions of the IAO made on 16 March 2022 excluded the parents from staying overnight in the home of the maternal grandparents, and no evidence was given that </w:t>
      </w:r>
      <w:r w:rsidR="00180C96" w:rsidRPr="0081252E">
        <w:rPr>
          <w:rFonts w:ascii="Verdana" w:hAnsi="Verdana" w:cstheme="minorHAnsi"/>
        </w:rPr>
        <w:t>the grandparents</w:t>
      </w:r>
      <w:r w:rsidRPr="0081252E">
        <w:rPr>
          <w:rFonts w:ascii="Verdana" w:hAnsi="Verdana" w:cstheme="minorHAnsi"/>
        </w:rPr>
        <w:t xml:space="preserve"> ever failed to comply with the condition requiring they fully supervise all </w:t>
      </w:r>
      <w:r w:rsidR="00435F3A" w:rsidRPr="0081252E">
        <w:rPr>
          <w:rFonts w:ascii="Verdana" w:hAnsi="Verdana" w:cstheme="minorHAnsi"/>
        </w:rPr>
        <w:t xml:space="preserve">care </w:t>
      </w:r>
      <w:r w:rsidR="0057175C">
        <w:rPr>
          <w:rFonts w:ascii="Verdana" w:hAnsi="Verdana" w:cstheme="minorHAnsi"/>
        </w:rPr>
        <w:t>provided by the parents under the court ordered contact conditions for</w:t>
      </w:r>
      <w:r w:rsidR="00435F3A" w:rsidRPr="0081252E">
        <w:rPr>
          <w:rFonts w:ascii="Verdana" w:hAnsi="Verdana" w:cstheme="minorHAnsi"/>
        </w:rPr>
        <w:t xml:space="preserve"> the twins and the parents.</w:t>
      </w:r>
    </w:p>
    <w:p w14:paraId="2B75D986" w14:textId="77777777" w:rsidR="0081252E" w:rsidRPr="0081252E" w:rsidRDefault="0081252E" w:rsidP="00685EF6">
      <w:pPr>
        <w:pStyle w:val="ListParagraph"/>
        <w:spacing w:line="276" w:lineRule="auto"/>
        <w:ind w:left="851"/>
        <w:rPr>
          <w:rFonts w:ascii="Verdana" w:hAnsi="Verdana" w:cstheme="minorHAnsi"/>
        </w:rPr>
      </w:pPr>
    </w:p>
    <w:p w14:paraId="46081C65" w14:textId="42D674A1" w:rsidR="00435F3A" w:rsidRDefault="00435F3A" w:rsidP="00685EF6">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No evidence was given that the parents were ever left unsupervised by hospital staff during the inpatient admission dates, or that nursing staff observed any handling of concern by either parent.</w:t>
      </w:r>
    </w:p>
    <w:p w14:paraId="50FF3349" w14:textId="77777777" w:rsidR="0081252E" w:rsidRPr="0081252E" w:rsidRDefault="0081252E" w:rsidP="00685EF6">
      <w:pPr>
        <w:pStyle w:val="ListParagraph"/>
        <w:spacing w:line="276" w:lineRule="auto"/>
        <w:ind w:left="851"/>
        <w:rPr>
          <w:rFonts w:ascii="Verdana" w:hAnsi="Verdana" w:cstheme="minorHAnsi"/>
        </w:rPr>
      </w:pPr>
    </w:p>
    <w:p w14:paraId="4114C337" w14:textId="66B41660" w:rsidR="00435F3A" w:rsidRDefault="00435F3A" w:rsidP="00685EF6">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No evidence was led of the parents</w:t>
      </w:r>
      <w:r w:rsidR="0065124A" w:rsidRPr="00D94E5D">
        <w:rPr>
          <w:rFonts w:ascii="Verdana" w:hAnsi="Verdana" w:cstheme="minorHAnsi"/>
        </w:rPr>
        <w:t>’</w:t>
      </w:r>
      <w:r w:rsidRPr="00D94E5D">
        <w:rPr>
          <w:rFonts w:ascii="Verdana" w:hAnsi="Verdana" w:cstheme="minorHAnsi"/>
        </w:rPr>
        <w:t xml:space="preserve"> presentation during the hospital admission as being of concern. The </w:t>
      </w:r>
      <w:r w:rsidR="004E0889" w:rsidRPr="00D94E5D">
        <w:rPr>
          <w:rFonts w:ascii="Verdana" w:hAnsi="Verdana" w:cstheme="minorHAnsi"/>
        </w:rPr>
        <w:t>evidence is</w:t>
      </w:r>
      <w:r w:rsidRPr="00D94E5D">
        <w:rPr>
          <w:rFonts w:ascii="Verdana" w:hAnsi="Verdana" w:cstheme="minorHAnsi"/>
        </w:rPr>
        <w:t xml:space="preserve"> that they were open in their interactions and responses to hospital staff, cooperative, and nurturing</w:t>
      </w:r>
      <w:r w:rsidR="00547B4F" w:rsidRPr="00D94E5D">
        <w:rPr>
          <w:rFonts w:ascii="Verdana" w:hAnsi="Verdana" w:cstheme="minorHAnsi"/>
        </w:rPr>
        <w:t xml:space="preserve"> in the care they provided to the children</w:t>
      </w:r>
      <w:r w:rsidRPr="00D94E5D">
        <w:rPr>
          <w:rFonts w:ascii="Verdana" w:hAnsi="Verdana" w:cstheme="minorHAnsi"/>
        </w:rPr>
        <w:t>.</w:t>
      </w:r>
    </w:p>
    <w:p w14:paraId="03589079" w14:textId="77777777" w:rsidR="0081252E" w:rsidRPr="0081252E" w:rsidRDefault="0081252E" w:rsidP="00685EF6">
      <w:pPr>
        <w:pStyle w:val="ListParagraph"/>
        <w:spacing w:line="276" w:lineRule="auto"/>
        <w:ind w:left="851"/>
        <w:rPr>
          <w:rFonts w:ascii="Verdana" w:hAnsi="Verdana" w:cstheme="minorHAnsi"/>
        </w:rPr>
      </w:pPr>
    </w:p>
    <w:p w14:paraId="46223910" w14:textId="6CE6B6E4" w:rsidR="0065124A" w:rsidRDefault="0065124A" w:rsidP="00685EF6">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MCHN Ms </w:t>
      </w:r>
      <w:r w:rsidR="003A2F8C">
        <w:rPr>
          <w:rFonts w:ascii="Verdana" w:hAnsi="Verdana" w:cstheme="minorHAnsi"/>
        </w:rPr>
        <w:t>White</w:t>
      </w:r>
      <w:r w:rsidRPr="00D94E5D">
        <w:rPr>
          <w:rFonts w:ascii="Verdana" w:hAnsi="Verdana" w:cstheme="minorHAnsi"/>
        </w:rPr>
        <w:t xml:space="preserve"> did not notice any signs of rib fracture in </w:t>
      </w:r>
      <w:r w:rsidR="003A2F8C">
        <w:rPr>
          <w:rFonts w:ascii="Verdana" w:hAnsi="Verdana" w:cstheme="minorHAnsi"/>
        </w:rPr>
        <w:t>Gregory</w:t>
      </w:r>
      <w:r w:rsidRPr="00D94E5D">
        <w:rPr>
          <w:rFonts w:ascii="Verdana" w:hAnsi="Verdana" w:cstheme="minorHAnsi"/>
        </w:rPr>
        <w:t xml:space="preserve"> when he was examined on 10 March 2022. She did not give evidence that he showed any signs of discomfort, nor that she heard a popping sound. She did not observe any inappropriate handling of the twins by either parent. None was noted as having </w:t>
      </w:r>
      <w:r w:rsidR="00695D9C" w:rsidRPr="00D94E5D">
        <w:rPr>
          <w:rFonts w:ascii="Verdana" w:hAnsi="Verdana" w:cstheme="minorHAnsi"/>
        </w:rPr>
        <w:t>been</w:t>
      </w:r>
      <w:r w:rsidRPr="00D94E5D">
        <w:rPr>
          <w:rFonts w:ascii="Verdana" w:hAnsi="Verdana" w:cstheme="minorHAnsi"/>
        </w:rPr>
        <w:t xml:space="preserve"> observed by the breastfeeding nursing service</w:t>
      </w:r>
      <w:r w:rsidR="00547B4F" w:rsidRPr="00D94E5D">
        <w:rPr>
          <w:rFonts w:ascii="Verdana" w:hAnsi="Verdana" w:cstheme="minorHAnsi"/>
        </w:rPr>
        <w:t xml:space="preserve"> (who saw </w:t>
      </w:r>
      <w:r w:rsidR="0057175C">
        <w:rPr>
          <w:rFonts w:ascii="Verdana" w:hAnsi="Verdana" w:cstheme="minorHAnsi"/>
        </w:rPr>
        <w:t xml:space="preserve">last </w:t>
      </w:r>
      <w:r w:rsidR="00547B4F" w:rsidRPr="00D94E5D">
        <w:rPr>
          <w:rFonts w:ascii="Verdana" w:hAnsi="Verdana" w:cstheme="minorHAnsi"/>
        </w:rPr>
        <w:t>the children on 7 March 2022)</w:t>
      </w:r>
      <w:r w:rsidRPr="00D94E5D">
        <w:rPr>
          <w:rFonts w:ascii="Verdana" w:hAnsi="Verdana" w:cstheme="minorHAnsi"/>
        </w:rPr>
        <w:t xml:space="preserve"> on the file either – in fact, the observations were of gentle and responsive care.</w:t>
      </w:r>
      <w:r w:rsidRPr="00D94E5D">
        <w:rPr>
          <w:rStyle w:val="FootnoteReference"/>
          <w:rFonts w:ascii="Verdana" w:hAnsi="Verdana" w:cstheme="minorHAnsi"/>
        </w:rPr>
        <w:footnoteReference w:id="9"/>
      </w:r>
    </w:p>
    <w:p w14:paraId="3F01C2FC" w14:textId="77777777" w:rsidR="0081252E" w:rsidRPr="0081252E" w:rsidRDefault="0081252E" w:rsidP="005D4FDB">
      <w:pPr>
        <w:pStyle w:val="ListParagraph"/>
        <w:spacing w:line="276" w:lineRule="auto"/>
        <w:ind w:left="851"/>
        <w:rPr>
          <w:rFonts w:ascii="Verdana" w:hAnsi="Verdana" w:cstheme="minorHAnsi"/>
        </w:rPr>
      </w:pPr>
    </w:p>
    <w:p w14:paraId="1D972050" w14:textId="6763C751" w:rsidR="00435F3A" w:rsidRPr="00D94E5D" w:rsidRDefault="00435F3A" w:rsidP="00685EF6">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Ms </w:t>
      </w:r>
      <w:r w:rsidR="00DB1A55">
        <w:rPr>
          <w:rFonts w:ascii="Verdana" w:hAnsi="Verdana" w:cstheme="minorHAnsi"/>
        </w:rPr>
        <w:t>TH</w:t>
      </w:r>
      <w:r w:rsidRPr="00D94E5D">
        <w:rPr>
          <w:rFonts w:ascii="Verdana" w:hAnsi="Verdana" w:cstheme="minorHAnsi"/>
        </w:rPr>
        <w:t xml:space="preserve"> conducted a home visit on 16 March after discharge from RCH. She noted no concerns for either child. Ms </w:t>
      </w:r>
      <w:r w:rsidR="00DB1A55">
        <w:rPr>
          <w:rFonts w:ascii="Verdana" w:hAnsi="Verdana" w:cstheme="minorHAnsi"/>
        </w:rPr>
        <w:t>SM</w:t>
      </w:r>
      <w:r w:rsidRPr="00D94E5D">
        <w:rPr>
          <w:rFonts w:ascii="Verdana" w:hAnsi="Verdana" w:cstheme="minorHAnsi"/>
        </w:rPr>
        <w:t>, also of DFFH, conducted another home visit on 24 March</w:t>
      </w:r>
      <w:r w:rsidR="0065124A" w:rsidRPr="00D94E5D">
        <w:rPr>
          <w:rFonts w:ascii="Verdana" w:hAnsi="Verdana" w:cstheme="minorHAnsi"/>
        </w:rPr>
        <w:t xml:space="preserve"> 2022. Ms </w:t>
      </w:r>
      <w:r w:rsidR="00DB1A55">
        <w:rPr>
          <w:rFonts w:ascii="Verdana" w:hAnsi="Verdana" w:cstheme="minorHAnsi"/>
        </w:rPr>
        <w:t>TH</w:t>
      </w:r>
      <w:r w:rsidR="0065124A" w:rsidRPr="00D94E5D">
        <w:rPr>
          <w:rFonts w:ascii="Verdana" w:hAnsi="Verdana" w:cstheme="minorHAnsi"/>
        </w:rPr>
        <w:t xml:space="preserve"> agreed that in Ms </w:t>
      </w:r>
      <w:r w:rsidR="00DB1A55">
        <w:rPr>
          <w:rFonts w:ascii="Verdana" w:hAnsi="Verdana" w:cstheme="minorHAnsi"/>
        </w:rPr>
        <w:t>SM</w:t>
      </w:r>
      <w:r w:rsidR="0065124A" w:rsidRPr="00D94E5D">
        <w:rPr>
          <w:rFonts w:ascii="Verdana" w:hAnsi="Verdana" w:cstheme="minorHAnsi"/>
        </w:rPr>
        <w:t>’s case note of this visit</w:t>
      </w:r>
      <w:r w:rsidRPr="00D94E5D">
        <w:rPr>
          <w:rFonts w:ascii="Verdana" w:hAnsi="Verdana" w:cstheme="minorHAnsi"/>
        </w:rPr>
        <w:t xml:space="preserve"> she not only had no concerns, </w:t>
      </w:r>
      <w:proofErr w:type="gramStart"/>
      <w:r w:rsidR="00AB5711" w:rsidRPr="00D94E5D">
        <w:rPr>
          <w:rFonts w:ascii="Verdana" w:hAnsi="Verdana" w:cstheme="minorHAnsi"/>
        </w:rPr>
        <w:t>she</w:t>
      </w:r>
      <w:proofErr w:type="gramEnd"/>
      <w:r w:rsidR="00AB5711" w:rsidRPr="00D94E5D">
        <w:rPr>
          <w:rFonts w:ascii="Verdana" w:hAnsi="Verdana" w:cstheme="minorHAnsi"/>
        </w:rPr>
        <w:t xml:space="preserve"> also</w:t>
      </w:r>
      <w:r w:rsidRPr="00D94E5D">
        <w:rPr>
          <w:rFonts w:ascii="Verdana" w:hAnsi="Verdana" w:cstheme="minorHAnsi"/>
        </w:rPr>
        <w:t xml:space="preserve"> noted positive care giving and interactions. She noted no external </w:t>
      </w:r>
      <w:r w:rsidR="0065124A" w:rsidRPr="00D94E5D">
        <w:rPr>
          <w:rFonts w:ascii="Verdana" w:hAnsi="Verdana" w:cstheme="minorHAnsi"/>
        </w:rPr>
        <w:t>injuries and</w:t>
      </w:r>
      <w:r w:rsidRPr="00D94E5D">
        <w:rPr>
          <w:rFonts w:ascii="Verdana" w:hAnsi="Verdana" w:cstheme="minorHAnsi"/>
        </w:rPr>
        <w:t xml:space="preserve"> did not note </w:t>
      </w:r>
      <w:r w:rsidR="003A2F8C">
        <w:rPr>
          <w:rFonts w:ascii="Verdana" w:hAnsi="Verdana" w:cstheme="minorHAnsi"/>
        </w:rPr>
        <w:t>Maria</w:t>
      </w:r>
      <w:r w:rsidRPr="00D94E5D">
        <w:rPr>
          <w:rFonts w:ascii="Verdana" w:hAnsi="Verdana" w:cstheme="minorHAnsi"/>
        </w:rPr>
        <w:t xml:space="preserve"> to show any signs of discomfort.</w:t>
      </w:r>
    </w:p>
    <w:p w14:paraId="5E9D07BA" w14:textId="334F99EE" w:rsidR="00D47D69" w:rsidRPr="000836A3" w:rsidRDefault="0089202A" w:rsidP="002B5C77">
      <w:pPr>
        <w:spacing w:after="240" w:line="276" w:lineRule="auto"/>
        <w:rPr>
          <w:rFonts w:ascii="Verdana" w:hAnsi="Verdana" w:cstheme="minorHAnsi"/>
          <w:b/>
          <w:bCs/>
        </w:rPr>
      </w:pPr>
      <w:r w:rsidRPr="000836A3">
        <w:rPr>
          <w:rFonts w:ascii="Verdana" w:hAnsi="Verdana" w:cstheme="minorHAnsi"/>
          <w:b/>
          <w:bCs/>
        </w:rPr>
        <w:t>MEDICAL OPINION OF CAUSATIVE MECHANISM AND EXPLANATIONS FOR THE RIB FRACTURES</w:t>
      </w:r>
    </w:p>
    <w:p w14:paraId="3052DB8D" w14:textId="1AE1D926" w:rsidR="00D32CC5" w:rsidRPr="0057175C" w:rsidRDefault="00D32CC5" w:rsidP="005D4FD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In her reports for the VFPMS, Dr </w:t>
      </w:r>
      <w:r w:rsidR="003A2F8C">
        <w:rPr>
          <w:rFonts w:ascii="Verdana" w:hAnsi="Verdana" w:cstheme="minorHAnsi"/>
        </w:rPr>
        <w:t>HM</w:t>
      </w:r>
      <w:r w:rsidR="0012239A">
        <w:rPr>
          <w:rStyle w:val="FootnoteReference"/>
          <w:rFonts w:ascii="Verdana" w:hAnsi="Verdana" w:cstheme="minorHAnsi"/>
        </w:rPr>
        <w:footnoteReference w:id="10"/>
      </w:r>
      <w:r w:rsidRPr="00D94E5D">
        <w:rPr>
          <w:rFonts w:ascii="Verdana" w:hAnsi="Verdana" w:cstheme="minorHAnsi"/>
        </w:rPr>
        <w:t xml:space="preserve"> notes that she is reliant upon radiology colleagues for interpretation of radiology investigations. In her report on </w:t>
      </w:r>
      <w:r w:rsidR="003A2F8C">
        <w:rPr>
          <w:rFonts w:ascii="Verdana" w:hAnsi="Verdana" w:cstheme="minorHAnsi"/>
        </w:rPr>
        <w:t>Maria</w:t>
      </w:r>
      <w:r w:rsidRPr="00D94E5D">
        <w:rPr>
          <w:rFonts w:ascii="Verdana" w:hAnsi="Verdana" w:cstheme="minorHAnsi"/>
        </w:rPr>
        <w:t xml:space="preserve">, she included Dr </w:t>
      </w:r>
      <w:r w:rsidR="003A2F8C">
        <w:rPr>
          <w:rFonts w:ascii="Verdana" w:hAnsi="Verdana" w:cstheme="minorHAnsi"/>
        </w:rPr>
        <w:t>MC</w:t>
      </w:r>
      <w:r w:rsidRPr="00D94E5D">
        <w:rPr>
          <w:rFonts w:ascii="Verdana" w:hAnsi="Verdana" w:cstheme="minorHAnsi"/>
        </w:rPr>
        <w:t xml:space="preserve">’s opinion that the </w:t>
      </w:r>
      <w:r w:rsidR="00180C96" w:rsidRPr="00D94E5D">
        <w:rPr>
          <w:rFonts w:ascii="Verdana" w:hAnsi="Verdana" w:cstheme="minorHAnsi"/>
        </w:rPr>
        <w:t>location</w:t>
      </w:r>
      <w:r w:rsidRPr="00D94E5D">
        <w:rPr>
          <w:rFonts w:ascii="Verdana" w:hAnsi="Verdana" w:cstheme="minorHAnsi"/>
        </w:rPr>
        <w:t xml:space="preserve"> of the rib fractures was not typical of those thought to be caused “</w:t>
      </w:r>
      <w:r w:rsidRPr="00D94E5D">
        <w:rPr>
          <w:rFonts w:ascii="Verdana" w:hAnsi="Verdana" w:cstheme="minorHAnsi"/>
          <w:i/>
          <w:iCs/>
        </w:rPr>
        <w:t>from holding chest with two hands”.</w:t>
      </w:r>
    </w:p>
    <w:p w14:paraId="35B57DFA" w14:textId="77777777" w:rsidR="0057175C" w:rsidRDefault="0057175C" w:rsidP="002B5C77">
      <w:pPr>
        <w:pStyle w:val="ListParagraph"/>
        <w:spacing w:after="240" w:line="276" w:lineRule="auto"/>
        <w:ind w:left="851"/>
        <w:rPr>
          <w:rFonts w:ascii="Verdana" w:hAnsi="Verdana" w:cstheme="minorHAnsi"/>
        </w:rPr>
      </w:pPr>
    </w:p>
    <w:p w14:paraId="67F5696D" w14:textId="6F40804E" w:rsidR="003A48D6" w:rsidRDefault="0012239A" w:rsidP="005D4FDB">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Contrary to</w:t>
      </w:r>
      <w:r w:rsidR="003A48D6">
        <w:rPr>
          <w:rFonts w:ascii="Verdana" w:hAnsi="Verdana" w:cstheme="minorHAnsi"/>
        </w:rPr>
        <w:t xml:space="preserve"> this, Dr </w:t>
      </w:r>
      <w:r w:rsidR="003A2F8C">
        <w:rPr>
          <w:rFonts w:ascii="Verdana" w:hAnsi="Verdana" w:cstheme="minorHAnsi"/>
        </w:rPr>
        <w:t>HM</w:t>
      </w:r>
      <w:r w:rsidR="003A48D6">
        <w:rPr>
          <w:rFonts w:ascii="Verdana" w:hAnsi="Verdana" w:cstheme="minorHAnsi"/>
        </w:rPr>
        <w:t xml:space="preserve"> suggested </w:t>
      </w:r>
      <w:r w:rsidR="0057175C">
        <w:rPr>
          <w:rFonts w:ascii="Verdana" w:hAnsi="Verdana" w:cstheme="minorHAnsi"/>
        </w:rPr>
        <w:t xml:space="preserve">in her viva voce evidence </w:t>
      </w:r>
      <w:r w:rsidR="003A48D6">
        <w:rPr>
          <w:rFonts w:ascii="Verdana" w:hAnsi="Verdana" w:cstheme="minorHAnsi"/>
        </w:rPr>
        <w:t>that the injury to each child was from a squeeze and shake</w:t>
      </w:r>
      <w:r w:rsidR="0057175C">
        <w:rPr>
          <w:rFonts w:ascii="Verdana" w:hAnsi="Verdana" w:cstheme="minorHAnsi"/>
        </w:rPr>
        <w:t xml:space="preserve"> with both hands gripping the torso</w:t>
      </w:r>
      <w:r w:rsidR="003A48D6">
        <w:rPr>
          <w:rFonts w:ascii="Verdana" w:hAnsi="Verdana" w:cstheme="minorHAnsi"/>
        </w:rPr>
        <w:t>.</w:t>
      </w:r>
    </w:p>
    <w:p w14:paraId="7BE19AE7" w14:textId="77777777" w:rsidR="003A48D6" w:rsidRPr="00D94E5D" w:rsidRDefault="003A48D6" w:rsidP="002B5C77">
      <w:pPr>
        <w:pStyle w:val="ListParagraph"/>
        <w:spacing w:after="240" w:line="276" w:lineRule="auto"/>
        <w:ind w:left="851"/>
        <w:rPr>
          <w:rFonts w:ascii="Verdana" w:hAnsi="Verdana" w:cstheme="minorHAnsi"/>
        </w:rPr>
      </w:pPr>
    </w:p>
    <w:p w14:paraId="7951340B" w14:textId="751C9820" w:rsidR="00D47D69" w:rsidRDefault="00D47D69" w:rsidP="005D4FD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Dr </w:t>
      </w:r>
      <w:r w:rsidR="003A2F8C">
        <w:rPr>
          <w:rFonts w:ascii="Verdana" w:hAnsi="Verdana" w:cstheme="minorHAnsi"/>
        </w:rPr>
        <w:t>MC</w:t>
      </w:r>
      <w:r w:rsidRPr="00D94E5D">
        <w:rPr>
          <w:rFonts w:ascii="Verdana" w:hAnsi="Verdana" w:cstheme="minorHAnsi"/>
        </w:rPr>
        <w:t xml:space="preserve">’s evidence </w:t>
      </w:r>
      <w:r w:rsidR="00D32CC5" w:rsidRPr="00D94E5D">
        <w:rPr>
          <w:rFonts w:ascii="Verdana" w:hAnsi="Verdana" w:cstheme="minorHAnsi"/>
        </w:rPr>
        <w:t xml:space="preserve">given in this hearing </w:t>
      </w:r>
      <w:r w:rsidRPr="00D94E5D">
        <w:rPr>
          <w:rFonts w:ascii="Verdana" w:hAnsi="Verdana" w:cstheme="minorHAnsi"/>
        </w:rPr>
        <w:t>regarding possible causation was that his expertise and role was in diagnosing the fractures</w:t>
      </w:r>
      <w:r w:rsidR="0012239A">
        <w:rPr>
          <w:rFonts w:ascii="Verdana" w:hAnsi="Verdana" w:cstheme="minorHAnsi"/>
        </w:rPr>
        <w:t>.</w:t>
      </w:r>
      <w:r w:rsidRPr="00D94E5D">
        <w:rPr>
          <w:rFonts w:ascii="Verdana" w:hAnsi="Verdana" w:cstheme="minorHAnsi"/>
        </w:rPr>
        <w:t xml:space="preserve"> </w:t>
      </w:r>
      <w:proofErr w:type="gramStart"/>
      <w:r w:rsidR="0012239A">
        <w:rPr>
          <w:rFonts w:ascii="Verdana" w:hAnsi="Verdana" w:cstheme="minorHAnsi"/>
        </w:rPr>
        <w:t>However</w:t>
      </w:r>
      <w:proofErr w:type="gramEnd"/>
      <w:r w:rsidRPr="00D94E5D">
        <w:rPr>
          <w:rFonts w:ascii="Verdana" w:hAnsi="Verdana" w:cstheme="minorHAnsi"/>
        </w:rPr>
        <w:t xml:space="preserve"> in his experience, it was </w:t>
      </w:r>
      <w:r w:rsidR="00921CD2" w:rsidRPr="00D94E5D">
        <w:rPr>
          <w:rFonts w:ascii="Verdana" w:hAnsi="Verdana" w:cstheme="minorHAnsi"/>
        </w:rPr>
        <w:t>“</w:t>
      </w:r>
      <w:r w:rsidRPr="00D94E5D">
        <w:rPr>
          <w:rFonts w:ascii="Verdana" w:hAnsi="Verdana" w:cstheme="minorHAnsi"/>
          <w:i/>
          <w:iCs/>
        </w:rPr>
        <w:t>hard to imagine how force could be applied to only one rib</w:t>
      </w:r>
      <w:r w:rsidR="00921CD2" w:rsidRPr="00D94E5D">
        <w:rPr>
          <w:rFonts w:ascii="Verdana" w:hAnsi="Verdana" w:cstheme="minorHAnsi"/>
        </w:rPr>
        <w:t>”</w:t>
      </w:r>
      <w:r w:rsidRPr="00D94E5D">
        <w:rPr>
          <w:rFonts w:ascii="Verdana" w:hAnsi="Verdana" w:cstheme="minorHAnsi"/>
        </w:rPr>
        <w:t xml:space="preserve">, and that his professional opinion was that that the degree of force to only break a single rib would be less than a motor vehicle accident. He was of the view that </w:t>
      </w:r>
      <w:r w:rsidR="0065124A" w:rsidRPr="00D94E5D">
        <w:rPr>
          <w:rFonts w:ascii="Verdana" w:hAnsi="Verdana" w:cstheme="minorHAnsi"/>
        </w:rPr>
        <w:t xml:space="preserve">the </w:t>
      </w:r>
      <w:r w:rsidR="00B40BD2" w:rsidRPr="00D94E5D">
        <w:rPr>
          <w:rFonts w:ascii="Verdana" w:hAnsi="Verdana" w:cstheme="minorHAnsi"/>
        </w:rPr>
        <w:t xml:space="preserve">most likely </w:t>
      </w:r>
      <w:r w:rsidR="0065124A" w:rsidRPr="00D94E5D">
        <w:rPr>
          <w:rFonts w:ascii="Verdana" w:hAnsi="Verdana" w:cstheme="minorHAnsi"/>
        </w:rPr>
        <w:t>mechanism was</w:t>
      </w:r>
      <w:r w:rsidR="00B40BD2" w:rsidRPr="00D94E5D">
        <w:rPr>
          <w:rFonts w:ascii="Verdana" w:hAnsi="Verdana" w:cstheme="minorHAnsi"/>
        </w:rPr>
        <w:t xml:space="preserve"> lateral compression on the side of the body where the fracture was located</w:t>
      </w:r>
      <w:r w:rsidRPr="00D94E5D">
        <w:rPr>
          <w:rFonts w:ascii="Verdana" w:hAnsi="Verdana" w:cstheme="minorHAnsi"/>
        </w:rPr>
        <w:t>.</w:t>
      </w:r>
      <w:r w:rsidR="0065124A" w:rsidRPr="00D94E5D">
        <w:rPr>
          <w:rFonts w:ascii="Verdana" w:hAnsi="Verdana" w:cstheme="minorHAnsi"/>
        </w:rPr>
        <w:t xml:space="preserve"> In his opinion the fractures could be </w:t>
      </w:r>
      <w:r w:rsidR="00320555" w:rsidRPr="00D94E5D">
        <w:rPr>
          <w:rFonts w:ascii="Verdana" w:hAnsi="Verdana" w:cstheme="minorHAnsi"/>
        </w:rPr>
        <w:t>accidental and</w:t>
      </w:r>
      <w:r w:rsidR="0065124A" w:rsidRPr="00D94E5D">
        <w:rPr>
          <w:rFonts w:ascii="Verdana" w:hAnsi="Verdana" w:cstheme="minorHAnsi"/>
        </w:rPr>
        <w:t xml:space="preserve"> were not clearly deliberately inflicted.</w:t>
      </w:r>
    </w:p>
    <w:p w14:paraId="1301CE09" w14:textId="77777777" w:rsidR="0081252E" w:rsidRDefault="0081252E" w:rsidP="002B5C77">
      <w:pPr>
        <w:pStyle w:val="ListParagraph"/>
        <w:spacing w:after="240" w:line="276" w:lineRule="auto"/>
        <w:ind w:left="851"/>
        <w:rPr>
          <w:rFonts w:ascii="Verdana" w:hAnsi="Verdana" w:cstheme="minorHAnsi"/>
        </w:rPr>
      </w:pPr>
    </w:p>
    <w:p w14:paraId="13F73B55" w14:textId="6D5C2D55" w:rsidR="00D47D69" w:rsidRDefault="00D47D69" w:rsidP="005D4FDB">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He deferred to Professors </w:t>
      </w:r>
      <w:r w:rsidR="00DB1A55">
        <w:rPr>
          <w:rFonts w:ascii="Verdana" w:hAnsi="Verdana" w:cstheme="minorHAnsi"/>
        </w:rPr>
        <w:t>RS</w:t>
      </w:r>
      <w:r w:rsidRPr="00D94E5D">
        <w:rPr>
          <w:rFonts w:ascii="Verdana" w:hAnsi="Verdana" w:cstheme="minorHAnsi"/>
        </w:rPr>
        <w:t xml:space="preserve"> and </w:t>
      </w:r>
      <w:r w:rsidR="003A2F8C">
        <w:rPr>
          <w:rFonts w:ascii="Verdana" w:hAnsi="Verdana" w:cstheme="minorHAnsi"/>
        </w:rPr>
        <w:t>AN</w:t>
      </w:r>
      <w:r w:rsidRPr="00D94E5D">
        <w:rPr>
          <w:rFonts w:ascii="Verdana" w:hAnsi="Verdana" w:cstheme="minorHAnsi"/>
        </w:rPr>
        <w:t xml:space="preserve"> regarding bone fragility and agreed that whilst the imaging did not show a definitive bone abnormality, the observation of Professor </w:t>
      </w:r>
      <w:r w:rsidR="003A2F8C">
        <w:rPr>
          <w:rFonts w:ascii="Verdana" w:hAnsi="Verdana" w:cstheme="minorHAnsi"/>
        </w:rPr>
        <w:t>RS</w:t>
      </w:r>
      <w:r w:rsidRPr="00D94E5D">
        <w:rPr>
          <w:rFonts w:ascii="Verdana" w:hAnsi="Verdana" w:cstheme="minorHAnsi"/>
        </w:rPr>
        <w:t xml:space="preserve"> that </w:t>
      </w:r>
      <w:r w:rsidR="003A2F8C">
        <w:rPr>
          <w:rFonts w:ascii="Verdana" w:hAnsi="Verdana" w:cstheme="minorHAnsi"/>
        </w:rPr>
        <w:t>Maria</w:t>
      </w:r>
      <w:r w:rsidRPr="00D94E5D">
        <w:rPr>
          <w:rFonts w:ascii="Verdana" w:hAnsi="Verdana" w:cstheme="minorHAnsi"/>
        </w:rPr>
        <w:t xml:space="preserve">’s ribs appeared gracile (twig like) and had thin femoral </w:t>
      </w:r>
      <w:r w:rsidR="00B40BD2" w:rsidRPr="00D94E5D">
        <w:rPr>
          <w:rFonts w:ascii="Verdana" w:hAnsi="Verdana" w:cstheme="minorHAnsi"/>
        </w:rPr>
        <w:t>cortices</w:t>
      </w:r>
      <w:r w:rsidRPr="00D94E5D">
        <w:rPr>
          <w:rFonts w:ascii="Verdana" w:hAnsi="Verdana" w:cstheme="minorHAnsi"/>
        </w:rPr>
        <w:t xml:space="preserve"> was fair – he commented that “</w:t>
      </w:r>
      <w:r w:rsidRPr="00D94E5D">
        <w:rPr>
          <w:rFonts w:ascii="Verdana" w:hAnsi="Verdana" w:cstheme="minorHAnsi"/>
          <w:i/>
          <w:iCs/>
        </w:rPr>
        <w:t>they look a little thin</w:t>
      </w:r>
      <w:r w:rsidR="003A48D6">
        <w:rPr>
          <w:rFonts w:ascii="Verdana" w:hAnsi="Verdana" w:cstheme="minorHAnsi"/>
          <w:i/>
          <w:iCs/>
        </w:rPr>
        <w:t>, but it is matter of opinion</w:t>
      </w:r>
      <w:r w:rsidRPr="00D94E5D">
        <w:rPr>
          <w:rFonts w:ascii="Verdana" w:hAnsi="Verdana" w:cstheme="minorHAnsi"/>
        </w:rPr>
        <w:t>”</w:t>
      </w:r>
      <w:r w:rsidR="00180C96" w:rsidRPr="00D94E5D">
        <w:rPr>
          <w:rFonts w:ascii="Verdana" w:hAnsi="Verdana" w:cstheme="minorHAnsi"/>
        </w:rPr>
        <w:t>.</w:t>
      </w:r>
    </w:p>
    <w:p w14:paraId="1D65878F" w14:textId="77777777" w:rsidR="0081252E" w:rsidRPr="0081252E" w:rsidRDefault="0081252E" w:rsidP="00927532">
      <w:pPr>
        <w:pStyle w:val="ListParagraph"/>
        <w:spacing w:line="276" w:lineRule="auto"/>
        <w:ind w:left="851"/>
        <w:jc w:val="both"/>
        <w:rPr>
          <w:rFonts w:ascii="Verdana" w:hAnsi="Verdana" w:cstheme="minorHAnsi"/>
        </w:rPr>
      </w:pPr>
    </w:p>
    <w:p w14:paraId="54F58064" w14:textId="10A0E675" w:rsidR="005D593D" w:rsidRDefault="005D593D" w:rsidP="0092753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Professor </w:t>
      </w:r>
      <w:r w:rsidR="003A2F8C">
        <w:rPr>
          <w:rFonts w:ascii="Verdana" w:hAnsi="Verdana" w:cstheme="minorHAnsi"/>
        </w:rPr>
        <w:t>AN</w:t>
      </w:r>
      <w:r w:rsidRPr="00D94E5D">
        <w:rPr>
          <w:rFonts w:ascii="Verdana" w:hAnsi="Verdana" w:cstheme="minorHAnsi"/>
        </w:rPr>
        <w:t xml:space="preserve"> was consulted by the parents to explore other causes for the fractures. She was engaged due to her significant expertise as a paediatric endocr</w:t>
      </w:r>
      <w:r w:rsidR="00B40BD2" w:rsidRPr="00D94E5D">
        <w:rPr>
          <w:rFonts w:ascii="Verdana" w:hAnsi="Verdana" w:cstheme="minorHAnsi"/>
        </w:rPr>
        <w:t>i</w:t>
      </w:r>
      <w:r w:rsidRPr="00D94E5D">
        <w:rPr>
          <w:rFonts w:ascii="Verdana" w:hAnsi="Verdana" w:cstheme="minorHAnsi"/>
        </w:rPr>
        <w:t>nologist</w:t>
      </w:r>
      <w:r w:rsidR="00B40BD2" w:rsidRPr="00D94E5D">
        <w:rPr>
          <w:rFonts w:ascii="Verdana" w:hAnsi="Verdana" w:cstheme="minorHAnsi"/>
        </w:rPr>
        <w:t xml:space="preserve"> </w:t>
      </w:r>
      <w:r w:rsidR="00921CD2" w:rsidRPr="00D94E5D">
        <w:rPr>
          <w:rFonts w:ascii="Verdana" w:hAnsi="Verdana" w:cstheme="minorHAnsi"/>
        </w:rPr>
        <w:t>w</w:t>
      </w:r>
      <w:r w:rsidR="00B40BD2" w:rsidRPr="00D94E5D">
        <w:rPr>
          <w:rFonts w:ascii="Verdana" w:hAnsi="Verdana" w:cstheme="minorHAnsi"/>
        </w:rPr>
        <w:t>ith expertise in bone abnormality</w:t>
      </w:r>
      <w:r w:rsidRPr="00D94E5D">
        <w:rPr>
          <w:rFonts w:ascii="Verdana" w:hAnsi="Verdana" w:cstheme="minorHAnsi"/>
        </w:rPr>
        <w:t xml:space="preserve">. Her expertise in this area was acknowledged by all other medical witnesses </w:t>
      </w:r>
      <w:r w:rsidR="00D47D69" w:rsidRPr="00D94E5D">
        <w:rPr>
          <w:rFonts w:ascii="Verdana" w:hAnsi="Verdana" w:cstheme="minorHAnsi"/>
        </w:rPr>
        <w:t>except</w:t>
      </w:r>
      <w:r w:rsidRPr="00D94E5D">
        <w:rPr>
          <w:rFonts w:ascii="Verdana" w:hAnsi="Verdana" w:cstheme="minorHAnsi"/>
        </w:rPr>
        <w:t xml:space="preserve"> Dr </w:t>
      </w:r>
      <w:r w:rsidR="003A2F8C">
        <w:rPr>
          <w:rFonts w:ascii="Verdana" w:hAnsi="Verdana" w:cstheme="minorHAnsi"/>
        </w:rPr>
        <w:t>HM</w:t>
      </w:r>
      <w:r w:rsidRPr="00D94E5D">
        <w:rPr>
          <w:rFonts w:ascii="Verdana" w:hAnsi="Verdana" w:cstheme="minorHAnsi"/>
        </w:rPr>
        <w:t xml:space="preserve">. She examined both children on </w:t>
      </w:r>
      <w:r w:rsidR="00D47D69" w:rsidRPr="00D94E5D">
        <w:rPr>
          <w:rFonts w:ascii="Verdana" w:hAnsi="Verdana" w:cstheme="minorHAnsi"/>
        </w:rPr>
        <w:t>11 April 2022 and</w:t>
      </w:r>
      <w:r w:rsidRPr="00D94E5D">
        <w:rPr>
          <w:rFonts w:ascii="Verdana" w:hAnsi="Verdana" w:cstheme="minorHAnsi"/>
        </w:rPr>
        <w:t xml:space="preserve"> sought further testing and opinions of other relevant medical experts.</w:t>
      </w:r>
    </w:p>
    <w:p w14:paraId="7CD272E3" w14:textId="77777777" w:rsidR="0081252E" w:rsidRPr="0081252E" w:rsidRDefault="0081252E" w:rsidP="00927532">
      <w:pPr>
        <w:pStyle w:val="ListParagraph"/>
        <w:spacing w:line="276" w:lineRule="auto"/>
        <w:ind w:left="851"/>
        <w:rPr>
          <w:rFonts w:ascii="Verdana" w:hAnsi="Verdana" w:cstheme="minorHAnsi"/>
        </w:rPr>
      </w:pPr>
    </w:p>
    <w:p w14:paraId="175E090B" w14:textId="0CBB6A67" w:rsidR="005D593D" w:rsidRDefault="003376D3" w:rsidP="0092753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Professor </w:t>
      </w:r>
      <w:r w:rsidR="003A2F8C">
        <w:rPr>
          <w:rFonts w:ascii="Verdana" w:hAnsi="Verdana" w:cstheme="minorHAnsi"/>
        </w:rPr>
        <w:t>AN</w:t>
      </w:r>
      <w:r w:rsidRPr="00D94E5D">
        <w:rPr>
          <w:rFonts w:ascii="Verdana" w:hAnsi="Verdana" w:cstheme="minorHAnsi"/>
        </w:rPr>
        <w:t xml:space="preserve"> agreed with the opinion of Dr </w:t>
      </w:r>
      <w:r w:rsidR="003A2F8C">
        <w:rPr>
          <w:rFonts w:ascii="Verdana" w:hAnsi="Verdana" w:cstheme="minorHAnsi"/>
        </w:rPr>
        <w:t>MC</w:t>
      </w:r>
      <w:r w:rsidRPr="00D94E5D">
        <w:rPr>
          <w:rFonts w:ascii="Verdana" w:hAnsi="Verdana" w:cstheme="minorHAnsi"/>
        </w:rPr>
        <w:t xml:space="preserve"> regarding </w:t>
      </w:r>
      <w:r w:rsidR="00D32CC5" w:rsidRPr="00D94E5D">
        <w:rPr>
          <w:rFonts w:ascii="Verdana" w:hAnsi="Verdana" w:cstheme="minorHAnsi"/>
        </w:rPr>
        <w:t>the timeframes</w:t>
      </w:r>
      <w:r w:rsidRPr="00D94E5D">
        <w:rPr>
          <w:rFonts w:ascii="Verdana" w:hAnsi="Verdana" w:cstheme="minorHAnsi"/>
        </w:rPr>
        <w:t xml:space="preserve"> of the single fracture to each child.</w:t>
      </w:r>
    </w:p>
    <w:p w14:paraId="0ADB681B" w14:textId="77777777" w:rsidR="003853A5" w:rsidRPr="003853A5" w:rsidRDefault="003853A5" w:rsidP="00927532">
      <w:pPr>
        <w:pStyle w:val="ListParagraph"/>
        <w:spacing w:line="276" w:lineRule="auto"/>
        <w:ind w:left="851"/>
        <w:rPr>
          <w:rFonts w:ascii="Verdana" w:hAnsi="Verdana" w:cstheme="minorHAnsi"/>
        </w:rPr>
      </w:pPr>
    </w:p>
    <w:p w14:paraId="247E1A62" w14:textId="513BEAB7" w:rsidR="0081252E" w:rsidRDefault="003376D3" w:rsidP="0092753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She gave evidence that as </w:t>
      </w:r>
      <w:r w:rsidR="00935A35" w:rsidRPr="00D94E5D">
        <w:rPr>
          <w:rFonts w:ascii="Verdana" w:hAnsi="Verdana" w:cstheme="minorHAnsi"/>
        </w:rPr>
        <w:t>preterm</w:t>
      </w:r>
      <w:r w:rsidRPr="00D94E5D">
        <w:rPr>
          <w:rFonts w:ascii="Verdana" w:hAnsi="Verdana" w:cstheme="minorHAnsi"/>
        </w:rPr>
        <w:t xml:space="preserve"> twins, their bone mineralisation was “</w:t>
      </w:r>
      <w:r w:rsidRPr="00D94E5D">
        <w:rPr>
          <w:rFonts w:ascii="Verdana" w:hAnsi="Verdana" w:cstheme="minorHAnsi"/>
          <w:i/>
          <w:iCs/>
        </w:rPr>
        <w:t>behind the 8 ball”</w:t>
      </w:r>
      <w:r w:rsidR="00180C96" w:rsidRPr="00D94E5D">
        <w:rPr>
          <w:rFonts w:ascii="Verdana" w:hAnsi="Verdana" w:cstheme="minorHAnsi"/>
          <w:i/>
          <w:iCs/>
        </w:rPr>
        <w:t>.</w:t>
      </w:r>
      <w:r w:rsidRPr="00D94E5D">
        <w:rPr>
          <w:rFonts w:ascii="Verdana" w:hAnsi="Verdana" w:cstheme="minorHAnsi"/>
          <w:i/>
          <w:iCs/>
        </w:rPr>
        <w:t xml:space="preserve"> </w:t>
      </w:r>
      <w:r w:rsidRPr="00D94E5D">
        <w:rPr>
          <w:rFonts w:ascii="Verdana" w:hAnsi="Verdana" w:cstheme="minorHAnsi"/>
        </w:rPr>
        <w:t xml:space="preserve">This opinion was explained as being </w:t>
      </w:r>
      <w:r w:rsidR="00935A35" w:rsidRPr="00D94E5D">
        <w:rPr>
          <w:rFonts w:ascii="Verdana" w:hAnsi="Verdana" w:cstheme="minorHAnsi"/>
        </w:rPr>
        <w:t>preterm</w:t>
      </w:r>
      <w:r w:rsidRPr="00D94E5D">
        <w:rPr>
          <w:rFonts w:ascii="Verdana" w:hAnsi="Verdana" w:cstheme="minorHAnsi"/>
        </w:rPr>
        <w:t xml:space="preserve"> babies, they would have ¼ less bone accrual at birth than a </w:t>
      </w:r>
      <w:proofErr w:type="gramStart"/>
      <w:r w:rsidRPr="00D94E5D">
        <w:rPr>
          <w:rFonts w:ascii="Verdana" w:hAnsi="Verdana" w:cstheme="minorHAnsi"/>
        </w:rPr>
        <w:t>full term</w:t>
      </w:r>
      <w:proofErr w:type="gramEnd"/>
      <w:r w:rsidRPr="00D94E5D">
        <w:rPr>
          <w:rFonts w:ascii="Verdana" w:hAnsi="Verdana" w:cstheme="minorHAnsi"/>
        </w:rPr>
        <w:t xml:space="preserve"> neonate. Professor </w:t>
      </w:r>
      <w:r w:rsidR="003A2F8C">
        <w:rPr>
          <w:rFonts w:ascii="Verdana" w:hAnsi="Verdana" w:cstheme="minorHAnsi"/>
        </w:rPr>
        <w:t>AN</w:t>
      </w:r>
      <w:r w:rsidRPr="00D94E5D">
        <w:rPr>
          <w:rFonts w:ascii="Verdana" w:hAnsi="Verdana" w:cstheme="minorHAnsi"/>
        </w:rPr>
        <w:t xml:space="preserve"> </w:t>
      </w:r>
      <w:r w:rsidR="00935A35" w:rsidRPr="00D94E5D">
        <w:rPr>
          <w:rFonts w:ascii="Verdana" w:hAnsi="Verdana" w:cstheme="minorHAnsi"/>
        </w:rPr>
        <w:t>categorised</w:t>
      </w:r>
      <w:r w:rsidRPr="00D94E5D">
        <w:rPr>
          <w:rFonts w:ascii="Verdana" w:hAnsi="Verdana" w:cstheme="minorHAnsi"/>
        </w:rPr>
        <w:t xml:space="preserve"> their adjusted age at the time of the injury as 2 -3 weeks of age.</w:t>
      </w:r>
      <w:r w:rsidRPr="00D94E5D">
        <w:rPr>
          <w:rFonts w:ascii="Verdana" w:hAnsi="Verdana" w:cstheme="minorHAnsi"/>
          <w:i/>
          <w:iCs/>
        </w:rPr>
        <w:t xml:space="preserve"> </w:t>
      </w:r>
      <w:r w:rsidRPr="00D94E5D">
        <w:rPr>
          <w:rFonts w:ascii="Verdana" w:hAnsi="Verdana" w:cstheme="minorHAnsi"/>
        </w:rPr>
        <w:t xml:space="preserve">She noted </w:t>
      </w:r>
      <w:r w:rsidR="003A2F8C">
        <w:rPr>
          <w:rFonts w:ascii="Verdana" w:hAnsi="Verdana" w:cstheme="minorHAnsi"/>
        </w:rPr>
        <w:t>Maria</w:t>
      </w:r>
      <w:r w:rsidRPr="00D94E5D">
        <w:rPr>
          <w:rFonts w:ascii="Verdana" w:hAnsi="Verdana" w:cstheme="minorHAnsi"/>
        </w:rPr>
        <w:t xml:space="preserve">’s gracile ribs, and that </w:t>
      </w:r>
      <w:r w:rsidR="003A2F8C">
        <w:rPr>
          <w:rFonts w:ascii="Verdana" w:hAnsi="Verdana" w:cstheme="minorHAnsi"/>
        </w:rPr>
        <w:t>Gregory</w:t>
      </w:r>
      <w:r w:rsidRPr="00D94E5D">
        <w:rPr>
          <w:rFonts w:ascii="Verdana" w:hAnsi="Verdana" w:cstheme="minorHAnsi"/>
        </w:rPr>
        <w:t xml:space="preserve"> in her expert opinion had a large fontanelle for his size, “</w:t>
      </w:r>
      <w:r w:rsidRPr="00D94E5D">
        <w:rPr>
          <w:rFonts w:ascii="Verdana" w:hAnsi="Verdana" w:cstheme="minorHAnsi"/>
          <w:i/>
          <w:iCs/>
        </w:rPr>
        <w:t>significantly larger than expected”</w:t>
      </w:r>
      <w:r w:rsidR="00180C96" w:rsidRPr="00D94E5D">
        <w:rPr>
          <w:rFonts w:ascii="Verdana" w:hAnsi="Verdana" w:cstheme="minorHAnsi"/>
          <w:i/>
          <w:iCs/>
        </w:rPr>
        <w:t>.</w:t>
      </w:r>
      <w:r w:rsidRPr="00D94E5D">
        <w:rPr>
          <w:rFonts w:ascii="Verdana" w:hAnsi="Verdana" w:cstheme="minorHAnsi"/>
        </w:rPr>
        <w:t xml:space="preserve"> Her evidence was that these factors were consistent with the slow development of bone quality and strength in the twins.</w:t>
      </w:r>
    </w:p>
    <w:p w14:paraId="2CC09CBB" w14:textId="77777777" w:rsidR="0081252E" w:rsidRDefault="0081252E" w:rsidP="002B5C77">
      <w:pPr>
        <w:pStyle w:val="ListParagraph"/>
        <w:spacing w:after="240" w:line="276" w:lineRule="auto"/>
        <w:ind w:left="851"/>
        <w:rPr>
          <w:rFonts w:ascii="Verdana" w:hAnsi="Verdana" w:cstheme="minorHAnsi"/>
        </w:rPr>
      </w:pPr>
    </w:p>
    <w:p w14:paraId="1291D760" w14:textId="60DC6A3C" w:rsidR="00B40BD2" w:rsidRDefault="00B40BD2" w:rsidP="00927532">
      <w:pPr>
        <w:pStyle w:val="ListParagraph"/>
        <w:numPr>
          <w:ilvl w:val="0"/>
          <w:numId w:val="1"/>
        </w:numPr>
        <w:spacing w:after="240" w:line="276" w:lineRule="auto"/>
        <w:ind w:left="851" w:hanging="851"/>
        <w:jc w:val="both"/>
        <w:rPr>
          <w:rFonts w:ascii="Verdana" w:hAnsi="Verdana" w:cstheme="minorHAnsi"/>
        </w:rPr>
      </w:pPr>
      <w:r w:rsidRPr="0081252E">
        <w:rPr>
          <w:rFonts w:ascii="Verdana" w:hAnsi="Verdana" w:cstheme="minorHAnsi"/>
        </w:rPr>
        <w:t xml:space="preserve">Professor </w:t>
      </w:r>
      <w:r w:rsidR="003A2F8C">
        <w:rPr>
          <w:rFonts w:ascii="Verdana" w:hAnsi="Verdana" w:cstheme="minorHAnsi"/>
        </w:rPr>
        <w:t>AN</w:t>
      </w:r>
      <w:r w:rsidRPr="0081252E">
        <w:rPr>
          <w:rFonts w:ascii="Verdana" w:hAnsi="Verdana" w:cstheme="minorHAnsi"/>
        </w:rPr>
        <w:t xml:space="preserve"> sought a second opinion from Professor </w:t>
      </w:r>
      <w:r w:rsidR="003A2F8C">
        <w:rPr>
          <w:rFonts w:ascii="Verdana" w:hAnsi="Verdana" w:cstheme="minorHAnsi"/>
        </w:rPr>
        <w:t>RS</w:t>
      </w:r>
      <w:r w:rsidRPr="0081252E">
        <w:rPr>
          <w:rFonts w:ascii="Verdana" w:hAnsi="Verdana" w:cstheme="minorHAnsi"/>
        </w:rPr>
        <w:t xml:space="preserve">, a paediatric specialist endocrinologist with over 25 </w:t>
      </w:r>
      <w:r w:rsidR="00921CD2" w:rsidRPr="0081252E">
        <w:rPr>
          <w:rFonts w:ascii="Verdana" w:hAnsi="Verdana" w:cstheme="minorHAnsi"/>
        </w:rPr>
        <w:t>years’ experience</w:t>
      </w:r>
      <w:r w:rsidRPr="0081252E">
        <w:rPr>
          <w:rFonts w:ascii="Verdana" w:hAnsi="Verdana" w:cstheme="minorHAnsi"/>
        </w:rPr>
        <w:t xml:space="preserve"> in bone disease, regarding her observation of indicia of bone fragility, and provided him with the x-ray imaging. In his evidence Professor </w:t>
      </w:r>
      <w:r w:rsidR="003A2F8C">
        <w:rPr>
          <w:rFonts w:ascii="Verdana" w:hAnsi="Verdana" w:cstheme="minorHAnsi"/>
        </w:rPr>
        <w:t>RS</w:t>
      </w:r>
      <w:r w:rsidRPr="0081252E">
        <w:rPr>
          <w:rFonts w:ascii="Verdana" w:hAnsi="Verdana" w:cstheme="minorHAnsi"/>
        </w:rPr>
        <w:t xml:space="preserve"> agreed with Professor </w:t>
      </w:r>
      <w:r w:rsidR="003A2F8C">
        <w:rPr>
          <w:rFonts w:ascii="Verdana" w:hAnsi="Verdana" w:cstheme="minorHAnsi"/>
        </w:rPr>
        <w:t>AN</w:t>
      </w:r>
      <w:r w:rsidRPr="0081252E">
        <w:rPr>
          <w:rFonts w:ascii="Verdana" w:hAnsi="Verdana" w:cstheme="minorHAnsi"/>
        </w:rPr>
        <w:t xml:space="preserve">’s observations of the indicia of bone </w:t>
      </w:r>
      <w:r w:rsidR="00921CD2" w:rsidRPr="0081252E">
        <w:rPr>
          <w:rFonts w:ascii="Verdana" w:hAnsi="Verdana" w:cstheme="minorHAnsi"/>
        </w:rPr>
        <w:t>fragility and</w:t>
      </w:r>
      <w:r w:rsidRPr="0081252E">
        <w:rPr>
          <w:rFonts w:ascii="Verdana" w:hAnsi="Verdana" w:cstheme="minorHAnsi"/>
        </w:rPr>
        <w:t xml:space="preserve"> stated that the implications of having gracile bones is they are “</w:t>
      </w:r>
      <w:r w:rsidRPr="0081252E">
        <w:rPr>
          <w:rFonts w:ascii="Verdana" w:hAnsi="Verdana" w:cstheme="minorHAnsi"/>
          <w:i/>
          <w:iCs/>
        </w:rPr>
        <w:t>more prone to fracture</w:t>
      </w:r>
      <w:r w:rsidRPr="0081252E">
        <w:rPr>
          <w:rFonts w:ascii="Verdana" w:hAnsi="Verdana" w:cstheme="minorHAnsi"/>
        </w:rPr>
        <w:t>”</w:t>
      </w:r>
      <w:r w:rsidR="00180C96" w:rsidRPr="0081252E">
        <w:rPr>
          <w:rFonts w:ascii="Verdana" w:hAnsi="Verdana" w:cstheme="minorHAnsi"/>
        </w:rPr>
        <w:t>.</w:t>
      </w:r>
    </w:p>
    <w:p w14:paraId="61ED488A" w14:textId="77777777" w:rsidR="0081252E" w:rsidRPr="0081252E" w:rsidRDefault="0081252E" w:rsidP="00927532">
      <w:pPr>
        <w:pStyle w:val="ListParagraph"/>
        <w:spacing w:line="276" w:lineRule="auto"/>
        <w:ind w:left="851"/>
        <w:rPr>
          <w:rFonts w:ascii="Verdana" w:hAnsi="Verdana" w:cstheme="minorHAnsi"/>
        </w:rPr>
      </w:pPr>
    </w:p>
    <w:p w14:paraId="64ED4319" w14:textId="11B38153" w:rsidR="003376D3" w:rsidRDefault="00F32983" w:rsidP="0092753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Professor </w:t>
      </w:r>
      <w:r w:rsidR="003A2F8C">
        <w:rPr>
          <w:rFonts w:ascii="Verdana" w:hAnsi="Verdana" w:cstheme="minorHAnsi"/>
        </w:rPr>
        <w:t>AN</w:t>
      </w:r>
      <w:r w:rsidRPr="00D94E5D">
        <w:rPr>
          <w:rFonts w:ascii="Verdana" w:hAnsi="Verdana" w:cstheme="minorHAnsi"/>
        </w:rPr>
        <w:t>’s</w:t>
      </w:r>
      <w:r w:rsidR="003376D3" w:rsidRPr="00D94E5D">
        <w:rPr>
          <w:rFonts w:ascii="Verdana" w:hAnsi="Verdana" w:cstheme="minorHAnsi"/>
        </w:rPr>
        <w:t xml:space="preserve"> evidence was that as the children </w:t>
      </w:r>
      <w:r w:rsidR="00935A35" w:rsidRPr="00D94E5D">
        <w:rPr>
          <w:rFonts w:ascii="Verdana" w:hAnsi="Verdana" w:cstheme="minorHAnsi"/>
        </w:rPr>
        <w:t>develop,</w:t>
      </w:r>
      <w:r w:rsidR="003376D3" w:rsidRPr="00D94E5D">
        <w:rPr>
          <w:rFonts w:ascii="Verdana" w:hAnsi="Verdana" w:cstheme="minorHAnsi"/>
        </w:rPr>
        <w:t xml:space="preserve"> she would expect that the further accrual of bone would lead to the </w:t>
      </w:r>
      <w:r w:rsidRPr="00D94E5D">
        <w:rPr>
          <w:rFonts w:ascii="Verdana" w:hAnsi="Verdana" w:cstheme="minorHAnsi"/>
        </w:rPr>
        <w:t xml:space="preserve">resolution of the issues that </w:t>
      </w:r>
      <w:r w:rsidR="003376D3" w:rsidRPr="00D94E5D">
        <w:rPr>
          <w:rFonts w:ascii="Verdana" w:hAnsi="Verdana" w:cstheme="minorHAnsi"/>
        </w:rPr>
        <w:t xml:space="preserve">she and Professor </w:t>
      </w:r>
      <w:r w:rsidR="003A2F8C">
        <w:rPr>
          <w:rFonts w:ascii="Verdana" w:hAnsi="Verdana" w:cstheme="minorHAnsi"/>
        </w:rPr>
        <w:t>RS</w:t>
      </w:r>
      <w:r w:rsidR="003376D3" w:rsidRPr="00D94E5D">
        <w:rPr>
          <w:rFonts w:ascii="Verdana" w:hAnsi="Verdana" w:cstheme="minorHAnsi"/>
        </w:rPr>
        <w:t xml:space="preserve"> identified.</w:t>
      </w:r>
    </w:p>
    <w:p w14:paraId="17749D13" w14:textId="77777777" w:rsidR="0081252E" w:rsidRPr="0081252E" w:rsidRDefault="0081252E" w:rsidP="00927532">
      <w:pPr>
        <w:pStyle w:val="ListParagraph"/>
        <w:spacing w:line="276" w:lineRule="auto"/>
        <w:ind w:left="851"/>
        <w:rPr>
          <w:rFonts w:ascii="Verdana" w:hAnsi="Verdana" w:cstheme="minorHAnsi"/>
        </w:rPr>
      </w:pPr>
    </w:p>
    <w:p w14:paraId="0537F36D" w14:textId="6AAF9E91" w:rsidR="00921CD2" w:rsidRDefault="00921CD2" w:rsidP="00356677">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Evidence was also given by Professor </w:t>
      </w:r>
      <w:r w:rsidR="003A2F8C">
        <w:rPr>
          <w:rFonts w:ascii="Verdana" w:hAnsi="Verdana" w:cstheme="minorHAnsi"/>
        </w:rPr>
        <w:t>LG</w:t>
      </w:r>
      <w:r w:rsidRPr="00D94E5D">
        <w:rPr>
          <w:rFonts w:ascii="Verdana" w:hAnsi="Verdana" w:cstheme="minorHAnsi"/>
        </w:rPr>
        <w:t xml:space="preserve"> about whether low molecular weight heparin</w:t>
      </w:r>
      <w:r w:rsidR="00F32983" w:rsidRPr="00D94E5D">
        <w:rPr>
          <w:rFonts w:ascii="Verdana" w:hAnsi="Verdana" w:cstheme="minorHAnsi"/>
        </w:rPr>
        <w:t>s</w:t>
      </w:r>
      <w:r w:rsidRPr="00D94E5D">
        <w:rPr>
          <w:rFonts w:ascii="Verdana" w:hAnsi="Verdana" w:cstheme="minorHAnsi"/>
        </w:rPr>
        <w:t xml:space="preserve"> prescribed to the mother would be a possible cause of bone fragility. His evidence confirmed that of Associate Professor </w:t>
      </w:r>
      <w:r w:rsidR="003A2F8C">
        <w:rPr>
          <w:rFonts w:ascii="Verdana" w:hAnsi="Verdana" w:cstheme="minorHAnsi"/>
        </w:rPr>
        <w:t>HS</w:t>
      </w:r>
      <w:r w:rsidRPr="00D94E5D">
        <w:rPr>
          <w:rFonts w:ascii="Verdana" w:hAnsi="Verdana" w:cstheme="minorHAnsi"/>
        </w:rPr>
        <w:t xml:space="preserve"> about these substances not being orally available, so even if present in small amounts in breastmilk they would not </w:t>
      </w:r>
      <w:r w:rsidR="00F32983" w:rsidRPr="00D94E5D">
        <w:rPr>
          <w:rFonts w:ascii="Verdana" w:hAnsi="Verdana" w:cstheme="minorHAnsi"/>
        </w:rPr>
        <w:t xml:space="preserve">remain </w:t>
      </w:r>
      <w:r w:rsidRPr="00D94E5D">
        <w:rPr>
          <w:rFonts w:ascii="Verdana" w:hAnsi="Verdana" w:cstheme="minorHAnsi"/>
        </w:rPr>
        <w:t xml:space="preserve">active after digestion and therefore </w:t>
      </w:r>
      <w:r w:rsidR="00A562F6" w:rsidRPr="00D94E5D">
        <w:rPr>
          <w:rFonts w:ascii="Verdana" w:hAnsi="Verdana" w:cstheme="minorHAnsi"/>
        </w:rPr>
        <w:t>would not</w:t>
      </w:r>
      <w:r w:rsidRPr="00D94E5D">
        <w:rPr>
          <w:rFonts w:ascii="Verdana" w:hAnsi="Verdana" w:cstheme="minorHAnsi"/>
        </w:rPr>
        <w:t xml:space="preserve"> cause bone fragility in the twins.</w:t>
      </w:r>
    </w:p>
    <w:p w14:paraId="07EF3DE1" w14:textId="77777777" w:rsidR="003853A5" w:rsidRPr="003853A5" w:rsidRDefault="003853A5" w:rsidP="00356677">
      <w:pPr>
        <w:pStyle w:val="ListParagraph"/>
        <w:spacing w:line="276" w:lineRule="auto"/>
        <w:ind w:left="851"/>
        <w:rPr>
          <w:rFonts w:ascii="Verdana" w:hAnsi="Verdana" w:cstheme="minorHAnsi"/>
        </w:rPr>
      </w:pPr>
    </w:p>
    <w:p w14:paraId="55A705CB" w14:textId="20DD8615" w:rsidR="00D32CC5" w:rsidRDefault="00D32CC5" w:rsidP="002B5C77">
      <w:pPr>
        <w:pStyle w:val="ListParagraph"/>
        <w:numPr>
          <w:ilvl w:val="0"/>
          <w:numId w:val="1"/>
        </w:numPr>
        <w:spacing w:after="240" w:line="276" w:lineRule="auto"/>
        <w:ind w:left="851" w:hanging="851"/>
        <w:rPr>
          <w:rFonts w:ascii="Verdana" w:hAnsi="Verdana" w:cstheme="minorHAnsi"/>
        </w:rPr>
      </w:pPr>
      <w:r w:rsidRPr="00D94E5D">
        <w:rPr>
          <w:rFonts w:ascii="Verdana" w:hAnsi="Verdana" w:cstheme="minorHAnsi"/>
        </w:rPr>
        <w:t xml:space="preserve">Dr </w:t>
      </w:r>
      <w:r w:rsidR="003A2F8C">
        <w:rPr>
          <w:rFonts w:ascii="Verdana" w:hAnsi="Verdana" w:cstheme="minorHAnsi"/>
        </w:rPr>
        <w:t>HM</w:t>
      </w:r>
      <w:r w:rsidRPr="00D94E5D">
        <w:rPr>
          <w:rFonts w:ascii="Verdana" w:hAnsi="Verdana" w:cstheme="minorHAnsi"/>
        </w:rPr>
        <w:t xml:space="preserve"> did not accept the opinion of Professor </w:t>
      </w:r>
      <w:r w:rsidR="003A2F8C">
        <w:rPr>
          <w:rFonts w:ascii="Verdana" w:hAnsi="Verdana" w:cstheme="minorHAnsi"/>
        </w:rPr>
        <w:t>AN</w:t>
      </w:r>
      <w:r w:rsidRPr="00D94E5D">
        <w:rPr>
          <w:rFonts w:ascii="Verdana" w:hAnsi="Verdana" w:cstheme="minorHAnsi"/>
        </w:rPr>
        <w:t xml:space="preserve"> – and therefore Professor </w:t>
      </w:r>
      <w:r w:rsidR="003A2F8C">
        <w:rPr>
          <w:rFonts w:ascii="Verdana" w:hAnsi="Verdana" w:cstheme="minorHAnsi"/>
        </w:rPr>
        <w:t>RS</w:t>
      </w:r>
      <w:r w:rsidR="00356677">
        <w:rPr>
          <w:rFonts w:ascii="Verdana" w:hAnsi="Verdana" w:cstheme="minorHAnsi"/>
        </w:rPr>
        <w:t xml:space="preserve"> –</w:t>
      </w:r>
      <w:r w:rsidRPr="00D94E5D">
        <w:rPr>
          <w:rFonts w:ascii="Verdana" w:hAnsi="Verdana" w:cstheme="minorHAnsi"/>
        </w:rPr>
        <w:t xml:space="preserve"> regarding</w:t>
      </w:r>
      <w:r w:rsidR="00356677">
        <w:rPr>
          <w:rFonts w:ascii="Verdana" w:hAnsi="Verdana" w:cstheme="minorHAnsi"/>
        </w:rPr>
        <w:t xml:space="preserve"> </w:t>
      </w:r>
      <w:r w:rsidRPr="00D94E5D">
        <w:rPr>
          <w:rFonts w:ascii="Verdana" w:hAnsi="Verdana" w:cstheme="minorHAnsi"/>
        </w:rPr>
        <w:t>the bony abnormalities they observed on the imaging.</w:t>
      </w:r>
    </w:p>
    <w:p w14:paraId="4A341430" w14:textId="77777777" w:rsidR="0081252E" w:rsidRPr="00D94E5D" w:rsidRDefault="0081252E" w:rsidP="002B5C77">
      <w:pPr>
        <w:pStyle w:val="ListParagraph"/>
        <w:spacing w:after="240" w:line="276" w:lineRule="auto"/>
        <w:ind w:left="851"/>
        <w:rPr>
          <w:rFonts w:ascii="Verdana" w:hAnsi="Verdana" w:cstheme="minorHAnsi"/>
        </w:rPr>
      </w:pPr>
    </w:p>
    <w:p w14:paraId="33FDC144" w14:textId="63FC5215" w:rsidR="006C34E4" w:rsidRDefault="00FB588E" w:rsidP="00356677">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 xml:space="preserve">Dr </w:t>
      </w:r>
      <w:r w:rsidR="003A2F8C">
        <w:rPr>
          <w:rFonts w:ascii="Verdana" w:hAnsi="Verdana" w:cstheme="minorHAnsi"/>
        </w:rPr>
        <w:t>HM</w:t>
      </w:r>
      <w:r w:rsidR="00320555" w:rsidRPr="00D94E5D">
        <w:rPr>
          <w:rFonts w:ascii="Verdana" w:hAnsi="Verdana" w:cstheme="minorHAnsi"/>
        </w:rPr>
        <w:t xml:space="preserve"> asserted that deference to the expertise of a paediatric endocrinologist was </w:t>
      </w:r>
      <w:r w:rsidR="00921CD2" w:rsidRPr="00D94E5D">
        <w:rPr>
          <w:rFonts w:ascii="Verdana" w:hAnsi="Verdana" w:cstheme="minorHAnsi"/>
        </w:rPr>
        <w:t xml:space="preserve">not </w:t>
      </w:r>
      <w:r w:rsidR="00320555" w:rsidRPr="00D94E5D">
        <w:rPr>
          <w:rFonts w:ascii="Verdana" w:hAnsi="Verdana" w:cstheme="minorHAnsi"/>
        </w:rPr>
        <w:t xml:space="preserve">necessary to distinguish between </w:t>
      </w:r>
      <w:r w:rsidR="00A562F6" w:rsidRPr="00D94E5D">
        <w:rPr>
          <w:rFonts w:ascii="Verdana" w:hAnsi="Verdana" w:cstheme="minorHAnsi"/>
        </w:rPr>
        <w:t>non-accidental</w:t>
      </w:r>
      <w:r w:rsidR="00320555" w:rsidRPr="00D94E5D">
        <w:rPr>
          <w:rFonts w:ascii="Verdana" w:hAnsi="Verdana" w:cstheme="minorHAnsi"/>
        </w:rPr>
        <w:t xml:space="preserve"> injury and conditions such as osteogenesis imperfecta and osteopenia</w:t>
      </w:r>
      <w:r w:rsidR="00356677">
        <w:rPr>
          <w:rFonts w:ascii="Verdana" w:hAnsi="Verdana" w:cstheme="minorHAnsi"/>
        </w:rPr>
        <w:t>. She</w:t>
      </w:r>
      <w:r w:rsidR="00320555" w:rsidRPr="00D94E5D">
        <w:rPr>
          <w:rFonts w:ascii="Verdana" w:hAnsi="Verdana" w:cstheme="minorHAnsi"/>
        </w:rPr>
        <w:t xml:space="preserve"> </w:t>
      </w:r>
      <w:r w:rsidR="00356677">
        <w:rPr>
          <w:rFonts w:ascii="Verdana" w:hAnsi="Verdana" w:cstheme="minorHAnsi"/>
        </w:rPr>
        <w:t>r</w:t>
      </w:r>
      <w:r w:rsidR="00320555" w:rsidRPr="00D94E5D">
        <w:rPr>
          <w:rFonts w:ascii="Verdana" w:hAnsi="Verdana" w:cstheme="minorHAnsi"/>
        </w:rPr>
        <w:t xml:space="preserve">elied upon </w:t>
      </w:r>
      <w:r w:rsidR="003A48D6">
        <w:rPr>
          <w:rFonts w:ascii="Verdana" w:hAnsi="Verdana" w:cstheme="minorHAnsi"/>
        </w:rPr>
        <w:t xml:space="preserve">the paediatric training she had received in her studies and internship, and </w:t>
      </w:r>
      <w:r w:rsidR="00320555" w:rsidRPr="00D94E5D">
        <w:rPr>
          <w:rFonts w:ascii="Verdana" w:hAnsi="Verdana" w:cstheme="minorHAnsi"/>
        </w:rPr>
        <w:t xml:space="preserve">a </w:t>
      </w:r>
      <w:r w:rsidR="006C34E4" w:rsidRPr="00D94E5D">
        <w:rPr>
          <w:rFonts w:ascii="Verdana" w:hAnsi="Verdana" w:cstheme="minorHAnsi"/>
        </w:rPr>
        <w:t>review article</w:t>
      </w:r>
      <w:r w:rsidR="00320555" w:rsidRPr="00D94E5D">
        <w:rPr>
          <w:rFonts w:ascii="Verdana" w:hAnsi="Verdana" w:cstheme="minorHAnsi"/>
        </w:rPr>
        <w:t xml:space="preserve"> entitled</w:t>
      </w:r>
      <w:r w:rsidR="006C34E4" w:rsidRPr="00D94E5D">
        <w:rPr>
          <w:rFonts w:ascii="Verdana" w:hAnsi="Verdana" w:cstheme="minorHAnsi"/>
        </w:rPr>
        <w:t xml:space="preserve"> </w:t>
      </w:r>
      <w:r w:rsidR="006C34E4" w:rsidRPr="00D94E5D">
        <w:rPr>
          <w:rFonts w:ascii="Verdana" w:hAnsi="Verdana" w:cstheme="minorHAnsi"/>
          <w:u w:val="single"/>
        </w:rPr>
        <w:t xml:space="preserve">Clinical perspectives on Osteogenesis Imperfecta versus </w:t>
      </w:r>
      <w:r w:rsidR="00A562F6" w:rsidRPr="00D94E5D">
        <w:rPr>
          <w:rFonts w:ascii="Verdana" w:hAnsi="Verdana" w:cstheme="minorHAnsi"/>
          <w:u w:val="single"/>
        </w:rPr>
        <w:t>non-accidental</w:t>
      </w:r>
      <w:r w:rsidR="006C34E4" w:rsidRPr="00D94E5D">
        <w:rPr>
          <w:rFonts w:ascii="Verdana" w:hAnsi="Verdana" w:cstheme="minorHAnsi"/>
          <w:u w:val="single"/>
        </w:rPr>
        <w:t xml:space="preserve"> injury</w:t>
      </w:r>
      <w:r w:rsidR="006C34E4" w:rsidRPr="00356677">
        <w:rPr>
          <w:rStyle w:val="FootnoteReference"/>
          <w:rFonts w:ascii="Verdana" w:hAnsi="Verdana" w:cstheme="minorHAnsi"/>
        </w:rPr>
        <w:footnoteReference w:id="11"/>
      </w:r>
      <w:r w:rsidR="006C34E4" w:rsidRPr="00356677">
        <w:rPr>
          <w:rFonts w:ascii="Verdana" w:hAnsi="Verdana" w:cstheme="minorHAnsi"/>
        </w:rPr>
        <w:t xml:space="preserve">. </w:t>
      </w:r>
      <w:r w:rsidR="006C34E4" w:rsidRPr="00D94E5D">
        <w:rPr>
          <w:rFonts w:ascii="Verdana" w:hAnsi="Verdana" w:cstheme="minorHAnsi"/>
        </w:rPr>
        <w:t>This article</w:t>
      </w:r>
      <w:r w:rsidR="00356677">
        <w:rPr>
          <w:rFonts w:ascii="Verdana" w:hAnsi="Verdana" w:cstheme="minorHAnsi"/>
        </w:rPr>
        <w:t>,</w:t>
      </w:r>
      <w:r w:rsidR="006C34E4" w:rsidRPr="00D94E5D">
        <w:rPr>
          <w:rFonts w:ascii="Verdana" w:hAnsi="Verdana" w:cstheme="minorHAnsi"/>
        </w:rPr>
        <w:t xml:space="preserve"> rather than supporting Dr </w:t>
      </w:r>
      <w:r w:rsidR="003A2F8C">
        <w:rPr>
          <w:rFonts w:ascii="Verdana" w:hAnsi="Verdana" w:cstheme="minorHAnsi"/>
        </w:rPr>
        <w:t>HM</w:t>
      </w:r>
      <w:r w:rsidR="006C34E4" w:rsidRPr="00D94E5D">
        <w:rPr>
          <w:rFonts w:ascii="Verdana" w:hAnsi="Verdana" w:cstheme="minorHAnsi"/>
        </w:rPr>
        <w:t>’s assertion, notes “</w:t>
      </w:r>
      <w:r w:rsidR="006C34E4" w:rsidRPr="003853A5">
        <w:rPr>
          <w:rFonts w:ascii="Verdana" w:hAnsi="Verdana" w:cstheme="minorHAnsi"/>
          <w:i/>
          <w:iCs/>
        </w:rPr>
        <w:t>Some of the findings in NAI versus OI are subtle and could be easily missed, leading to an incorrect diagnosis</w:t>
      </w:r>
      <w:r w:rsidR="006C34E4" w:rsidRPr="00D94E5D">
        <w:rPr>
          <w:rFonts w:ascii="Verdana" w:hAnsi="Verdana" w:cstheme="minorHAnsi"/>
        </w:rPr>
        <w:t>.”</w:t>
      </w:r>
      <w:r w:rsidR="006C34E4" w:rsidRPr="00D94E5D">
        <w:rPr>
          <w:rStyle w:val="FootnoteReference"/>
          <w:rFonts w:ascii="Verdana" w:hAnsi="Verdana" w:cstheme="minorHAnsi"/>
        </w:rPr>
        <w:footnoteReference w:id="12"/>
      </w:r>
      <w:r w:rsidR="006C34E4" w:rsidRPr="00D94E5D">
        <w:rPr>
          <w:rFonts w:ascii="Verdana" w:hAnsi="Verdana" w:cstheme="minorHAnsi"/>
        </w:rPr>
        <w:t xml:space="preserve"> In he</w:t>
      </w:r>
      <w:r w:rsidR="00390FB0" w:rsidRPr="00D94E5D">
        <w:rPr>
          <w:rFonts w:ascii="Verdana" w:hAnsi="Verdana" w:cstheme="minorHAnsi"/>
        </w:rPr>
        <w:t>r</w:t>
      </w:r>
      <w:r w:rsidR="006C34E4" w:rsidRPr="00D94E5D">
        <w:rPr>
          <w:rFonts w:ascii="Verdana" w:hAnsi="Verdana" w:cstheme="minorHAnsi"/>
        </w:rPr>
        <w:t xml:space="preserve"> evidence, Professor </w:t>
      </w:r>
      <w:r w:rsidR="003A2F8C">
        <w:rPr>
          <w:rFonts w:ascii="Verdana" w:hAnsi="Verdana" w:cstheme="minorHAnsi"/>
        </w:rPr>
        <w:t>AN</w:t>
      </w:r>
      <w:r w:rsidR="006C34E4" w:rsidRPr="00D94E5D">
        <w:rPr>
          <w:rFonts w:ascii="Verdana" w:hAnsi="Verdana" w:cstheme="minorHAnsi"/>
        </w:rPr>
        <w:t xml:space="preserve"> stated that genetic testing performed on the children </w:t>
      </w:r>
      <w:r w:rsidR="00390FB0" w:rsidRPr="00D94E5D">
        <w:rPr>
          <w:rFonts w:ascii="Verdana" w:hAnsi="Verdana" w:cstheme="minorHAnsi"/>
        </w:rPr>
        <w:t>“</w:t>
      </w:r>
      <w:r w:rsidR="00390FB0" w:rsidRPr="00D94E5D">
        <w:rPr>
          <w:rFonts w:ascii="Verdana" w:hAnsi="Verdana" w:cstheme="minorHAnsi"/>
          <w:i/>
          <w:iCs/>
        </w:rPr>
        <w:t xml:space="preserve">do not cover every possible test. There are 21 known possible bone fragility genes identified – collagen A1 and A2 are the main genes. This would exclude the majority of genetic </w:t>
      </w:r>
      <w:r w:rsidR="00921CD2" w:rsidRPr="00D94E5D">
        <w:rPr>
          <w:rFonts w:ascii="Verdana" w:hAnsi="Verdana" w:cstheme="minorHAnsi"/>
          <w:i/>
          <w:iCs/>
        </w:rPr>
        <w:t>conditions but</w:t>
      </w:r>
      <w:r w:rsidR="00390FB0" w:rsidRPr="00D94E5D">
        <w:rPr>
          <w:rFonts w:ascii="Verdana" w:hAnsi="Verdana" w:cstheme="minorHAnsi"/>
          <w:i/>
          <w:iCs/>
        </w:rPr>
        <w:t xml:space="preserve"> doesn’t exclude other causes of bone fragility.</w:t>
      </w:r>
      <w:r w:rsidR="00390FB0" w:rsidRPr="00D94E5D">
        <w:rPr>
          <w:rFonts w:ascii="Verdana" w:hAnsi="Verdana" w:cstheme="minorHAnsi"/>
        </w:rPr>
        <w:t xml:space="preserve">” The article provided by Dr </w:t>
      </w:r>
      <w:r w:rsidR="003A2F8C">
        <w:rPr>
          <w:rFonts w:ascii="Verdana" w:hAnsi="Verdana" w:cstheme="minorHAnsi"/>
        </w:rPr>
        <w:t>HM</w:t>
      </w:r>
      <w:r w:rsidR="00390FB0" w:rsidRPr="00D94E5D">
        <w:rPr>
          <w:rFonts w:ascii="Verdana" w:hAnsi="Verdana" w:cstheme="minorHAnsi"/>
        </w:rPr>
        <w:t xml:space="preserve"> supports this position, rather than contradicting it.</w:t>
      </w:r>
      <w:r w:rsidR="00390FB0" w:rsidRPr="00D94E5D">
        <w:rPr>
          <w:rStyle w:val="FootnoteReference"/>
          <w:rFonts w:ascii="Verdana" w:hAnsi="Verdana" w:cstheme="minorHAnsi"/>
        </w:rPr>
        <w:footnoteReference w:id="13"/>
      </w:r>
    </w:p>
    <w:p w14:paraId="40714A5C" w14:textId="77777777" w:rsidR="0081252E" w:rsidRPr="0081252E" w:rsidRDefault="0081252E" w:rsidP="00ED7F97">
      <w:pPr>
        <w:pStyle w:val="ListParagraph"/>
        <w:spacing w:line="276" w:lineRule="auto"/>
        <w:ind w:left="851"/>
        <w:rPr>
          <w:rFonts w:ascii="Verdana" w:hAnsi="Verdana" w:cstheme="minorHAnsi"/>
        </w:rPr>
      </w:pPr>
    </w:p>
    <w:p w14:paraId="72C8CB8D" w14:textId="1CBB65A4" w:rsidR="00563051" w:rsidRPr="0081252E" w:rsidRDefault="00FB588E" w:rsidP="00ED7F97">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 xml:space="preserve">The evidence of Dr </w:t>
      </w:r>
      <w:r w:rsidR="003A2F8C">
        <w:rPr>
          <w:rFonts w:ascii="Verdana" w:hAnsi="Verdana" w:cstheme="minorHAnsi"/>
        </w:rPr>
        <w:t>HM</w:t>
      </w:r>
      <w:r w:rsidR="0036606E" w:rsidRPr="00D94E5D">
        <w:rPr>
          <w:rFonts w:ascii="Verdana" w:hAnsi="Verdana" w:cstheme="minorHAnsi"/>
        </w:rPr>
        <w:t xml:space="preserve"> was that in her training and experience, it would take forces akin to a motor vehicle accident or fall from a large height to cause the </w:t>
      </w:r>
      <w:r w:rsidR="003853A5">
        <w:rPr>
          <w:rFonts w:ascii="Verdana" w:hAnsi="Verdana" w:cstheme="minorHAnsi"/>
        </w:rPr>
        <w:t xml:space="preserve">single rib </w:t>
      </w:r>
      <w:r w:rsidR="0036606E" w:rsidRPr="00D94E5D">
        <w:rPr>
          <w:rFonts w:ascii="Verdana" w:hAnsi="Verdana" w:cstheme="minorHAnsi"/>
        </w:rPr>
        <w:t>fracture</w:t>
      </w:r>
      <w:r w:rsidR="003853A5">
        <w:rPr>
          <w:rFonts w:ascii="Verdana" w:hAnsi="Verdana" w:cstheme="minorHAnsi"/>
        </w:rPr>
        <w:t xml:space="preserve"> to each child</w:t>
      </w:r>
      <w:r w:rsidR="00A74CC7" w:rsidRPr="00D94E5D">
        <w:rPr>
          <w:rFonts w:ascii="Verdana" w:hAnsi="Verdana" w:cstheme="minorHAnsi"/>
        </w:rPr>
        <w:t>, putting her opinion of force at odds with other medical witnesses</w:t>
      </w:r>
      <w:r w:rsidR="0036606E" w:rsidRPr="00D94E5D">
        <w:rPr>
          <w:rFonts w:ascii="Verdana" w:hAnsi="Verdana" w:cstheme="minorHAnsi"/>
        </w:rPr>
        <w:t>.</w:t>
      </w:r>
      <w:r w:rsidR="009235F0" w:rsidRPr="00D94E5D">
        <w:rPr>
          <w:rFonts w:ascii="Verdana" w:hAnsi="Verdana" w:cstheme="minorHAnsi"/>
        </w:rPr>
        <w:t xml:space="preserve"> </w:t>
      </w:r>
      <w:r w:rsidR="0036606E" w:rsidRPr="00D94E5D">
        <w:rPr>
          <w:rFonts w:ascii="Verdana" w:hAnsi="Verdana"/>
        </w:rPr>
        <w:t>She postulated a mechanism of each child having been “squeezed around the chest with both hands and shaken.”</w:t>
      </w:r>
      <w:r w:rsidR="00390FB0" w:rsidRPr="00D94E5D">
        <w:rPr>
          <w:rFonts w:ascii="Verdana" w:hAnsi="Verdana"/>
        </w:rPr>
        <w:t xml:space="preserve"> She further asserted that there is a “</w:t>
      </w:r>
      <w:r w:rsidR="00390FB0" w:rsidRPr="00D94E5D">
        <w:rPr>
          <w:rFonts w:ascii="Verdana" w:hAnsi="Verdana"/>
          <w:i/>
          <w:iCs/>
        </w:rPr>
        <w:t>95% positive predictive value of rib fractures being non-accidental in infants,</w:t>
      </w:r>
      <w:r w:rsidR="00390FB0" w:rsidRPr="00D94E5D">
        <w:rPr>
          <w:rFonts w:ascii="Verdana" w:hAnsi="Verdana"/>
        </w:rPr>
        <w:t>”</w:t>
      </w:r>
      <w:r w:rsidR="00563051" w:rsidRPr="00D94E5D">
        <w:rPr>
          <w:rFonts w:ascii="Verdana" w:hAnsi="Verdana"/>
        </w:rPr>
        <w:t xml:space="preserve"> </w:t>
      </w:r>
      <w:r w:rsidR="00390FB0" w:rsidRPr="00D94E5D">
        <w:rPr>
          <w:rFonts w:ascii="Verdana" w:hAnsi="Verdana"/>
        </w:rPr>
        <w:t>and provided a</w:t>
      </w:r>
      <w:r w:rsidR="00563051" w:rsidRPr="00D94E5D">
        <w:rPr>
          <w:rFonts w:ascii="Verdana" w:hAnsi="Verdana"/>
        </w:rPr>
        <w:t xml:space="preserve"> </w:t>
      </w:r>
      <w:r w:rsidR="00390FB0" w:rsidRPr="00D94E5D">
        <w:rPr>
          <w:rFonts w:ascii="Verdana" w:hAnsi="Verdana"/>
        </w:rPr>
        <w:t xml:space="preserve">review article entitled </w:t>
      </w:r>
      <w:proofErr w:type="spellStart"/>
      <w:r w:rsidR="00390FB0" w:rsidRPr="00D94E5D">
        <w:rPr>
          <w:rFonts w:ascii="Verdana" w:hAnsi="Verdana"/>
          <w:u w:val="single"/>
        </w:rPr>
        <w:t>Pediatric</w:t>
      </w:r>
      <w:proofErr w:type="spellEnd"/>
      <w:r w:rsidR="00390FB0" w:rsidRPr="00D94E5D">
        <w:rPr>
          <w:rFonts w:ascii="Verdana" w:hAnsi="Verdana"/>
          <w:u w:val="single"/>
        </w:rPr>
        <w:t xml:space="preserve"> rib pathologies: </w:t>
      </w:r>
      <w:proofErr w:type="spellStart"/>
      <w:r w:rsidR="00390FB0" w:rsidRPr="00D94E5D">
        <w:rPr>
          <w:rFonts w:ascii="Verdana" w:hAnsi="Verdana"/>
          <w:u w:val="single"/>
        </w:rPr>
        <w:t>clinicoimaging</w:t>
      </w:r>
      <w:proofErr w:type="spellEnd"/>
      <w:r w:rsidR="00390FB0" w:rsidRPr="00D94E5D">
        <w:rPr>
          <w:rFonts w:ascii="Verdana" w:hAnsi="Verdana"/>
          <w:u w:val="single"/>
        </w:rPr>
        <w:t xml:space="preserve"> scenarios and approach to diagnosis</w:t>
      </w:r>
      <w:r w:rsidR="00390FB0" w:rsidRPr="00ED7F97">
        <w:rPr>
          <w:rStyle w:val="FootnoteReference"/>
          <w:rFonts w:ascii="Verdana" w:hAnsi="Verdana" w:cstheme="minorHAnsi"/>
        </w:rPr>
        <w:footnoteReference w:id="14"/>
      </w:r>
      <w:r w:rsidR="00563051" w:rsidRPr="00D94E5D">
        <w:rPr>
          <w:rFonts w:ascii="Verdana" w:hAnsi="Verdana"/>
        </w:rPr>
        <w:t xml:space="preserve"> to support these opinions</w:t>
      </w:r>
      <w:r w:rsidR="008D7895" w:rsidRPr="00D94E5D">
        <w:rPr>
          <w:rFonts w:ascii="Verdana" w:hAnsi="Verdana"/>
        </w:rPr>
        <w:t xml:space="preserve">. Dr </w:t>
      </w:r>
      <w:r w:rsidR="003A2F8C">
        <w:rPr>
          <w:rFonts w:ascii="Verdana" w:hAnsi="Verdana"/>
        </w:rPr>
        <w:t>HM</w:t>
      </w:r>
      <w:r w:rsidR="008D7895" w:rsidRPr="00D94E5D">
        <w:rPr>
          <w:rFonts w:ascii="Verdana" w:hAnsi="Verdana"/>
        </w:rPr>
        <w:t xml:space="preserve"> believed that the research underlying this claim was based on c</w:t>
      </w:r>
      <w:r w:rsidR="006F373B" w:rsidRPr="00D94E5D">
        <w:rPr>
          <w:rFonts w:ascii="Verdana" w:hAnsi="Verdana"/>
        </w:rPr>
        <w:t>o</w:t>
      </w:r>
      <w:r w:rsidR="008D7895" w:rsidRPr="00D94E5D">
        <w:rPr>
          <w:rFonts w:ascii="Verdana" w:hAnsi="Verdana"/>
        </w:rPr>
        <w:t>nfessions and</w:t>
      </w:r>
      <w:r w:rsidR="00ED7F97">
        <w:rPr>
          <w:rFonts w:ascii="Verdana" w:hAnsi="Verdana"/>
        </w:rPr>
        <w:t>/</w:t>
      </w:r>
      <w:r w:rsidR="008D7895" w:rsidRPr="00D94E5D">
        <w:rPr>
          <w:rFonts w:ascii="Verdana" w:hAnsi="Verdana"/>
        </w:rPr>
        <w:t>or judicial determinations of guilt in child abuse cases.</w:t>
      </w:r>
      <w:r w:rsidR="006F373B" w:rsidRPr="00D94E5D">
        <w:rPr>
          <w:rFonts w:ascii="Verdana" w:hAnsi="Verdana"/>
        </w:rPr>
        <w:t xml:space="preserve"> Dr </w:t>
      </w:r>
      <w:r w:rsidR="003A2F8C">
        <w:rPr>
          <w:rFonts w:ascii="Verdana" w:hAnsi="Verdana"/>
        </w:rPr>
        <w:t>HM</w:t>
      </w:r>
      <w:r w:rsidR="006F373B" w:rsidRPr="00D94E5D">
        <w:rPr>
          <w:rFonts w:ascii="Verdana" w:hAnsi="Verdana"/>
        </w:rPr>
        <w:t xml:space="preserve"> had not read </w:t>
      </w:r>
      <w:r w:rsidR="006F373B" w:rsidRPr="00D94E5D">
        <w:rPr>
          <w:rFonts w:ascii="Verdana" w:hAnsi="Verdana"/>
        </w:rPr>
        <w:lastRenderedPageBreak/>
        <w:t>the original source of this figure, a paper published in 2003 in the Journal of Trauma.</w:t>
      </w:r>
      <w:r w:rsidR="006F373B" w:rsidRPr="00D94E5D">
        <w:rPr>
          <w:rStyle w:val="FootnoteReference"/>
          <w:rFonts w:ascii="Verdana" w:hAnsi="Verdana" w:cstheme="minorHAnsi"/>
        </w:rPr>
        <w:footnoteReference w:id="15"/>
      </w:r>
    </w:p>
    <w:p w14:paraId="3040ADE0" w14:textId="77777777" w:rsidR="0081252E" w:rsidRPr="0081252E" w:rsidRDefault="0081252E" w:rsidP="00ED7F97">
      <w:pPr>
        <w:pStyle w:val="ListParagraph"/>
        <w:spacing w:line="276" w:lineRule="auto"/>
        <w:ind w:left="851"/>
        <w:rPr>
          <w:rFonts w:ascii="Verdana" w:hAnsi="Verdana" w:cstheme="minorHAnsi"/>
        </w:rPr>
      </w:pPr>
    </w:p>
    <w:p w14:paraId="4307755E" w14:textId="411A6ACF" w:rsidR="00A74CC7" w:rsidRPr="0081252E" w:rsidRDefault="006F373B" w:rsidP="00ED7F97">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t>This paper was not provided to me, however the abstract available online</w:t>
      </w:r>
      <w:r w:rsidRPr="00D94E5D">
        <w:rPr>
          <w:rStyle w:val="FootnoteReference"/>
          <w:rFonts w:ascii="Verdana" w:hAnsi="Verdana" w:cstheme="minorHAnsi"/>
        </w:rPr>
        <w:footnoteReference w:id="16"/>
      </w:r>
      <w:r w:rsidRPr="00D94E5D">
        <w:rPr>
          <w:rFonts w:ascii="Verdana" w:hAnsi="Verdana"/>
        </w:rPr>
        <w:t xml:space="preserve"> states “</w:t>
      </w:r>
      <w:r w:rsidRPr="00D94E5D">
        <w:rPr>
          <w:rFonts w:ascii="Verdana" w:hAnsi="Verdana"/>
          <w:i/>
          <w:iCs/>
        </w:rPr>
        <w:t>NAT was determined by the Child Advocacy and Protection team</w:t>
      </w:r>
      <w:r w:rsidRPr="00D94E5D">
        <w:rPr>
          <w:rFonts w:ascii="Verdana" w:hAnsi="Verdana"/>
        </w:rPr>
        <w:t>”</w:t>
      </w:r>
      <w:r w:rsidR="00A562F6" w:rsidRPr="00D94E5D">
        <w:rPr>
          <w:rFonts w:ascii="Verdana" w:hAnsi="Verdana"/>
        </w:rPr>
        <w:t>.</w:t>
      </w:r>
      <w:r w:rsidR="00563051" w:rsidRPr="00D94E5D">
        <w:rPr>
          <w:rFonts w:ascii="Verdana" w:hAnsi="Verdana"/>
        </w:rPr>
        <w:t xml:space="preserve"> Not having been provided with the source paper, I am unable to be satisfied that the methodology involved is free from confirmation bias. I</w:t>
      </w:r>
      <w:r w:rsidR="0091718D">
        <w:rPr>
          <w:rFonts w:ascii="Verdana" w:hAnsi="Verdana"/>
        </w:rPr>
        <w:t> </w:t>
      </w:r>
      <w:r w:rsidR="00563051" w:rsidRPr="00D94E5D">
        <w:rPr>
          <w:rFonts w:ascii="Verdana" w:hAnsi="Verdana"/>
        </w:rPr>
        <w:t xml:space="preserve">am aware that there is significant dispute amongst medical experts as to </w:t>
      </w:r>
      <w:r w:rsidR="00AB5711" w:rsidRPr="00D94E5D">
        <w:rPr>
          <w:rFonts w:ascii="Verdana" w:hAnsi="Verdana"/>
        </w:rPr>
        <w:t xml:space="preserve">some of </w:t>
      </w:r>
      <w:r w:rsidR="00563051" w:rsidRPr="00D94E5D">
        <w:rPr>
          <w:rFonts w:ascii="Verdana" w:hAnsi="Verdana"/>
        </w:rPr>
        <w:t xml:space="preserve">the forces and mechanisms required to </w:t>
      </w:r>
      <w:r w:rsidR="00AB5711" w:rsidRPr="00D94E5D">
        <w:rPr>
          <w:rFonts w:ascii="Verdana" w:hAnsi="Verdana"/>
        </w:rPr>
        <w:t xml:space="preserve">produce certain </w:t>
      </w:r>
      <w:r w:rsidR="00563051" w:rsidRPr="00D94E5D">
        <w:rPr>
          <w:rFonts w:ascii="Verdana" w:hAnsi="Verdana"/>
        </w:rPr>
        <w:t>injur</w:t>
      </w:r>
      <w:r w:rsidR="00AB5711" w:rsidRPr="00D94E5D">
        <w:rPr>
          <w:rFonts w:ascii="Verdana" w:hAnsi="Verdana"/>
        </w:rPr>
        <w:t>ies in</w:t>
      </w:r>
      <w:r w:rsidR="00563051" w:rsidRPr="00D94E5D">
        <w:rPr>
          <w:rFonts w:ascii="Verdana" w:hAnsi="Verdana"/>
        </w:rPr>
        <w:t xml:space="preserve"> infants, a fact which Dr </w:t>
      </w:r>
      <w:r w:rsidR="003A2F8C">
        <w:rPr>
          <w:rFonts w:ascii="Verdana" w:hAnsi="Verdana"/>
        </w:rPr>
        <w:t>HM</w:t>
      </w:r>
      <w:r w:rsidR="00563051" w:rsidRPr="00D94E5D">
        <w:rPr>
          <w:rFonts w:ascii="Verdana" w:hAnsi="Verdana"/>
        </w:rPr>
        <w:t xml:space="preserve"> herself acknowledged in her </w:t>
      </w:r>
      <w:r w:rsidR="00AB5711" w:rsidRPr="00D94E5D">
        <w:rPr>
          <w:rFonts w:ascii="Verdana" w:hAnsi="Verdana"/>
        </w:rPr>
        <w:t>evidence and</w:t>
      </w:r>
      <w:r w:rsidR="00A74CC7" w:rsidRPr="00D94E5D">
        <w:rPr>
          <w:rFonts w:ascii="Verdana" w:hAnsi="Verdana"/>
        </w:rPr>
        <w:t xml:space="preserve"> was present in the evidence of medical witnesses in this case</w:t>
      </w:r>
      <w:r w:rsidR="00563051" w:rsidRPr="00D94E5D">
        <w:rPr>
          <w:rFonts w:ascii="Verdana" w:hAnsi="Verdana"/>
        </w:rPr>
        <w:t xml:space="preserve">. I also note that the paper provided by Dr </w:t>
      </w:r>
      <w:r w:rsidR="003A2F8C">
        <w:rPr>
          <w:rFonts w:ascii="Verdana" w:hAnsi="Verdana"/>
        </w:rPr>
        <w:t>HM</w:t>
      </w:r>
      <w:r w:rsidR="00A562F6" w:rsidRPr="00D94E5D">
        <w:rPr>
          <w:rFonts w:ascii="Verdana" w:hAnsi="Verdana"/>
        </w:rPr>
        <w:t>,</w:t>
      </w:r>
      <w:r w:rsidR="00563051" w:rsidRPr="00D94E5D">
        <w:rPr>
          <w:rFonts w:ascii="Verdana" w:hAnsi="Verdana"/>
        </w:rPr>
        <w:t xml:space="preserve"> whilst claiming a strong association with rib fractures and </w:t>
      </w:r>
      <w:r w:rsidR="00A91A16" w:rsidRPr="00D94E5D">
        <w:rPr>
          <w:rFonts w:ascii="Verdana" w:hAnsi="Verdana"/>
        </w:rPr>
        <w:t>non-accidental</w:t>
      </w:r>
      <w:r w:rsidR="00563051" w:rsidRPr="00D94E5D">
        <w:rPr>
          <w:rFonts w:ascii="Verdana" w:hAnsi="Verdana"/>
        </w:rPr>
        <w:t xml:space="preserve"> trauma, clearly states that “</w:t>
      </w:r>
      <w:r w:rsidR="00563051" w:rsidRPr="00D94E5D">
        <w:rPr>
          <w:rFonts w:ascii="Verdana" w:hAnsi="Verdana"/>
          <w:i/>
          <w:iCs/>
        </w:rPr>
        <w:t>multiple fractures and fractures of differing ages are more specific</w:t>
      </w:r>
      <w:r w:rsidR="00563051" w:rsidRPr="00D94E5D">
        <w:rPr>
          <w:rFonts w:ascii="Verdana" w:hAnsi="Verdana"/>
        </w:rPr>
        <w:t>”</w:t>
      </w:r>
      <w:r w:rsidR="00A562F6" w:rsidRPr="00D94E5D">
        <w:rPr>
          <w:rFonts w:ascii="Verdana" w:hAnsi="Verdana"/>
        </w:rPr>
        <w:t>.</w:t>
      </w:r>
      <w:r w:rsidR="00563051" w:rsidRPr="00D94E5D">
        <w:rPr>
          <w:rStyle w:val="FootnoteReference"/>
          <w:rFonts w:ascii="Verdana" w:hAnsi="Verdana"/>
        </w:rPr>
        <w:footnoteReference w:id="17"/>
      </w:r>
      <w:r w:rsidR="008E24E4" w:rsidRPr="00D94E5D">
        <w:rPr>
          <w:rFonts w:ascii="Verdana" w:hAnsi="Verdana"/>
        </w:rPr>
        <w:t xml:space="preserve"> Additionally, the</w:t>
      </w:r>
      <w:r w:rsidR="00BC1479" w:rsidRPr="00D94E5D">
        <w:rPr>
          <w:rFonts w:ascii="Verdana" w:hAnsi="Verdana"/>
        </w:rPr>
        <w:t xml:space="preserve"> </w:t>
      </w:r>
      <w:r w:rsidR="00A74CC7" w:rsidRPr="00D94E5D">
        <w:rPr>
          <w:rFonts w:ascii="Verdana" w:hAnsi="Verdana"/>
        </w:rPr>
        <w:t xml:space="preserve">article </w:t>
      </w:r>
      <w:r w:rsidR="00BC1479" w:rsidRPr="00D94E5D">
        <w:rPr>
          <w:rFonts w:ascii="Verdana" w:hAnsi="Verdana"/>
          <w:u w:val="single"/>
        </w:rPr>
        <w:t>R</w:t>
      </w:r>
      <w:r w:rsidR="008E24E4" w:rsidRPr="00D94E5D">
        <w:rPr>
          <w:rFonts w:ascii="Verdana" w:hAnsi="Verdana"/>
          <w:u w:val="single"/>
        </w:rPr>
        <w:t xml:space="preserve">eview of </w:t>
      </w:r>
      <w:r w:rsidR="00BC1479" w:rsidRPr="00D94E5D">
        <w:rPr>
          <w:rFonts w:ascii="Verdana" w:hAnsi="Verdana"/>
          <w:u w:val="single"/>
        </w:rPr>
        <w:t>c</w:t>
      </w:r>
      <w:r w:rsidR="008E24E4" w:rsidRPr="00D94E5D">
        <w:rPr>
          <w:rFonts w:ascii="Verdana" w:hAnsi="Verdana"/>
          <w:u w:val="single"/>
        </w:rPr>
        <w:t>linical perspectives on Osteogenesis imperfecta versus non-accidental injury</w:t>
      </w:r>
      <w:r w:rsidR="008E24E4" w:rsidRPr="00D94E5D">
        <w:rPr>
          <w:rFonts w:ascii="Verdana" w:hAnsi="Verdana"/>
        </w:rPr>
        <w:t xml:space="preserve"> </w:t>
      </w:r>
      <w:r w:rsidR="00FB588E">
        <w:rPr>
          <w:rFonts w:ascii="Verdana" w:hAnsi="Verdana"/>
        </w:rPr>
        <w:t xml:space="preserve">which </w:t>
      </w:r>
      <w:r w:rsidR="00A74CC7" w:rsidRPr="00D94E5D">
        <w:rPr>
          <w:rFonts w:ascii="Verdana" w:hAnsi="Verdana"/>
        </w:rPr>
        <w:t xml:space="preserve">Dr </w:t>
      </w:r>
      <w:r w:rsidR="003A2F8C">
        <w:rPr>
          <w:rFonts w:ascii="Verdana" w:hAnsi="Verdana"/>
        </w:rPr>
        <w:t>HM</w:t>
      </w:r>
      <w:r w:rsidR="00A74CC7" w:rsidRPr="00D94E5D">
        <w:rPr>
          <w:rFonts w:ascii="Verdana" w:hAnsi="Verdana"/>
        </w:rPr>
        <w:t xml:space="preserve"> provided to the Court </w:t>
      </w:r>
      <w:r w:rsidR="008E24E4" w:rsidRPr="00D94E5D">
        <w:rPr>
          <w:rFonts w:ascii="Verdana" w:hAnsi="Verdana"/>
        </w:rPr>
        <w:t>asserts that the 95% positive predictive value is for “</w:t>
      </w:r>
      <w:r w:rsidR="008E24E4" w:rsidRPr="00D94E5D">
        <w:rPr>
          <w:rFonts w:ascii="Verdana" w:hAnsi="Verdana"/>
          <w:i/>
          <w:iCs/>
        </w:rPr>
        <w:t>symmetric rib fractures, specifically if they are posterior medial and bilateral”</w:t>
      </w:r>
      <w:r w:rsidR="0024396C" w:rsidRPr="00D94E5D">
        <w:rPr>
          <w:rFonts w:ascii="Verdana" w:hAnsi="Verdana"/>
          <w:i/>
          <w:iCs/>
        </w:rPr>
        <w:t>,</w:t>
      </w:r>
      <w:r w:rsidR="008E24E4" w:rsidRPr="0091718D">
        <w:rPr>
          <w:rStyle w:val="FootnoteReference"/>
          <w:rFonts w:ascii="Verdana" w:hAnsi="Verdana"/>
        </w:rPr>
        <w:footnoteReference w:id="18"/>
      </w:r>
      <w:r w:rsidR="00A74CC7" w:rsidRPr="00D94E5D">
        <w:rPr>
          <w:rFonts w:ascii="Verdana" w:hAnsi="Verdana"/>
          <w:i/>
          <w:iCs/>
        </w:rPr>
        <w:t xml:space="preserve"> </w:t>
      </w:r>
      <w:r w:rsidR="0024396C" w:rsidRPr="00D94E5D">
        <w:rPr>
          <w:rFonts w:ascii="Verdana" w:hAnsi="Verdana"/>
        </w:rPr>
        <w:t>n</w:t>
      </w:r>
      <w:r w:rsidR="00A74CC7" w:rsidRPr="00D94E5D">
        <w:rPr>
          <w:rFonts w:ascii="Verdana" w:hAnsi="Verdana"/>
        </w:rPr>
        <w:t xml:space="preserve">ot </w:t>
      </w:r>
      <w:r w:rsidR="00A562F6" w:rsidRPr="00D94E5D">
        <w:rPr>
          <w:rFonts w:ascii="Verdana" w:hAnsi="Verdana"/>
        </w:rPr>
        <w:t xml:space="preserve">for </w:t>
      </w:r>
      <w:r w:rsidR="00A74CC7" w:rsidRPr="00D94E5D">
        <w:rPr>
          <w:rFonts w:ascii="Verdana" w:hAnsi="Verdana"/>
        </w:rPr>
        <w:t>single rib fractures.</w:t>
      </w:r>
    </w:p>
    <w:p w14:paraId="2F296D99" w14:textId="77777777" w:rsidR="0081252E" w:rsidRPr="00D94E5D" w:rsidRDefault="0081252E" w:rsidP="002B5C77">
      <w:pPr>
        <w:pStyle w:val="ListParagraph"/>
        <w:spacing w:after="240" w:line="276" w:lineRule="auto"/>
        <w:ind w:left="851"/>
        <w:rPr>
          <w:rFonts w:ascii="Verdana" w:hAnsi="Verdana" w:cstheme="minorHAnsi"/>
        </w:rPr>
      </w:pPr>
    </w:p>
    <w:p w14:paraId="3C8E838D" w14:textId="19A3C607" w:rsidR="0081252E" w:rsidRPr="003A48D6" w:rsidRDefault="00CE1B1B" w:rsidP="0091718D">
      <w:pPr>
        <w:pStyle w:val="ListParagraph"/>
        <w:numPr>
          <w:ilvl w:val="0"/>
          <w:numId w:val="1"/>
        </w:numPr>
        <w:spacing w:after="240" w:line="276" w:lineRule="auto"/>
        <w:ind w:left="851" w:hanging="851"/>
        <w:jc w:val="both"/>
        <w:rPr>
          <w:rFonts w:ascii="Verdana" w:hAnsi="Verdana" w:cstheme="minorHAnsi"/>
        </w:rPr>
      </w:pPr>
      <w:r w:rsidRPr="003A48D6">
        <w:rPr>
          <w:rFonts w:ascii="Verdana" w:hAnsi="Verdana"/>
        </w:rPr>
        <w:t>The reliance and emphasis o</w:t>
      </w:r>
      <w:r w:rsidR="009D7629" w:rsidRPr="003A48D6">
        <w:rPr>
          <w:rFonts w:ascii="Verdana" w:hAnsi="Verdana"/>
        </w:rPr>
        <w:t>n</w:t>
      </w:r>
      <w:r w:rsidRPr="003A48D6">
        <w:rPr>
          <w:rFonts w:ascii="Verdana" w:hAnsi="Verdana"/>
        </w:rPr>
        <w:t xml:space="preserve"> the claim of a 95% positive predictive value invites the court to be </w:t>
      </w:r>
      <w:r w:rsidR="00FB588E" w:rsidRPr="003A48D6">
        <w:rPr>
          <w:rFonts w:ascii="Verdana" w:hAnsi="Verdana"/>
        </w:rPr>
        <w:t>led into error through</w:t>
      </w:r>
      <w:r w:rsidRPr="003A48D6">
        <w:rPr>
          <w:rFonts w:ascii="Verdana" w:hAnsi="Verdana"/>
        </w:rPr>
        <w:t xml:space="preserve"> what has become known as </w:t>
      </w:r>
      <w:r w:rsidR="0091718D">
        <w:rPr>
          <w:rFonts w:ascii="Verdana" w:hAnsi="Verdana"/>
        </w:rPr>
        <w:t>‘</w:t>
      </w:r>
      <w:r w:rsidRPr="003A48D6">
        <w:rPr>
          <w:rFonts w:ascii="Verdana" w:hAnsi="Verdana"/>
        </w:rPr>
        <w:t>the prosecutor’s fallacy</w:t>
      </w:r>
      <w:r w:rsidR="0091718D">
        <w:rPr>
          <w:rFonts w:ascii="Verdana" w:hAnsi="Verdana"/>
        </w:rPr>
        <w:t>’</w:t>
      </w:r>
      <w:r w:rsidRPr="003A48D6">
        <w:rPr>
          <w:rFonts w:ascii="Verdana" w:hAnsi="Verdana"/>
        </w:rPr>
        <w:t xml:space="preserve">: </w:t>
      </w:r>
      <w:r w:rsidR="00E34E3E" w:rsidRPr="003A48D6">
        <w:rPr>
          <w:rFonts w:ascii="Verdana" w:hAnsi="Verdana"/>
        </w:rPr>
        <w:t>r</w:t>
      </w:r>
      <w:r w:rsidRPr="003A48D6">
        <w:rPr>
          <w:rFonts w:ascii="Verdana" w:hAnsi="Verdana"/>
        </w:rPr>
        <w:t>ather than ask the probability that the parents did not inflict the harm given all the evidence, it invites the erroneous reasoning of asking what the probability is that the injury would occur if the parents did not cause it.</w:t>
      </w:r>
      <w:r w:rsidR="003A48D6" w:rsidRPr="003A48D6">
        <w:rPr>
          <w:rFonts w:ascii="Verdana" w:hAnsi="Verdana"/>
        </w:rPr>
        <w:t xml:space="preserve"> The Secretary must provide evidence to prove their ca</w:t>
      </w:r>
      <w:r w:rsidR="003A48D6">
        <w:rPr>
          <w:rFonts w:ascii="Verdana" w:hAnsi="Verdana"/>
        </w:rPr>
        <w:t>se on the balance of probabilities, rather than the parents having to refute a case based on statistical probabilities.</w:t>
      </w:r>
    </w:p>
    <w:p w14:paraId="07EA8D3F" w14:textId="77777777" w:rsidR="003A48D6" w:rsidRPr="003A48D6" w:rsidRDefault="003A48D6" w:rsidP="0091718D">
      <w:pPr>
        <w:pStyle w:val="ListParagraph"/>
        <w:spacing w:line="276" w:lineRule="auto"/>
        <w:ind w:left="851"/>
        <w:jc w:val="both"/>
        <w:rPr>
          <w:rFonts w:ascii="Verdana" w:hAnsi="Verdana" w:cstheme="minorHAnsi"/>
        </w:rPr>
      </w:pPr>
    </w:p>
    <w:p w14:paraId="2CA06ECB" w14:textId="4DD2CB8C" w:rsidR="006F373B" w:rsidRPr="0081252E" w:rsidRDefault="006F373B" w:rsidP="009872F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t xml:space="preserve">The propositions Dr </w:t>
      </w:r>
      <w:r w:rsidR="003A2F8C">
        <w:rPr>
          <w:rFonts w:ascii="Verdana" w:hAnsi="Verdana"/>
        </w:rPr>
        <w:t>HM</w:t>
      </w:r>
      <w:r w:rsidRPr="00D94E5D">
        <w:rPr>
          <w:rFonts w:ascii="Verdana" w:hAnsi="Verdana"/>
        </w:rPr>
        <w:t xml:space="preserve"> relied upon were not put to the other relevant experts for comment.</w:t>
      </w:r>
    </w:p>
    <w:p w14:paraId="0289264E" w14:textId="77777777" w:rsidR="0081252E" w:rsidRPr="0081252E" w:rsidRDefault="0081252E" w:rsidP="002B5C77">
      <w:pPr>
        <w:pStyle w:val="ListParagraph"/>
        <w:spacing w:line="276" w:lineRule="auto"/>
        <w:rPr>
          <w:rFonts w:ascii="Verdana" w:hAnsi="Verdana" w:cstheme="minorHAnsi"/>
        </w:rPr>
      </w:pPr>
    </w:p>
    <w:p w14:paraId="15C4F5D2" w14:textId="42108227" w:rsidR="00AD1EB7" w:rsidRPr="00D94E5D" w:rsidRDefault="00AD1EB7" w:rsidP="009872F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t xml:space="preserve">Where the evidence of Dr </w:t>
      </w:r>
      <w:r w:rsidR="003A2F8C">
        <w:rPr>
          <w:rFonts w:ascii="Verdana" w:hAnsi="Verdana"/>
        </w:rPr>
        <w:t>HM</w:t>
      </w:r>
      <w:r w:rsidRPr="00D94E5D">
        <w:rPr>
          <w:rFonts w:ascii="Verdana" w:hAnsi="Verdana"/>
        </w:rPr>
        <w:t xml:space="preserve"> differs from that of Professor </w:t>
      </w:r>
      <w:r w:rsidR="003A2F8C">
        <w:rPr>
          <w:rFonts w:ascii="Verdana" w:hAnsi="Verdana"/>
        </w:rPr>
        <w:t>AN</w:t>
      </w:r>
      <w:r w:rsidRPr="00D94E5D">
        <w:rPr>
          <w:rFonts w:ascii="Verdana" w:hAnsi="Verdana"/>
        </w:rPr>
        <w:t xml:space="preserve"> and Professor </w:t>
      </w:r>
      <w:r w:rsidR="003A2F8C">
        <w:rPr>
          <w:rFonts w:ascii="Verdana" w:hAnsi="Verdana"/>
        </w:rPr>
        <w:t>RS</w:t>
      </w:r>
      <w:r w:rsidRPr="00D94E5D">
        <w:rPr>
          <w:rFonts w:ascii="Verdana" w:hAnsi="Verdana"/>
        </w:rPr>
        <w:t xml:space="preserve"> regarding the signs of bone fragility in </w:t>
      </w:r>
      <w:r w:rsidR="003A2F8C">
        <w:rPr>
          <w:rFonts w:ascii="Verdana" w:hAnsi="Verdana"/>
        </w:rPr>
        <w:t>Maria</w:t>
      </w:r>
      <w:r w:rsidRPr="00D94E5D">
        <w:rPr>
          <w:rFonts w:ascii="Verdana" w:hAnsi="Verdana"/>
        </w:rPr>
        <w:t xml:space="preserve"> and </w:t>
      </w:r>
      <w:r w:rsidR="003A2F8C">
        <w:rPr>
          <w:rFonts w:ascii="Verdana" w:hAnsi="Verdana"/>
        </w:rPr>
        <w:t>Gregory</w:t>
      </w:r>
      <w:r w:rsidRPr="00D94E5D">
        <w:rPr>
          <w:rFonts w:ascii="Verdana" w:hAnsi="Verdana"/>
        </w:rPr>
        <w:t>, I prefer and accept the evidence of the Professors.</w:t>
      </w:r>
    </w:p>
    <w:p w14:paraId="69862E62" w14:textId="77777777" w:rsidR="0081252E" w:rsidRDefault="0081252E" w:rsidP="002B5C77">
      <w:pPr>
        <w:spacing w:after="240" w:line="276" w:lineRule="auto"/>
        <w:rPr>
          <w:rFonts w:ascii="Verdana" w:hAnsi="Verdana" w:cstheme="minorHAnsi"/>
          <w:b/>
          <w:bCs/>
        </w:rPr>
      </w:pPr>
    </w:p>
    <w:p w14:paraId="1AB283E9" w14:textId="04319958" w:rsidR="009235F0" w:rsidRPr="000836A3" w:rsidRDefault="0089202A" w:rsidP="002B5C77">
      <w:pPr>
        <w:spacing w:after="240" w:line="276" w:lineRule="auto"/>
        <w:rPr>
          <w:rFonts w:ascii="Verdana" w:hAnsi="Verdana" w:cstheme="minorHAnsi"/>
          <w:b/>
          <w:bCs/>
        </w:rPr>
      </w:pPr>
      <w:r w:rsidRPr="000836A3">
        <w:rPr>
          <w:rFonts w:ascii="Verdana" w:hAnsi="Verdana" w:cstheme="minorHAnsi"/>
          <w:b/>
          <w:bCs/>
        </w:rPr>
        <w:t xml:space="preserve">OTHER EVIDENCE OF THE SOCIAL FACTORS RELEVANT TO </w:t>
      </w:r>
      <w:r w:rsidR="00DB1A55">
        <w:rPr>
          <w:rFonts w:ascii="Verdana" w:hAnsi="Verdana" w:cstheme="minorHAnsi"/>
          <w:b/>
          <w:bCs/>
        </w:rPr>
        <w:t xml:space="preserve">ASSESSING </w:t>
      </w:r>
      <w:r w:rsidRPr="000836A3">
        <w:rPr>
          <w:rFonts w:ascii="Verdana" w:hAnsi="Verdana" w:cstheme="minorHAnsi"/>
          <w:b/>
          <w:bCs/>
        </w:rPr>
        <w:t>THE PROBABILITY THE INJURIES WERE INFLICTED BY ONE OR BOTH PARENTS</w:t>
      </w:r>
    </w:p>
    <w:p w14:paraId="1A3BD613" w14:textId="4C317033" w:rsidR="00760213" w:rsidRPr="0081252E" w:rsidRDefault="00760213" w:rsidP="002A73E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lastRenderedPageBreak/>
        <w:t xml:space="preserve">Having </w:t>
      </w:r>
      <w:r w:rsidR="00794066" w:rsidRPr="00D94E5D">
        <w:rPr>
          <w:rFonts w:ascii="Verdana" w:hAnsi="Verdana"/>
        </w:rPr>
        <w:t>accepted</w:t>
      </w:r>
      <w:r w:rsidRPr="00D94E5D">
        <w:rPr>
          <w:rFonts w:ascii="Verdana" w:hAnsi="Verdana"/>
        </w:rPr>
        <w:t xml:space="preserve"> the expert opi</w:t>
      </w:r>
      <w:r w:rsidR="00794066" w:rsidRPr="00D94E5D">
        <w:rPr>
          <w:rFonts w:ascii="Verdana" w:hAnsi="Verdana"/>
        </w:rPr>
        <w:t>ni</w:t>
      </w:r>
      <w:r w:rsidRPr="00D94E5D">
        <w:rPr>
          <w:rFonts w:ascii="Verdana" w:hAnsi="Verdana"/>
        </w:rPr>
        <w:t xml:space="preserve">ons of </w:t>
      </w:r>
      <w:r w:rsidR="00794066" w:rsidRPr="00D94E5D">
        <w:rPr>
          <w:rFonts w:ascii="Verdana" w:hAnsi="Verdana"/>
        </w:rPr>
        <w:t>Professors</w:t>
      </w:r>
      <w:r w:rsidRPr="00D94E5D">
        <w:rPr>
          <w:rFonts w:ascii="Verdana" w:hAnsi="Verdana"/>
        </w:rPr>
        <w:t xml:space="preserve"> </w:t>
      </w:r>
      <w:r w:rsidR="003A2F8C">
        <w:rPr>
          <w:rFonts w:ascii="Verdana" w:hAnsi="Verdana"/>
        </w:rPr>
        <w:t>AN</w:t>
      </w:r>
      <w:r w:rsidRPr="00D94E5D">
        <w:rPr>
          <w:rFonts w:ascii="Verdana" w:hAnsi="Verdana"/>
        </w:rPr>
        <w:t xml:space="preserve"> and </w:t>
      </w:r>
      <w:r w:rsidR="003A2F8C">
        <w:rPr>
          <w:rFonts w:ascii="Verdana" w:hAnsi="Verdana"/>
        </w:rPr>
        <w:t>RS</w:t>
      </w:r>
      <w:r w:rsidRPr="00D94E5D">
        <w:rPr>
          <w:rFonts w:ascii="Verdana" w:hAnsi="Verdana"/>
        </w:rPr>
        <w:t xml:space="preserve"> that the twins had observable signs of bone fragility does not rule out the possibility of the children’s fractures having been caused by abuse.</w:t>
      </w:r>
      <w:r w:rsidR="00794066" w:rsidRPr="00D94E5D">
        <w:rPr>
          <w:rFonts w:ascii="Verdana" w:hAnsi="Verdana"/>
        </w:rPr>
        <w:t xml:space="preserve"> </w:t>
      </w:r>
      <w:r w:rsidRPr="00D94E5D">
        <w:rPr>
          <w:rFonts w:ascii="Verdana" w:hAnsi="Verdana"/>
        </w:rPr>
        <w:t>The f</w:t>
      </w:r>
      <w:r w:rsidR="00794066" w:rsidRPr="00D94E5D">
        <w:rPr>
          <w:rFonts w:ascii="Verdana" w:hAnsi="Verdana"/>
        </w:rPr>
        <w:t>r</w:t>
      </w:r>
      <w:r w:rsidRPr="00D94E5D">
        <w:rPr>
          <w:rFonts w:ascii="Verdana" w:hAnsi="Verdana"/>
        </w:rPr>
        <w:t xml:space="preserve">agility of their bones must be considered in the </w:t>
      </w:r>
      <w:r w:rsidR="00DD6EF8">
        <w:rPr>
          <w:rFonts w:ascii="Verdana" w:hAnsi="Verdana"/>
        </w:rPr>
        <w:t xml:space="preserve">context of the </w:t>
      </w:r>
      <w:r w:rsidRPr="00D94E5D">
        <w:rPr>
          <w:rFonts w:ascii="Verdana" w:hAnsi="Verdana"/>
        </w:rPr>
        <w:t xml:space="preserve">constellation of facts – including the timing for the fractures, and the social factors investigated by the DFFH </w:t>
      </w:r>
      <w:r w:rsidR="002A73E0">
        <w:rPr>
          <w:rFonts w:ascii="Verdana" w:hAnsi="Verdana"/>
        </w:rPr>
        <w:t>–</w:t>
      </w:r>
      <w:r w:rsidR="00A562F6" w:rsidRPr="00D94E5D">
        <w:rPr>
          <w:rFonts w:ascii="Verdana" w:hAnsi="Verdana"/>
        </w:rPr>
        <w:t xml:space="preserve"> </w:t>
      </w:r>
      <w:r w:rsidRPr="00D94E5D">
        <w:rPr>
          <w:rFonts w:ascii="Verdana" w:hAnsi="Verdana"/>
        </w:rPr>
        <w:t>when</w:t>
      </w:r>
      <w:r w:rsidR="002A73E0">
        <w:rPr>
          <w:rFonts w:ascii="Verdana" w:hAnsi="Verdana"/>
        </w:rPr>
        <w:t xml:space="preserve"> </w:t>
      </w:r>
      <w:r w:rsidRPr="00D94E5D">
        <w:rPr>
          <w:rFonts w:ascii="Verdana" w:hAnsi="Verdana"/>
        </w:rPr>
        <w:t>assessing the prob</w:t>
      </w:r>
      <w:r w:rsidR="00794066" w:rsidRPr="00D94E5D">
        <w:rPr>
          <w:rFonts w:ascii="Verdana" w:hAnsi="Verdana"/>
        </w:rPr>
        <w:t>abi</w:t>
      </w:r>
      <w:r w:rsidRPr="00D94E5D">
        <w:rPr>
          <w:rFonts w:ascii="Verdana" w:hAnsi="Verdana"/>
        </w:rPr>
        <w:t xml:space="preserve">lity that the parents </w:t>
      </w:r>
      <w:r w:rsidR="00794066" w:rsidRPr="00D94E5D">
        <w:rPr>
          <w:rFonts w:ascii="Verdana" w:hAnsi="Verdana"/>
          <w:i/>
          <w:iCs/>
        </w:rPr>
        <w:t>knowingly</w:t>
      </w:r>
      <w:r w:rsidRPr="00D94E5D">
        <w:rPr>
          <w:rFonts w:ascii="Verdana" w:hAnsi="Verdana"/>
        </w:rPr>
        <w:t xml:space="preserve"> </w:t>
      </w:r>
      <w:r w:rsidR="00794066" w:rsidRPr="00D94E5D">
        <w:rPr>
          <w:rFonts w:ascii="Verdana" w:hAnsi="Verdana"/>
        </w:rPr>
        <w:t>did something to cause the single fracture in each child</w:t>
      </w:r>
      <w:r w:rsidR="00BC1479" w:rsidRPr="00D94E5D">
        <w:rPr>
          <w:rFonts w:ascii="Verdana" w:hAnsi="Verdana"/>
        </w:rPr>
        <w:t>.</w:t>
      </w:r>
    </w:p>
    <w:p w14:paraId="4B6AAE2E" w14:textId="77777777" w:rsidR="0081252E" w:rsidRPr="00D94E5D" w:rsidRDefault="0081252E" w:rsidP="002B5C77">
      <w:pPr>
        <w:pStyle w:val="ListParagraph"/>
        <w:spacing w:after="240" w:line="276" w:lineRule="auto"/>
        <w:ind w:left="851"/>
        <w:rPr>
          <w:rFonts w:ascii="Verdana" w:hAnsi="Verdana" w:cstheme="minorHAnsi"/>
        </w:rPr>
      </w:pPr>
    </w:p>
    <w:p w14:paraId="03184706" w14:textId="43F51984" w:rsidR="00A91A16" w:rsidRPr="0081252E" w:rsidRDefault="00A91A16" w:rsidP="002A73E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t xml:space="preserve">The other risk factors which are matters of importance when assessing the probability that an injury to a child has been abusively inflicted, or accidentally </w:t>
      </w:r>
      <w:r w:rsidR="00A74CC7" w:rsidRPr="00D94E5D">
        <w:rPr>
          <w:rFonts w:ascii="Verdana" w:hAnsi="Verdana"/>
        </w:rPr>
        <w:t>occurred</w:t>
      </w:r>
      <w:r w:rsidRPr="00D94E5D">
        <w:rPr>
          <w:rFonts w:ascii="Verdana" w:hAnsi="Verdana"/>
        </w:rPr>
        <w:t xml:space="preserve"> and likely to reoccur, are whether there is a context of family violence, whether either parent is compromised by drug use</w:t>
      </w:r>
      <w:r w:rsidR="003853A5">
        <w:rPr>
          <w:rFonts w:ascii="Verdana" w:hAnsi="Verdana"/>
        </w:rPr>
        <w:t xml:space="preserve"> or a disturbance of their mental health</w:t>
      </w:r>
      <w:r w:rsidRPr="00D94E5D">
        <w:rPr>
          <w:rFonts w:ascii="Verdana" w:hAnsi="Verdana"/>
        </w:rPr>
        <w:t>, and whether there are concerns for the</w:t>
      </w:r>
      <w:r w:rsidR="00DD6EF8">
        <w:rPr>
          <w:rFonts w:ascii="Verdana" w:hAnsi="Verdana"/>
        </w:rPr>
        <w:t>ir</w:t>
      </w:r>
      <w:r w:rsidRPr="00D94E5D">
        <w:rPr>
          <w:rFonts w:ascii="Verdana" w:hAnsi="Verdana"/>
        </w:rPr>
        <w:t xml:space="preserve"> practical parenting skills.</w:t>
      </w:r>
    </w:p>
    <w:p w14:paraId="71168843" w14:textId="77777777" w:rsidR="0081252E" w:rsidRPr="0081252E" w:rsidRDefault="0081252E" w:rsidP="002A73E0">
      <w:pPr>
        <w:pStyle w:val="ListParagraph"/>
        <w:spacing w:line="276" w:lineRule="auto"/>
        <w:ind w:left="851"/>
        <w:rPr>
          <w:rFonts w:ascii="Verdana" w:hAnsi="Verdana" w:cstheme="minorHAnsi"/>
        </w:rPr>
      </w:pPr>
    </w:p>
    <w:p w14:paraId="247BD717" w14:textId="367FBD90" w:rsidR="00A91A16" w:rsidRPr="0081252E" w:rsidRDefault="00A91A16" w:rsidP="002A73E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t>There is no suggestion that drug use by either parent is a factor in this case.</w:t>
      </w:r>
    </w:p>
    <w:p w14:paraId="2EEB02C6" w14:textId="77777777" w:rsidR="0081252E" w:rsidRPr="0081252E" w:rsidRDefault="0081252E" w:rsidP="002A73E0">
      <w:pPr>
        <w:pStyle w:val="ListParagraph"/>
        <w:spacing w:line="276" w:lineRule="auto"/>
        <w:ind w:left="851"/>
        <w:rPr>
          <w:rFonts w:ascii="Verdana" w:hAnsi="Verdana" w:cstheme="minorHAnsi"/>
        </w:rPr>
      </w:pPr>
    </w:p>
    <w:p w14:paraId="2C17C21D" w14:textId="7A09EB5F" w:rsidR="00141467" w:rsidRPr="0081252E" w:rsidRDefault="00633313" w:rsidP="002A73E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t xml:space="preserve">There is </w:t>
      </w:r>
      <w:r w:rsidR="00A91A16" w:rsidRPr="00D94E5D">
        <w:rPr>
          <w:rFonts w:ascii="Verdana" w:hAnsi="Verdana"/>
        </w:rPr>
        <w:t xml:space="preserve">no evidence of any nursing observations made by RCH staff that indicated safety concerns for the parents’ handling and care of the twins, </w:t>
      </w:r>
      <w:r w:rsidR="00141467" w:rsidRPr="00D94E5D">
        <w:rPr>
          <w:rFonts w:ascii="Verdana" w:hAnsi="Verdana"/>
        </w:rPr>
        <w:t>nor by child protection staff who conducted weekly home visits</w:t>
      </w:r>
      <w:r w:rsidRPr="00D94E5D">
        <w:rPr>
          <w:rFonts w:ascii="Verdana" w:hAnsi="Verdana"/>
        </w:rPr>
        <w:t>.</w:t>
      </w:r>
      <w:r w:rsidR="00141467" w:rsidRPr="00D94E5D">
        <w:rPr>
          <w:rFonts w:ascii="Verdana" w:hAnsi="Verdana"/>
        </w:rPr>
        <w:t xml:space="preserve"> </w:t>
      </w:r>
      <w:r w:rsidRPr="00D94E5D">
        <w:rPr>
          <w:rFonts w:ascii="Verdana" w:hAnsi="Verdana"/>
        </w:rPr>
        <w:t>During the DFFH investigations, the</w:t>
      </w:r>
      <w:r w:rsidR="00A91A16" w:rsidRPr="00D94E5D">
        <w:rPr>
          <w:rFonts w:ascii="Verdana" w:hAnsi="Verdana"/>
        </w:rPr>
        <w:t xml:space="preserve"> parents engaged with the Queen El</w:t>
      </w:r>
      <w:r w:rsidR="00141467" w:rsidRPr="00D94E5D">
        <w:rPr>
          <w:rFonts w:ascii="Verdana" w:hAnsi="Verdana"/>
        </w:rPr>
        <w:t>i</w:t>
      </w:r>
      <w:r w:rsidR="00A91A16" w:rsidRPr="00D94E5D">
        <w:rPr>
          <w:rFonts w:ascii="Verdana" w:hAnsi="Verdana"/>
        </w:rPr>
        <w:t xml:space="preserve">zabeth Centre </w:t>
      </w:r>
      <w:r w:rsidR="00141467" w:rsidRPr="00D94E5D">
        <w:rPr>
          <w:rFonts w:ascii="Verdana" w:hAnsi="Verdana"/>
        </w:rPr>
        <w:t>in</w:t>
      </w:r>
      <w:r w:rsidR="00A562F6" w:rsidRPr="00D94E5D">
        <w:rPr>
          <w:rFonts w:ascii="Verdana" w:hAnsi="Verdana"/>
        </w:rPr>
        <w:t>-</w:t>
      </w:r>
      <w:r w:rsidR="00141467" w:rsidRPr="00D94E5D">
        <w:rPr>
          <w:rFonts w:ascii="Verdana" w:hAnsi="Verdana"/>
        </w:rPr>
        <w:t xml:space="preserve">home </w:t>
      </w:r>
      <w:r w:rsidR="00A91A16" w:rsidRPr="00D94E5D">
        <w:rPr>
          <w:rFonts w:ascii="Verdana" w:hAnsi="Verdana"/>
        </w:rPr>
        <w:t xml:space="preserve">Parenting Assessment and Skills Development </w:t>
      </w:r>
      <w:r w:rsidR="00141467" w:rsidRPr="00D94E5D">
        <w:rPr>
          <w:rFonts w:ascii="Verdana" w:hAnsi="Verdana"/>
        </w:rPr>
        <w:t>Service who provided a comprehensive assessment</w:t>
      </w:r>
      <w:r w:rsidRPr="00D94E5D">
        <w:rPr>
          <w:rFonts w:ascii="Verdana" w:hAnsi="Verdana"/>
        </w:rPr>
        <w:t xml:space="preserve"> of the practical and emotional parenting skills</w:t>
      </w:r>
      <w:r w:rsidR="00141467" w:rsidRPr="00D94E5D">
        <w:rPr>
          <w:rFonts w:ascii="Verdana" w:hAnsi="Verdana"/>
        </w:rPr>
        <w:t>.</w:t>
      </w:r>
    </w:p>
    <w:p w14:paraId="77CA9266" w14:textId="77777777" w:rsidR="0081252E" w:rsidRPr="0081252E" w:rsidRDefault="0081252E" w:rsidP="002A73E0">
      <w:pPr>
        <w:pStyle w:val="ListParagraph"/>
        <w:spacing w:line="276" w:lineRule="auto"/>
        <w:ind w:left="851"/>
        <w:rPr>
          <w:rFonts w:ascii="Verdana" w:hAnsi="Verdana" w:cstheme="minorHAnsi"/>
        </w:rPr>
      </w:pPr>
    </w:p>
    <w:p w14:paraId="78283FBF" w14:textId="58BB46B7" w:rsidR="00A91A16" w:rsidRPr="0081252E" w:rsidRDefault="00141467" w:rsidP="002A73E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t xml:space="preserve">Ms </w:t>
      </w:r>
      <w:r w:rsidR="00973642">
        <w:rPr>
          <w:rFonts w:ascii="Verdana" w:hAnsi="Verdana"/>
        </w:rPr>
        <w:t>HG</w:t>
      </w:r>
      <w:r w:rsidRPr="00D94E5D">
        <w:rPr>
          <w:rFonts w:ascii="Verdana" w:hAnsi="Verdana"/>
        </w:rPr>
        <w:t xml:space="preserve"> of that service gave evidence in this hearing, prior to the final report being available due to an assessor being on leave. The final report was tendered by consent</w:t>
      </w:r>
      <w:r w:rsidR="00A562F6" w:rsidRPr="00D94E5D">
        <w:rPr>
          <w:rFonts w:ascii="Verdana" w:hAnsi="Verdana"/>
        </w:rPr>
        <w:t>.</w:t>
      </w:r>
      <w:r w:rsidR="00C66217" w:rsidRPr="00D94E5D">
        <w:rPr>
          <w:rStyle w:val="FootnoteReference"/>
          <w:rFonts w:ascii="Verdana" w:hAnsi="Verdana"/>
        </w:rPr>
        <w:footnoteReference w:id="19"/>
      </w:r>
    </w:p>
    <w:p w14:paraId="6EE857FD" w14:textId="77777777" w:rsidR="0081252E" w:rsidRPr="0081252E" w:rsidRDefault="0081252E" w:rsidP="002A73E0">
      <w:pPr>
        <w:pStyle w:val="ListParagraph"/>
        <w:spacing w:line="276" w:lineRule="auto"/>
        <w:ind w:left="851"/>
        <w:rPr>
          <w:rFonts w:ascii="Verdana" w:hAnsi="Verdana" w:cstheme="minorHAnsi"/>
        </w:rPr>
      </w:pPr>
    </w:p>
    <w:p w14:paraId="750B33F2" w14:textId="5F16C8F1" w:rsidR="00B47B51" w:rsidRDefault="00983D3E" w:rsidP="002A73E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PASDS closure report</w:t>
      </w:r>
      <w:r w:rsidR="00523AB0" w:rsidRPr="00D94E5D">
        <w:rPr>
          <w:rFonts w:ascii="Verdana" w:hAnsi="Verdana" w:cstheme="minorHAnsi"/>
        </w:rPr>
        <w:t xml:space="preserve">, and Intake meeting minutes </w:t>
      </w:r>
      <w:r w:rsidR="00523AB0" w:rsidRPr="00D94E5D">
        <w:rPr>
          <w:rStyle w:val="FootnoteReference"/>
          <w:rFonts w:ascii="Verdana" w:hAnsi="Verdana" w:cstheme="minorHAnsi"/>
        </w:rPr>
        <w:footnoteReference w:id="20"/>
      </w:r>
      <w:r w:rsidRPr="00D94E5D">
        <w:rPr>
          <w:rFonts w:ascii="Verdana" w:hAnsi="Verdana" w:cstheme="minorHAnsi"/>
        </w:rPr>
        <w:t xml:space="preserve"> reveal that initial injuries to the children as reported by the DFFH were incorrect.</w:t>
      </w:r>
      <w:r w:rsidR="00523AB0" w:rsidRPr="00D94E5D">
        <w:rPr>
          <w:rFonts w:ascii="Verdana" w:hAnsi="Verdana" w:cstheme="minorHAnsi"/>
        </w:rPr>
        <w:t xml:space="preserve"> Despite the VFPMS informing the DFFH of the corrected injury details, I</w:t>
      </w:r>
      <w:r w:rsidR="002A73E0">
        <w:rPr>
          <w:rFonts w:ascii="Verdana" w:hAnsi="Verdana" w:cstheme="minorHAnsi"/>
        </w:rPr>
        <w:t> </w:t>
      </w:r>
      <w:r w:rsidR="00523AB0" w:rsidRPr="00D94E5D">
        <w:rPr>
          <w:rFonts w:ascii="Verdana" w:hAnsi="Verdana" w:cstheme="minorHAnsi"/>
        </w:rPr>
        <w:t>am unsure whether DFFH ever communicated this to the PASDS service.</w:t>
      </w:r>
      <w:r w:rsidR="00A74CC7" w:rsidRPr="00D94E5D">
        <w:rPr>
          <w:rFonts w:ascii="Verdana" w:hAnsi="Verdana" w:cstheme="minorHAnsi"/>
        </w:rPr>
        <w:t xml:space="preserve"> I am also unsure whether the DFFH ever advised the PASDS assessors that the timeframe for the rib fracture to the twins included the period of their hospital admission.</w:t>
      </w:r>
    </w:p>
    <w:p w14:paraId="4DA160F3" w14:textId="77777777" w:rsidR="0081252E" w:rsidRPr="0081252E" w:rsidRDefault="0081252E" w:rsidP="002A73E0">
      <w:pPr>
        <w:pStyle w:val="ListParagraph"/>
        <w:spacing w:line="276" w:lineRule="auto"/>
        <w:ind w:left="851"/>
        <w:rPr>
          <w:rFonts w:ascii="Verdana" w:hAnsi="Verdana" w:cstheme="minorHAnsi"/>
        </w:rPr>
      </w:pPr>
    </w:p>
    <w:p w14:paraId="5F0AD7DB" w14:textId="405BCDED" w:rsidR="00523AB0" w:rsidRDefault="00523AB0" w:rsidP="002A73E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PASDS assessment of the parent</w:t>
      </w:r>
      <w:r w:rsidR="00A562F6" w:rsidRPr="00D94E5D">
        <w:rPr>
          <w:rFonts w:ascii="Verdana" w:hAnsi="Verdana" w:cstheme="minorHAnsi"/>
        </w:rPr>
        <w:t>s</w:t>
      </w:r>
      <w:r w:rsidRPr="00D94E5D">
        <w:rPr>
          <w:rFonts w:ascii="Verdana" w:hAnsi="Verdana" w:cstheme="minorHAnsi"/>
        </w:rPr>
        <w:t xml:space="preserve"> was conducted over 24 visits, of which the father attended 14. The only challenge for the parents noted by the service was ‘safety and protection’. This was not due to any observed practices that were unsafe, nor any failure to make modifications to the </w:t>
      </w:r>
      <w:r w:rsidRPr="00D94E5D">
        <w:rPr>
          <w:rFonts w:ascii="Verdana" w:hAnsi="Verdana" w:cstheme="minorHAnsi"/>
        </w:rPr>
        <w:lastRenderedPageBreak/>
        <w:t xml:space="preserve">family home to provide safety for the children. It related solely to the DFFH </w:t>
      </w:r>
      <w:r w:rsidR="00F1799B" w:rsidRPr="00D94E5D">
        <w:rPr>
          <w:rFonts w:ascii="Verdana" w:hAnsi="Verdana" w:cstheme="minorHAnsi"/>
        </w:rPr>
        <w:t>alleging</w:t>
      </w:r>
      <w:r w:rsidRPr="00D94E5D">
        <w:rPr>
          <w:rFonts w:ascii="Verdana" w:hAnsi="Verdana" w:cstheme="minorHAnsi"/>
        </w:rPr>
        <w:t xml:space="preserve"> that the parents were </w:t>
      </w:r>
      <w:r w:rsidR="00F1799B" w:rsidRPr="00D94E5D">
        <w:rPr>
          <w:rFonts w:ascii="Verdana" w:hAnsi="Verdana" w:cstheme="minorHAnsi"/>
        </w:rPr>
        <w:t xml:space="preserve">responsible for </w:t>
      </w:r>
      <w:r w:rsidR="00A74CC7" w:rsidRPr="00D94E5D">
        <w:rPr>
          <w:rFonts w:ascii="Verdana" w:hAnsi="Verdana" w:cstheme="minorHAnsi"/>
        </w:rPr>
        <w:t xml:space="preserve">inflicting </w:t>
      </w:r>
      <w:r w:rsidR="00F1799B" w:rsidRPr="00D94E5D">
        <w:rPr>
          <w:rFonts w:ascii="Verdana" w:hAnsi="Verdana" w:cstheme="minorHAnsi"/>
        </w:rPr>
        <w:t>the injuries to the children.</w:t>
      </w:r>
    </w:p>
    <w:p w14:paraId="6F2A6B90" w14:textId="77777777" w:rsidR="0081252E" w:rsidRPr="0081252E" w:rsidRDefault="0081252E" w:rsidP="002A73E0">
      <w:pPr>
        <w:pStyle w:val="ListParagraph"/>
        <w:spacing w:line="276" w:lineRule="auto"/>
        <w:ind w:left="851"/>
        <w:rPr>
          <w:rFonts w:ascii="Verdana" w:hAnsi="Verdana" w:cstheme="minorHAnsi"/>
        </w:rPr>
      </w:pPr>
    </w:p>
    <w:p w14:paraId="5BE7C888" w14:textId="287E99F2" w:rsidR="00F1799B" w:rsidRDefault="00F1799B" w:rsidP="002A73E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w:t>
      </w:r>
      <w:r w:rsidR="00A74CC7" w:rsidRPr="00D94E5D">
        <w:rPr>
          <w:rFonts w:ascii="Verdana" w:hAnsi="Verdana" w:cstheme="minorHAnsi"/>
        </w:rPr>
        <w:t>PASDS</w:t>
      </w:r>
      <w:r w:rsidRPr="00D94E5D">
        <w:rPr>
          <w:rFonts w:ascii="Verdana" w:hAnsi="Verdana" w:cstheme="minorHAnsi"/>
        </w:rPr>
        <w:t xml:space="preserve"> noted in </w:t>
      </w:r>
      <w:r w:rsidR="00B00FC2" w:rsidRPr="00D94E5D">
        <w:rPr>
          <w:rFonts w:ascii="Verdana" w:hAnsi="Verdana" w:cstheme="minorHAnsi"/>
        </w:rPr>
        <w:t>its</w:t>
      </w:r>
      <w:r w:rsidRPr="00D94E5D">
        <w:rPr>
          <w:rFonts w:ascii="Verdana" w:hAnsi="Verdana" w:cstheme="minorHAnsi"/>
        </w:rPr>
        <w:t xml:space="preserve"> closure report that the children’s sleeping arrangements were SIDS safe, that the parents “were observed to hold </w:t>
      </w:r>
      <w:r w:rsidR="003A2F8C">
        <w:rPr>
          <w:rFonts w:ascii="Verdana" w:hAnsi="Verdana" w:cstheme="minorHAnsi"/>
        </w:rPr>
        <w:t>Maria</w:t>
      </w:r>
      <w:r w:rsidRPr="00D94E5D">
        <w:rPr>
          <w:rFonts w:ascii="Verdana" w:hAnsi="Verdana" w:cstheme="minorHAnsi"/>
        </w:rPr>
        <w:t xml:space="preserve"> and </w:t>
      </w:r>
      <w:r w:rsidR="003A2F8C">
        <w:rPr>
          <w:rFonts w:ascii="Verdana" w:hAnsi="Verdana" w:cstheme="minorHAnsi"/>
        </w:rPr>
        <w:t>Gregory</w:t>
      </w:r>
      <w:r w:rsidRPr="00D94E5D">
        <w:rPr>
          <w:rFonts w:ascii="Verdana" w:hAnsi="Verdana" w:cstheme="minorHAnsi"/>
        </w:rPr>
        <w:t xml:space="preserve"> securely yet gently with no rough handling observed”</w:t>
      </w:r>
      <w:r w:rsidR="00A562F6" w:rsidRPr="00D94E5D">
        <w:rPr>
          <w:rFonts w:ascii="Verdana" w:hAnsi="Verdana" w:cstheme="minorHAnsi"/>
        </w:rPr>
        <w:t>.</w:t>
      </w:r>
      <w:r w:rsidRPr="00D94E5D">
        <w:rPr>
          <w:rStyle w:val="FootnoteReference"/>
          <w:rFonts w:ascii="Verdana" w:hAnsi="Verdana" w:cstheme="minorHAnsi"/>
        </w:rPr>
        <w:footnoteReference w:id="21"/>
      </w:r>
      <w:r w:rsidRPr="00D94E5D">
        <w:rPr>
          <w:rFonts w:ascii="Verdana" w:hAnsi="Verdana" w:cstheme="minorHAnsi"/>
        </w:rPr>
        <w:t xml:space="preserve"> </w:t>
      </w:r>
      <w:r w:rsidR="00B00FC2" w:rsidRPr="00D94E5D">
        <w:rPr>
          <w:rFonts w:ascii="Verdana" w:hAnsi="Verdana" w:cstheme="minorHAnsi"/>
        </w:rPr>
        <w:t xml:space="preserve">Ms </w:t>
      </w:r>
      <w:r w:rsidR="00F4389E">
        <w:rPr>
          <w:rFonts w:ascii="Verdana" w:hAnsi="Verdana" w:cstheme="minorHAnsi"/>
        </w:rPr>
        <w:t>Green</w:t>
      </w:r>
      <w:r w:rsidR="00B00FC2" w:rsidRPr="00D94E5D">
        <w:rPr>
          <w:rFonts w:ascii="Verdana" w:hAnsi="Verdana" w:cstheme="minorHAnsi"/>
        </w:rPr>
        <w:t xml:space="preserve"> was clear in her evidence that none of the PASDS practitioners had observed anything but attuned, </w:t>
      </w:r>
      <w:proofErr w:type="gramStart"/>
      <w:r w:rsidR="00B00FC2" w:rsidRPr="00D94E5D">
        <w:rPr>
          <w:rFonts w:ascii="Verdana" w:hAnsi="Verdana" w:cstheme="minorHAnsi"/>
        </w:rPr>
        <w:t>gentle</w:t>
      </w:r>
      <w:proofErr w:type="gramEnd"/>
      <w:r w:rsidR="00B00FC2" w:rsidRPr="00D94E5D">
        <w:rPr>
          <w:rFonts w:ascii="Verdana" w:hAnsi="Verdana" w:cstheme="minorHAnsi"/>
        </w:rPr>
        <w:t xml:space="preserve"> and responsive caregiving</w:t>
      </w:r>
      <w:r w:rsidR="0096502B" w:rsidRPr="00D94E5D">
        <w:rPr>
          <w:rFonts w:ascii="Verdana" w:hAnsi="Verdana" w:cstheme="minorHAnsi"/>
        </w:rPr>
        <w:t>. At the midpoint review meeting, PASDS staff informed the DFFH that “</w:t>
      </w:r>
      <w:r w:rsidR="0096502B" w:rsidRPr="00D94E5D">
        <w:rPr>
          <w:rFonts w:ascii="Verdana" w:hAnsi="Verdana" w:cstheme="minorHAnsi"/>
          <w:i/>
          <w:iCs/>
        </w:rPr>
        <w:t>Parents are meeting infants needs pretty quickly and the infants are believed to feel safe with the parents doing this.”</w:t>
      </w:r>
      <w:r w:rsidR="0096502B" w:rsidRPr="00D94E5D">
        <w:rPr>
          <w:rStyle w:val="FootnoteReference"/>
          <w:rFonts w:ascii="Verdana" w:hAnsi="Verdana" w:cstheme="minorHAnsi"/>
          <w:i/>
          <w:iCs/>
        </w:rPr>
        <w:footnoteReference w:id="22"/>
      </w:r>
      <w:r w:rsidR="00A74CC7" w:rsidRPr="00D94E5D">
        <w:rPr>
          <w:rFonts w:ascii="Verdana" w:hAnsi="Verdana" w:cstheme="minorHAnsi"/>
          <w:i/>
          <w:iCs/>
        </w:rPr>
        <w:t xml:space="preserve"> </w:t>
      </w:r>
      <w:r w:rsidR="00A74CC7" w:rsidRPr="00D94E5D">
        <w:rPr>
          <w:rFonts w:ascii="Verdana" w:hAnsi="Verdana" w:cstheme="minorHAnsi"/>
        </w:rPr>
        <w:t>Yet in their final report PASDS commented “Given that no definitive explanation has been supplied in relation to the cause of the injuries…sustained whilst in the care of Ms</w:t>
      </w:r>
      <w:r w:rsidR="002A73E0">
        <w:rPr>
          <w:rFonts w:ascii="Verdana" w:hAnsi="Verdana" w:cstheme="minorHAnsi"/>
        </w:rPr>
        <w:t> </w:t>
      </w:r>
      <w:r w:rsidR="003A2F8C">
        <w:rPr>
          <w:rFonts w:ascii="Verdana" w:hAnsi="Verdana" w:cstheme="minorHAnsi"/>
        </w:rPr>
        <w:t>Price</w:t>
      </w:r>
      <w:r w:rsidR="00A74CC7" w:rsidRPr="00D94E5D">
        <w:rPr>
          <w:rFonts w:ascii="Verdana" w:hAnsi="Verdana" w:cstheme="minorHAnsi"/>
        </w:rPr>
        <w:t xml:space="preserve"> and Mr </w:t>
      </w:r>
      <w:r w:rsidR="003A2F8C">
        <w:rPr>
          <w:rFonts w:ascii="Verdana" w:hAnsi="Verdana" w:cstheme="minorHAnsi"/>
        </w:rPr>
        <w:t>West</w:t>
      </w:r>
      <w:r w:rsidR="00A74CC7" w:rsidRPr="00D94E5D">
        <w:rPr>
          <w:rFonts w:ascii="Verdana" w:hAnsi="Verdana" w:cstheme="minorHAnsi"/>
        </w:rPr>
        <w:t>, PASDS could not classify (safety and protection) as a strength.”</w:t>
      </w:r>
      <w:r w:rsidR="00A74CC7" w:rsidRPr="00D94E5D">
        <w:rPr>
          <w:rStyle w:val="FootnoteReference"/>
          <w:rFonts w:ascii="Verdana" w:hAnsi="Verdana" w:cstheme="minorHAnsi"/>
        </w:rPr>
        <w:footnoteReference w:id="23"/>
      </w:r>
      <w:r w:rsidR="00A74CC7" w:rsidRPr="00D94E5D">
        <w:rPr>
          <w:rFonts w:ascii="Verdana" w:hAnsi="Verdana" w:cstheme="minorHAnsi"/>
        </w:rPr>
        <w:t xml:space="preserve"> It appears that the weight of suspicion alone is the cause for this inclusion, not the direct observations of the assessors.</w:t>
      </w:r>
    </w:p>
    <w:p w14:paraId="7DF4368C" w14:textId="77777777" w:rsidR="0081252E" w:rsidRPr="0081252E" w:rsidRDefault="0081252E" w:rsidP="002A73E0">
      <w:pPr>
        <w:pStyle w:val="ListParagraph"/>
        <w:spacing w:line="276" w:lineRule="auto"/>
        <w:ind w:left="851"/>
        <w:rPr>
          <w:rFonts w:ascii="Verdana" w:hAnsi="Verdana" w:cstheme="minorHAnsi"/>
        </w:rPr>
      </w:pPr>
    </w:p>
    <w:p w14:paraId="6D522C85" w14:textId="34D9B417" w:rsidR="0096502B" w:rsidRDefault="00631973" w:rsidP="002A73E0">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 xml:space="preserve">The </w:t>
      </w:r>
      <w:r w:rsidR="0096502B" w:rsidRPr="00D94E5D">
        <w:rPr>
          <w:rFonts w:ascii="Verdana" w:hAnsi="Verdana" w:cstheme="minorHAnsi"/>
        </w:rPr>
        <w:t>PASDS</w:t>
      </w:r>
      <w:r>
        <w:rPr>
          <w:rFonts w:ascii="Verdana" w:hAnsi="Verdana" w:cstheme="minorHAnsi"/>
        </w:rPr>
        <w:t xml:space="preserve"> staff</w:t>
      </w:r>
      <w:r w:rsidR="0096502B" w:rsidRPr="00D94E5D">
        <w:rPr>
          <w:rFonts w:ascii="Verdana" w:hAnsi="Verdana" w:cstheme="minorHAnsi"/>
        </w:rPr>
        <w:t xml:space="preserve"> completed post-natal depression screens, and general mental health screens for the parents, with no concerns for their mental health, other than the grief and stress involved in these proceedings.</w:t>
      </w:r>
    </w:p>
    <w:p w14:paraId="4C27EBD6" w14:textId="77777777" w:rsidR="0081252E" w:rsidRPr="0081252E" w:rsidRDefault="0081252E" w:rsidP="002A73E0">
      <w:pPr>
        <w:pStyle w:val="ListParagraph"/>
        <w:spacing w:line="276" w:lineRule="auto"/>
        <w:ind w:left="851"/>
        <w:rPr>
          <w:rFonts w:ascii="Verdana" w:hAnsi="Verdana" w:cstheme="minorHAnsi"/>
        </w:rPr>
      </w:pPr>
    </w:p>
    <w:p w14:paraId="2E85EB7A" w14:textId="04FC03DA" w:rsidR="00430D4F" w:rsidRDefault="00430D4F" w:rsidP="002B5C77">
      <w:pPr>
        <w:pStyle w:val="ListParagraph"/>
        <w:numPr>
          <w:ilvl w:val="0"/>
          <w:numId w:val="1"/>
        </w:numPr>
        <w:spacing w:after="240" w:line="276" w:lineRule="auto"/>
        <w:ind w:left="851" w:hanging="851"/>
        <w:rPr>
          <w:rFonts w:ascii="Verdana" w:hAnsi="Verdana" w:cstheme="minorHAnsi"/>
        </w:rPr>
      </w:pPr>
      <w:r w:rsidRPr="00D94E5D">
        <w:rPr>
          <w:rFonts w:ascii="Verdana" w:hAnsi="Verdana" w:cstheme="minorHAnsi"/>
        </w:rPr>
        <w:t>Neither parent has a history of mental illness.</w:t>
      </w:r>
    </w:p>
    <w:p w14:paraId="6BC7D7DC" w14:textId="77777777" w:rsidR="0081252E" w:rsidRPr="0081252E" w:rsidRDefault="0081252E" w:rsidP="002A73E0">
      <w:pPr>
        <w:pStyle w:val="ListParagraph"/>
        <w:spacing w:line="276" w:lineRule="auto"/>
        <w:ind w:left="851"/>
        <w:rPr>
          <w:rFonts w:ascii="Verdana" w:hAnsi="Verdana" w:cstheme="minorHAnsi"/>
        </w:rPr>
      </w:pPr>
    </w:p>
    <w:p w14:paraId="1B046B17" w14:textId="3F6FD165" w:rsidR="00430D4F" w:rsidRDefault="00430D4F" w:rsidP="002B5C77">
      <w:pPr>
        <w:pStyle w:val="ListParagraph"/>
        <w:numPr>
          <w:ilvl w:val="0"/>
          <w:numId w:val="1"/>
        </w:numPr>
        <w:spacing w:after="240" w:line="276" w:lineRule="auto"/>
        <w:ind w:left="851" w:hanging="851"/>
        <w:rPr>
          <w:rFonts w:ascii="Verdana" w:hAnsi="Verdana" w:cstheme="minorHAnsi"/>
        </w:rPr>
      </w:pPr>
      <w:r w:rsidRPr="00D94E5D">
        <w:rPr>
          <w:rFonts w:ascii="Verdana" w:hAnsi="Verdana" w:cstheme="minorHAnsi"/>
        </w:rPr>
        <w:t>Neither parent has a criminal record.</w:t>
      </w:r>
    </w:p>
    <w:p w14:paraId="646D535D" w14:textId="77777777" w:rsidR="0081252E" w:rsidRPr="0081252E" w:rsidRDefault="0081252E" w:rsidP="002A73E0">
      <w:pPr>
        <w:pStyle w:val="ListParagraph"/>
        <w:spacing w:line="276" w:lineRule="auto"/>
        <w:ind w:left="851"/>
        <w:rPr>
          <w:rFonts w:ascii="Verdana" w:hAnsi="Verdana" w:cstheme="minorHAnsi"/>
        </w:rPr>
      </w:pPr>
    </w:p>
    <w:p w14:paraId="431E5C38" w14:textId="39C3EB87" w:rsidR="0096502B" w:rsidRDefault="00631973" w:rsidP="002A73E0">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 xml:space="preserve">The </w:t>
      </w:r>
      <w:r w:rsidR="0096502B" w:rsidRPr="00D94E5D">
        <w:rPr>
          <w:rFonts w:ascii="Verdana" w:hAnsi="Verdana" w:cstheme="minorHAnsi"/>
        </w:rPr>
        <w:t xml:space="preserve">PASDS staff had no concerns for the presence of any family violence from their observations. They observed healthy cooperative parenting between Ms </w:t>
      </w:r>
      <w:r w:rsidR="003A2F8C">
        <w:rPr>
          <w:rFonts w:ascii="Verdana" w:hAnsi="Verdana" w:cstheme="minorHAnsi"/>
        </w:rPr>
        <w:t>Price</w:t>
      </w:r>
      <w:r w:rsidR="0096502B" w:rsidRPr="00D94E5D">
        <w:rPr>
          <w:rFonts w:ascii="Verdana" w:hAnsi="Verdana" w:cstheme="minorHAnsi"/>
        </w:rPr>
        <w:t xml:space="preserve"> and Mr </w:t>
      </w:r>
      <w:r w:rsidR="003A2F8C">
        <w:rPr>
          <w:rFonts w:ascii="Verdana" w:hAnsi="Verdana" w:cstheme="minorHAnsi"/>
        </w:rPr>
        <w:t>West</w:t>
      </w:r>
      <w:r w:rsidR="0096502B" w:rsidRPr="00D94E5D">
        <w:rPr>
          <w:rFonts w:ascii="Verdana" w:hAnsi="Verdana" w:cstheme="minorHAnsi"/>
        </w:rPr>
        <w:t>, and mutual emotional support.</w:t>
      </w:r>
    </w:p>
    <w:p w14:paraId="42A793C5" w14:textId="77777777" w:rsidR="0081252E" w:rsidRPr="0081252E" w:rsidRDefault="0081252E" w:rsidP="002A73E0">
      <w:pPr>
        <w:pStyle w:val="ListParagraph"/>
        <w:spacing w:line="276" w:lineRule="auto"/>
        <w:ind w:left="851"/>
        <w:rPr>
          <w:rFonts w:ascii="Verdana" w:hAnsi="Verdana" w:cstheme="minorHAnsi"/>
        </w:rPr>
      </w:pPr>
    </w:p>
    <w:p w14:paraId="15B40B7B" w14:textId="351749D0" w:rsidR="009C481F" w:rsidRDefault="0096502B"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sole reference to any hint of family violence came from a note taken by Ms </w:t>
      </w:r>
      <w:r w:rsidR="00DB1A55">
        <w:rPr>
          <w:rFonts w:ascii="Verdana" w:hAnsi="Verdana" w:cstheme="minorHAnsi"/>
        </w:rPr>
        <w:t>TH</w:t>
      </w:r>
      <w:r w:rsidRPr="00D94E5D">
        <w:rPr>
          <w:rFonts w:ascii="Verdana" w:hAnsi="Verdana" w:cstheme="minorHAnsi"/>
        </w:rPr>
        <w:t xml:space="preserve"> of her summary of a conversation with the Breastfeeding service</w:t>
      </w:r>
      <w:r w:rsidR="009C481F" w:rsidRPr="00D94E5D">
        <w:rPr>
          <w:rFonts w:ascii="Verdana" w:hAnsi="Verdana" w:cstheme="minorHAnsi"/>
        </w:rPr>
        <w:t xml:space="preserve">. Ms </w:t>
      </w:r>
      <w:r w:rsidR="00DB1A55">
        <w:rPr>
          <w:rFonts w:ascii="Verdana" w:hAnsi="Verdana" w:cstheme="minorHAnsi"/>
        </w:rPr>
        <w:t>TH</w:t>
      </w:r>
      <w:r w:rsidR="009C481F" w:rsidRPr="00D94E5D">
        <w:rPr>
          <w:rFonts w:ascii="Verdana" w:hAnsi="Verdana" w:cstheme="minorHAnsi"/>
        </w:rPr>
        <w:t xml:space="preserve"> noted the service to comment on the father’s diligence with attending to the children’s needs, doing all the practical tasks whilst the mother was in the feeding chair. The next sentence seems to have been interpreted by DFFH as a particular reference to the father</w:t>
      </w:r>
      <w:proofErr w:type="gramStart"/>
      <w:r w:rsidR="009C481F" w:rsidRPr="00D94E5D">
        <w:rPr>
          <w:rFonts w:ascii="Verdana" w:hAnsi="Verdana" w:cstheme="minorHAnsi"/>
        </w:rPr>
        <w:t>: ”</w:t>
      </w:r>
      <w:r w:rsidR="009C481F" w:rsidRPr="00D94E5D">
        <w:rPr>
          <w:rFonts w:ascii="Verdana" w:hAnsi="Verdana" w:cstheme="minorHAnsi"/>
          <w:i/>
          <w:iCs/>
        </w:rPr>
        <w:t>breast</w:t>
      </w:r>
      <w:proofErr w:type="gramEnd"/>
      <w:r w:rsidR="009C481F" w:rsidRPr="00D94E5D">
        <w:rPr>
          <w:rFonts w:ascii="Verdana" w:hAnsi="Verdana" w:cstheme="minorHAnsi"/>
          <w:i/>
          <w:iCs/>
        </w:rPr>
        <w:t xml:space="preserve"> feeding service on occasion sees this behaviour in Father as controlling but also understand that with twins both parents are very on top of managing children</w:t>
      </w:r>
      <w:r w:rsidR="009C481F" w:rsidRPr="00D94E5D">
        <w:rPr>
          <w:rFonts w:ascii="Verdana" w:hAnsi="Verdana" w:cstheme="minorHAnsi"/>
        </w:rPr>
        <w:t>.”</w:t>
      </w:r>
      <w:r w:rsidR="009C481F" w:rsidRPr="00D94E5D">
        <w:rPr>
          <w:rStyle w:val="FootnoteReference"/>
          <w:rFonts w:ascii="Verdana" w:hAnsi="Verdana" w:cstheme="minorHAnsi"/>
        </w:rPr>
        <w:footnoteReference w:id="24"/>
      </w:r>
      <w:r w:rsidR="009C481F" w:rsidRPr="00D94E5D">
        <w:rPr>
          <w:rFonts w:ascii="Verdana" w:hAnsi="Verdana" w:cstheme="minorHAnsi"/>
        </w:rPr>
        <w:t xml:space="preserve"> </w:t>
      </w:r>
    </w:p>
    <w:p w14:paraId="5292CDA8" w14:textId="77777777" w:rsidR="0081252E" w:rsidRPr="0081252E" w:rsidRDefault="0081252E" w:rsidP="003E27CC">
      <w:pPr>
        <w:pStyle w:val="ListParagraph"/>
        <w:spacing w:line="276" w:lineRule="auto"/>
        <w:ind w:left="851"/>
        <w:rPr>
          <w:rFonts w:ascii="Verdana" w:hAnsi="Verdana" w:cstheme="minorHAnsi"/>
        </w:rPr>
      </w:pPr>
    </w:p>
    <w:p w14:paraId="3E8E2337" w14:textId="30EB3464" w:rsidR="009C481F" w:rsidRDefault="009C481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lastRenderedPageBreak/>
        <w:t xml:space="preserve">Having heard </w:t>
      </w:r>
      <w:r w:rsidR="00A74CC7" w:rsidRPr="00D94E5D">
        <w:rPr>
          <w:rFonts w:ascii="Verdana" w:hAnsi="Verdana" w:cstheme="minorHAnsi"/>
        </w:rPr>
        <w:t>all</w:t>
      </w:r>
      <w:r w:rsidRPr="00D94E5D">
        <w:rPr>
          <w:rFonts w:ascii="Verdana" w:hAnsi="Verdana" w:cstheme="minorHAnsi"/>
        </w:rPr>
        <w:t xml:space="preserve"> the </w:t>
      </w:r>
      <w:r w:rsidR="00F850F7" w:rsidRPr="00D94E5D">
        <w:rPr>
          <w:rFonts w:ascii="Verdana" w:hAnsi="Verdana" w:cstheme="minorHAnsi"/>
        </w:rPr>
        <w:t>evidence and</w:t>
      </w:r>
      <w:r w:rsidRPr="00D94E5D">
        <w:rPr>
          <w:rFonts w:ascii="Verdana" w:hAnsi="Verdana" w:cstheme="minorHAnsi"/>
        </w:rPr>
        <w:t xml:space="preserve"> having had the opportunity to observe the tenderness with which the parents support each other in court, I am satisfied that to interpret Mr </w:t>
      </w:r>
      <w:r w:rsidR="003A2F8C">
        <w:rPr>
          <w:rFonts w:ascii="Verdana" w:hAnsi="Verdana" w:cstheme="minorHAnsi"/>
        </w:rPr>
        <w:t>West</w:t>
      </w:r>
      <w:r w:rsidRPr="00D94E5D">
        <w:rPr>
          <w:rFonts w:ascii="Verdana" w:hAnsi="Verdana" w:cstheme="minorHAnsi"/>
        </w:rPr>
        <w:t xml:space="preserve">’s performance of practical childcare tasks whilst Ms </w:t>
      </w:r>
      <w:r w:rsidR="003A2F8C">
        <w:rPr>
          <w:rFonts w:ascii="Verdana" w:hAnsi="Verdana" w:cstheme="minorHAnsi"/>
        </w:rPr>
        <w:t>Price</w:t>
      </w:r>
      <w:r w:rsidRPr="00D94E5D">
        <w:rPr>
          <w:rFonts w:ascii="Verdana" w:hAnsi="Verdana" w:cstheme="minorHAnsi"/>
        </w:rPr>
        <w:t xml:space="preserve"> was breastfeeding as ‘controlling behaviour</w:t>
      </w:r>
      <w:r w:rsidR="00A74CC7" w:rsidRPr="00D94E5D">
        <w:rPr>
          <w:rFonts w:ascii="Verdana" w:hAnsi="Verdana" w:cstheme="minorHAnsi"/>
        </w:rPr>
        <w:t>’</w:t>
      </w:r>
      <w:r w:rsidRPr="00D94E5D">
        <w:rPr>
          <w:rFonts w:ascii="Verdana" w:hAnsi="Verdana" w:cstheme="minorHAnsi"/>
        </w:rPr>
        <w:t xml:space="preserve"> </w:t>
      </w:r>
      <w:r w:rsidR="00631973">
        <w:rPr>
          <w:rFonts w:ascii="Verdana" w:hAnsi="Verdana" w:cstheme="minorHAnsi"/>
        </w:rPr>
        <w:t>being</w:t>
      </w:r>
      <w:r w:rsidRPr="00D94E5D">
        <w:rPr>
          <w:rFonts w:ascii="Verdana" w:hAnsi="Verdana" w:cstheme="minorHAnsi"/>
        </w:rPr>
        <w:t xml:space="preserve"> an indicator of family violence</w:t>
      </w:r>
      <w:r w:rsidR="00631973">
        <w:rPr>
          <w:rFonts w:ascii="Verdana" w:hAnsi="Verdana" w:cstheme="minorHAnsi"/>
        </w:rPr>
        <w:t xml:space="preserve"> in their relationship</w:t>
      </w:r>
      <w:r w:rsidRPr="00D94E5D">
        <w:rPr>
          <w:rFonts w:ascii="Verdana" w:hAnsi="Verdana" w:cstheme="minorHAnsi"/>
        </w:rPr>
        <w:t xml:space="preserve"> </w:t>
      </w:r>
      <w:r w:rsidR="00633313" w:rsidRPr="00D94E5D">
        <w:rPr>
          <w:rFonts w:ascii="Verdana" w:hAnsi="Verdana" w:cstheme="minorHAnsi"/>
        </w:rPr>
        <w:t>is</w:t>
      </w:r>
      <w:r w:rsidRPr="00D94E5D">
        <w:rPr>
          <w:rFonts w:ascii="Verdana" w:hAnsi="Verdana" w:cstheme="minorHAnsi"/>
        </w:rPr>
        <w:t xml:space="preserve"> grossly unfair. </w:t>
      </w:r>
    </w:p>
    <w:p w14:paraId="0556BBC8" w14:textId="77777777" w:rsidR="0081252E" w:rsidRPr="0081252E" w:rsidRDefault="0081252E" w:rsidP="003E27CC">
      <w:pPr>
        <w:pStyle w:val="ListParagraph"/>
        <w:spacing w:line="276" w:lineRule="auto"/>
        <w:ind w:left="851"/>
        <w:rPr>
          <w:rFonts w:ascii="Verdana" w:hAnsi="Verdana" w:cstheme="minorHAnsi"/>
        </w:rPr>
      </w:pPr>
    </w:p>
    <w:p w14:paraId="3D9C00DE" w14:textId="1D26CD72" w:rsidR="009C481F" w:rsidRDefault="009C481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A father should be expected to perform practical childcare tasks as a part of being a parent. Performing them diligently whilst the mother is breastfeeding shows </w:t>
      </w:r>
      <w:r w:rsidR="00A74CC7" w:rsidRPr="00D94E5D">
        <w:rPr>
          <w:rFonts w:ascii="Verdana" w:hAnsi="Verdana" w:cstheme="minorHAnsi"/>
        </w:rPr>
        <w:t>he has</w:t>
      </w:r>
      <w:r w:rsidRPr="00D94E5D">
        <w:rPr>
          <w:rFonts w:ascii="Verdana" w:hAnsi="Verdana" w:cstheme="minorHAnsi"/>
        </w:rPr>
        <w:t xml:space="preserve"> equal regard for their roles in caring for the children and is the antithesis of controlling behaviour. </w:t>
      </w:r>
    </w:p>
    <w:p w14:paraId="5F3DF9F1" w14:textId="77777777" w:rsidR="0081252E" w:rsidRPr="0081252E" w:rsidRDefault="0081252E" w:rsidP="003E27CC">
      <w:pPr>
        <w:pStyle w:val="ListParagraph"/>
        <w:spacing w:line="276" w:lineRule="auto"/>
        <w:ind w:left="851"/>
        <w:rPr>
          <w:rFonts w:ascii="Verdana" w:hAnsi="Verdana" w:cstheme="minorHAnsi"/>
        </w:rPr>
      </w:pPr>
    </w:p>
    <w:p w14:paraId="33A50383" w14:textId="5AC31A8E" w:rsidR="0096502B" w:rsidRDefault="009C481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In addition, it seems to have been overlooked</w:t>
      </w:r>
      <w:r w:rsidR="00A562F6" w:rsidRPr="00D94E5D">
        <w:rPr>
          <w:rFonts w:ascii="Verdana" w:hAnsi="Verdana" w:cstheme="minorHAnsi"/>
        </w:rPr>
        <w:t>,</w:t>
      </w:r>
      <w:r w:rsidRPr="00D94E5D">
        <w:rPr>
          <w:rFonts w:ascii="Verdana" w:hAnsi="Verdana" w:cstheme="minorHAnsi"/>
        </w:rPr>
        <w:t xml:space="preserve"> </w:t>
      </w:r>
      <w:r w:rsidR="00A74CC7" w:rsidRPr="00D94E5D">
        <w:rPr>
          <w:rFonts w:ascii="Verdana" w:hAnsi="Verdana" w:cstheme="minorHAnsi"/>
        </w:rPr>
        <w:t>whether</w:t>
      </w:r>
      <w:r w:rsidRPr="00D94E5D">
        <w:rPr>
          <w:rFonts w:ascii="Verdana" w:hAnsi="Verdana" w:cstheme="minorHAnsi"/>
        </w:rPr>
        <w:t xml:space="preserve"> by Ms </w:t>
      </w:r>
      <w:r w:rsidR="00DB1A55">
        <w:rPr>
          <w:rFonts w:ascii="Verdana" w:hAnsi="Verdana" w:cstheme="minorHAnsi"/>
        </w:rPr>
        <w:t>TH</w:t>
      </w:r>
      <w:r w:rsidRPr="00D94E5D">
        <w:rPr>
          <w:rFonts w:ascii="Verdana" w:hAnsi="Verdana" w:cstheme="minorHAnsi"/>
        </w:rPr>
        <w:t xml:space="preserve"> or the </w:t>
      </w:r>
      <w:proofErr w:type="gramStart"/>
      <w:r w:rsidRPr="00D94E5D">
        <w:rPr>
          <w:rFonts w:ascii="Verdana" w:hAnsi="Verdana" w:cstheme="minorHAnsi"/>
        </w:rPr>
        <w:t>Breast Feeding</w:t>
      </w:r>
      <w:proofErr w:type="gramEnd"/>
      <w:r w:rsidRPr="00D94E5D">
        <w:rPr>
          <w:rFonts w:ascii="Verdana" w:hAnsi="Verdana" w:cstheme="minorHAnsi"/>
        </w:rPr>
        <w:t xml:space="preserve"> Service, that Ms </w:t>
      </w:r>
      <w:r w:rsidR="003A2F8C">
        <w:rPr>
          <w:rFonts w:ascii="Verdana" w:hAnsi="Verdana" w:cstheme="minorHAnsi"/>
        </w:rPr>
        <w:t>Price</w:t>
      </w:r>
      <w:r w:rsidRPr="00D94E5D">
        <w:rPr>
          <w:rFonts w:ascii="Verdana" w:hAnsi="Verdana" w:cstheme="minorHAnsi"/>
        </w:rPr>
        <w:t xml:space="preserve"> was recovering </w:t>
      </w:r>
      <w:r w:rsidR="00A562F6" w:rsidRPr="00D94E5D">
        <w:rPr>
          <w:rFonts w:ascii="Verdana" w:hAnsi="Verdana" w:cstheme="minorHAnsi"/>
        </w:rPr>
        <w:t>from</w:t>
      </w:r>
      <w:r w:rsidRPr="00D94E5D">
        <w:rPr>
          <w:rFonts w:ascii="Verdana" w:hAnsi="Verdana" w:cstheme="minorHAnsi"/>
        </w:rPr>
        <w:t xml:space="preserve"> a caesarean birth and the sutures had become infected</w:t>
      </w:r>
      <w:r w:rsidR="00A74CC7" w:rsidRPr="00D94E5D">
        <w:rPr>
          <w:rFonts w:ascii="Verdana" w:hAnsi="Verdana" w:cstheme="minorHAnsi"/>
        </w:rPr>
        <w:t>, necessitating that the father take on a more hands</w:t>
      </w:r>
      <w:r w:rsidR="00A562F6" w:rsidRPr="00D94E5D">
        <w:rPr>
          <w:rFonts w:ascii="Verdana" w:hAnsi="Verdana" w:cstheme="minorHAnsi"/>
        </w:rPr>
        <w:t>-</w:t>
      </w:r>
      <w:r w:rsidR="00A74CC7" w:rsidRPr="00D94E5D">
        <w:rPr>
          <w:rFonts w:ascii="Verdana" w:hAnsi="Verdana" w:cstheme="minorHAnsi"/>
        </w:rPr>
        <w:t>on role to support the mother’s recovery</w:t>
      </w:r>
      <w:r w:rsidR="00F56215" w:rsidRPr="00D94E5D">
        <w:rPr>
          <w:rFonts w:ascii="Verdana" w:hAnsi="Verdana" w:cstheme="minorHAnsi"/>
        </w:rPr>
        <w:t>. No less is to be expected in an equal and respectful relationship.</w:t>
      </w:r>
    </w:p>
    <w:p w14:paraId="70DC1ED9" w14:textId="77777777" w:rsidR="0081252E" w:rsidRPr="0081252E" w:rsidRDefault="0081252E" w:rsidP="003E27CC">
      <w:pPr>
        <w:pStyle w:val="ListParagraph"/>
        <w:spacing w:line="276" w:lineRule="auto"/>
        <w:ind w:left="851"/>
        <w:rPr>
          <w:rFonts w:ascii="Verdana" w:hAnsi="Verdana" w:cstheme="minorHAnsi"/>
        </w:rPr>
      </w:pPr>
    </w:p>
    <w:p w14:paraId="1B6ED81F" w14:textId="20B4976D" w:rsidR="00671523" w:rsidRDefault="009C481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There is no evidence of family violence concerns in the parents</w:t>
      </w:r>
      <w:r w:rsidR="00A562F6" w:rsidRPr="00D94E5D">
        <w:rPr>
          <w:rFonts w:ascii="Verdana" w:hAnsi="Verdana" w:cstheme="minorHAnsi"/>
        </w:rPr>
        <w:t>’</w:t>
      </w:r>
      <w:r w:rsidRPr="00D94E5D">
        <w:rPr>
          <w:rFonts w:ascii="Verdana" w:hAnsi="Verdana" w:cstheme="minorHAnsi"/>
        </w:rPr>
        <w:t xml:space="preserve"> relationship</w:t>
      </w:r>
      <w:r w:rsidR="00430D4F" w:rsidRPr="00D94E5D">
        <w:rPr>
          <w:rFonts w:ascii="Verdana" w:hAnsi="Verdana" w:cstheme="minorHAnsi"/>
        </w:rPr>
        <w:t>, and no circumstantial matters from which any concerns could justly be inferred, rather there is evidence of strong mutual support and cooperative parenting.</w:t>
      </w:r>
    </w:p>
    <w:p w14:paraId="70C40137" w14:textId="77777777" w:rsidR="0081252E" w:rsidRPr="0081252E" w:rsidRDefault="0081252E" w:rsidP="003E27CC">
      <w:pPr>
        <w:pStyle w:val="ListParagraph"/>
        <w:spacing w:line="276" w:lineRule="auto"/>
        <w:ind w:left="851"/>
        <w:rPr>
          <w:rFonts w:ascii="Verdana" w:hAnsi="Verdana" w:cstheme="minorHAnsi"/>
        </w:rPr>
      </w:pPr>
    </w:p>
    <w:p w14:paraId="0665E9EB" w14:textId="3A3514FF" w:rsidR="00671523" w:rsidRPr="0081252E" w:rsidRDefault="00671523"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rPr>
        <w:t>The original position of the DFFH</w:t>
      </w:r>
      <w:r w:rsidR="003E27CC">
        <w:rPr>
          <w:rFonts w:ascii="Verdana" w:hAnsi="Verdana"/>
        </w:rPr>
        <w:t>,</w:t>
      </w:r>
      <w:r w:rsidRPr="00D94E5D">
        <w:rPr>
          <w:rFonts w:ascii="Verdana" w:hAnsi="Verdana"/>
        </w:rPr>
        <w:t xml:space="preserve"> in seeking a care by </w:t>
      </w:r>
      <w:r w:rsidR="00A562F6" w:rsidRPr="00D94E5D">
        <w:rPr>
          <w:rFonts w:ascii="Verdana" w:hAnsi="Verdana"/>
        </w:rPr>
        <w:t>S</w:t>
      </w:r>
      <w:r w:rsidRPr="00D94E5D">
        <w:rPr>
          <w:rFonts w:ascii="Verdana" w:hAnsi="Verdana"/>
        </w:rPr>
        <w:t xml:space="preserve">ecretary order and endorsement thereby of their permanent non-reunification case plan, was based on the assertion that they could not safety plan for the children to be cared for by their parents if their parents did not provide a plausible explanation for the rib fractures. Ms </w:t>
      </w:r>
      <w:r w:rsidR="00DB1A55">
        <w:rPr>
          <w:rFonts w:ascii="Verdana" w:hAnsi="Verdana"/>
        </w:rPr>
        <w:t>TH</w:t>
      </w:r>
      <w:r w:rsidRPr="00D94E5D">
        <w:rPr>
          <w:rFonts w:ascii="Verdana" w:hAnsi="Verdana"/>
        </w:rPr>
        <w:t xml:space="preserve"> agreed in her evidence that these were the injuries of concern that led to the non-reunification case plan.</w:t>
      </w:r>
    </w:p>
    <w:p w14:paraId="5F0D49DF" w14:textId="77777777" w:rsidR="0081252E" w:rsidRPr="0081252E" w:rsidRDefault="0081252E" w:rsidP="003E27CC">
      <w:pPr>
        <w:pStyle w:val="ListParagraph"/>
        <w:spacing w:line="276" w:lineRule="auto"/>
        <w:ind w:left="851"/>
        <w:rPr>
          <w:rFonts w:ascii="Verdana" w:hAnsi="Verdana" w:cstheme="minorHAnsi"/>
        </w:rPr>
      </w:pPr>
    </w:p>
    <w:p w14:paraId="0F60B5D9" w14:textId="034163C4" w:rsidR="009C481F" w:rsidRDefault="00430D4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DFFH have not produced any evidence that demonstrates any social, </w:t>
      </w:r>
      <w:proofErr w:type="gramStart"/>
      <w:r w:rsidRPr="00D94E5D">
        <w:rPr>
          <w:rFonts w:ascii="Verdana" w:hAnsi="Verdana" w:cstheme="minorHAnsi"/>
        </w:rPr>
        <w:t>emotional</w:t>
      </w:r>
      <w:proofErr w:type="gramEnd"/>
      <w:r w:rsidRPr="00D94E5D">
        <w:rPr>
          <w:rFonts w:ascii="Verdana" w:hAnsi="Verdana" w:cstheme="minorHAnsi"/>
        </w:rPr>
        <w:t xml:space="preserve"> or psychiatric considerations that would be relevant to assessing the probability that the parents separately or together knowingly inflicted harm on </w:t>
      </w:r>
      <w:r w:rsidR="003A2F8C">
        <w:rPr>
          <w:rFonts w:ascii="Verdana" w:hAnsi="Verdana" w:cstheme="minorHAnsi"/>
        </w:rPr>
        <w:t>Maria</w:t>
      </w:r>
      <w:r w:rsidRPr="00D94E5D">
        <w:rPr>
          <w:rFonts w:ascii="Verdana" w:hAnsi="Verdana" w:cstheme="minorHAnsi"/>
        </w:rPr>
        <w:t xml:space="preserve"> and </w:t>
      </w:r>
      <w:r w:rsidR="003A2F8C">
        <w:rPr>
          <w:rFonts w:ascii="Verdana" w:hAnsi="Verdana" w:cstheme="minorHAnsi"/>
        </w:rPr>
        <w:t>Gregory</w:t>
      </w:r>
      <w:r w:rsidR="00F56215" w:rsidRPr="00D94E5D">
        <w:rPr>
          <w:rFonts w:ascii="Verdana" w:hAnsi="Verdana" w:cstheme="minorHAnsi"/>
        </w:rPr>
        <w:t xml:space="preserve"> or</w:t>
      </w:r>
      <w:r w:rsidRPr="00D94E5D">
        <w:rPr>
          <w:rFonts w:ascii="Verdana" w:hAnsi="Verdana" w:cstheme="minorHAnsi"/>
        </w:rPr>
        <w:t xml:space="preserve"> failed to protect the children from deliberate harm inflicted by the other parent</w:t>
      </w:r>
      <w:r w:rsidR="00DD6EF8">
        <w:rPr>
          <w:rFonts w:ascii="Verdana" w:hAnsi="Verdana" w:cstheme="minorHAnsi"/>
        </w:rPr>
        <w:t>, or any other person</w:t>
      </w:r>
      <w:r w:rsidRPr="00D94E5D">
        <w:rPr>
          <w:rFonts w:ascii="Verdana" w:hAnsi="Verdana" w:cstheme="minorHAnsi"/>
        </w:rPr>
        <w:t>.</w:t>
      </w:r>
    </w:p>
    <w:p w14:paraId="4B0AAFDF" w14:textId="3A5D5F94" w:rsidR="0081252E" w:rsidRDefault="0081252E" w:rsidP="003E27CC">
      <w:pPr>
        <w:pStyle w:val="ListParagraph"/>
        <w:spacing w:line="276" w:lineRule="auto"/>
        <w:ind w:left="851"/>
        <w:rPr>
          <w:rFonts w:ascii="Verdana" w:hAnsi="Verdana" w:cstheme="minorHAnsi"/>
        </w:rPr>
      </w:pPr>
    </w:p>
    <w:p w14:paraId="2B2896AB" w14:textId="77777777" w:rsidR="003E27CC" w:rsidRPr="0081252E" w:rsidRDefault="003E27CC" w:rsidP="003E27CC">
      <w:pPr>
        <w:pStyle w:val="ListParagraph"/>
        <w:spacing w:line="276" w:lineRule="auto"/>
        <w:ind w:left="851"/>
        <w:rPr>
          <w:rFonts w:ascii="Verdana" w:hAnsi="Verdana" w:cstheme="minorHAnsi"/>
        </w:rPr>
      </w:pPr>
    </w:p>
    <w:p w14:paraId="43599153" w14:textId="74C3E307" w:rsidR="00430D4F" w:rsidRDefault="00430D4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evidence of the timeframe of the </w:t>
      </w:r>
      <w:proofErr w:type="gramStart"/>
      <w:r w:rsidRPr="00D94E5D">
        <w:rPr>
          <w:rFonts w:ascii="Verdana" w:hAnsi="Verdana" w:cstheme="minorHAnsi"/>
        </w:rPr>
        <w:t>fractures</w:t>
      </w:r>
      <w:proofErr w:type="gramEnd"/>
      <w:r w:rsidRPr="00D94E5D">
        <w:rPr>
          <w:rFonts w:ascii="Verdana" w:hAnsi="Verdana" w:cstheme="minorHAnsi"/>
        </w:rPr>
        <w:t xml:space="preserve"> centres around the 10-16 March 2022, when the children were inpatients of the Royal Children’s Hospital.</w:t>
      </w:r>
    </w:p>
    <w:p w14:paraId="2B39ED1F" w14:textId="77777777" w:rsidR="0081252E" w:rsidRPr="0081252E" w:rsidRDefault="0081252E" w:rsidP="003E27CC">
      <w:pPr>
        <w:pStyle w:val="ListParagraph"/>
        <w:spacing w:line="276" w:lineRule="auto"/>
        <w:ind w:left="851"/>
        <w:rPr>
          <w:rFonts w:ascii="Verdana" w:hAnsi="Verdana" w:cstheme="minorHAnsi"/>
        </w:rPr>
      </w:pPr>
    </w:p>
    <w:p w14:paraId="5B16BFDB" w14:textId="1FD17D39" w:rsidR="00430D4F" w:rsidRDefault="00430D4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DFFH did not produce any evidence that the parents </w:t>
      </w:r>
      <w:r w:rsidR="00633313" w:rsidRPr="00D94E5D">
        <w:rPr>
          <w:rFonts w:ascii="Verdana" w:hAnsi="Verdana" w:cstheme="minorHAnsi"/>
        </w:rPr>
        <w:t>were</w:t>
      </w:r>
      <w:r w:rsidRPr="00D94E5D">
        <w:rPr>
          <w:rFonts w:ascii="Verdana" w:hAnsi="Verdana" w:cstheme="minorHAnsi"/>
        </w:rPr>
        <w:t xml:space="preserve"> seen to be improperly handling the children during their admissions – which was done under the suspected child abuse </w:t>
      </w:r>
      <w:r w:rsidR="00671523" w:rsidRPr="00D94E5D">
        <w:rPr>
          <w:rFonts w:ascii="Verdana" w:hAnsi="Verdana" w:cstheme="minorHAnsi"/>
        </w:rPr>
        <w:t>protocols involving</w:t>
      </w:r>
      <w:r w:rsidRPr="00D94E5D">
        <w:rPr>
          <w:rFonts w:ascii="Verdana" w:hAnsi="Verdana" w:cstheme="minorHAnsi"/>
        </w:rPr>
        <w:t xml:space="preserve"> close observations of the parents by staff.</w:t>
      </w:r>
    </w:p>
    <w:p w14:paraId="03A086C6" w14:textId="77777777" w:rsidR="0081252E" w:rsidRPr="0081252E" w:rsidRDefault="0081252E" w:rsidP="003E27CC">
      <w:pPr>
        <w:pStyle w:val="ListParagraph"/>
        <w:spacing w:line="276" w:lineRule="auto"/>
        <w:ind w:left="851"/>
        <w:rPr>
          <w:rFonts w:ascii="Verdana" w:hAnsi="Verdana" w:cstheme="minorHAnsi"/>
        </w:rPr>
      </w:pPr>
    </w:p>
    <w:p w14:paraId="10476162" w14:textId="2CE0B2E6" w:rsidR="00671523" w:rsidRDefault="00671523" w:rsidP="002B5C77">
      <w:pPr>
        <w:pStyle w:val="ListParagraph"/>
        <w:numPr>
          <w:ilvl w:val="0"/>
          <w:numId w:val="1"/>
        </w:numPr>
        <w:spacing w:after="240" w:line="276" w:lineRule="auto"/>
        <w:ind w:left="851" w:hanging="851"/>
        <w:rPr>
          <w:rFonts w:ascii="Verdana" w:hAnsi="Verdana" w:cstheme="minorHAnsi"/>
        </w:rPr>
      </w:pPr>
      <w:r w:rsidRPr="00D94E5D">
        <w:rPr>
          <w:rFonts w:ascii="Verdana" w:hAnsi="Verdana" w:cstheme="minorHAnsi"/>
        </w:rPr>
        <w:lastRenderedPageBreak/>
        <w:t xml:space="preserve">The objective medical opinion of </w:t>
      </w:r>
      <w:r w:rsidR="00DD6EF8">
        <w:rPr>
          <w:rFonts w:ascii="Verdana" w:hAnsi="Verdana" w:cstheme="minorHAnsi"/>
        </w:rPr>
        <w:t>two</w:t>
      </w:r>
      <w:r w:rsidRPr="00D94E5D">
        <w:rPr>
          <w:rFonts w:ascii="Verdana" w:hAnsi="Verdana" w:cstheme="minorHAnsi"/>
        </w:rPr>
        <w:t xml:space="preserve"> Paediatric Endocrinologists is that the twins showed signs of bone</w:t>
      </w:r>
      <w:r w:rsidR="00A61382" w:rsidRPr="00D94E5D">
        <w:rPr>
          <w:rFonts w:ascii="Verdana" w:hAnsi="Verdana" w:cstheme="minorHAnsi"/>
        </w:rPr>
        <w:t xml:space="preserve"> </w:t>
      </w:r>
      <w:r w:rsidRPr="00D94E5D">
        <w:rPr>
          <w:rFonts w:ascii="Verdana" w:hAnsi="Verdana" w:cstheme="minorHAnsi"/>
        </w:rPr>
        <w:t xml:space="preserve">fragility. </w:t>
      </w:r>
    </w:p>
    <w:p w14:paraId="6B5F6EF2" w14:textId="77777777" w:rsidR="003853A5" w:rsidRPr="003853A5" w:rsidRDefault="003853A5" w:rsidP="003E27CC">
      <w:pPr>
        <w:pStyle w:val="ListParagraph"/>
        <w:spacing w:line="276" w:lineRule="auto"/>
        <w:ind w:left="851"/>
        <w:rPr>
          <w:rFonts w:ascii="Verdana" w:hAnsi="Verdana" w:cstheme="minorHAnsi"/>
        </w:rPr>
      </w:pPr>
    </w:p>
    <w:p w14:paraId="2A5A9B9B" w14:textId="3D368486" w:rsidR="00430D4F" w:rsidRDefault="00430D4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DFFH have failed to consider the many other people who handled</w:t>
      </w:r>
      <w:r w:rsidR="00671523" w:rsidRPr="00D94E5D">
        <w:rPr>
          <w:rFonts w:ascii="Verdana" w:hAnsi="Verdana" w:cstheme="minorHAnsi"/>
        </w:rPr>
        <w:t xml:space="preserve"> the children between 10 March 2022 and 16 March 2022 who could have accidentally inflicted the rib fracture to each child, and the evidence has not excluded </w:t>
      </w:r>
      <w:r w:rsidR="00633313" w:rsidRPr="00D94E5D">
        <w:rPr>
          <w:rFonts w:ascii="Verdana" w:hAnsi="Verdana" w:cstheme="minorHAnsi"/>
        </w:rPr>
        <w:t xml:space="preserve">or diminished </w:t>
      </w:r>
      <w:r w:rsidR="00671523" w:rsidRPr="00D94E5D">
        <w:rPr>
          <w:rFonts w:ascii="Verdana" w:hAnsi="Verdana" w:cstheme="minorHAnsi"/>
        </w:rPr>
        <w:t>this possibility.</w:t>
      </w:r>
    </w:p>
    <w:p w14:paraId="31CCFA33" w14:textId="77777777" w:rsidR="0081252E" w:rsidRDefault="0081252E" w:rsidP="002B5C77">
      <w:pPr>
        <w:pStyle w:val="ListParagraph"/>
        <w:spacing w:after="240" w:line="276" w:lineRule="auto"/>
        <w:ind w:left="851"/>
        <w:rPr>
          <w:rFonts w:ascii="Verdana" w:hAnsi="Verdana" w:cstheme="minorHAnsi"/>
        </w:rPr>
      </w:pPr>
    </w:p>
    <w:p w14:paraId="639CF28A" w14:textId="73EBCA28" w:rsidR="00671523" w:rsidRDefault="00671523"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parents were not present for the medical imaging of the children. Multiple imaging modalities were undertaken. Dr </w:t>
      </w:r>
      <w:r w:rsidR="003A2F8C">
        <w:rPr>
          <w:rFonts w:ascii="Verdana" w:hAnsi="Verdana" w:cstheme="minorHAnsi"/>
        </w:rPr>
        <w:t>HM</w:t>
      </w:r>
      <w:r w:rsidRPr="00D94E5D">
        <w:rPr>
          <w:rFonts w:ascii="Verdana" w:hAnsi="Verdana" w:cstheme="minorHAnsi"/>
        </w:rPr>
        <w:t xml:space="preserve"> was unable to describe how the children would have been handled for each of these to be performed – indeed she never seemed to have considered that the parents might be unable to explain how the fractures occurred because they were not present and truly did not know. The DFFH have also failed to turn their minds to this possibility.</w:t>
      </w:r>
    </w:p>
    <w:p w14:paraId="672FC809" w14:textId="77777777" w:rsidR="0081252E" w:rsidRPr="0081252E" w:rsidRDefault="0081252E" w:rsidP="003E27CC">
      <w:pPr>
        <w:pStyle w:val="ListParagraph"/>
        <w:spacing w:line="276" w:lineRule="auto"/>
        <w:ind w:left="851"/>
        <w:rPr>
          <w:rFonts w:ascii="Verdana" w:hAnsi="Verdana" w:cstheme="minorHAnsi"/>
        </w:rPr>
      </w:pPr>
    </w:p>
    <w:p w14:paraId="533E46EF" w14:textId="3CA83726" w:rsidR="00973642" w:rsidRPr="00973642" w:rsidRDefault="00671523" w:rsidP="0097364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Until the x rays were performed, no-one knew the children had signs of bone fragility.</w:t>
      </w:r>
      <w:r w:rsidR="00615832" w:rsidRPr="00D94E5D">
        <w:rPr>
          <w:rFonts w:ascii="Verdana" w:hAnsi="Verdana" w:cstheme="minorHAnsi"/>
        </w:rPr>
        <w:t xml:space="preserve"> </w:t>
      </w:r>
      <w:r w:rsidRPr="00D94E5D">
        <w:rPr>
          <w:rFonts w:ascii="Verdana" w:hAnsi="Verdana" w:cstheme="minorHAnsi"/>
        </w:rPr>
        <w:t>The evidence of the Professors of Endocrinology is clear</w:t>
      </w:r>
      <w:r w:rsidR="00615832" w:rsidRPr="00D94E5D">
        <w:rPr>
          <w:rFonts w:ascii="Verdana" w:hAnsi="Verdana" w:cstheme="minorHAnsi"/>
        </w:rPr>
        <w:t>:</w:t>
      </w:r>
      <w:r w:rsidRPr="00D94E5D">
        <w:rPr>
          <w:rFonts w:ascii="Verdana" w:hAnsi="Verdana" w:cstheme="minorHAnsi"/>
        </w:rPr>
        <w:t xml:space="preserve"> bone fragility reduces the force necessary to produce a fracture. Dr </w:t>
      </w:r>
      <w:r w:rsidR="003A2F8C">
        <w:rPr>
          <w:rFonts w:ascii="Verdana" w:hAnsi="Verdana" w:cstheme="minorHAnsi"/>
        </w:rPr>
        <w:t>MC</w:t>
      </w:r>
      <w:r w:rsidRPr="00D94E5D">
        <w:rPr>
          <w:rFonts w:ascii="Verdana" w:hAnsi="Verdana" w:cstheme="minorHAnsi"/>
        </w:rPr>
        <w:t xml:space="preserve"> considered it was possible these fractures were accidental.</w:t>
      </w:r>
      <w:r w:rsidR="003E27CC">
        <w:rPr>
          <w:rFonts w:ascii="Verdana" w:hAnsi="Verdana" w:cstheme="minorHAnsi"/>
        </w:rPr>
        <w:t xml:space="preserve"> </w:t>
      </w:r>
      <w:r w:rsidR="00D677BF">
        <w:rPr>
          <w:rFonts w:ascii="Verdana" w:hAnsi="Verdana" w:cstheme="minorHAnsi"/>
        </w:rPr>
        <w:t>I agree with this opinion.</w:t>
      </w:r>
    </w:p>
    <w:p w14:paraId="06A9C383" w14:textId="1734204F" w:rsidR="00671523" w:rsidRPr="00D94E5D" w:rsidRDefault="003E27CC" w:rsidP="00973642">
      <w:pPr>
        <w:pStyle w:val="ListParagraph"/>
        <w:spacing w:after="240" w:line="276" w:lineRule="auto"/>
        <w:ind w:left="851"/>
        <w:jc w:val="both"/>
        <w:rPr>
          <w:rFonts w:ascii="Verdana" w:hAnsi="Verdana" w:cstheme="minorHAnsi"/>
        </w:rPr>
      </w:pPr>
      <w:r>
        <w:rPr>
          <w:rFonts w:ascii="Verdana" w:hAnsi="Verdana" w:cstheme="minorHAnsi"/>
        </w:rPr>
        <w:t xml:space="preserve"> </w:t>
      </w:r>
    </w:p>
    <w:p w14:paraId="42CE01CA" w14:textId="482A9208" w:rsidR="00A562F6" w:rsidRPr="000836A3" w:rsidRDefault="0089202A" w:rsidP="002B5C77">
      <w:pPr>
        <w:spacing w:after="240" w:line="276" w:lineRule="auto"/>
        <w:rPr>
          <w:rFonts w:ascii="Verdana" w:hAnsi="Verdana" w:cstheme="minorHAnsi"/>
          <w:b/>
          <w:bCs/>
        </w:rPr>
      </w:pPr>
      <w:r w:rsidRPr="000836A3">
        <w:rPr>
          <w:rFonts w:ascii="Verdana" w:hAnsi="Verdana" w:cstheme="minorHAnsi"/>
          <w:b/>
          <w:bCs/>
        </w:rPr>
        <w:t>HAS THE PROTECTION APPLICATION BEEN PROVEN?</w:t>
      </w:r>
    </w:p>
    <w:p w14:paraId="344875AB" w14:textId="4BB491D6" w:rsidR="009C481F" w:rsidRDefault="001158CF" w:rsidP="003E27CC">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To make a protection order, the Court first needs to find the grounds alleged proven</w:t>
      </w:r>
      <w:r w:rsidR="003E27CC">
        <w:rPr>
          <w:rFonts w:ascii="Verdana" w:hAnsi="Verdana" w:cstheme="minorHAnsi"/>
        </w:rPr>
        <w:t>.</w:t>
      </w:r>
      <w:r w:rsidR="00DD6EF8">
        <w:rPr>
          <w:rStyle w:val="FootnoteReference"/>
          <w:rFonts w:ascii="Verdana" w:hAnsi="Verdana" w:cstheme="minorHAnsi"/>
        </w:rPr>
        <w:footnoteReference w:id="25"/>
      </w:r>
    </w:p>
    <w:p w14:paraId="16669958" w14:textId="77777777" w:rsidR="0023033F" w:rsidRDefault="0023033F" w:rsidP="002B5C77">
      <w:pPr>
        <w:pStyle w:val="ListParagraph"/>
        <w:spacing w:after="240" w:line="276" w:lineRule="auto"/>
        <w:ind w:left="851"/>
        <w:rPr>
          <w:rFonts w:ascii="Verdana" w:hAnsi="Verdana" w:cstheme="minorHAnsi"/>
        </w:rPr>
      </w:pPr>
    </w:p>
    <w:p w14:paraId="46003F6E" w14:textId="7827669A" w:rsidR="0081252E" w:rsidRDefault="0023033F" w:rsidP="004C5195">
      <w:pPr>
        <w:pStyle w:val="ListParagraph"/>
        <w:numPr>
          <w:ilvl w:val="0"/>
          <w:numId w:val="1"/>
        </w:numPr>
        <w:spacing w:after="240" w:line="276" w:lineRule="auto"/>
        <w:ind w:left="851" w:hanging="851"/>
        <w:jc w:val="both"/>
        <w:rPr>
          <w:rFonts w:ascii="Verdana" w:hAnsi="Verdana" w:cstheme="minorHAnsi"/>
        </w:rPr>
      </w:pPr>
      <w:r w:rsidRPr="0023033F">
        <w:rPr>
          <w:rFonts w:ascii="Verdana" w:hAnsi="Verdana" w:cstheme="minorHAnsi"/>
        </w:rPr>
        <w:t xml:space="preserve">If the evidence supports a finding of proof, then the Court must apply the relevant s.10 </w:t>
      </w:r>
      <w:r w:rsidR="004C5195">
        <w:rPr>
          <w:rFonts w:ascii="Verdana" w:hAnsi="Verdana" w:cstheme="minorHAnsi"/>
        </w:rPr>
        <w:t>‘</w:t>
      </w:r>
      <w:r w:rsidRPr="0023033F">
        <w:rPr>
          <w:rFonts w:ascii="Verdana" w:hAnsi="Verdana" w:cstheme="minorHAnsi"/>
        </w:rPr>
        <w:t>best interest</w:t>
      </w:r>
      <w:r w:rsidR="004C5195">
        <w:rPr>
          <w:rFonts w:ascii="Verdana" w:hAnsi="Verdana" w:cstheme="minorHAnsi"/>
        </w:rPr>
        <w:t>s’</w:t>
      </w:r>
      <w:r w:rsidRPr="0023033F">
        <w:rPr>
          <w:rFonts w:ascii="Verdana" w:hAnsi="Verdana" w:cstheme="minorHAnsi"/>
        </w:rPr>
        <w:t xml:space="preserve"> principles of the Act in determining what order, if any</w:t>
      </w:r>
      <w:r w:rsidR="004C5195">
        <w:rPr>
          <w:rFonts w:ascii="Verdana" w:hAnsi="Verdana" w:cstheme="minorHAnsi"/>
        </w:rPr>
        <w:t>,</w:t>
      </w:r>
      <w:r w:rsidRPr="0023033F">
        <w:rPr>
          <w:rFonts w:ascii="Verdana" w:hAnsi="Verdana" w:cstheme="minorHAnsi"/>
        </w:rPr>
        <w:t xml:space="preserve"> is to be made. The s.10 principles </w:t>
      </w:r>
      <w:r>
        <w:rPr>
          <w:rFonts w:ascii="Verdana" w:hAnsi="Verdana" w:cstheme="minorHAnsi"/>
        </w:rPr>
        <w:t>play no part in determining where the balance of probabilities lies on the evidence before the Court.</w:t>
      </w:r>
      <w:r>
        <w:rPr>
          <w:rStyle w:val="FootnoteReference"/>
          <w:rFonts w:ascii="Verdana" w:hAnsi="Verdana" w:cstheme="minorHAnsi"/>
        </w:rPr>
        <w:footnoteReference w:id="26"/>
      </w:r>
    </w:p>
    <w:p w14:paraId="4D0A355F" w14:textId="77777777" w:rsidR="00631973" w:rsidRDefault="00631973" w:rsidP="002B5C77">
      <w:pPr>
        <w:pStyle w:val="ListParagraph"/>
        <w:spacing w:after="240" w:line="276" w:lineRule="auto"/>
        <w:ind w:left="851"/>
        <w:rPr>
          <w:rFonts w:ascii="Verdana" w:hAnsi="Verdana" w:cstheme="minorHAnsi"/>
        </w:rPr>
      </w:pPr>
    </w:p>
    <w:p w14:paraId="6B28C3BD" w14:textId="6ACE3CF8" w:rsidR="00547B4F" w:rsidRDefault="00547B4F" w:rsidP="00B147EE">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Whilst the Protection Applications were filed asserting grounds (c) and (e), in written submissions filed on behalf of the Secretary after the conclusion of evidence, the DFFH invited the Court to strike out ground (e)</w:t>
      </w:r>
      <w:r w:rsidR="00B147EE">
        <w:rPr>
          <w:rFonts w:ascii="Verdana" w:hAnsi="Verdana" w:cstheme="minorHAnsi"/>
        </w:rPr>
        <w:t>.</w:t>
      </w:r>
      <w:r w:rsidR="001C0027" w:rsidRPr="00D94E5D">
        <w:rPr>
          <w:rStyle w:val="FootnoteReference"/>
          <w:rFonts w:ascii="Verdana" w:hAnsi="Verdana" w:cstheme="minorHAnsi"/>
        </w:rPr>
        <w:footnoteReference w:id="27"/>
      </w:r>
    </w:p>
    <w:p w14:paraId="4EFCEBBE" w14:textId="77777777" w:rsidR="0081252E" w:rsidRPr="0081252E" w:rsidRDefault="0081252E" w:rsidP="00464F28">
      <w:pPr>
        <w:pStyle w:val="ListParagraph"/>
        <w:spacing w:line="276" w:lineRule="auto"/>
        <w:ind w:left="851"/>
        <w:rPr>
          <w:rFonts w:ascii="Verdana" w:hAnsi="Verdana" w:cstheme="minorHAnsi"/>
        </w:rPr>
      </w:pPr>
    </w:p>
    <w:p w14:paraId="001C9C85" w14:textId="7FF3D858" w:rsidR="00547B4F" w:rsidRDefault="00547B4F" w:rsidP="00B147EE">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There is no evidence before the Court that the children have been or are likely to be emotionally or psychologically harmed by their parents.</w:t>
      </w:r>
    </w:p>
    <w:p w14:paraId="7B3BF662" w14:textId="77777777" w:rsidR="0081252E" w:rsidRPr="0081252E" w:rsidRDefault="0081252E" w:rsidP="00464F28">
      <w:pPr>
        <w:pStyle w:val="ListParagraph"/>
        <w:spacing w:line="276" w:lineRule="auto"/>
        <w:ind w:left="851"/>
        <w:rPr>
          <w:rFonts w:ascii="Verdana" w:hAnsi="Verdana" w:cstheme="minorHAnsi"/>
        </w:rPr>
      </w:pPr>
    </w:p>
    <w:p w14:paraId="746D80E1" w14:textId="691D1B88" w:rsidR="00547B4F" w:rsidRDefault="00547B4F" w:rsidP="00B147EE">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There being no evidence, the correct approach after the closure of the DFFH case is to dismiss the protection application on ground (e).</w:t>
      </w:r>
      <w:r w:rsidR="00F56215" w:rsidRPr="00D94E5D">
        <w:rPr>
          <w:rFonts w:ascii="Verdana" w:hAnsi="Verdana" w:cstheme="minorHAnsi"/>
        </w:rPr>
        <w:t xml:space="preserve"> The protection application</w:t>
      </w:r>
      <w:r w:rsidR="00DB1A55">
        <w:rPr>
          <w:rFonts w:ascii="Verdana" w:hAnsi="Verdana" w:cstheme="minorHAnsi"/>
        </w:rPr>
        <w:t>s</w:t>
      </w:r>
      <w:r w:rsidR="00F56215" w:rsidRPr="00D94E5D">
        <w:rPr>
          <w:rFonts w:ascii="Verdana" w:hAnsi="Verdana" w:cstheme="minorHAnsi"/>
        </w:rPr>
        <w:t xml:space="preserve"> filed on 15 March 2022 for </w:t>
      </w:r>
      <w:r w:rsidR="003A2F8C">
        <w:rPr>
          <w:rFonts w:ascii="Verdana" w:hAnsi="Verdana" w:cstheme="minorHAnsi"/>
        </w:rPr>
        <w:t>Maria</w:t>
      </w:r>
      <w:r w:rsidR="00F56215" w:rsidRPr="00D94E5D">
        <w:rPr>
          <w:rFonts w:ascii="Verdana" w:hAnsi="Verdana" w:cstheme="minorHAnsi"/>
        </w:rPr>
        <w:t xml:space="preserve"> and </w:t>
      </w:r>
      <w:r w:rsidR="003A2F8C">
        <w:rPr>
          <w:rFonts w:ascii="Verdana" w:hAnsi="Verdana" w:cstheme="minorHAnsi"/>
        </w:rPr>
        <w:t>Gregory</w:t>
      </w:r>
      <w:r w:rsidR="00F56215" w:rsidRPr="00D94E5D">
        <w:rPr>
          <w:rFonts w:ascii="Verdana" w:hAnsi="Verdana" w:cstheme="minorHAnsi"/>
        </w:rPr>
        <w:t xml:space="preserve"> </w:t>
      </w:r>
      <w:r w:rsidR="003A2F8C">
        <w:rPr>
          <w:rFonts w:ascii="Verdana" w:hAnsi="Verdana" w:cstheme="minorHAnsi"/>
        </w:rPr>
        <w:t>West</w:t>
      </w:r>
      <w:r w:rsidR="00F56215" w:rsidRPr="00D94E5D">
        <w:rPr>
          <w:rFonts w:ascii="Verdana" w:hAnsi="Verdana" w:cstheme="minorHAnsi"/>
        </w:rPr>
        <w:t xml:space="preserve"> </w:t>
      </w:r>
      <w:r w:rsidR="00DB1A55">
        <w:rPr>
          <w:rFonts w:ascii="Verdana" w:hAnsi="Verdana" w:cstheme="minorHAnsi"/>
        </w:rPr>
        <w:t>are</w:t>
      </w:r>
      <w:r w:rsidR="00F56215" w:rsidRPr="00D94E5D">
        <w:rPr>
          <w:rFonts w:ascii="Verdana" w:hAnsi="Verdana" w:cstheme="minorHAnsi"/>
        </w:rPr>
        <w:t xml:space="preserve"> dismissed</w:t>
      </w:r>
      <w:r w:rsidR="00DD6EF8">
        <w:rPr>
          <w:rFonts w:ascii="Verdana" w:hAnsi="Verdana" w:cstheme="minorHAnsi"/>
        </w:rPr>
        <w:t xml:space="preserve"> on this ground</w:t>
      </w:r>
      <w:r w:rsidR="00F56215" w:rsidRPr="00D94E5D">
        <w:rPr>
          <w:rFonts w:ascii="Verdana" w:hAnsi="Verdana" w:cstheme="minorHAnsi"/>
        </w:rPr>
        <w:t>.</w:t>
      </w:r>
    </w:p>
    <w:p w14:paraId="2D5B875B" w14:textId="77777777" w:rsidR="0081252E" w:rsidRPr="0081252E" w:rsidRDefault="0081252E" w:rsidP="00464F28">
      <w:pPr>
        <w:pStyle w:val="ListParagraph"/>
        <w:spacing w:line="276" w:lineRule="auto"/>
        <w:ind w:left="851"/>
        <w:rPr>
          <w:rFonts w:ascii="Verdana" w:hAnsi="Verdana" w:cstheme="minorHAnsi"/>
        </w:rPr>
      </w:pPr>
    </w:p>
    <w:p w14:paraId="089ED8AF" w14:textId="04A3DD5C" w:rsidR="007F71E5" w:rsidRDefault="00547B4F" w:rsidP="00B147EE">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Secretary pursues proof of the protection application on ground (c) </w:t>
      </w:r>
      <w:r w:rsidR="007F71E5" w:rsidRPr="00D94E5D">
        <w:rPr>
          <w:rFonts w:ascii="Verdana" w:hAnsi="Verdana" w:cstheme="minorHAnsi"/>
        </w:rPr>
        <w:t>based on actual injury having occurred that the parents failed to protect the children from experiencing.</w:t>
      </w:r>
      <w:r w:rsidR="005D68CC" w:rsidRPr="00D94E5D">
        <w:rPr>
          <w:rFonts w:ascii="Verdana" w:hAnsi="Verdana" w:cstheme="minorHAnsi"/>
        </w:rPr>
        <w:t xml:space="preserve"> </w:t>
      </w:r>
      <w:r w:rsidR="00DB1A55">
        <w:rPr>
          <w:rFonts w:ascii="Verdana" w:hAnsi="Verdana" w:cstheme="minorHAnsi"/>
        </w:rPr>
        <w:t xml:space="preserve">Section </w:t>
      </w:r>
      <w:r w:rsidR="007F71E5" w:rsidRPr="00D94E5D">
        <w:rPr>
          <w:rFonts w:ascii="Verdana" w:hAnsi="Verdana" w:cstheme="minorHAnsi"/>
        </w:rPr>
        <w:t xml:space="preserve">162 (1)(c) sets the parameters for the finding that a child is in need of protection </w:t>
      </w:r>
      <w:proofErr w:type="gramStart"/>
      <w:r w:rsidR="007F71E5" w:rsidRPr="00D94E5D">
        <w:rPr>
          <w:rFonts w:ascii="Verdana" w:hAnsi="Verdana" w:cstheme="minorHAnsi"/>
        </w:rPr>
        <w:t>if  “</w:t>
      </w:r>
      <w:proofErr w:type="gramEnd"/>
      <w:r w:rsidR="007F71E5" w:rsidRPr="00D94E5D">
        <w:rPr>
          <w:rFonts w:ascii="Verdana" w:hAnsi="Verdana" w:cstheme="minorHAnsi"/>
        </w:rPr>
        <w:t xml:space="preserve">the child </w:t>
      </w:r>
      <w:r w:rsidR="007F71E5" w:rsidRPr="00D94E5D">
        <w:rPr>
          <w:rFonts w:ascii="Verdana" w:hAnsi="Verdana" w:cstheme="minorHAnsi"/>
          <w:i/>
          <w:iCs/>
        </w:rPr>
        <w:t>has</w:t>
      </w:r>
      <w:r w:rsidR="007F71E5" w:rsidRPr="00D94E5D">
        <w:rPr>
          <w:rFonts w:ascii="Verdana" w:hAnsi="Verdana" w:cstheme="minorHAnsi"/>
        </w:rPr>
        <w:t xml:space="preserve"> </w:t>
      </w:r>
      <w:r w:rsidR="009235F0" w:rsidRPr="00D94E5D">
        <w:rPr>
          <w:rFonts w:ascii="Verdana" w:hAnsi="Verdana" w:cstheme="minorHAnsi"/>
        </w:rPr>
        <w:t>suffered or</w:t>
      </w:r>
      <w:r w:rsidR="007F71E5" w:rsidRPr="00D94E5D">
        <w:rPr>
          <w:rFonts w:ascii="Verdana" w:hAnsi="Verdana" w:cstheme="minorHAnsi"/>
        </w:rPr>
        <w:t xml:space="preserve"> </w:t>
      </w:r>
      <w:r w:rsidR="007F71E5" w:rsidRPr="00B147EE">
        <w:rPr>
          <w:rFonts w:ascii="Verdana" w:hAnsi="Verdana" w:cstheme="minorHAnsi"/>
          <w:i/>
          <w:iCs/>
        </w:rPr>
        <w:t>is likely</w:t>
      </w:r>
      <w:r w:rsidR="007F71E5" w:rsidRPr="00D94E5D">
        <w:rPr>
          <w:rFonts w:ascii="Verdana" w:hAnsi="Verdana" w:cstheme="minorHAnsi"/>
        </w:rPr>
        <w:t xml:space="preserve"> to suffer significant harm as a result of physical injury and the child’s parents have not protected or are unlikely to protect the child from harm of that type</w:t>
      </w:r>
      <w:r w:rsidR="00633313" w:rsidRPr="00D94E5D">
        <w:rPr>
          <w:rFonts w:ascii="Verdana" w:hAnsi="Verdana" w:cstheme="minorHAnsi"/>
        </w:rPr>
        <w:t>”</w:t>
      </w:r>
      <w:r w:rsidR="007F71E5" w:rsidRPr="00D94E5D">
        <w:rPr>
          <w:rFonts w:ascii="Verdana" w:hAnsi="Verdana" w:cstheme="minorHAnsi"/>
        </w:rPr>
        <w:t>.</w:t>
      </w:r>
    </w:p>
    <w:p w14:paraId="5CFAFF1B" w14:textId="77777777" w:rsidR="003A48D6" w:rsidRPr="003A48D6" w:rsidRDefault="003A48D6" w:rsidP="00464F28">
      <w:pPr>
        <w:pStyle w:val="ListParagraph"/>
        <w:spacing w:line="276" w:lineRule="auto"/>
        <w:ind w:left="851"/>
        <w:rPr>
          <w:rFonts w:ascii="Verdana" w:hAnsi="Verdana" w:cstheme="minorHAnsi"/>
        </w:rPr>
      </w:pPr>
    </w:p>
    <w:p w14:paraId="073CA941" w14:textId="51552AE6" w:rsidR="009A6845" w:rsidRDefault="00633313" w:rsidP="00B147EE">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An injury</w:t>
      </w:r>
      <w:r w:rsidR="005D68CC" w:rsidRPr="00D94E5D">
        <w:rPr>
          <w:rFonts w:ascii="Verdana" w:hAnsi="Verdana" w:cstheme="minorHAnsi"/>
        </w:rPr>
        <w:t xml:space="preserve"> alone </w:t>
      </w:r>
      <w:r w:rsidRPr="00D94E5D">
        <w:rPr>
          <w:rFonts w:ascii="Verdana" w:hAnsi="Verdana" w:cstheme="minorHAnsi"/>
        </w:rPr>
        <w:t>is</w:t>
      </w:r>
      <w:r w:rsidR="005D68CC" w:rsidRPr="00D94E5D">
        <w:rPr>
          <w:rFonts w:ascii="Verdana" w:hAnsi="Verdana" w:cstheme="minorHAnsi"/>
        </w:rPr>
        <w:t xml:space="preserve"> </w:t>
      </w:r>
      <w:r w:rsidR="004E0889" w:rsidRPr="00D94E5D">
        <w:rPr>
          <w:rFonts w:ascii="Verdana" w:hAnsi="Verdana" w:cstheme="minorHAnsi"/>
        </w:rPr>
        <w:t xml:space="preserve">not </w:t>
      </w:r>
      <w:r w:rsidR="005D68CC" w:rsidRPr="00D94E5D">
        <w:rPr>
          <w:rFonts w:ascii="Verdana" w:hAnsi="Verdana" w:cstheme="minorHAnsi"/>
        </w:rPr>
        <w:t>sufficient for the Court to find the protection application proven under s.162</w:t>
      </w:r>
      <w:r w:rsidR="001C0027" w:rsidRPr="00D94E5D">
        <w:rPr>
          <w:rFonts w:ascii="Verdana" w:hAnsi="Verdana" w:cstheme="minorHAnsi"/>
        </w:rPr>
        <w:t>(1)</w:t>
      </w:r>
      <w:r w:rsidR="005D68CC" w:rsidRPr="00D94E5D">
        <w:rPr>
          <w:rFonts w:ascii="Verdana" w:hAnsi="Verdana" w:cstheme="minorHAnsi"/>
        </w:rPr>
        <w:t xml:space="preserve">(c). The legislation does not create a protective framework of strict liability. When the provisions of </w:t>
      </w:r>
      <w:r w:rsidR="001C0027" w:rsidRPr="00D94E5D">
        <w:rPr>
          <w:rFonts w:ascii="Verdana" w:hAnsi="Verdana" w:cstheme="minorHAnsi"/>
        </w:rPr>
        <w:t>P</w:t>
      </w:r>
      <w:r w:rsidR="005D68CC" w:rsidRPr="00D94E5D">
        <w:rPr>
          <w:rFonts w:ascii="Verdana" w:hAnsi="Verdana" w:cstheme="minorHAnsi"/>
        </w:rPr>
        <w:t xml:space="preserve">art 4.9 of the Act are considered in the context of the purposes of the Act, </w:t>
      </w:r>
      <w:r w:rsidR="00197B6E" w:rsidRPr="00D94E5D">
        <w:rPr>
          <w:rFonts w:ascii="Verdana" w:hAnsi="Verdana" w:cstheme="minorHAnsi"/>
        </w:rPr>
        <w:t>the</w:t>
      </w:r>
      <w:r w:rsidR="005D68CC" w:rsidRPr="00D94E5D">
        <w:rPr>
          <w:rFonts w:ascii="Verdana" w:hAnsi="Verdana" w:cstheme="minorHAnsi"/>
        </w:rPr>
        <w:t xml:space="preserve"> protection from harm relates to harm being caused by acts or omissions of a child’s parents. It cannot be otherwise as the Act does not allow for findings of proof against </w:t>
      </w:r>
      <w:r w:rsidR="00DB1A55">
        <w:rPr>
          <w:rFonts w:ascii="Verdana" w:hAnsi="Verdana" w:cstheme="minorHAnsi"/>
        </w:rPr>
        <w:t>persons other than parents</w:t>
      </w:r>
      <w:r w:rsidR="005D68CC" w:rsidRPr="00D94E5D">
        <w:rPr>
          <w:rFonts w:ascii="Verdana" w:hAnsi="Verdana" w:cstheme="minorHAnsi"/>
        </w:rPr>
        <w:t xml:space="preserve">, and the acts or omissions that constitute failure to protect must be considered objectively. The finding that a protection application has been proven is an adverse finding that the parent(s) have failed to protect by causing the injury or failing to protect the child from injury in circumstances where it would objectively be within the responsible exercise of parental duty to do so. </w:t>
      </w:r>
    </w:p>
    <w:p w14:paraId="412FAD4D" w14:textId="77777777" w:rsidR="0081252E" w:rsidRPr="0081252E" w:rsidRDefault="0081252E" w:rsidP="00464F28">
      <w:pPr>
        <w:pStyle w:val="ListParagraph"/>
        <w:spacing w:line="276" w:lineRule="auto"/>
        <w:ind w:left="851"/>
        <w:rPr>
          <w:rFonts w:ascii="Verdana" w:hAnsi="Verdana" w:cstheme="minorHAnsi"/>
        </w:rPr>
      </w:pPr>
    </w:p>
    <w:p w14:paraId="35770EDD" w14:textId="5948AFC6" w:rsidR="00E62B58" w:rsidRPr="0081252E" w:rsidRDefault="005D68CC" w:rsidP="00464F28">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Proof cannot be found against parents who objectively were not expected to be able to protect the child from the harm. The legislation does not allow an adverse finding against a parent due to an accidental injury.</w:t>
      </w:r>
      <w:r w:rsidR="009A6845" w:rsidRPr="00D94E5D">
        <w:rPr>
          <w:rFonts w:ascii="Verdana" w:hAnsi="Verdana" w:cstheme="minorHAnsi"/>
        </w:rPr>
        <w:t xml:space="preserve"> The Cambridge dictionary describes an accident as “</w:t>
      </w:r>
      <w:r w:rsidR="009A6845" w:rsidRPr="00D94E5D">
        <w:rPr>
          <w:rStyle w:val="Emphasis"/>
          <w:rFonts w:ascii="Verdana" w:hAnsi="Verdana" w:cs="Arial"/>
          <w:shd w:val="clear" w:color="auto" w:fill="FFFFFF"/>
        </w:rPr>
        <w:t xml:space="preserve">an event not intended by </w:t>
      </w:r>
      <w:r w:rsidR="00A03056" w:rsidRPr="00D94E5D">
        <w:rPr>
          <w:rStyle w:val="Emphasis"/>
          <w:rFonts w:ascii="Verdana" w:hAnsi="Verdana" w:cs="Arial"/>
          <w:shd w:val="clear" w:color="auto" w:fill="FFFFFF"/>
        </w:rPr>
        <w:t>anyone,</w:t>
      </w:r>
      <w:r w:rsidR="009A6845" w:rsidRPr="00D94E5D">
        <w:rPr>
          <w:rStyle w:val="Emphasis"/>
          <w:rFonts w:ascii="Verdana" w:hAnsi="Verdana" w:cs="Arial"/>
          <w:shd w:val="clear" w:color="auto" w:fill="FFFFFF"/>
        </w:rPr>
        <w:t xml:space="preserve"> but which has the result of injuring someone or damaging something</w:t>
      </w:r>
      <w:r w:rsidR="00464F28" w:rsidRPr="00464F28">
        <w:rPr>
          <w:rStyle w:val="Emphasis"/>
          <w:rFonts w:ascii="Verdana" w:hAnsi="Verdana" w:cs="Arial"/>
          <w:i w:val="0"/>
          <w:iCs w:val="0"/>
          <w:shd w:val="clear" w:color="auto" w:fill="FFFFFF"/>
        </w:rPr>
        <w:t>.</w:t>
      </w:r>
      <w:r w:rsidR="009A6845" w:rsidRPr="00D94E5D">
        <w:rPr>
          <w:rFonts w:ascii="Verdana" w:hAnsi="Verdana" w:cs="Arial"/>
          <w:shd w:val="clear" w:color="auto" w:fill="FFFFFF"/>
        </w:rPr>
        <w:t>”</w:t>
      </w:r>
      <w:r w:rsidR="00E62B58" w:rsidRPr="00D94E5D">
        <w:rPr>
          <w:rFonts w:ascii="Verdana" w:hAnsi="Verdana" w:cs="Arial"/>
          <w:shd w:val="clear" w:color="auto" w:fill="FFFFFF"/>
        </w:rPr>
        <w:t xml:space="preserve"> It would be punitive rather than protective for a parent whose child was physically injured by accident, or </w:t>
      </w:r>
      <w:r w:rsidR="0047586C">
        <w:rPr>
          <w:rFonts w:ascii="Verdana" w:hAnsi="Verdana" w:cs="Arial"/>
          <w:shd w:val="clear" w:color="auto" w:fill="FFFFFF"/>
        </w:rPr>
        <w:t xml:space="preserve">by </w:t>
      </w:r>
      <w:r w:rsidR="00E62B58" w:rsidRPr="00D94E5D">
        <w:rPr>
          <w:rFonts w:ascii="Verdana" w:hAnsi="Verdana" w:cs="Arial"/>
          <w:shd w:val="clear" w:color="auto" w:fill="FFFFFF"/>
        </w:rPr>
        <w:t xml:space="preserve">the actions of a third </w:t>
      </w:r>
      <w:proofErr w:type="gramStart"/>
      <w:r w:rsidR="00E62B58" w:rsidRPr="00D94E5D">
        <w:rPr>
          <w:rFonts w:ascii="Verdana" w:hAnsi="Verdana" w:cs="Arial"/>
          <w:shd w:val="clear" w:color="auto" w:fill="FFFFFF"/>
        </w:rPr>
        <w:t xml:space="preserve">party </w:t>
      </w:r>
      <w:r w:rsidR="001C0027" w:rsidRPr="00D94E5D">
        <w:rPr>
          <w:rFonts w:ascii="Verdana" w:hAnsi="Verdana" w:cs="Arial"/>
          <w:shd w:val="clear" w:color="auto" w:fill="FFFFFF"/>
        </w:rPr>
        <w:t xml:space="preserve"> that</w:t>
      </w:r>
      <w:proofErr w:type="gramEnd"/>
      <w:r w:rsidR="001C0027" w:rsidRPr="00D94E5D">
        <w:rPr>
          <w:rFonts w:ascii="Verdana" w:hAnsi="Verdana" w:cs="Arial"/>
          <w:shd w:val="clear" w:color="auto" w:fill="FFFFFF"/>
        </w:rPr>
        <w:t xml:space="preserve"> were not reasonably foreseeable by the parent(s)</w:t>
      </w:r>
      <w:r w:rsidR="00464F28">
        <w:rPr>
          <w:rFonts w:ascii="Verdana" w:hAnsi="Verdana" w:cs="Arial"/>
          <w:shd w:val="clear" w:color="auto" w:fill="FFFFFF"/>
        </w:rPr>
        <w:t>,</w:t>
      </w:r>
      <w:r w:rsidR="001C0027" w:rsidRPr="00D94E5D">
        <w:rPr>
          <w:rFonts w:ascii="Verdana" w:hAnsi="Verdana" w:cs="Arial"/>
          <w:shd w:val="clear" w:color="auto" w:fill="FFFFFF"/>
        </w:rPr>
        <w:t xml:space="preserve"> </w:t>
      </w:r>
      <w:r w:rsidR="00E62B58" w:rsidRPr="00D94E5D">
        <w:rPr>
          <w:rFonts w:ascii="Verdana" w:hAnsi="Verdana" w:cs="Arial"/>
          <w:shd w:val="clear" w:color="auto" w:fill="FFFFFF"/>
        </w:rPr>
        <w:t>to be considered responsible for the injury. Punishment is not a purpose of Chapter 4 of the Act.</w:t>
      </w:r>
    </w:p>
    <w:p w14:paraId="2E242CEE" w14:textId="77777777" w:rsidR="0081252E" w:rsidRPr="0081252E" w:rsidRDefault="0081252E" w:rsidP="00DE3792">
      <w:pPr>
        <w:pStyle w:val="ListParagraph"/>
        <w:spacing w:line="276" w:lineRule="auto"/>
        <w:ind w:left="851"/>
        <w:rPr>
          <w:rFonts w:ascii="Verdana" w:hAnsi="Verdana" w:cstheme="minorHAnsi"/>
        </w:rPr>
      </w:pPr>
    </w:p>
    <w:p w14:paraId="261EC965" w14:textId="5C1ECFB4" w:rsidR="00420214" w:rsidRDefault="007F71E5" w:rsidP="00464F28">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To prove that the parents did not protect </w:t>
      </w:r>
      <w:r w:rsidR="003A2F8C">
        <w:rPr>
          <w:rFonts w:ascii="Verdana" w:hAnsi="Verdana" w:cstheme="minorHAnsi"/>
        </w:rPr>
        <w:t>Maria</w:t>
      </w:r>
      <w:r w:rsidRPr="00D94E5D">
        <w:rPr>
          <w:rFonts w:ascii="Verdana" w:hAnsi="Verdana" w:cstheme="minorHAnsi"/>
        </w:rPr>
        <w:t xml:space="preserve"> and </w:t>
      </w:r>
      <w:r w:rsidR="003A2F8C">
        <w:rPr>
          <w:rFonts w:ascii="Verdana" w:hAnsi="Verdana" w:cstheme="minorHAnsi"/>
        </w:rPr>
        <w:t>Gregory</w:t>
      </w:r>
      <w:r w:rsidRPr="00D94E5D">
        <w:rPr>
          <w:rFonts w:ascii="Verdana" w:hAnsi="Verdana" w:cstheme="minorHAnsi"/>
        </w:rPr>
        <w:t xml:space="preserve"> requires the Secretary to prove on the balance of probabilities</w:t>
      </w:r>
      <w:r w:rsidR="0047586C">
        <w:rPr>
          <w:rStyle w:val="FootnoteReference"/>
          <w:rFonts w:ascii="Verdana" w:hAnsi="Verdana" w:cstheme="minorHAnsi"/>
        </w:rPr>
        <w:footnoteReference w:id="28"/>
      </w:r>
      <w:r w:rsidRPr="00D94E5D">
        <w:rPr>
          <w:rFonts w:ascii="Verdana" w:hAnsi="Verdana" w:cstheme="minorHAnsi"/>
        </w:rPr>
        <w:t xml:space="preserve"> that</w:t>
      </w:r>
      <w:r w:rsidR="00420214">
        <w:rPr>
          <w:rFonts w:ascii="Verdana" w:hAnsi="Verdana" w:cstheme="minorHAnsi"/>
        </w:rPr>
        <w:t>:</w:t>
      </w:r>
    </w:p>
    <w:p w14:paraId="0620E8F5" w14:textId="77777777" w:rsidR="00420214" w:rsidRPr="00420214" w:rsidRDefault="00420214" w:rsidP="00DE3792">
      <w:pPr>
        <w:pStyle w:val="ListParagraph"/>
        <w:spacing w:line="276" w:lineRule="auto"/>
        <w:ind w:left="851"/>
        <w:rPr>
          <w:rFonts w:ascii="Verdana" w:hAnsi="Verdana" w:cstheme="minorHAnsi"/>
        </w:rPr>
      </w:pPr>
    </w:p>
    <w:p w14:paraId="3697B209" w14:textId="7C716E3E" w:rsidR="00420214" w:rsidRDefault="007F71E5" w:rsidP="002B5C77">
      <w:pPr>
        <w:pStyle w:val="ListParagraph"/>
        <w:numPr>
          <w:ilvl w:val="1"/>
          <w:numId w:val="2"/>
        </w:numPr>
        <w:spacing w:after="240" w:line="276" w:lineRule="auto"/>
        <w:rPr>
          <w:rFonts w:ascii="Verdana" w:hAnsi="Verdana" w:cstheme="minorHAnsi"/>
        </w:rPr>
      </w:pPr>
      <w:r w:rsidRPr="00D94E5D">
        <w:rPr>
          <w:rFonts w:ascii="Verdana" w:hAnsi="Verdana" w:cstheme="minorHAnsi"/>
        </w:rPr>
        <w:t>the parents inflicted the relevant injury</w:t>
      </w:r>
      <w:r w:rsidR="00464F28">
        <w:rPr>
          <w:rFonts w:ascii="Verdana" w:hAnsi="Verdana" w:cstheme="minorHAnsi"/>
        </w:rPr>
        <w:t>;</w:t>
      </w:r>
      <w:r w:rsidRPr="00D94E5D">
        <w:rPr>
          <w:rFonts w:ascii="Verdana" w:hAnsi="Verdana" w:cstheme="minorHAnsi"/>
        </w:rPr>
        <w:t xml:space="preserve"> or </w:t>
      </w:r>
    </w:p>
    <w:p w14:paraId="3050FAE3" w14:textId="1E5AC78B" w:rsidR="00420214" w:rsidRDefault="007F71E5" w:rsidP="002B5C77">
      <w:pPr>
        <w:pStyle w:val="ListParagraph"/>
        <w:numPr>
          <w:ilvl w:val="1"/>
          <w:numId w:val="2"/>
        </w:numPr>
        <w:spacing w:after="240" w:line="276" w:lineRule="auto"/>
        <w:rPr>
          <w:rFonts w:ascii="Verdana" w:hAnsi="Verdana" w:cstheme="minorHAnsi"/>
        </w:rPr>
      </w:pPr>
      <w:r w:rsidRPr="00D94E5D">
        <w:rPr>
          <w:rFonts w:ascii="Verdana" w:hAnsi="Verdana" w:cstheme="minorHAnsi"/>
        </w:rPr>
        <w:t xml:space="preserve">the injury occurred in circumstances </w:t>
      </w:r>
      <w:r w:rsidR="009A6845" w:rsidRPr="00D94E5D">
        <w:rPr>
          <w:rFonts w:ascii="Verdana" w:hAnsi="Verdana" w:cstheme="minorHAnsi"/>
        </w:rPr>
        <w:t>where</w:t>
      </w:r>
      <w:r w:rsidRPr="00D94E5D">
        <w:rPr>
          <w:rFonts w:ascii="Verdana" w:hAnsi="Verdana" w:cstheme="minorHAnsi"/>
        </w:rPr>
        <w:t xml:space="preserve"> the parents </w:t>
      </w:r>
      <w:r w:rsidR="00631973">
        <w:rPr>
          <w:rFonts w:ascii="Verdana" w:hAnsi="Verdana" w:cstheme="minorHAnsi"/>
        </w:rPr>
        <w:t>would</w:t>
      </w:r>
      <w:r w:rsidRPr="00D94E5D">
        <w:rPr>
          <w:rFonts w:ascii="Verdana" w:hAnsi="Verdana" w:cstheme="minorHAnsi"/>
        </w:rPr>
        <w:t xml:space="preserve"> objectively be expected to protect the children and they did not do so</w:t>
      </w:r>
      <w:r w:rsidR="00464F28">
        <w:rPr>
          <w:rFonts w:ascii="Verdana" w:hAnsi="Verdana" w:cstheme="minorHAnsi"/>
        </w:rPr>
        <w:t>;</w:t>
      </w:r>
      <w:r w:rsidR="00E62B58" w:rsidRPr="00D94E5D">
        <w:rPr>
          <w:rFonts w:ascii="Verdana" w:hAnsi="Verdana" w:cstheme="minorHAnsi"/>
        </w:rPr>
        <w:t xml:space="preserve"> and</w:t>
      </w:r>
    </w:p>
    <w:p w14:paraId="6959B333" w14:textId="1BA5F00C" w:rsidR="007F71E5" w:rsidRDefault="00E62B58" w:rsidP="002B5C77">
      <w:pPr>
        <w:pStyle w:val="ListParagraph"/>
        <w:numPr>
          <w:ilvl w:val="1"/>
          <w:numId w:val="2"/>
        </w:numPr>
        <w:spacing w:after="240" w:line="276" w:lineRule="auto"/>
        <w:rPr>
          <w:rFonts w:ascii="Verdana" w:hAnsi="Verdana" w:cstheme="minorHAnsi"/>
        </w:rPr>
      </w:pPr>
      <w:r w:rsidRPr="00D94E5D">
        <w:rPr>
          <w:rFonts w:ascii="Verdana" w:hAnsi="Verdana" w:cstheme="minorHAnsi"/>
        </w:rPr>
        <w:t>the injury has caused significant harm</w:t>
      </w:r>
      <w:r w:rsidR="007F71E5" w:rsidRPr="00D94E5D">
        <w:rPr>
          <w:rFonts w:ascii="Verdana" w:hAnsi="Verdana" w:cstheme="minorHAnsi"/>
        </w:rPr>
        <w:t>.</w:t>
      </w:r>
    </w:p>
    <w:p w14:paraId="3825620F" w14:textId="77777777" w:rsidR="0081252E" w:rsidRPr="0081252E" w:rsidRDefault="0081252E" w:rsidP="00DE3792">
      <w:pPr>
        <w:pStyle w:val="ListParagraph"/>
        <w:spacing w:line="276" w:lineRule="auto"/>
        <w:ind w:left="851"/>
        <w:rPr>
          <w:rFonts w:ascii="Verdana" w:hAnsi="Verdana" w:cstheme="minorHAnsi"/>
        </w:rPr>
      </w:pPr>
    </w:p>
    <w:p w14:paraId="3B284945" w14:textId="2928C59A" w:rsidR="00633313" w:rsidRDefault="001C0027" w:rsidP="00DE379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No medical expert </w:t>
      </w:r>
      <w:r w:rsidR="0047586C">
        <w:rPr>
          <w:rFonts w:ascii="Verdana" w:hAnsi="Verdana" w:cstheme="minorHAnsi"/>
        </w:rPr>
        <w:t>who</w:t>
      </w:r>
      <w:r w:rsidRPr="00D94E5D">
        <w:rPr>
          <w:rFonts w:ascii="Verdana" w:hAnsi="Verdana" w:cstheme="minorHAnsi"/>
        </w:rPr>
        <w:t xml:space="preserve"> gave evidence in this hearing gave an opinion that </w:t>
      </w:r>
      <w:r w:rsidR="00E62B58" w:rsidRPr="00D94E5D">
        <w:rPr>
          <w:rFonts w:ascii="Verdana" w:hAnsi="Verdana" w:cstheme="minorHAnsi"/>
        </w:rPr>
        <w:t xml:space="preserve">the marks on the children </w:t>
      </w:r>
      <w:r w:rsidRPr="00D94E5D">
        <w:rPr>
          <w:rFonts w:ascii="Verdana" w:hAnsi="Verdana" w:cstheme="minorHAnsi"/>
        </w:rPr>
        <w:t xml:space="preserve">had </w:t>
      </w:r>
      <w:r w:rsidR="0047586C">
        <w:rPr>
          <w:rFonts w:ascii="Verdana" w:hAnsi="Verdana" w:cstheme="minorHAnsi"/>
        </w:rPr>
        <w:t xml:space="preserve">resulted in </w:t>
      </w:r>
      <w:r w:rsidRPr="00D94E5D">
        <w:rPr>
          <w:rFonts w:ascii="Verdana" w:hAnsi="Verdana" w:cstheme="minorHAnsi"/>
        </w:rPr>
        <w:t xml:space="preserve">or would likely result in significant harm. No treatment was required, and </w:t>
      </w:r>
      <w:r w:rsidR="0047586C">
        <w:rPr>
          <w:rFonts w:ascii="Verdana" w:hAnsi="Verdana" w:cstheme="minorHAnsi"/>
        </w:rPr>
        <w:t>the</w:t>
      </w:r>
      <w:r w:rsidRPr="00D94E5D">
        <w:rPr>
          <w:rFonts w:ascii="Verdana" w:hAnsi="Verdana" w:cstheme="minorHAnsi"/>
        </w:rPr>
        <w:t xml:space="preserve"> marks were transient, having resolved by 12 March 2022. </w:t>
      </w:r>
      <w:r w:rsidR="00C97BD7" w:rsidRPr="00D94E5D">
        <w:rPr>
          <w:rFonts w:ascii="Verdana" w:hAnsi="Verdana" w:cstheme="minorHAnsi"/>
        </w:rPr>
        <w:t>The use of the phrase ‘significant harm as a result of physical injury’ in the Act requires interpretation</w:t>
      </w:r>
      <w:r w:rsidR="00EE134D">
        <w:rPr>
          <w:rFonts w:ascii="Verdana" w:hAnsi="Verdana" w:cstheme="minorHAnsi"/>
        </w:rPr>
        <w:t xml:space="preserve"> as it is not explicitly defined</w:t>
      </w:r>
      <w:r w:rsidR="0047586C">
        <w:rPr>
          <w:rFonts w:ascii="Verdana" w:hAnsi="Verdana" w:cstheme="minorHAnsi"/>
        </w:rPr>
        <w:t>.</w:t>
      </w:r>
      <w:r w:rsidR="00C97BD7" w:rsidRPr="00D94E5D">
        <w:rPr>
          <w:rFonts w:ascii="Verdana" w:hAnsi="Verdana" w:cstheme="minorHAnsi"/>
        </w:rPr>
        <w:t xml:space="preserve"> </w:t>
      </w:r>
      <w:r w:rsidR="0047586C">
        <w:rPr>
          <w:rFonts w:ascii="Verdana" w:hAnsi="Verdana" w:cstheme="minorHAnsi"/>
        </w:rPr>
        <w:t>H</w:t>
      </w:r>
      <w:r w:rsidR="00C97BD7" w:rsidRPr="00D94E5D">
        <w:rPr>
          <w:rFonts w:ascii="Verdana" w:hAnsi="Verdana" w:cstheme="minorHAnsi"/>
        </w:rPr>
        <w:t xml:space="preserve">ad the Parliament intended to refer to serious harm in a manner analogous to serious injury definitions relevant to criminal charges, it would have used that phrase. Had the </w:t>
      </w:r>
      <w:r w:rsidR="0047586C">
        <w:rPr>
          <w:rFonts w:ascii="Verdana" w:hAnsi="Verdana" w:cstheme="minorHAnsi"/>
        </w:rPr>
        <w:t>P</w:t>
      </w:r>
      <w:r w:rsidR="00C97BD7" w:rsidRPr="00D94E5D">
        <w:rPr>
          <w:rFonts w:ascii="Verdana" w:hAnsi="Verdana" w:cstheme="minorHAnsi"/>
        </w:rPr>
        <w:t xml:space="preserve">arliament intended to capture minor </w:t>
      </w:r>
      <w:r w:rsidR="005711E5" w:rsidRPr="00D94E5D">
        <w:rPr>
          <w:rFonts w:ascii="Verdana" w:hAnsi="Verdana" w:cstheme="minorHAnsi"/>
        </w:rPr>
        <w:t xml:space="preserve">or trivial </w:t>
      </w:r>
      <w:r w:rsidR="00C97BD7" w:rsidRPr="00D94E5D">
        <w:rPr>
          <w:rFonts w:ascii="Verdana" w:hAnsi="Verdana" w:cstheme="minorHAnsi"/>
        </w:rPr>
        <w:t xml:space="preserve">injury </w:t>
      </w:r>
      <w:r w:rsidR="00A03056" w:rsidRPr="00D94E5D">
        <w:rPr>
          <w:rFonts w:ascii="Verdana" w:hAnsi="Verdana" w:cstheme="minorHAnsi"/>
        </w:rPr>
        <w:t xml:space="preserve">that has no demonstrably adverse impact upon a child </w:t>
      </w:r>
      <w:r w:rsidR="00C97BD7" w:rsidRPr="00D94E5D">
        <w:rPr>
          <w:rFonts w:ascii="Verdana" w:hAnsi="Verdana" w:cstheme="minorHAnsi"/>
        </w:rPr>
        <w:t xml:space="preserve">then that too would have been expressed. The requirement for a finding that significant harm has occurred </w:t>
      </w:r>
      <w:r w:rsidR="00C97BD7" w:rsidRPr="00D94E5D">
        <w:rPr>
          <w:rFonts w:ascii="Verdana" w:hAnsi="Verdana" w:cstheme="minorHAnsi"/>
          <w:i/>
          <w:iCs/>
        </w:rPr>
        <w:t>as a result of</w:t>
      </w:r>
      <w:r w:rsidR="00C97BD7" w:rsidRPr="00D94E5D">
        <w:rPr>
          <w:rFonts w:ascii="Verdana" w:hAnsi="Verdana" w:cstheme="minorHAnsi"/>
        </w:rPr>
        <w:t xml:space="preserve"> physical injury must therefore lie in the chasm between these two poles.</w:t>
      </w:r>
      <w:r w:rsidR="003F322E">
        <w:rPr>
          <w:rStyle w:val="FootnoteReference"/>
          <w:rFonts w:ascii="Verdana" w:hAnsi="Verdana" w:cstheme="minorHAnsi"/>
        </w:rPr>
        <w:footnoteReference w:id="29"/>
      </w:r>
    </w:p>
    <w:p w14:paraId="3DD7590E" w14:textId="77777777" w:rsidR="0081252E" w:rsidRPr="0081252E" w:rsidRDefault="0081252E" w:rsidP="00DE3792">
      <w:pPr>
        <w:pStyle w:val="ListParagraph"/>
        <w:spacing w:line="276" w:lineRule="auto"/>
        <w:ind w:left="851"/>
        <w:rPr>
          <w:rFonts w:ascii="Verdana" w:hAnsi="Verdana" w:cstheme="minorHAnsi"/>
        </w:rPr>
      </w:pPr>
    </w:p>
    <w:p w14:paraId="4E9FF736" w14:textId="255EE5CE" w:rsidR="00A03056" w:rsidRDefault="001C0027" w:rsidP="00DE379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marks alone </w:t>
      </w:r>
      <w:r w:rsidR="00E62B58" w:rsidRPr="00D94E5D">
        <w:rPr>
          <w:rFonts w:ascii="Verdana" w:hAnsi="Verdana" w:cstheme="minorHAnsi"/>
        </w:rPr>
        <w:t xml:space="preserve">do not support a finding of proof against the parents as they </w:t>
      </w:r>
      <w:r w:rsidRPr="00D94E5D">
        <w:rPr>
          <w:rFonts w:ascii="Verdana" w:hAnsi="Verdana" w:cstheme="minorHAnsi"/>
        </w:rPr>
        <w:t>cannot be said to</w:t>
      </w:r>
      <w:r w:rsidR="00E62B58" w:rsidRPr="00D94E5D">
        <w:rPr>
          <w:rFonts w:ascii="Verdana" w:hAnsi="Verdana" w:cstheme="minorHAnsi"/>
        </w:rPr>
        <w:t xml:space="preserve"> reach the threshold of significant harm </w:t>
      </w:r>
      <w:r w:rsidRPr="00D94E5D">
        <w:rPr>
          <w:rFonts w:ascii="Verdana" w:hAnsi="Verdana" w:cstheme="minorHAnsi"/>
        </w:rPr>
        <w:t>as a result of</w:t>
      </w:r>
      <w:r w:rsidR="00E62B58" w:rsidRPr="00D94E5D">
        <w:rPr>
          <w:rFonts w:ascii="Verdana" w:hAnsi="Verdana" w:cstheme="minorHAnsi"/>
        </w:rPr>
        <w:t xml:space="preserve"> physical injury </w:t>
      </w:r>
      <w:r w:rsidR="009235F0" w:rsidRPr="00D94E5D">
        <w:rPr>
          <w:rFonts w:ascii="Verdana" w:hAnsi="Verdana" w:cstheme="minorHAnsi"/>
        </w:rPr>
        <w:t xml:space="preserve">in the circumstances of this case </w:t>
      </w:r>
      <w:r w:rsidR="00E62B58" w:rsidRPr="00D94E5D">
        <w:rPr>
          <w:rFonts w:ascii="Verdana" w:hAnsi="Verdana" w:cstheme="minorHAnsi"/>
        </w:rPr>
        <w:t xml:space="preserve">and on the </w:t>
      </w:r>
      <w:r w:rsidR="00197B6E" w:rsidRPr="00D94E5D">
        <w:rPr>
          <w:rFonts w:ascii="Verdana" w:hAnsi="Verdana" w:cstheme="minorHAnsi"/>
        </w:rPr>
        <w:t>evidence,</w:t>
      </w:r>
      <w:r w:rsidR="00E62B58" w:rsidRPr="00D94E5D">
        <w:rPr>
          <w:rFonts w:ascii="Verdana" w:hAnsi="Verdana" w:cstheme="minorHAnsi"/>
        </w:rPr>
        <w:t xml:space="preserve"> I accept they were accidental.</w:t>
      </w:r>
      <w:r w:rsidR="00A03056" w:rsidRPr="00D94E5D">
        <w:rPr>
          <w:rFonts w:ascii="Verdana" w:hAnsi="Verdana" w:cstheme="minorHAnsi"/>
        </w:rPr>
        <w:t xml:space="preserve"> </w:t>
      </w:r>
    </w:p>
    <w:p w14:paraId="34DDB235" w14:textId="77777777" w:rsidR="006F30A7" w:rsidRPr="006F30A7" w:rsidRDefault="006F30A7" w:rsidP="00DE3792">
      <w:pPr>
        <w:pStyle w:val="ListParagraph"/>
        <w:spacing w:line="276" w:lineRule="auto"/>
        <w:ind w:left="851"/>
        <w:rPr>
          <w:rFonts w:ascii="Verdana" w:hAnsi="Verdana" w:cstheme="minorHAnsi"/>
        </w:rPr>
      </w:pPr>
    </w:p>
    <w:p w14:paraId="067A197E" w14:textId="0A1D9FF3" w:rsidR="00E62B58" w:rsidRDefault="00A03056" w:rsidP="00DE3792">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There was no challenge to the Secretary’s proposition </w:t>
      </w:r>
      <w:r w:rsidR="0047586C" w:rsidRPr="00D94E5D">
        <w:rPr>
          <w:rFonts w:ascii="Verdana" w:hAnsi="Verdana" w:cstheme="minorHAnsi"/>
        </w:rPr>
        <w:t xml:space="preserve">made during the hearing </w:t>
      </w:r>
      <w:r w:rsidRPr="00D94E5D">
        <w:rPr>
          <w:rFonts w:ascii="Verdana" w:hAnsi="Verdana" w:cstheme="minorHAnsi"/>
        </w:rPr>
        <w:t xml:space="preserve">that a broken rib is a significant injury. </w:t>
      </w:r>
      <w:r w:rsidR="003F322E">
        <w:rPr>
          <w:rFonts w:ascii="Verdana" w:hAnsi="Verdana" w:cstheme="minorHAnsi"/>
        </w:rPr>
        <w:t xml:space="preserve"> The broken rib to each child was not caused in the same way that the marks to each child were. </w:t>
      </w:r>
      <w:r w:rsidRPr="00D94E5D">
        <w:rPr>
          <w:rFonts w:ascii="Verdana" w:hAnsi="Verdana" w:cstheme="minorHAnsi"/>
        </w:rPr>
        <w:t>I</w:t>
      </w:r>
      <w:r w:rsidR="00DE3792">
        <w:rPr>
          <w:rFonts w:ascii="Verdana" w:hAnsi="Verdana" w:cstheme="minorHAnsi"/>
        </w:rPr>
        <w:t> </w:t>
      </w:r>
      <w:r w:rsidRPr="00D94E5D">
        <w:rPr>
          <w:rFonts w:ascii="Verdana" w:hAnsi="Verdana" w:cstheme="minorHAnsi"/>
        </w:rPr>
        <w:t>accept that a broken rib is a significant injury – despite there being no treatment or pain management required for either child.</w:t>
      </w:r>
    </w:p>
    <w:p w14:paraId="212EBC98" w14:textId="77777777" w:rsidR="006F30A7" w:rsidRPr="006F30A7" w:rsidRDefault="006F30A7" w:rsidP="00DE3792">
      <w:pPr>
        <w:pStyle w:val="ListParagraph"/>
        <w:spacing w:line="276" w:lineRule="auto"/>
        <w:ind w:left="851"/>
        <w:jc w:val="both"/>
        <w:rPr>
          <w:rFonts w:ascii="Verdana" w:hAnsi="Verdana" w:cstheme="minorHAnsi"/>
        </w:rPr>
      </w:pPr>
    </w:p>
    <w:p w14:paraId="6A987548" w14:textId="10EFDC8A" w:rsidR="00E62B58" w:rsidRDefault="00E62B58" w:rsidP="00B56B75">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It is submitted on behalf of the Secretary by Counsel that as infants do not injure themselves, either or </w:t>
      </w:r>
      <w:r w:rsidR="00B708CB" w:rsidRPr="00D94E5D">
        <w:rPr>
          <w:rFonts w:ascii="Verdana" w:hAnsi="Verdana" w:cstheme="minorHAnsi"/>
        </w:rPr>
        <w:t>both parents</w:t>
      </w:r>
      <w:r w:rsidRPr="00D94E5D">
        <w:rPr>
          <w:rFonts w:ascii="Verdana" w:hAnsi="Verdana" w:cstheme="minorHAnsi"/>
        </w:rPr>
        <w:t xml:space="preserve"> must have handled the children inappropriately </w:t>
      </w:r>
      <w:proofErr w:type="gramStart"/>
      <w:r w:rsidRPr="00D94E5D">
        <w:rPr>
          <w:rFonts w:ascii="Verdana" w:hAnsi="Verdana" w:cstheme="minorHAnsi"/>
        </w:rPr>
        <w:t>or</w:t>
      </w:r>
      <w:proofErr w:type="gramEnd"/>
      <w:r w:rsidRPr="00D94E5D">
        <w:rPr>
          <w:rFonts w:ascii="Verdana" w:hAnsi="Verdana" w:cstheme="minorHAnsi"/>
        </w:rPr>
        <w:t xml:space="preserve"> applied a mechanism to cause the injuries. </w:t>
      </w:r>
      <w:r w:rsidR="00B708CB" w:rsidRPr="00D94E5D">
        <w:rPr>
          <w:rFonts w:ascii="Verdana" w:hAnsi="Verdana" w:cstheme="minorHAnsi"/>
        </w:rPr>
        <w:t xml:space="preserve">In support of this </w:t>
      </w:r>
      <w:r w:rsidR="00287497" w:rsidRPr="00D94E5D">
        <w:rPr>
          <w:rFonts w:ascii="Verdana" w:hAnsi="Verdana" w:cstheme="minorHAnsi"/>
        </w:rPr>
        <w:t>position,</w:t>
      </w:r>
      <w:r w:rsidR="00B708CB" w:rsidRPr="00D94E5D">
        <w:rPr>
          <w:rFonts w:ascii="Verdana" w:hAnsi="Verdana" w:cstheme="minorHAnsi"/>
        </w:rPr>
        <w:t xml:space="preserve"> it is submitted for the Secretary that there is no </w:t>
      </w:r>
      <w:r w:rsidR="00D6187B" w:rsidRPr="00D94E5D">
        <w:rPr>
          <w:rFonts w:ascii="Verdana" w:hAnsi="Verdana" w:cstheme="minorHAnsi"/>
        </w:rPr>
        <w:t>“</w:t>
      </w:r>
      <w:r w:rsidR="00B708CB" w:rsidRPr="00D94E5D">
        <w:rPr>
          <w:rFonts w:ascii="Verdana" w:hAnsi="Verdana" w:cstheme="minorHAnsi"/>
        </w:rPr>
        <w:t>suggestion that the children were left in the care of a person other than the parent at the time the injuries were sustained”</w:t>
      </w:r>
      <w:r w:rsidR="00D6187B" w:rsidRPr="00D94E5D">
        <w:rPr>
          <w:rFonts w:ascii="Verdana" w:hAnsi="Verdana" w:cstheme="minorHAnsi"/>
        </w:rPr>
        <w:t>.</w:t>
      </w:r>
      <w:r w:rsidR="00B708CB" w:rsidRPr="00D94E5D">
        <w:rPr>
          <w:rStyle w:val="FootnoteReference"/>
          <w:rFonts w:ascii="Verdana" w:hAnsi="Verdana" w:cstheme="minorHAnsi"/>
        </w:rPr>
        <w:footnoteReference w:id="30"/>
      </w:r>
      <w:r w:rsidRPr="00D94E5D">
        <w:rPr>
          <w:rFonts w:ascii="Verdana" w:hAnsi="Verdana" w:cstheme="minorHAnsi"/>
        </w:rPr>
        <w:t xml:space="preserve"> </w:t>
      </w:r>
      <w:r w:rsidR="00B708CB" w:rsidRPr="00D94E5D">
        <w:rPr>
          <w:rFonts w:ascii="Verdana" w:hAnsi="Verdana" w:cstheme="minorHAnsi"/>
        </w:rPr>
        <w:t xml:space="preserve">This </w:t>
      </w:r>
      <w:r w:rsidR="00A03056" w:rsidRPr="00D94E5D">
        <w:rPr>
          <w:rFonts w:ascii="Verdana" w:hAnsi="Verdana" w:cstheme="minorHAnsi"/>
        </w:rPr>
        <w:t>submission is factually</w:t>
      </w:r>
      <w:r w:rsidR="00B708CB" w:rsidRPr="00D94E5D">
        <w:rPr>
          <w:rFonts w:ascii="Verdana" w:hAnsi="Verdana" w:cstheme="minorHAnsi"/>
        </w:rPr>
        <w:t xml:space="preserve"> incorrect.</w:t>
      </w:r>
    </w:p>
    <w:p w14:paraId="73BFE4EE" w14:textId="77777777" w:rsidR="006F30A7" w:rsidRPr="006F30A7" w:rsidRDefault="006F30A7" w:rsidP="00B56B75">
      <w:pPr>
        <w:pStyle w:val="ListParagraph"/>
        <w:spacing w:line="276" w:lineRule="auto"/>
        <w:ind w:left="851"/>
        <w:rPr>
          <w:rFonts w:ascii="Verdana" w:hAnsi="Verdana" w:cstheme="minorHAnsi"/>
        </w:rPr>
      </w:pPr>
    </w:p>
    <w:p w14:paraId="4CEAA8B0" w14:textId="15308F71" w:rsidR="00287497" w:rsidRDefault="00287497" w:rsidP="00B56B75">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lastRenderedPageBreak/>
        <w:t xml:space="preserve">The viva voce evidence of Dr </w:t>
      </w:r>
      <w:r w:rsidR="003A2F8C">
        <w:rPr>
          <w:rFonts w:ascii="Verdana" w:hAnsi="Verdana" w:cstheme="minorHAnsi"/>
        </w:rPr>
        <w:t>MC</w:t>
      </w:r>
      <w:r w:rsidRPr="00D94E5D">
        <w:rPr>
          <w:rFonts w:ascii="Verdana" w:hAnsi="Verdana" w:cstheme="minorHAnsi"/>
        </w:rPr>
        <w:t xml:space="preserve"> – which was not disputed by any other medical witness</w:t>
      </w:r>
      <w:r w:rsidR="00B56B75">
        <w:rPr>
          <w:rFonts w:ascii="Verdana" w:hAnsi="Verdana" w:cstheme="minorHAnsi"/>
        </w:rPr>
        <w:t xml:space="preserve"> –</w:t>
      </w:r>
      <w:r w:rsidRPr="00D94E5D">
        <w:rPr>
          <w:rFonts w:ascii="Verdana" w:hAnsi="Verdana" w:cstheme="minorHAnsi"/>
        </w:rPr>
        <w:t xml:space="preserve"> was</w:t>
      </w:r>
      <w:r w:rsidR="00B56B75">
        <w:rPr>
          <w:rFonts w:ascii="Verdana" w:hAnsi="Verdana" w:cstheme="minorHAnsi"/>
        </w:rPr>
        <w:t xml:space="preserve"> </w:t>
      </w:r>
      <w:r w:rsidRPr="00D94E5D">
        <w:rPr>
          <w:rFonts w:ascii="Verdana" w:hAnsi="Verdana" w:cstheme="minorHAnsi"/>
        </w:rPr>
        <w:t xml:space="preserve">that for </w:t>
      </w:r>
      <w:r w:rsidR="003A2F8C">
        <w:rPr>
          <w:rFonts w:ascii="Verdana" w:hAnsi="Verdana" w:cstheme="minorHAnsi"/>
        </w:rPr>
        <w:t>Gregory</w:t>
      </w:r>
      <w:r w:rsidRPr="00D94E5D">
        <w:rPr>
          <w:rFonts w:ascii="Verdana" w:hAnsi="Verdana" w:cstheme="minorHAnsi"/>
        </w:rPr>
        <w:t xml:space="preserve"> the likely time frame was moments before to up to a week before the medical imaging conducted on 11 March. For </w:t>
      </w:r>
      <w:r w:rsidR="003A2F8C">
        <w:rPr>
          <w:rFonts w:ascii="Verdana" w:hAnsi="Verdana" w:cstheme="minorHAnsi"/>
        </w:rPr>
        <w:t>Maria</w:t>
      </w:r>
      <w:r w:rsidRPr="00D94E5D">
        <w:rPr>
          <w:rFonts w:ascii="Verdana" w:hAnsi="Verdana" w:cstheme="minorHAnsi"/>
        </w:rPr>
        <w:t xml:space="preserve">, it was from the moments after the medical imaging on 11 March </w:t>
      </w:r>
      <w:r w:rsidR="00D6187B" w:rsidRPr="00D94E5D">
        <w:rPr>
          <w:rFonts w:ascii="Verdana" w:hAnsi="Verdana" w:cstheme="minorHAnsi"/>
        </w:rPr>
        <w:t xml:space="preserve">and </w:t>
      </w:r>
      <w:r w:rsidRPr="00D94E5D">
        <w:rPr>
          <w:rFonts w:ascii="Verdana" w:hAnsi="Verdana" w:cstheme="minorHAnsi"/>
        </w:rPr>
        <w:t>most likely 2 weeks prior, but possibly one week prior</w:t>
      </w:r>
      <w:r w:rsidR="00D6187B" w:rsidRPr="00D94E5D">
        <w:rPr>
          <w:rFonts w:ascii="Verdana" w:hAnsi="Verdana" w:cstheme="minorHAnsi"/>
        </w:rPr>
        <w:t>,</w:t>
      </w:r>
      <w:r w:rsidRPr="00D94E5D">
        <w:rPr>
          <w:rFonts w:ascii="Verdana" w:hAnsi="Verdana" w:cstheme="minorHAnsi"/>
        </w:rPr>
        <w:t xml:space="preserve"> to the repeat scan on 29 March 2022. The children were admitted to the RCH from 10 to 16 March. For the Secretary to submit that the children were not in the care of anyone other than the parents at this time might be correct legally in terms of there being no court orders that abrogated their custody and </w:t>
      </w:r>
      <w:r w:rsidR="00D6187B" w:rsidRPr="00D94E5D">
        <w:rPr>
          <w:rFonts w:ascii="Verdana" w:hAnsi="Verdana" w:cstheme="minorHAnsi"/>
        </w:rPr>
        <w:t>parental responsibility</w:t>
      </w:r>
      <w:r w:rsidR="00631973">
        <w:rPr>
          <w:rFonts w:ascii="Verdana" w:hAnsi="Verdana" w:cstheme="minorHAnsi"/>
        </w:rPr>
        <w:t xml:space="preserve"> until the initial IAO </w:t>
      </w:r>
      <w:r w:rsidR="00B56B75">
        <w:rPr>
          <w:rFonts w:ascii="Verdana" w:hAnsi="Verdana" w:cstheme="minorHAnsi"/>
        </w:rPr>
        <w:t xml:space="preserve">was </w:t>
      </w:r>
      <w:r w:rsidR="00631973">
        <w:rPr>
          <w:rFonts w:ascii="Verdana" w:hAnsi="Verdana" w:cstheme="minorHAnsi"/>
        </w:rPr>
        <w:t xml:space="preserve">made </w:t>
      </w:r>
      <w:r w:rsidR="00B56B75">
        <w:rPr>
          <w:rFonts w:ascii="Verdana" w:hAnsi="Verdana" w:cstheme="minorHAnsi"/>
        </w:rPr>
        <w:t xml:space="preserve">on </w:t>
      </w:r>
      <w:r w:rsidR="00631973">
        <w:rPr>
          <w:rFonts w:ascii="Verdana" w:hAnsi="Verdana" w:cstheme="minorHAnsi"/>
        </w:rPr>
        <w:t>16 March 2022</w:t>
      </w:r>
      <w:r w:rsidRPr="00D94E5D">
        <w:rPr>
          <w:rFonts w:ascii="Verdana" w:hAnsi="Verdana" w:cstheme="minorHAnsi"/>
        </w:rPr>
        <w:t xml:space="preserve">, but it is a denial of the reality that the children were being handled by a multitude of people during their hospital admission. </w:t>
      </w:r>
    </w:p>
    <w:p w14:paraId="3272935B" w14:textId="77777777" w:rsidR="006F30A7" w:rsidRPr="006F30A7" w:rsidRDefault="006F30A7" w:rsidP="00B56B75">
      <w:pPr>
        <w:pStyle w:val="ListParagraph"/>
        <w:spacing w:line="276" w:lineRule="auto"/>
        <w:ind w:left="851"/>
        <w:rPr>
          <w:rFonts w:ascii="Verdana" w:hAnsi="Verdana" w:cstheme="minorHAnsi"/>
        </w:rPr>
      </w:pPr>
    </w:p>
    <w:p w14:paraId="7B4DD3F5" w14:textId="1F7F6B13" w:rsidR="00287497" w:rsidRDefault="00287497" w:rsidP="00B56B75">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parents were involved in the care of the children with no concerns reported whilst under the watchful eyes of the RCH staff, and subsequently under the supervision of the grandparents upon discharge, again with no concerns that they in any way inappropriately handled the children.</w:t>
      </w:r>
    </w:p>
    <w:p w14:paraId="63F1931C" w14:textId="77777777" w:rsidR="006F30A7" w:rsidRPr="006F30A7" w:rsidRDefault="006F30A7" w:rsidP="00B56B75">
      <w:pPr>
        <w:pStyle w:val="ListParagraph"/>
        <w:spacing w:line="276" w:lineRule="auto"/>
        <w:ind w:left="851"/>
        <w:rPr>
          <w:rFonts w:ascii="Verdana" w:hAnsi="Verdana" w:cstheme="minorHAnsi"/>
        </w:rPr>
      </w:pPr>
    </w:p>
    <w:p w14:paraId="0ADA497B" w14:textId="325B9A5C" w:rsidR="00880F09" w:rsidRDefault="000A2A98" w:rsidP="00B56B75">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w:t>
      </w:r>
      <w:r w:rsidR="00F56215" w:rsidRPr="00D94E5D">
        <w:rPr>
          <w:rFonts w:ascii="Verdana" w:hAnsi="Verdana" w:cstheme="minorHAnsi"/>
        </w:rPr>
        <w:t>re</w:t>
      </w:r>
      <w:r w:rsidRPr="00D94E5D">
        <w:rPr>
          <w:rFonts w:ascii="Verdana" w:hAnsi="Verdana" w:cstheme="minorHAnsi"/>
        </w:rPr>
        <w:t xml:space="preserve"> is no direct witness evidence </w:t>
      </w:r>
      <w:r w:rsidR="00D6187B" w:rsidRPr="00D94E5D">
        <w:rPr>
          <w:rFonts w:ascii="Verdana" w:hAnsi="Verdana" w:cstheme="minorHAnsi"/>
        </w:rPr>
        <w:t>which</w:t>
      </w:r>
      <w:r w:rsidRPr="00D94E5D">
        <w:rPr>
          <w:rFonts w:ascii="Verdana" w:hAnsi="Verdana" w:cstheme="minorHAnsi"/>
        </w:rPr>
        <w:t xml:space="preserve"> support</w:t>
      </w:r>
      <w:r w:rsidR="00D6187B" w:rsidRPr="00D94E5D">
        <w:rPr>
          <w:rFonts w:ascii="Verdana" w:hAnsi="Verdana" w:cstheme="minorHAnsi"/>
        </w:rPr>
        <w:t>s</w:t>
      </w:r>
      <w:r w:rsidRPr="00D94E5D">
        <w:rPr>
          <w:rFonts w:ascii="Verdana" w:hAnsi="Verdana" w:cstheme="minorHAnsi"/>
        </w:rPr>
        <w:t xml:space="preserve"> a finding that the parents or either of them inflicted the single rib fracture to each twin. The Secretary’s position seems to be that because the parents might </w:t>
      </w:r>
      <w:r w:rsidR="0020505A" w:rsidRPr="00D94E5D">
        <w:rPr>
          <w:rFonts w:ascii="Verdana" w:hAnsi="Verdana" w:cstheme="minorHAnsi"/>
        </w:rPr>
        <w:t>be</w:t>
      </w:r>
      <w:r w:rsidRPr="00D94E5D">
        <w:rPr>
          <w:rFonts w:ascii="Verdana" w:hAnsi="Verdana" w:cstheme="minorHAnsi"/>
        </w:rPr>
        <w:t xml:space="preserve"> statistically more likely to be responsible for an injury, the application should be found proven against them. The Secretary sidesteps the consensus between both Professors </w:t>
      </w:r>
      <w:r w:rsidR="003A2F8C">
        <w:rPr>
          <w:rFonts w:ascii="Verdana" w:hAnsi="Verdana" w:cstheme="minorHAnsi"/>
        </w:rPr>
        <w:t>RS</w:t>
      </w:r>
      <w:r w:rsidRPr="00D94E5D">
        <w:rPr>
          <w:rFonts w:ascii="Verdana" w:hAnsi="Verdana" w:cstheme="minorHAnsi"/>
        </w:rPr>
        <w:t xml:space="preserve"> and </w:t>
      </w:r>
      <w:r w:rsidR="003A2F8C">
        <w:rPr>
          <w:rFonts w:ascii="Verdana" w:hAnsi="Verdana" w:cstheme="minorHAnsi"/>
        </w:rPr>
        <w:t>AN</w:t>
      </w:r>
      <w:r w:rsidRPr="00D94E5D">
        <w:rPr>
          <w:rFonts w:ascii="Verdana" w:hAnsi="Verdana" w:cstheme="minorHAnsi"/>
        </w:rPr>
        <w:t xml:space="preserve"> that </w:t>
      </w:r>
      <w:r w:rsidR="003A2F8C">
        <w:rPr>
          <w:rFonts w:ascii="Verdana" w:hAnsi="Verdana" w:cstheme="minorHAnsi"/>
        </w:rPr>
        <w:t>Maria</w:t>
      </w:r>
      <w:r w:rsidRPr="00D94E5D">
        <w:rPr>
          <w:rFonts w:ascii="Verdana" w:hAnsi="Verdana" w:cstheme="minorHAnsi"/>
        </w:rPr>
        <w:t xml:space="preserve"> had thin femoral cortices and gracile ribs. It also ignores the evidence of </w:t>
      </w:r>
      <w:r w:rsidR="00F56215" w:rsidRPr="00D94E5D">
        <w:rPr>
          <w:rFonts w:ascii="Verdana" w:hAnsi="Verdana" w:cstheme="minorHAnsi"/>
        </w:rPr>
        <w:t xml:space="preserve">Professor </w:t>
      </w:r>
      <w:r w:rsidR="003A2F8C">
        <w:rPr>
          <w:rFonts w:ascii="Verdana" w:hAnsi="Verdana" w:cstheme="minorHAnsi"/>
        </w:rPr>
        <w:t>AN</w:t>
      </w:r>
      <w:r w:rsidR="00F56215" w:rsidRPr="00D94E5D">
        <w:rPr>
          <w:rFonts w:ascii="Verdana" w:hAnsi="Verdana" w:cstheme="minorHAnsi"/>
        </w:rPr>
        <w:t xml:space="preserve">, </w:t>
      </w:r>
      <w:r w:rsidRPr="00D94E5D">
        <w:rPr>
          <w:rFonts w:ascii="Verdana" w:hAnsi="Verdana" w:cstheme="minorHAnsi"/>
        </w:rPr>
        <w:t xml:space="preserve">the only medical witness to have directly examined </w:t>
      </w:r>
      <w:r w:rsidR="003A2F8C">
        <w:rPr>
          <w:rFonts w:ascii="Verdana" w:hAnsi="Verdana" w:cstheme="minorHAnsi"/>
        </w:rPr>
        <w:t>Gregory</w:t>
      </w:r>
      <w:r w:rsidRPr="00D94E5D">
        <w:rPr>
          <w:rFonts w:ascii="Verdana" w:hAnsi="Verdana" w:cstheme="minorHAnsi"/>
        </w:rPr>
        <w:t>, that his anterior fontanelle was significantly larger than expected</w:t>
      </w:r>
      <w:r w:rsidR="0020505A" w:rsidRPr="00D94E5D">
        <w:rPr>
          <w:rFonts w:ascii="Verdana" w:hAnsi="Verdana" w:cstheme="minorHAnsi"/>
        </w:rPr>
        <w:t xml:space="preserve"> </w:t>
      </w:r>
      <w:r w:rsidR="00B56B75">
        <w:rPr>
          <w:rFonts w:ascii="Verdana" w:hAnsi="Verdana" w:cstheme="minorHAnsi"/>
        </w:rPr>
        <w:t>–</w:t>
      </w:r>
      <w:r w:rsidR="0020505A" w:rsidRPr="00D94E5D">
        <w:rPr>
          <w:rFonts w:ascii="Verdana" w:hAnsi="Verdana" w:cstheme="minorHAnsi"/>
        </w:rPr>
        <w:t xml:space="preserve"> a</w:t>
      </w:r>
      <w:r w:rsidR="00B56B75">
        <w:rPr>
          <w:rFonts w:ascii="Verdana" w:hAnsi="Verdana" w:cstheme="minorHAnsi"/>
        </w:rPr>
        <w:t xml:space="preserve"> </w:t>
      </w:r>
      <w:r w:rsidR="0020505A" w:rsidRPr="00D94E5D">
        <w:rPr>
          <w:rFonts w:ascii="Verdana" w:hAnsi="Verdana" w:cstheme="minorHAnsi"/>
        </w:rPr>
        <w:t xml:space="preserve">sign of bones that </w:t>
      </w:r>
      <w:r w:rsidR="00F56215" w:rsidRPr="00D94E5D">
        <w:rPr>
          <w:rFonts w:ascii="Verdana" w:hAnsi="Verdana" w:cstheme="minorHAnsi"/>
        </w:rPr>
        <w:t xml:space="preserve">are </w:t>
      </w:r>
      <w:r w:rsidR="0020505A" w:rsidRPr="00D94E5D">
        <w:rPr>
          <w:rFonts w:ascii="Verdana" w:hAnsi="Verdana" w:cstheme="minorHAnsi"/>
        </w:rPr>
        <w:t xml:space="preserve">ossifying slowly, which </w:t>
      </w:r>
      <w:r w:rsidR="00A03056" w:rsidRPr="00D94E5D">
        <w:rPr>
          <w:rFonts w:ascii="Verdana" w:hAnsi="Verdana" w:cstheme="minorHAnsi"/>
        </w:rPr>
        <w:t>of</w:t>
      </w:r>
      <w:r w:rsidR="0020505A" w:rsidRPr="00D94E5D">
        <w:rPr>
          <w:rFonts w:ascii="Verdana" w:hAnsi="Verdana" w:cstheme="minorHAnsi"/>
        </w:rPr>
        <w:t xml:space="preserve"> itself can be sign of bone fragility in preterm infants.</w:t>
      </w:r>
    </w:p>
    <w:p w14:paraId="12222AE1" w14:textId="77777777" w:rsidR="006F30A7" w:rsidRPr="006F30A7" w:rsidRDefault="006F30A7" w:rsidP="00B56B75">
      <w:pPr>
        <w:pStyle w:val="ListParagraph"/>
        <w:spacing w:line="276" w:lineRule="auto"/>
        <w:ind w:left="851"/>
        <w:rPr>
          <w:rFonts w:ascii="Verdana" w:hAnsi="Verdana" w:cstheme="minorHAnsi"/>
        </w:rPr>
      </w:pPr>
    </w:p>
    <w:p w14:paraId="71797A2D" w14:textId="1D6C4852" w:rsidR="0020505A" w:rsidRPr="00B224A4" w:rsidRDefault="0020505A" w:rsidP="005B74C7">
      <w:pPr>
        <w:pStyle w:val="ListParagraph"/>
        <w:numPr>
          <w:ilvl w:val="0"/>
          <w:numId w:val="1"/>
        </w:numPr>
        <w:spacing w:line="276" w:lineRule="auto"/>
        <w:ind w:left="851" w:hanging="851"/>
        <w:jc w:val="both"/>
        <w:rPr>
          <w:rStyle w:val="contentpasted1"/>
          <w:rFonts w:ascii="Verdana" w:hAnsi="Verdana" w:cstheme="minorHAnsi"/>
        </w:rPr>
      </w:pPr>
      <w:r w:rsidRPr="00B224A4">
        <w:rPr>
          <w:rFonts w:ascii="Verdana" w:hAnsi="Verdana" w:cstheme="minorHAnsi"/>
        </w:rPr>
        <w:t>Statistics based on studies taken from cases determined by child protection authorities to be inflicted abuse are of dubious accuracy due to the likely presence of confirmation bias in the sample selected for study, and statistics are not evidence of what has happened in a particular case</w:t>
      </w:r>
      <w:r w:rsidR="0047586C" w:rsidRPr="00B224A4">
        <w:rPr>
          <w:rFonts w:ascii="Verdana" w:hAnsi="Verdana" w:cstheme="minorHAnsi"/>
        </w:rPr>
        <w:t>.</w:t>
      </w:r>
      <w:r w:rsidRPr="00B224A4">
        <w:rPr>
          <w:rFonts w:ascii="Verdana" w:hAnsi="Verdana" w:cstheme="minorHAnsi"/>
        </w:rPr>
        <w:t xml:space="preserve"> </w:t>
      </w:r>
      <w:r w:rsidR="0047586C" w:rsidRPr="00B224A4">
        <w:rPr>
          <w:rFonts w:ascii="Verdana" w:hAnsi="Verdana" w:cstheme="minorHAnsi"/>
        </w:rPr>
        <w:t>T</w:t>
      </w:r>
      <w:r w:rsidRPr="00B224A4">
        <w:rPr>
          <w:rFonts w:ascii="Verdana" w:hAnsi="Verdana" w:cstheme="minorHAnsi"/>
        </w:rPr>
        <w:t>hey are nothing more than the basis for suspicion or speculation.</w:t>
      </w:r>
      <w:r w:rsidR="00880F09" w:rsidRPr="00B224A4">
        <w:rPr>
          <w:rFonts w:ascii="Verdana" w:hAnsi="Verdana" w:cstheme="minorHAnsi"/>
        </w:rPr>
        <w:t xml:space="preserve">  Abstracted </w:t>
      </w:r>
      <w:r w:rsidR="00F56215" w:rsidRPr="00B224A4">
        <w:rPr>
          <w:rFonts w:ascii="Verdana" w:hAnsi="Verdana" w:cstheme="minorHAnsi"/>
        </w:rPr>
        <w:t>statistical</w:t>
      </w:r>
      <w:r w:rsidR="00880F09" w:rsidRPr="00B224A4">
        <w:rPr>
          <w:rFonts w:ascii="Verdana" w:hAnsi="Verdana" w:cstheme="minorHAnsi"/>
        </w:rPr>
        <w:t xml:space="preserve"> probabilities do not form a sound basis for a finding that an alleged fact has been proven. </w:t>
      </w:r>
      <w:r w:rsidR="00B224A4" w:rsidRPr="00B224A4">
        <w:rPr>
          <w:rFonts w:ascii="Verdana" w:hAnsi="Verdana" w:cstheme="minorHAnsi"/>
        </w:rPr>
        <w:t xml:space="preserve">In the case of </w:t>
      </w:r>
      <w:r w:rsidRPr="00B224A4">
        <w:rPr>
          <w:rFonts w:ascii="Verdana" w:eastAsia="Times New Roman" w:hAnsi="Verdana" w:cs="Arial"/>
          <w:i/>
          <w:iCs/>
          <w:color w:val="000000"/>
        </w:rPr>
        <w:t>In re H. &amp; Others (Minors</w:t>
      </w:r>
      <w:proofErr w:type="gramStart"/>
      <w:r w:rsidRPr="00B224A4">
        <w:rPr>
          <w:rFonts w:ascii="Verdana" w:eastAsia="Times New Roman" w:hAnsi="Verdana" w:cs="Arial"/>
          <w:i/>
          <w:iCs/>
          <w:color w:val="000000"/>
        </w:rPr>
        <w:t>)(</w:t>
      </w:r>
      <w:proofErr w:type="gramEnd"/>
      <w:r w:rsidRPr="00B224A4">
        <w:rPr>
          <w:rFonts w:ascii="Verdana" w:eastAsia="Times New Roman" w:hAnsi="Verdana" w:cs="Arial"/>
          <w:i/>
          <w:iCs/>
          <w:color w:val="000000"/>
        </w:rPr>
        <w:t>Sexual Abuse: Standard of Proof)</w:t>
      </w:r>
      <w:r w:rsidRPr="00B224A4">
        <w:rPr>
          <w:rFonts w:ascii="Verdana" w:eastAsia="Times New Roman" w:hAnsi="Verdana" w:cs="Arial"/>
          <w:color w:val="000000"/>
        </w:rPr>
        <w:t xml:space="preserve"> </w:t>
      </w:r>
      <w:r w:rsidR="00B224A4">
        <w:rPr>
          <w:rFonts w:ascii="Verdana" w:eastAsia="Times New Roman" w:hAnsi="Verdana" w:cs="Arial"/>
          <w:color w:val="000000"/>
        </w:rPr>
        <w:t xml:space="preserve">– a case based on similar English legislation – </w:t>
      </w:r>
      <w:r w:rsidRPr="00B224A4">
        <w:rPr>
          <w:rFonts w:ascii="Verdana" w:eastAsia="Times New Roman" w:hAnsi="Verdana" w:cs="Arial"/>
          <w:color w:val="000000"/>
        </w:rPr>
        <w:t>Lord</w:t>
      </w:r>
      <w:r w:rsidR="00B224A4">
        <w:rPr>
          <w:rFonts w:ascii="Verdana" w:eastAsia="Times New Roman" w:hAnsi="Verdana" w:cs="Arial"/>
          <w:color w:val="000000"/>
        </w:rPr>
        <w:t xml:space="preserve"> </w:t>
      </w:r>
      <w:r w:rsidRPr="00B224A4">
        <w:rPr>
          <w:rFonts w:ascii="Verdana" w:eastAsia="Times New Roman" w:hAnsi="Verdana" w:cs="Arial"/>
          <w:color w:val="000000"/>
        </w:rPr>
        <w:t>Nicholls of Birkenhead (with whom Lord Goff of Chiefly &amp; Lord Mustill agreed) held that</w:t>
      </w:r>
      <w:r w:rsidR="00D6187B" w:rsidRPr="00B224A4">
        <w:rPr>
          <w:rFonts w:ascii="Verdana" w:eastAsia="Times New Roman" w:hAnsi="Verdana" w:cs="Arial"/>
          <w:color w:val="000000"/>
        </w:rPr>
        <w:t>:</w:t>
      </w:r>
    </w:p>
    <w:p w14:paraId="1D6955E5" w14:textId="17F465BD" w:rsidR="0020505A" w:rsidRPr="00D94E5D" w:rsidRDefault="0089202A" w:rsidP="00B224A4">
      <w:pPr>
        <w:shd w:val="clear" w:color="auto" w:fill="FFFFFF"/>
        <w:spacing w:after="0" w:line="276" w:lineRule="auto"/>
        <w:ind w:left="1418" w:right="567"/>
        <w:jc w:val="both"/>
        <w:rPr>
          <w:rStyle w:val="contentpasted1"/>
          <w:rFonts w:ascii="Verdana" w:hAnsi="Verdana" w:cs="Arial"/>
          <w:color w:val="000000"/>
        </w:rPr>
      </w:pPr>
      <w:r w:rsidRPr="00D94E5D">
        <w:rPr>
          <w:rStyle w:val="contentpasted1"/>
          <w:rFonts w:ascii="Verdana" w:hAnsi="Verdana" w:cs="Arial"/>
          <w:i/>
          <w:iCs/>
          <w:color w:val="000000"/>
        </w:rPr>
        <w:t>“</w:t>
      </w:r>
      <w:r w:rsidR="009235F0" w:rsidRPr="00D94E5D">
        <w:rPr>
          <w:rStyle w:val="contentpasted1"/>
          <w:rFonts w:ascii="Verdana" w:hAnsi="Verdana" w:cs="Arial"/>
          <w:i/>
          <w:iCs/>
          <w:color w:val="000000"/>
        </w:rPr>
        <w:t>[</w:t>
      </w:r>
      <w:r w:rsidR="0020505A" w:rsidRPr="00D94E5D">
        <w:rPr>
          <w:rStyle w:val="contentpasted1"/>
          <w:rFonts w:ascii="Verdana" w:hAnsi="Verdana" w:cs="Arial"/>
          <w:i/>
          <w:iCs/>
          <w:color w:val="000000"/>
        </w:rPr>
        <w:t xml:space="preserve">A] court's conclusion that the threshold conditions are satisfied must have a factual base, and…an alleged but unproved fact, serious or trivial, is not a fact for this purpose.  Nor is judicial </w:t>
      </w:r>
      <w:r w:rsidR="0020505A" w:rsidRPr="00D94E5D">
        <w:rPr>
          <w:rStyle w:val="contentpasted1"/>
          <w:rFonts w:ascii="Verdana" w:hAnsi="Verdana" w:cs="Arial"/>
          <w:i/>
          <w:iCs/>
          <w:color w:val="000000"/>
        </w:rPr>
        <w:lastRenderedPageBreak/>
        <w:t>suspicion, because that is no more than a judicial state of uncertainty about whether or not an event happened"</w:t>
      </w:r>
      <w:r w:rsidR="00D6187B" w:rsidRPr="00D94E5D">
        <w:rPr>
          <w:rStyle w:val="contentpasted1"/>
          <w:rFonts w:ascii="Verdana" w:hAnsi="Verdana" w:cs="Arial"/>
          <w:i/>
          <w:iCs/>
          <w:color w:val="000000"/>
        </w:rPr>
        <w:t>.</w:t>
      </w:r>
      <w:r w:rsidR="00F56215" w:rsidRPr="00B56B75">
        <w:rPr>
          <w:rStyle w:val="FootnoteReference"/>
          <w:rFonts w:ascii="Verdana" w:hAnsi="Verdana" w:cs="Arial"/>
          <w:color w:val="000000"/>
        </w:rPr>
        <w:footnoteReference w:id="31"/>
      </w:r>
    </w:p>
    <w:p w14:paraId="22DA9E0B" w14:textId="77777777" w:rsidR="00B224A4" w:rsidRPr="00B224A4" w:rsidRDefault="00B224A4" w:rsidP="00B224A4">
      <w:pPr>
        <w:spacing w:after="0" w:line="276" w:lineRule="auto"/>
        <w:ind w:left="851"/>
        <w:rPr>
          <w:rFonts w:ascii="Verdana" w:hAnsi="Verdana" w:cstheme="minorHAnsi"/>
        </w:rPr>
      </w:pPr>
    </w:p>
    <w:p w14:paraId="376A9698" w14:textId="713E679E" w:rsidR="0089202A" w:rsidRPr="00D94E5D" w:rsidRDefault="0089202A" w:rsidP="00B224A4">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House of Lords confirmed this threshold approach in 2008:</w:t>
      </w:r>
    </w:p>
    <w:p w14:paraId="73AB0A12" w14:textId="77777777" w:rsidR="00B224A4" w:rsidRPr="00B224A4" w:rsidRDefault="00B224A4" w:rsidP="00B224A4">
      <w:pPr>
        <w:pStyle w:val="ListParagraph"/>
        <w:spacing w:before="120" w:after="240" w:line="276" w:lineRule="auto"/>
        <w:ind w:left="1418" w:right="567"/>
        <w:jc w:val="both"/>
        <w:rPr>
          <w:rFonts w:ascii="Verdana" w:hAnsi="Verdana" w:cstheme="minorHAnsi"/>
          <w:sz w:val="16"/>
          <w:szCs w:val="16"/>
        </w:rPr>
      </w:pPr>
    </w:p>
    <w:p w14:paraId="0059C279" w14:textId="00CDD683" w:rsidR="0089202A" w:rsidRDefault="0089202A" w:rsidP="00B224A4">
      <w:pPr>
        <w:pStyle w:val="ListParagraph"/>
        <w:spacing w:before="120" w:after="240" w:line="276" w:lineRule="auto"/>
        <w:ind w:left="1418" w:right="567"/>
        <w:jc w:val="both"/>
        <w:rPr>
          <w:rFonts w:ascii="Verdana" w:hAnsi="Verdana" w:cstheme="minorHAnsi"/>
          <w:i/>
          <w:iCs/>
        </w:rPr>
      </w:pPr>
      <w:r w:rsidRPr="00D94E5D">
        <w:rPr>
          <w:rFonts w:ascii="Verdana" w:hAnsi="Verdana" w:cstheme="minorHAnsi"/>
          <w:i/>
          <w:iCs/>
        </w:rPr>
        <w:t>“The threshold is there to protect both the children and parents from unjustified intervention in their lives. It would provide no protection at all if it could be established on the basis of unsubstantiated suspicions…the Act draws a clear distinction between the threshold to be crossed before the court may make a final order and the threshold for making preliminary and interim orders</w:t>
      </w:r>
      <w:r w:rsidR="000A7AFD" w:rsidRPr="00D94E5D">
        <w:rPr>
          <w:rFonts w:ascii="Verdana" w:hAnsi="Verdana" w:cstheme="minorHAnsi"/>
          <w:i/>
          <w:iCs/>
        </w:rPr>
        <w:t>…</w:t>
      </w:r>
      <w:r w:rsidRPr="00D94E5D">
        <w:rPr>
          <w:rFonts w:ascii="Verdana" w:hAnsi="Verdana" w:cstheme="minorHAnsi"/>
          <w:i/>
          <w:iCs/>
        </w:rPr>
        <w:t>”.</w:t>
      </w:r>
      <w:r w:rsidRPr="00B224A4">
        <w:rPr>
          <w:rStyle w:val="FootnoteReference"/>
          <w:rFonts w:ascii="Verdana" w:hAnsi="Verdana" w:cstheme="minorHAnsi"/>
        </w:rPr>
        <w:footnoteReference w:id="32"/>
      </w:r>
    </w:p>
    <w:p w14:paraId="5DFD867A" w14:textId="32798E26" w:rsidR="00B224A4" w:rsidRDefault="00B224A4" w:rsidP="00B224A4">
      <w:pPr>
        <w:pStyle w:val="ListParagraph"/>
        <w:spacing w:before="120" w:after="240" w:line="276" w:lineRule="auto"/>
        <w:ind w:left="1418" w:right="567"/>
        <w:jc w:val="both"/>
        <w:rPr>
          <w:rFonts w:ascii="Verdana" w:hAnsi="Verdana" w:cstheme="minorHAnsi"/>
          <w:i/>
          <w:iCs/>
        </w:rPr>
      </w:pPr>
    </w:p>
    <w:p w14:paraId="4FBCE365" w14:textId="303FF523" w:rsidR="000A7AFD" w:rsidRPr="00D94E5D" w:rsidRDefault="000A7AFD" w:rsidP="00B224A4">
      <w:pPr>
        <w:pStyle w:val="ListParagraph"/>
        <w:spacing w:after="240" w:line="276" w:lineRule="auto"/>
        <w:ind w:left="1418" w:right="567"/>
        <w:jc w:val="both"/>
        <w:rPr>
          <w:rFonts w:ascii="Verdana" w:hAnsi="Verdana" w:cstheme="minorHAnsi"/>
          <w:i/>
          <w:iCs/>
        </w:rPr>
      </w:pPr>
      <w:r w:rsidRPr="00D94E5D">
        <w:rPr>
          <w:rFonts w:ascii="Verdana" w:hAnsi="Verdana" w:cstheme="minorHAnsi"/>
          <w:i/>
          <w:iCs/>
        </w:rPr>
        <w:t xml:space="preserve">To allow the courts to make decisions about the allocation of parental responsibility for children on the basis of unproven allegations and unsubstantiated suspicions would be to deny them their essential role in protecting both children and their families from the intervention of the state, however </w:t>
      </w:r>
      <w:proofErr w:type="spellStart"/>
      <w:r w:rsidRPr="00D94E5D">
        <w:rPr>
          <w:rFonts w:ascii="Verdana" w:hAnsi="Verdana" w:cstheme="minorHAnsi"/>
          <w:i/>
          <w:iCs/>
        </w:rPr>
        <w:t>well intentioned</w:t>
      </w:r>
      <w:proofErr w:type="spellEnd"/>
      <w:r w:rsidRPr="00D94E5D">
        <w:rPr>
          <w:rFonts w:ascii="Verdana" w:hAnsi="Verdana" w:cstheme="minorHAnsi"/>
          <w:i/>
          <w:iCs/>
        </w:rPr>
        <w:t xml:space="preserve"> that may be. It is to confuse the role of the local authority, in assessing and managing risk, in planning for the child and deciding what action to initiate, with the legal role of the court in deciding where the truth lies and what the legal consequences should be”.</w:t>
      </w:r>
      <w:r w:rsidRPr="00B224A4">
        <w:rPr>
          <w:rStyle w:val="FootnoteReference"/>
          <w:rFonts w:ascii="Verdana" w:hAnsi="Verdana" w:cstheme="minorHAnsi"/>
        </w:rPr>
        <w:footnoteReference w:id="33"/>
      </w:r>
    </w:p>
    <w:p w14:paraId="355D8EF2" w14:textId="77777777" w:rsidR="0089202A" w:rsidRPr="00D94E5D" w:rsidRDefault="0089202A" w:rsidP="002B5C77">
      <w:pPr>
        <w:pStyle w:val="ListParagraph"/>
        <w:spacing w:after="240" w:line="276" w:lineRule="auto"/>
        <w:ind w:left="851"/>
        <w:rPr>
          <w:rFonts w:ascii="Verdana" w:hAnsi="Verdana" w:cstheme="minorHAnsi"/>
          <w:b/>
          <w:bCs/>
        </w:rPr>
      </w:pPr>
    </w:p>
    <w:p w14:paraId="2E637E44" w14:textId="355D4A3B" w:rsidR="0089202A" w:rsidRDefault="0089202A" w:rsidP="00B224A4">
      <w:pPr>
        <w:pStyle w:val="ListParagraph"/>
        <w:numPr>
          <w:ilvl w:val="0"/>
          <w:numId w:val="1"/>
        </w:numPr>
        <w:spacing w:before="360" w:after="240" w:line="276" w:lineRule="auto"/>
        <w:ind w:left="851" w:hanging="851"/>
        <w:jc w:val="both"/>
        <w:rPr>
          <w:rFonts w:ascii="Verdana" w:hAnsi="Verdana" w:cstheme="minorHAnsi"/>
        </w:rPr>
      </w:pPr>
      <w:r w:rsidRPr="00D94E5D">
        <w:rPr>
          <w:rFonts w:ascii="Verdana" w:hAnsi="Verdana" w:cstheme="minorHAnsi"/>
        </w:rPr>
        <w:t>The Children</w:t>
      </w:r>
      <w:r w:rsidR="00B224A4">
        <w:rPr>
          <w:rFonts w:ascii="Verdana" w:hAnsi="Verdana" w:cstheme="minorHAnsi"/>
        </w:rPr>
        <w:t>,</w:t>
      </w:r>
      <w:r w:rsidRPr="00D94E5D">
        <w:rPr>
          <w:rFonts w:ascii="Verdana" w:hAnsi="Verdana" w:cstheme="minorHAnsi"/>
        </w:rPr>
        <w:t xml:space="preserve"> Youth and </w:t>
      </w:r>
      <w:r w:rsidR="000A7AFD" w:rsidRPr="00D94E5D">
        <w:rPr>
          <w:rFonts w:ascii="Verdana" w:hAnsi="Verdana" w:cstheme="minorHAnsi"/>
        </w:rPr>
        <w:t>Families</w:t>
      </w:r>
      <w:r w:rsidRPr="00D94E5D">
        <w:rPr>
          <w:rFonts w:ascii="Verdana" w:hAnsi="Verdana" w:cstheme="minorHAnsi"/>
        </w:rPr>
        <w:t xml:space="preserve"> Act 20</w:t>
      </w:r>
      <w:r w:rsidR="0047586C">
        <w:rPr>
          <w:rFonts w:ascii="Verdana" w:hAnsi="Verdana" w:cstheme="minorHAnsi"/>
        </w:rPr>
        <w:t>0</w:t>
      </w:r>
      <w:r w:rsidRPr="00D94E5D">
        <w:rPr>
          <w:rFonts w:ascii="Verdana" w:hAnsi="Verdana" w:cstheme="minorHAnsi"/>
        </w:rPr>
        <w:t xml:space="preserve">5 contains similar </w:t>
      </w:r>
      <w:r w:rsidR="000A7AFD" w:rsidRPr="00D94E5D">
        <w:rPr>
          <w:rFonts w:ascii="Verdana" w:hAnsi="Verdana" w:cstheme="minorHAnsi"/>
        </w:rPr>
        <w:t xml:space="preserve">threshold protections. A protection application cannot be found proven </w:t>
      </w:r>
      <w:r w:rsidR="00B224A4">
        <w:rPr>
          <w:rFonts w:ascii="Verdana" w:hAnsi="Verdana" w:cstheme="minorHAnsi"/>
        </w:rPr>
        <w:t xml:space="preserve">simply </w:t>
      </w:r>
      <w:r w:rsidR="000A7AFD" w:rsidRPr="00D94E5D">
        <w:rPr>
          <w:rFonts w:ascii="Verdana" w:hAnsi="Verdana" w:cstheme="minorHAnsi"/>
        </w:rPr>
        <w:t>because the Secretary asse</w:t>
      </w:r>
      <w:r w:rsidR="00B555AE" w:rsidRPr="00D94E5D">
        <w:rPr>
          <w:rFonts w:ascii="Verdana" w:hAnsi="Verdana" w:cstheme="minorHAnsi"/>
        </w:rPr>
        <w:t>r</w:t>
      </w:r>
      <w:r w:rsidR="000A7AFD" w:rsidRPr="00D94E5D">
        <w:rPr>
          <w:rFonts w:ascii="Verdana" w:hAnsi="Verdana" w:cstheme="minorHAnsi"/>
        </w:rPr>
        <w:t xml:space="preserve">ts having reasonable grounds to suspect or believe that a parent has caused or failed to protect their child from significant harm </w:t>
      </w:r>
      <w:r w:rsidR="003254DB" w:rsidRPr="00D94E5D">
        <w:rPr>
          <w:rFonts w:ascii="Verdana" w:hAnsi="Verdana" w:cstheme="minorHAnsi"/>
        </w:rPr>
        <w:t>because of</w:t>
      </w:r>
      <w:r w:rsidR="000A7AFD" w:rsidRPr="00D94E5D">
        <w:rPr>
          <w:rFonts w:ascii="Verdana" w:hAnsi="Verdana" w:cstheme="minorHAnsi"/>
        </w:rPr>
        <w:t xml:space="preserve"> physical injury</w:t>
      </w:r>
      <w:r w:rsidR="0047586C">
        <w:rPr>
          <w:rFonts w:ascii="Verdana" w:hAnsi="Verdana" w:cstheme="minorHAnsi"/>
        </w:rPr>
        <w:t>.</w:t>
      </w:r>
      <w:r w:rsidR="000A7AFD" w:rsidRPr="00D94E5D">
        <w:rPr>
          <w:rFonts w:ascii="Verdana" w:hAnsi="Verdana" w:cstheme="minorHAnsi"/>
        </w:rPr>
        <w:t xml:space="preserve"> </w:t>
      </w:r>
      <w:r w:rsidR="0047586C">
        <w:rPr>
          <w:rFonts w:ascii="Verdana" w:hAnsi="Verdana" w:cstheme="minorHAnsi"/>
        </w:rPr>
        <w:t>T</w:t>
      </w:r>
      <w:r w:rsidR="000A7AFD" w:rsidRPr="00D94E5D">
        <w:rPr>
          <w:rFonts w:ascii="Verdana" w:hAnsi="Verdana" w:cstheme="minorHAnsi"/>
        </w:rPr>
        <w:t xml:space="preserve">he </w:t>
      </w:r>
      <w:r w:rsidR="00B224A4">
        <w:rPr>
          <w:rFonts w:ascii="Verdana" w:hAnsi="Verdana" w:cstheme="minorHAnsi"/>
        </w:rPr>
        <w:t>C</w:t>
      </w:r>
      <w:r w:rsidR="000A7AFD" w:rsidRPr="00D94E5D">
        <w:rPr>
          <w:rFonts w:ascii="Verdana" w:hAnsi="Verdana" w:cstheme="minorHAnsi"/>
        </w:rPr>
        <w:t xml:space="preserve">ourt must be able to find </w:t>
      </w:r>
      <w:r w:rsidR="00B555AE" w:rsidRPr="00D94E5D">
        <w:rPr>
          <w:rFonts w:ascii="Verdana" w:hAnsi="Verdana" w:cstheme="minorHAnsi"/>
        </w:rPr>
        <w:t xml:space="preserve">on the balance of probabilities </w:t>
      </w:r>
      <w:r w:rsidR="000A7AFD" w:rsidRPr="00D94E5D">
        <w:rPr>
          <w:rFonts w:ascii="Verdana" w:hAnsi="Verdana" w:cstheme="minorHAnsi"/>
        </w:rPr>
        <w:t>that the parent</w:t>
      </w:r>
      <w:r w:rsidR="00B555AE" w:rsidRPr="00D94E5D">
        <w:rPr>
          <w:rFonts w:ascii="Verdana" w:hAnsi="Verdana" w:cstheme="minorHAnsi"/>
        </w:rPr>
        <w:t>(s)</w:t>
      </w:r>
      <w:r w:rsidR="000A7AFD" w:rsidRPr="00D94E5D">
        <w:rPr>
          <w:rFonts w:ascii="Verdana" w:hAnsi="Verdana" w:cstheme="minorHAnsi"/>
        </w:rPr>
        <w:t xml:space="preserve"> has caused the injury or failed to protect on the evidence presented by the Secretary.</w:t>
      </w:r>
    </w:p>
    <w:p w14:paraId="02809395" w14:textId="77777777" w:rsidR="006F30A7" w:rsidRPr="00D94E5D" w:rsidRDefault="006F30A7" w:rsidP="002B5C77">
      <w:pPr>
        <w:pStyle w:val="ListParagraph"/>
        <w:spacing w:before="360" w:after="240" w:line="276" w:lineRule="auto"/>
        <w:ind w:left="851"/>
        <w:rPr>
          <w:rFonts w:ascii="Verdana" w:hAnsi="Verdana" w:cstheme="minorHAnsi"/>
        </w:rPr>
      </w:pPr>
    </w:p>
    <w:p w14:paraId="6BF61139" w14:textId="5BADC8F2" w:rsidR="00F366F7" w:rsidRDefault="008E3D5F" w:rsidP="00B224A4">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evidence led by the Secretary failed </w:t>
      </w:r>
      <w:r w:rsidR="00355213" w:rsidRPr="00D94E5D">
        <w:rPr>
          <w:rFonts w:ascii="Verdana" w:hAnsi="Verdana" w:cstheme="minorHAnsi"/>
        </w:rPr>
        <w:t>to address the possibility</w:t>
      </w:r>
      <w:r w:rsidRPr="00D94E5D">
        <w:rPr>
          <w:rFonts w:ascii="Verdana" w:hAnsi="Verdana" w:cstheme="minorHAnsi"/>
        </w:rPr>
        <w:t xml:space="preserve"> that some handling of the children during their admissions </w:t>
      </w:r>
      <w:r w:rsidR="00355213" w:rsidRPr="00D94E5D">
        <w:rPr>
          <w:rFonts w:ascii="Verdana" w:hAnsi="Verdana" w:cstheme="minorHAnsi"/>
        </w:rPr>
        <w:t xml:space="preserve">to hospital </w:t>
      </w:r>
      <w:r w:rsidRPr="00D94E5D">
        <w:rPr>
          <w:rFonts w:ascii="Verdana" w:hAnsi="Verdana" w:cstheme="minorHAnsi"/>
        </w:rPr>
        <w:t>could have caused the rib fractures</w:t>
      </w:r>
      <w:r w:rsidR="00355213" w:rsidRPr="00D94E5D">
        <w:rPr>
          <w:rFonts w:ascii="Verdana" w:hAnsi="Verdana" w:cstheme="minorHAnsi"/>
        </w:rPr>
        <w:t xml:space="preserve">, and the unlikelihood that the parents could have inflicted harm on </w:t>
      </w:r>
      <w:r w:rsidR="003A2F8C">
        <w:rPr>
          <w:rFonts w:ascii="Verdana" w:hAnsi="Verdana" w:cstheme="minorHAnsi"/>
        </w:rPr>
        <w:t>Maria</w:t>
      </w:r>
      <w:r w:rsidR="00355213" w:rsidRPr="00D94E5D">
        <w:rPr>
          <w:rFonts w:ascii="Verdana" w:hAnsi="Verdana" w:cstheme="minorHAnsi"/>
        </w:rPr>
        <w:t xml:space="preserve"> without either the action or the injury being detected whilst in hospital</w:t>
      </w:r>
      <w:r w:rsidRPr="00D94E5D">
        <w:rPr>
          <w:rFonts w:ascii="Verdana" w:hAnsi="Verdana" w:cstheme="minorHAnsi"/>
        </w:rPr>
        <w:t>. It is highly unlikely that the parents could have avoided being</w:t>
      </w:r>
      <w:r w:rsidR="00F40C24" w:rsidRPr="00D94E5D">
        <w:rPr>
          <w:rFonts w:ascii="Verdana" w:hAnsi="Verdana" w:cstheme="minorHAnsi"/>
        </w:rPr>
        <w:t xml:space="preserve"> observed inflicting a rib fracture on </w:t>
      </w:r>
      <w:r w:rsidR="003A2F8C">
        <w:rPr>
          <w:rFonts w:ascii="Verdana" w:hAnsi="Verdana" w:cstheme="minorHAnsi"/>
        </w:rPr>
        <w:t>Maria</w:t>
      </w:r>
      <w:r w:rsidR="00F40C24" w:rsidRPr="00D94E5D">
        <w:rPr>
          <w:rFonts w:ascii="Verdana" w:hAnsi="Verdana" w:cstheme="minorHAnsi"/>
        </w:rPr>
        <w:t xml:space="preserve"> or </w:t>
      </w:r>
      <w:r w:rsidR="003A2F8C">
        <w:rPr>
          <w:rFonts w:ascii="Verdana" w:hAnsi="Verdana" w:cstheme="minorHAnsi"/>
        </w:rPr>
        <w:t>Gregory</w:t>
      </w:r>
      <w:r w:rsidR="00F40C24" w:rsidRPr="00D94E5D">
        <w:rPr>
          <w:rFonts w:ascii="Verdana" w:hAnsi="Verdana" w:cstheme="minorHAnsi"/>
        </w:rPr>
        <w:t xml:space="preserve"> whilst they were in the </w:t>
      </w:r>
      <w:r w:rsidR="00355213" w:rsidRPr="00D94E5D">
        <w:rPr>
          <w:rFonts w:ascii="Verdana" w:hAnsi="Verdana" w:cstheme="minorHAnsi"/>
        </w:rPr>
        <w:t>hospital</w:t>
      </w:r>
      <w:r w:rsidR="00F40C24" w:rsidRPr="00D94E5D">
        <w:rPr>
          <w:rFonts w:ascii="Verdana" w:hAnsi="Verdana" w:cstheme="minorHAnsi"/>
        </w:rPr>
        <w:t xml:space="preserve">. The Secretary has led no evidence to show that the maternal grandparents failed to supervise the parents with the </w:t>
      </w:r>
      <w:proofErr w:type="gramStart"/>
      <w:r w:rsidR="00F40C24" w:rsidRPr="00D94E5D">
        <w:rPr>
          <w:rFonts w:ascii="Verdana" w:hAnsi="Verdana" w:cstheme="minorHAnsi"/>
        </w:rPr>
        <w:t>twins</w:t>
      </w:r>
      <w:proofErr w:type="gramEnd"/>
      <w:r w:rsidR="00F40C24" w:rsidRPr="00D94E5D">
        <w:rPr>
          <w:rFonts w:ascii="Verdana" w:hAnsi="Verdana" w:cstheme="minorHAnsi"/>
        </w:rPr>
        <w:t xml:space="preserve"> post</w:t>
      </w:r>
      <w:r w:rsidR="0047586C">
        <w:rPr>
          <w:rFonts w:ascii="Verdana" w:hAnsi="Verdana" w:cstheme="minorHAnsi"/>
        </w:rPr>
        <w:t>-</w:t>
      </w:r>
      <w:r w:rsidR="00F40C24" w:rsidRPr="00D94E5D">
        <w:rPr>
          <w:rFonts w:ascii="Verdana" w:hAnsi="Verdana" w:cstheme="minorHAnsi"/>
        </w:rPr>
        <w:t>discharge.</w:t>
      </w:r>
    </w:p>
    <w:p w14:paraId="58A8AE05" w14:textId="77777777" w:rsidR="006F30A7" w:rsidRPr="006F30A7" w:rsidRDefault="006F30A7" w:rsidP="00BE16F0">
      <w:pPr>
        <w:pStyle w:val="ListParagraph"/>
        <w:spacing w:line="276" w:lineRule="auto"/>
        <w:ind w:left="851"/>
        <w:rPr>
          <w:rFonts w:ascii="Verdana" w:hAnsi="Verdana" w:cstheme="minorHAnsi"/>
        </w:rPr>
      </w:pPr>
    </w:p>
    <w:p w14:paraId="1A89C008" w14:textId="77777777" w:rsidR="000C4885" w:rsidRDefault="00F40C24" w:rsidP="000C4885">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In the context of the evidence that the children showed some signs </w:t>
      </w:r>
      <w:r w:rsidR="00DB075A">
        <w:rPr>
          <w:rFonts w:ascii="Verdana" w:hAnsi="Verdana" w:cstheme="minorHAnsi"/>
        </w:rPr>
        <w:t>of</w:t>
      </w:r>
      <w:r w:rsidRPr="00D94E5D">
        <w:rPr>
          <w:rFonts w:ascii="Verdana" w:hAnsi="Verdana" w:cstheme="minorHAnsi"/>
        </w:rPr>
        <w:t xml:space="preserve"> bone fragility likely related to their prematurity, the Secretary has not led evidence that the parents were aware of this prior to the consultations with Professor</w:t>
      </w:r>
      <w:r w:rsidR="00D677BF">
        <w:rPr>
          <w:rFonts w:ascii="Verdana" w:hAnsi="Verdana" w:cstheme="minorHAnsi"/>
        </w:rPr>
        <w:t>s</w:t>
      </w:r>
      <w:r w:rsidRPr="00D94E5D">
        <w:rPr>
          <w:rFonts w:ascii="Verdana" w:hAnsi="Verdana" w:cstheme="minorHAnsi"/>
        </w:rPr>
        <w:t xml:space="preserve"> </w:t>
      </w:r>
      <w:r w:rsidR="003A2F8C">
        <w:rPr>
          <w:rFonts w:ascii="Verdana" w:hAnsi="Verdana" w:cstheme="minorHAnsi"/>
        </w:rPr>
        <w:t>AN</w:t>
      </w:r>
      <w:r w:rsidRPr="00D94E5D">
        <w:rPr>
          <w:rFonts w:ascii="Verdana" w:hAnsi="Verdana" w:cstheme="minorHAnsi"/>
        </w:rPr>
        <w:t xml:space="preserve"> and </w:t>
      </w:r>
      <w:r w:rsidR="003A2F8C">
        <w:rPr>
          <w:rFonts w:ascii="Verdana" w:hAnsi="Verdana" w:cstheme="minorHAnsi"/>
        </w:rPr>
        <w:t>RS</w:t>
      </w:r>
      <w:r w:rsidRPr="00D94E5D">
        <w:rPr>
          <w:rFonts w:ascii="Verdana" w:hAnsi="Verdana" w:cstheme="minorHAnsi"/>
        </w:rPr>
        <w:t>.</w:t>
      </w:r>
    </w:p>
    <w:p w14:paraId="3198C434" w14:textId="77777777" w:rsidR="000C4885" w:rsidRPr="000C4885" w:rsidRDefault="000C4885" w:rsidP="000C4885">
      <w:pPr>
        <w:pStyle w:val="ListParagraph"/>
        <w:rPr>
          <w:rFonts w:ascii="Verdana" w:hAnsi="Verdana" w:cstheme="minorHAnsi"/>
        </w:rPr>
      </w:pPr>
    </w:p>
    <w:p w14:paraId="323AD625" w14:textId="224E0BCA" w:rsidR="000C4885" w:rsidRPr="000C4885" w:rsidRDefault="000C4885" w:rsidP="000C4885">
      <w:pPr>
        <w:pStyle w:val="ListParagraph"/>
        <w:numPr>
          <w:ilvl w:val="0"/>
          <w:numId w:val="1"/>
        </w:numPr>
        <w:spacing w:after="240" w:line="276" w:lineRule="auto"/>
        <w:ind w:left="851" w:hanging="851"/>
        <w:jc w:val="both"/>
        <w:rPr>
          <w:rFonts w:ascii="Verdana" w:hAnsi="Verdana" w:cstheme="minorHAnsi"/>
        </w:rPr>
      </w:pPr>
      <w:r w:rsidRPr="000C4885">
        <w:rPr>
          <w:rFonts w:ascii="Verdana" w:hAnsi="Verdana" w:cstheme="minorHAnsi"/>
        </w:rPr>
        <w:t xml:space="preserve">Parents cannot be reasonably expected to protect children from an unknown underlying vulnerability. Whether the injuries occurred during handing by other persons or by the parents, not having been aware of this underlying vulnerability, </w:t>
      </w:r>
      <w:bookmarkStart w:id="4" w:name="_Hlk121506179"/>
      <w:r w:rsidRPr="000C4885">
        <w:rPr>
          <w:rFonts w:ascii="Verdana" w:hAnsi="Verdana" w:cstheme="minorHAnsi"/>
        </w:rPr>
        <w:t>the parents cannot objectively be expected to have prevented the injuries to each child’s rib, nor could anyone else who provided care to them. Nothing in this judgement is intended as a criticism of professionals or the maternal grandparents in relation to the handling of the twins</w:t>
      </w:r>
      <w:r>
        <w:rPr>
          <w:rFonts w:ascii="Verdana" w:hAnsi="Verdana" w:cstheme="minorHAnsi"/>
        </w:rPr>
        <w:t>:</w:t>
      </w:r>
      <w:r w:rsidRPr="000C4885">
        <w:rPr>
          <w:rFonts w:ascii="Verdana" w:hAnsi="Verdana" w:cstheme="minorHAnsi"/>
        </w:rPr>
        <w:t xml:space="preserve"> what was unknown to the parents, was also unknown to others.</w:t>
      </w:r>
    </w:p>
    <w:bookmarkEnd w:id="4"/>
    <w:p w14:paraId="42895F10" w14:textId="77777777" w:rsidR="006F30A7" w:rsidRPr="006F30A7" w:rsidRDefault="006F30A7" w:rsidP="00715527">
      <w:pPr>
        <w:pStyle w:val="ListParagraph"/>
        <w:spacing w:line="276" w:lineRule="auto"/>
        <w:ind w:left="851"/>
        <w:rPr>
          <w:rFonts w:ascii="Verdana" w:hAnsi="Verdana" w:cstheme="minorHAnsi"/>
        </w:rPr>
      </w:pPr>
    </w:p>
    <w:p w14:paraId="64648A54" w14:textId="0FDA1103" w:rsidR="00BF0E50" w:rsidRDefault="00BF0E50" w:rsidP="00715527">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 lack of the ability of the parents to provide an explanation for how the rib fracture occurred to each child, when they were being handled by many different people, and undergoing </w:t>
      </w:r>
      <w:r w:rsidR="00D677BF">
        <w:rPr>
          <w:rFonts w:ascii="Verdana" w:hAnsi="Verdana" w:cstheme="minorHAnsi"/>
        </w:rPr>
        <w:t xml:space="preserve">medical </w:t>
      </w:r>
      <w:r w:rsidRPr="00D94E5D">
        <w:rPr>
          <w:rFonts w:ascii="Verdana" w:hAnsi="Verdana" w:cstheme="minorHAnsi"/>
        </w:rPr>
        <w:t xml:space="preserve">imaging and other examinations </w:t>
      </w:r>
      <w:r w:rsidR="00715527">
        <w:rPr>
          <w:rFonts w:ascii="Verdana" w:hAnsi="Verdana" w:cstheme="minorHAnsi"/>
        </w:rPr>
        <w:t>during</w:t>
      </w:r>
      <w:r w:rsidRPr="00D94E5D">
        <w:rPr>
          <w:rFonts w:ascii="Verdana" w:hAnsi="Verdana" w:cstheme="minorHAnsi"/>
        </w:rPr>
        <w:t xml:space="preserve"> which they were not present, and where the medical witnesses themselves could not in their evidence agree on a likely theoretical mechanism for the fracture does not add strength to the case put by the Secretary when considered in the context of the evidence overall.</w:t>
      </w:r>
      <w:r w:rsidR="00476F92" w:rsidRPr="00D94E5D">
        <w:rPr>
          <w:rFonts w:ascii="Verdana" w:hAnsi="Verdana" w:cstheme="minorHAnsi"/>
        </w:rPr>
        <w:t xml:space="preserve"> </w:t>
      </w:r>
      <w:r w:rsidR="00E44428" w:rsidRPr="00D94E5D">
        <w:rPr>
          <w:rFonts w:ascii="Verdana" w:hAnsi="Verdana" w:cstheme="minorHAnsi"/>
        </w:rPr>
        <w:t>Instead,</w:t>
      </w:r>
      <w:r w:rsidR="00476F92" w:rsidRPr="00D94E5D">
        <w:rPr>
          <w:rFonts w:ascii="Verdana" w:hAnsi="Verdana" w:cstheme="minorHAnsi"/>
        </w:rPr>
        <w:t xml:space="preserve"> it demonstrates the logical fallacy of bifurcation – </w:t>
      </w:r>
      <w:r w:rsidR="00D677BF">
        <w:rPr>
          <w:rFonts w:ascii="Verdana" w:hAnsi="Verdana" w:cstheme="minorHAnsi"/>
        </w:rPr>
        <w:t>‘</w:t>
      </w:r>
      <w:r w:rsidR="00476F92" w:rsidRPr="00D94E5D">
        <w:rPr>
          <w:rFonts w:ascii="Verdana" w:hAnsi="Verdana" w:cstheme="minorHAnsi"/>
          <w:i/>
          <w:iCs/>
        </w:rPr>
        <w:t>because the parents cannot explain how the injury occurred, they must have caused the injury</w:t>
      </w:r>
      <w:r w:rsidR="00D677BF">
        <w:rPr>
          <w:rFonts w:ascii="Verdana" w:hAnsi="Verdana" w:cstheme="minorHAnsi"/>
          <w:i/>
          <w:iCs/>
        </w:rPr>
        <w:t>’</w:t>
      </w:r>
      <w:r w:rsidR="0047586C">
        <w:rPr>
          <w:rFonts w:ascii="Verdana" w:hAnsi="Verdana" w:cstheme="minorHAnsi"/>
          <w:i/>
          <w:iCs/>
        </w:rPr>
        <w:t>.</w:t>
      </w:r>
      <w:r w:rsidR="00476F92" w:rsidRPr="00D94E5D">
        <w:rPr>
          <w:rFonts w:ascii="Verdana" w:hAnsi="Verdana" w:cstheme="minorHAnsi"/>
        </w:rPr>
        <w:t xml:space="preserve"> </w:t>
      </w:r>
      <w:r w:rsidR="00715527">
        <w:rPr>
          <w:rFonts w:ascii="Verdana" w:hAnsi="Verdana" w:cstheme="minorHAnsi"/>
        </w:rPr>
        <w:t>A</w:t>
      </w:r>
      <w:r w:rsidR="00715527" w:rsidRPr="00D94E5D">
        <w:rPr>
          <w:rFonts w:ascii="Verdana" w:hAnsi="Verdana" w:cstheme="minorHAnsi"/>
        </w:rPr>
        <w:t>s I have set out earlier,</w:t>
      </w:r>
      <w:r w:rsidR="00715527">
        <w:rPr>
          <w:rFonts w:ascii="Verdana" w:hAnsi="Verdana" w:cstheme="minorHAnsi"/>
        </w:rPr>
        <w:t xml:space="preserve"> t</w:t>
      </w:r>
      <w:r w:rsidR="00476F92" w:rsidRPr="00D94E5D">
        <w:rPr>
          <w:rFonts w:ascii="Verdana" w:hAnsi="Verdana" w:cstheme="minorHAnsi"/>
        </w:rPr>
        <w:t>his position ignores the multitude of people who would have handled the children during their hospital admission</w:t>
      </w:r>
      <w:r w:rsidR="00CE1B1B" w:rsidRPr="00D94E5D">
        <w:rPr>
          <w:rFonts w:ascii="Verdana" w:hAnsi="Verdana" w:cstheme="minorHAnsi"/>
        </w:rPr>
        <w:t xml:space="preserve">, </w:t>
      </w:r>
      <w:r w:rsidR="00476F92" w:rsidRPr="00D94E5D">
        <w:rPr>
          <w:rFonts w:ascii="Verdana" w:hAnsi="Verdana" w:cstheme="minorHAnsi"/>
        </w:rPr>
        <w:t xml:space="preserve">medical </w:t>
      </w:r>
      <w:proofErr w:type="gramStart"/>
      <w:r w:rsidR="00476F92" w:rsidRPr="00D94E5D">
        <w:rPr>
          <w:rFonts w:ascii="Verdana" w:hAnsi="Verdana" w:cstheme="minorHAnsi"/>
        </w:rPr>
        <w:t>imaging</w:t>
      </w:r>
      <w:proofErr w:type="gramEnd"/>
      <w:r w:rsidR="00476F92" w:rsidRPr="00D94E5D">
        <w:rPr>
          <w:rFonts w:ascii="Verdana" w:hAnsi="Verdana" w:cstheme="minorHAnsi"/>
        </w:rPr>
        <w:t xml:space="preserve"> and other testing.</w:t>
      </w:r>
      <w:r w:rsidR="00CE1B1B" w:rsidRPr="00D94E5D">
        <w:rPr>
          <w:rFonts w:ascii="Verdana" w:hAnsi="Verdana" w:cstheme="minorHAnsi"/>
        </w:rPr>
        <w:t xml:space="preserve"> It also ignores the evidence of Professors </w:t>
      </w:r>
      <w:r w:rsidR="003A2F8C">
        <w:rPr>
          <w:rFonts w:ascii="Verdana" w:hAnsi="Verdana" w:cstheme="minorHAnsi"/>
        </w:rPr>
        <w:t>RS</w:t>
      </w:r>
      <w:r w:rsidR="00CE1B1B" w:rsidRPr="00D94E5D">
        <w:rPr>
          <w:rFonts w:ascii="Verdana" w:hAnsi="Verdana" w:cstheme="minorHAnsi"/>
        </w:rPr>
        <w:t xml:space="preserve"> and </w:t>
      </w:r>
      <w:r w:rsidR="003A2F8C">
        <w:rPr>
          <w:rFonts w:ascii="Verdana" w:hAnsi="Verdana" w:cstheme="minorHAnsi"/>
        </w:rPr>
        <w:t>AN</w:t>
      </w:r>
      <w:r w:rsidR="00CE1B1B" w:rsidRPr="00D94E5D">
        <w:rPr>
          <w:rFonts w:ascii="Verdana" w:hAnsi="Verdana" w:cstheme="minorHAnsi"/>
        </w:rPr>
        <w:t xml:space="preserve"> of signs of bone fragility.</w:t>
      </w:r>
    </w:p>
    <w:p w14:paraId="5A993C6C" w14:textId="77777777" w:rsidR="007D6ED7" w:rsidRPr="007D6ED7" w:rsidRDefault="007D6ED7" w:rsidP="00715527">
      <w:pPr>
        <w:pStyle w:val="ListParagraph"/>
        <w:spacing w:line="276" w:lineRule="auto"/>
        <w:ind w:left="851"/>
        <w:jc w:val="both"/>
        <w:rPr>
          <w:rFonts w:ascii="Verdana" w:hAnsi="Verdana" w:cstheme="minorHAnsi"/>
        </w:rPr>
      </w:pPr>
    </w:p>
    <w:p w14:paraId="4C2BCACF" w14:textId="23492D76" w:rsidR="007D6ED7" w:rsidRDefault="007D6ED7" w:rsidP="00715527">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In written submissions filed after the conclusion of evidence, the Secretary asserts that the fact that the parents did not give evidence should be the subject of an adverse inference</w:t>
      </w:r>
      <w:r w:rsidR="00715527">
        <w:rPr>
          <w:rFonts w:ascii="Verdana" w:hAnsi="Verdana" w:cstheme="minorHAnsi"/>
        </w:rPr>
        <w:t>.</w:t>
      </w:r>
      <w:r>
        <w:rPr>
          <w:rStyle w:val="FootnoteReference"/>
          <w:rFonts w:ascii="Verdana" w:hAnsi="Verdana" w:cstheme="minorHAnsi"/>
        </w:rPr>
        <w:footnoteReference w:id="34"/>
      </w:r>
    </w:p>
    <w:p w14:paraId="471034FA" w14:textId="77777777" w:rsidR="007D6ED7" w:rsidRPr="004A6118" w:rsidRDefault="007D6ED7" w:rsidP="00715527">
      <w:pPr>
        <w:pStyle w:val="ListParagraph"/>
        <w:spacing w:line="276" w:lineRule="auto"/>
        <w:ind w:left="851"/>
        <w:rPr>
          <w:rFonts w:ascii="Verdana" w:hAnsi="Verdana" w:cstheme="minorHAnsi"/>
        </w:rPr>
      </w:pPr>
    </w:p>
    <w:p w14:paraId="53CD2320" w14:textId="1E695552" w:rsidR="007D6ED7" w:rsidRPr="001D1B3A" w:rsidRDefault="007D6ED7" w:rsidP="00715527">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 xml:space="preserve">In the circumstances where the objective evidence does not support an adverse finding against the parents, I do not draw an adverse inference against </w:t>
      </w:r>
      <w:r w:rsidR="00D677BF">
        <w:rPr>
          <w:rFonts w:ascii="Verdana" w:hAnsi="Verdana" w:cstheme="minorHAnsi"/>
        </w:rPr>
        <w:t>either of them</w:t>
      </w:r>
      <w:r>
        <w:rPr>
          <w:rFonts w:ascii="Verdana" w:hAnsi="Verdana" w:cstheme="minorHAnsi"/>
        </w:rPr>
        <w:t xml:space="preserve">. The onus of proof rests with the Secretary. It is not for the parents to disprove the suspicions of the Secretary, </w:t>
      </w:r>
      <w:r w:rsidR="00D677BF">
        <w:rPr>
          <w:rFonts w:ascii="Verdana" w:hAnsi="Verdana" w:cstheme="minorHAnsi"/>
        </w:rPr>
        <w:t>n</w:t>
      </w:r>
      <w:r>
        <w:rPr>
          <w:rFonts w:ascii="Verdana" w:hAnsi="Verdana" w:cstheme="minorHAnsi"/>
        </w:rPr>
        <w:t>or to fill in any deficiencies of the Secretary’s evidence</w:t>
      </w:r>
      <w:r w:rsidR="00715527">
        <w:rPr>
          <w:rFonts w:ascii="Verdana" w:hAnsi="Verdana" w:cstheme="minorHAnsi"/>
        </w:rPr>
        <w:t>.</w:t>
      </w:r>
      <w:r>
        <w:rPr>
          <w:rStyle w:val="FootnoteReference"/>
          <w:rFonts w:ascii="Verdana" w:hAnsi="Verdana" w:cstheme="minorHAnsi"/>
        </w:rPr>
        <w:footnoteReference w:id="35"/>
      </w:r>
      <w:r>
        <w:rPr>
          <w:rFonts w:ascii="Verdana" w:hAnsi="Verdana" w:cstheme="minorHAnsi"/>
        </w:rPr>
        <w:t xml:space="preserve"> </w:t>
      </w:r>
      <w:r w:rsidR="001D1B3A" w:rsidRPr="001D1B3A">
        <w:rPr>
          <w:rFonts w:ascii="Verdana" w:hAnsi="Verdana" w:cstheme="minorHAnsi"/>
        </w:rPr>
        <w:t xml:space="preserve">There are cases where </w:t>
      </w:r>
      <w:r w:rsidR="001D1B3A" w:rsidRPr="001D1B3A">
        <w:rPr>
          <w:rFonts w:ascii="Verdana" w:hAnsi="Verdana" w:cstheme="minorHAnsi"/>
        </w:rPr>
        <w:lastRenderedPageBreak/>
        <w:t xml:space="preserve">direct evidence presented by the Secretary </w:t>
      </w:r>
      <w:r w:rsidR="001D1B3A">
        <w:rPr>
          <w:rFonts w:ascii="Verdana" w:hAnsi="Verdana" w:cstheme="minorHAnsi"/>
        </w:rPr>
        <w:t xml:space="preserve">invites </w:t>
      </w:r>
      <w:r w:rsidR="001D1B3A" w:rsidRPr="001D1B3A">
        <w:rPr>
          <w:rFonts w:ascii="Verdana" w:hAnsi="Verdana" w:cstheme="minorHAnsi"/>
        </w:rPr>
        <w:t xml:space="preserve">inferential reasoning </w:t>
      </w:r>
      <w:r w:rsidR="001D1B3A">
        <w:rPr>
          <w:rFonts w:ascii="Verdana" w:hAnsi="Verdana" w:cstheme="minorHAnsi"/>
        </w:rPr>
        <w:t xml:space="preserve">that </w:t>
      </w:r>
      <w:r w:rsidR="001D1B3A" w:rsidRPr="001D1B3A">
        <w:rPr>
          <w:rFonts w:ascii="Verdana" w:hAnsi="Verdana" w:cstheme="minorHAnsi"/>
        </w:rPr>
        <w:t xml:space="preserve">may tend to support the Secretary’s assertions. In such cases if the parents can contradict this evidence and fail to do so, the inference </w:t>
      </w:r>
      <w:r w:rsidR="00D677BF">
        <w:rPr>
          <w:rFonts w:ascii="Verdana" w:hAnsi="Verdana" w:cstheme="minorHAnsi"/>
        </w:rPr>
        <w:t xml:space="preserve">may </w:t>
      </w:r>
      <w:r w:rsidR="001D1B3A" w:rsidRPr="001D1B3A">
        <w:rPr>
          <w:rFonts w:ascii="Verdana" w:hAnsi="Verdana" w:cstheme="minorHAnsi"/>
        </w:rPr>
        <w:t xml:space="preserve">be more confidently made. </w:t>
      </w:r>
      <w:r w:rsidRPr="001D1B3A">
        <w:rPr>
          <w:rFonts w:ascii="Verdana" w:hAnsi="Verdana" w:cstheme="minorHAnsi"/>
        </w:rPr>
        <w:t>This is not such a case.</w:t>
      </w:r>
    </w:p>
    <w:p w14:paraId="16A5C10E" w14:textId="77777777" w:rsidR="006F30A7" w:rsidRPr="006F30A7" w:rsidRDefault="006F30A7" w:rsidP="00570F90">
      <w:pPr>
        <w:pStyle w:val="ListParagraph"/>
        <w:spacing w:line="276" w:lineRule="auto"/>
        <w:ind w:left="851"/>
        <w:rPr>
          <w:rFonts w:ascii="Verdana" w:hAnsi="Verdana" w:cstheme="minorHAnsi"/>
        </w:rPr>
      </w:pPr>
    </w:p>
    <w:p w14:paraId="025760C1" w14:textId="22CEF4AB" w:rsidR="009235F0" w:rsidRDefault="00570F90" w:rsidP="00570F90">
      <w:pPr>
        <w:pStyle w:val="ListParagraph"/>
        <w:numPr>
          <w:ilvl w:val="0"/>
          <w:numId w:val="1"/>
        </w:numPr>
        <w:spacing w:after="240" w:line="276" w:lineRule="auto"/>
        <w:ind w:left="851" w:hanging="851"/>
        <w:jc w:val="both"/>
        <w:rPr>
          <w:rFonts w:ascii="Verdana" w:hAnsi="Verdana" w:cstheme="minorHAnsi"/>
        </w:rPr>
      </w:pPr>
      <w:r>
        <w:rPr>
          <w:rFonts w:ascii="Verdana" w:hAnsi="Verdana" w:cstheme="minorHAnsi"/>
        </w:rPr>
        <w:t>W</w:t>
      </w:r>
      <w:r w:rsidRPr="00D94E5D">
        <w:rPr>
          <w:rFonts w:ascii="Verdana" w:hAnsi="Verdana" w:cstheme="minorHAnsi"/>
        </w:rPr>
        <w:t>hen the probabilities are balanced,</w:t>
      </w:r>
      <w:r>
        <w:rPr>
          <w:rFonts w:ascii="Verdana" w:hAnsi="Verdana" w:cstheme="minorHAnsi"/>
        </w:rPr>
        <w:t xml:space="preserve"> </w:t>
      </w:r>
      <w:r w:rsidR="009235F0" w:rsidRPr="00D94E5D">
        <w:rPr>
          <w:rFonts w:ascii="Verdana" w:hAnsi="Verdana" w:cstheme="minorHAnsi"/>
        </w:rPr>
        <w:t xml:space="preserve">I cannot find on the evidence that the parents inflicted harm on the children or </w:t>
      </w:r>
      <w:r w:rsidR="00D6187B" w:rsidRPr="00D94E5D">
        <w:rPr>
          <w:rFonts w:ascii="Verdana" w:hAnsi="Verdana" w:cstheme="minorHAnsi"/>
        </w:rPr>
        <w:t>ought to have protected</w:t>
      </w:r>
      <w:r w:rsidR="009235F0" w:rsidRPr="00D94E5D">
        <w:rPr>
          <w:rFonts w:ascii="Verdana" w:hAnsi="Verdana" w:cstheme="minorHAnsi"/>
        </w:rPr>
        <w:t xml:space="preserve"> them from injury when being handled by others prior to being informed </w:t>
      </w:r>
      <w:r w:rsidR="00D6187B" w:rsidRPr="00D94E5D">
        <w:rPr>
          <w:rFonts w:ascii="Verdana" w:hAnsi="Verdana" w:cstheme="minorHAnsi"/>
        </w:rPr>
        <w:t>that each child</w:t>
      </w:r>
      <w:r w:rsidR="009235F0" w:rsidRPr="00D94E5D">
        <w:rPr>
          <w:rFonts w:ascii="Verdana" w:hAnsi="Verdana" w:cstheme="minorHAnsi"/>
        </w:rPr>
        <w:t xml:space="preserve"> had signs of bone fragility. There have been no further injuries to the children since the parents have been made aware of </w:t>
      </w:r>
      <w:r w:rsidR="00BF0E50" w:rsidRPr="00D94E5D">
        <w:rPr>
          <w:rFonts w:ascii="Verdana" w:hAnsi="Verdana" w:cstheme="minorHAnsi"/>
        </w:rPr>
        <w:t xml:space="preserve">this by Professor </w:t>
      </w:r>
      <w:r w:rsidR="003A2F8C">
        <w:rPr>
          <w:rFonts w:ascii="Verdana" w:hAnsi="Verdana" w:cstheme="minorHAnsi"/>
        </w:rPr>
        <w:t>AN</w:t>
      </w:r>
      <w:r w:rsidR="00BF0E50" w:rsidRPr="00D94E5D">
        <w:rPr>
          <w:rFonts w:ascii="Verdana" w:hAnsi="Verdana" w:cstheme="minorHAnsi"/>
        </w:rPr>
        <w:t xml:space="preserve"> and Professor </w:t>
      </w:r>
      <w:r w:rsidR="003A2F8C">
        <w:rPr>
          <w:rFonts w:ascii="Verdana" w:hAnsi="Verdana" w:cstheme="minorHAnsi"/>
        </w:rPr>
        <w:t>RS</w:t>
      </w:r>
      <w:r w:rsidR="00BF0E50" w:rsidRPr="00D94E5D">
        <w:rPr>
          <w:rFonts w:ascii="Verdana" w:hAnsi="Verdana" w:cstheme="minorHAnsi"/>
        </w:rPr>
        <w:t>.</w:t>
      </w:r>
    </w:p>
    <w:p w14:paraId="55D6D36B" w14:textId="77777777" w:rsidR="006F30A7" w:rsidRPr="006F30A7" w:rsidRDefault="006F30A7" w:rsidP="00570F90">
      <w:pPr>
        <w:pStyle w:val="ListParagraph"/>
        <w:spacing w:line="276" w:lineRule="auto"/>
        <w:ind w:left="851"/>
        <w:rPr>
          <w:rFonts w:ascii="Verdana" w:hAnsi="Verdana" w:cstheme="minorHAnsi"/>
        </w:rPr>
      </w:pPr>
    </w:p>
    <w:p w14:paraId="416AE0EE" w14:textId="456668BE" w:rsidR="003853A5" w:rsidRPr="003853A5" w:rsidRDefault="00BF0E50" w:rsidP="00570F9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Upon becoming aware of the expert opinion of gracile bones, the parents have been reported to have provided exemplary nurturing care to </w:t>
      </w:r>
      <w:r w:rsidR="003A2F8C">
        <w:rPr>
          <w:rFonts w:ascii="Verdana" w:hAnsi="Verdana" w:cstheme="minorHAnsi"/>
        </w:rPr>
        <w:t>Maria</w:t>
      </w:r>
      <w:r w:rsidRPr="00D94E5D">
        <w:rPr>
          <w:rFonts w:ascii="Verdana" w:hAnsi="Verdana" w:cstheme="minorHAnsi"/>
        </w:rPr>
        <w:t xml:space="preserve"> and </w:t>
      </w:r>
      <w:r w:rsidR="003A2F8C">
        <w:rPr>
          <w:rFonts w:ascii="Verdana" w:hAnsi="Verdana" w:cstheme="minorHAnsi"/>
        </w:rPr>
        <w:t>Gregory</w:t>
      </w:r>
      <w:r w:rsidRPr="00D94E5D">
        <w:rPr>
          <w:rFonts w:ascii="Verdana" w:hAnsi="Verdana" w:cstheme="minorHAnsi"/>
        </w:rPr>
        <w:t xml:space="preserve">. The evidence is that the children are thriving in </w:t>
      </w:r>
      <w:r w:rsidR="00DB075A">
        <w:rPr>
          <w:rFonts w:ascii="Verdana" w:hAnsi="Verdana" w:cstheme="minorHAnsi"/>
        </w:rPr>
        <w:t>the practical and emotional care provided by the parents</w:t>
      </w:r>
      <w:r w:rsidR="00570F90">
        <w:rPr>
          <w:rFonts w:ascii="Verdana" w:hAnsi="Verdana" w:cstheme="minorHAnsi"/>
        </w:rPr>
        <w:t>.</w:t>
      </w:r>
      <w:r w:rsidR="00DB075A">
        <w:rPr>
          <w:rStyle w:val="FootnoteReference"/>
          <w:rFonts w:ascii="Verdana" w:hAnsi="Verdana" w:cstheme="minorHAnsi"/>
        </w:rPr>
        <w:footnoteReference w:id="36"/>
      </w:r>
    </w:p>
    <w:p w14:paraId="3C43DAEF" w14:textId="77777777" w:rsidR="003853A5" w:rsidRPr="003853A5" w:rsidRDefault="003853A5" w:rsidP="00570F90">
      <w:pPr>
        <w:pStyle w:val="ListParagraph"/>
        <w:spacing w:line="276" w:lineRule="auto"/>
        <w:ind w:left="851"/>
        <w:rPr>
          <w:rFonts w:ascii="Verdana" w:hAnsi="Verdana" w:cstheme="minorHAnsi"/>
        </w:rPr>
      </w:pPr>
    </w:p>
    <w:p w14:paraId="5849557C" w14:textId="1665884C" w:rsidR="00BF0E50" w:rsidRDefault="00BF0E50" w:rsidP="00570F9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The DF</w:t>
      </w:r>
      <w:r w:rsidR="00D6187B" w:rsidRPr="00D94E5D">
        <w:rPr>
          <w:rFonts w:ascii="Verdana" w:hAnsi="Verdana" w:cstheme="minorHAnsi"/>
        </w:rPr>
        <w:t>F</w:t>
      </w:r>
      <w:r w:rsidRPr="00D94E5D">
        <w:rPr>
          <w:rFonts w:ascii="Verdana" w:hAnsi="Verdana" w:cstheme="minorHAnsi"/>
        </w:rPr>
        <w:t xml:space="preserve">H application for proof if the protection application for s.162(1)(c) </w:t>
      </w:r>
      <w:r w:rsidR="00D6187B" w:rsidRPr="00D94E5D">
        <w:rPr>
          <w:rFonts w:ascii="Verdana" w:hAnsi="Verdana" w:cstheme="minorHAnsi"/>
        </w:rPr>
        <w:t xml:space="preserve">based on </w:t>
      </w:r>
      <w:r w:rsidRPr="00D94E5D">
        <w:rPr>
          <w:rFonts w:ascii="Verdana" w:hAnsi="Verdana" w:cstheme="minorHAnsi"/>
        </w:rPr>
        <w:t>actual</w:t>
      </w:r>
      <w:r w:rsidR="00D6187B" w:rsidRPr="00D94E5D">
        <w:rPr>
          <w:rFonts w:ascii="Verdana" w:hAnsi="Verdana" w:cstheme="minorHAnsi"/>
        </w:rPr>
        <w:t xml:space="preserve"> significant harm as a result of physical injury</w:t>
      </w:r>
      <w:r w:rsidRPr="00D94E5D">
        <w:rPr>
          <w:rFonts w:ascii="Verdana" w:hAnsi="Verdana" w:cstheme="minorHAnsi"/>
        </w:rPr>
        <w:t xml:space="preserve"> harm is dismissed.</w:t>
      </w:r>
    </w:p>
    <w:p w14:paraId="095760CC" w14:textId="77777777" w:rsidR="000E601D" w:rsidRPr="000E601D" w:rsidRDefault="000E601D" w:rsidP="00570F90">
      <w:pPr>
        <w:pStyle w:val="ListParagraph"/>
        <w:spacing w:line="276" w:lineRule="auto"/>
        <w:ind w:left="851"/>
        <w:rPr>
          <w:rFonts w:ascii="Verdana" w:hAnsi="Verdana" w:cstheme="minorHAnsi"/>
        </w:rPr>
      </w:pPr>
    </w:p>
    <w:p w14:paraId="4B887C22" w14:textId="370B6510" w:rsidR="00BF0E50" w:rsidRPr="00D94E5D" w:rsidRDefault="00BF0E50" w:rsidP="00570F90">
      <w:pPr>
        <w:pStyle w:val="ListParagraph"/>
        <w:numPr>
          <w:ilvl w:val="0"/>
          <w:numId w:val="1"/>
        </w:numPr>
        <w:spacing w:after="240" w:line="276" w:lineRule="auto"/>
        <w:ind w:left="851" w:hanging="851"/>
        <w:jc w:val="both"/>
        <w:rPr>
          <w:rFonts w:ascii="Verdana" w:hAnsi="Verdana" w:cstheme="minorHAnsi"/>
        </w:rPr>
      </w:pPr>
      <w:r w:rsidRPr="00D94E5D">
        <w:rPr>
          <w:rFonts w:ascii="Verdana" w:hAnsi="Verdana" w:cstheme="minorHAnsi"/>
        </w:rPr>
        <w:t xml:space="preserve">There being no finding that the parents are objectively responsible for causing or failing to protect the children from significant harm from physical injury, </w:t>
      </w:r>
      <w:r w:rsidR="00355213" w:rsidRPr="00D94E5D">
        <w:rPr>
          <w:rFonts w:ascii="Verdana" w:hAnsi="Verdana" w:cstheme="minorHAnsi"/>
        </w:rPr>
        <w:t xml:space="preserve">and the abundance of evidence that the parents provide gentle nurturing care to the children in which they are thriving, </w:t>
      </w:r>
      <w:r w:rsidRPr="00D94E5D">
        <w:rPr>
          <w:rFonts w:ascii="Verdana" w:hAnsi="Verdana" w:cstheme="minorHAnsi"/>
        </w:rPr>
        <w:t>there can be no sensible basis for inferring that such harm is likely to occur in the future</w:t>
      </w:r>
      <w:r w:rsidR="00570F90">
        <w:rPr>
          <w:rFonts w:ascii="Verdana" w:hAnsi="Verdana" w:cstheme="minorHAnsi"/>
        </w:rPr>
        <w:t>.</w:t>
      </w:r>
      <w:r w:rsidR="0029547E">
        <w:rPr>
          <w:rStyle w:val="FootnoteReference"/>
          <w:rFonts w:ascii="Verdana" w:hAnsi="Verdana" w:cstheme="minorHAnsi"/>
        </w:rPr>
        <w:footnoteReference w:id="37"/>
      </w:r>
      <w:r w:rsidRPr="00D94E5D">
        <w:rPr>
          <w:rFonts w:ascii="Verdana" w:hAnsi="Verdana" w:cstheme="minorHAnsi"/>
        </w:rPr>
        <w:t xml:space="preserve"> The protection application on (c) </w:t>
      </w:r>
      <w:r w:rsidR="00D6187B" w:rsidRPr="00D94E5D">
        <w:rPr>
          <w:rFonts w:ascii="Verdana" w:hAnsi="Verdana" w:cstheme="minorHAnsi"/>
        </w:rPr>
        <w:t>based upon a likelihood of future harm</w:t>
      </w:r>
      <w:r w:rsidRPr="00D94E5D">
        <w:rPr>
          <w:rFonts w:ascii="Verdana" w:hAnsi="Verdana" w:cstheme="minorHAnsi"/>
        </w:rPr>
        <w:t xml:space="preserve"> is also dismissed.</w:t>
      </w:r>
    </w:p>
    <w:p w14:paraId="5F0494DF" w14:textId="55430CB9" w:rsidR="00355213" w:rsidRPr="00D94E5D" w:rsidRDefault="00355213" w:rsidP="002B5C77">
      <w:pPr>
        <w:spacing w:after="240" w:line="276" w:lineRule="auto"/>
        <w:rPr>
          <w:rFonts w:ascii="Verdana" w:hAnsi="Verdana" w:cstheme="minorHAnsi"/>
        </w:rPr>
      </w:pPr>
    </w:p>
    <w:p w14:paraId="084BE6F5" w14:textId="7EF1642B" w:rsidR="00355213" w:rsidRPr="00D94E5D" w:rsidRDefault="00355213" w:rsidP="00DC4328">
      <w:pPr>
        <w:spacing w:after="240" w:line="480" w:lineRule="auto"/>
        <w:rPr>
          <w:rFonts w:ascii="Verdana" w:hAnsi="Verdana" w:cstheme="minorHAnsi"/>
        </w:rPr>
      </w:pPr>
      <w:r w:rsidRPr="00D94E5D">
        <w:rPr>
          <w:rFonts w:ascii="Verdana" w:hAnsi="Verdana" w:cstheme="minorHAnsi"/>
        </w:rPr>
        <w:t>Magistrate Stead</w:t>
      </w:r>
    </w:p>
    <w:p w14:paraId="0D9CD350" w14:textId="33C95F23" w:rsidR="00193B31" w:rsidRPr="00D94E5D" w:rsidRDefault="00193B31" w:rsidP="00DC4328">
      <w:pPr>
        <w:spacing w:after="240" w:line="480" w:lineRule="auto"/>
        <w:rPr>
          <w:rFonts w:ascii="Verdana" w:hAnsi="Verdana" w:cstheme="minorHAnsi"/>
        </w:rPr>
      </w:pPr>
      <w:r w:rsidRPr="00D94E5D">
        <w:rPr>
          <w:rFonts w:ascii="Verdana" w:hAnsi="Verdana" w:cstheme="minorHAnsi"/>
        </w:rPr>
        <w:t>16 December 2022</w:t>
      </w:r>
    </w:p>
    <w:p w14:paraId="347105B3" w14:textId="77777777" w:rsidR="00355213" w:rsidRPr="00D94E5D" w:rsidRDefault="00355213" w:rsidP="00DC4328">
      <w:pPr>
        <w:spacing w:after="240" w:line="480" w:lineRule="auto"/>
        <w:rPr>
          <w:rFonts w:ascii="Verdana" w:hAnsi="Verdana" w:cstheme="minorHAnsi"/>
        </w:rPr>
      </w:pPr>
    </w:p>
    <w:sectPr w:rsidR="00355213" w:rsidRPr="00D94E5D" w:rsidSect="00D66845">
      <w:footerReference w:type="default" r:id="rId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8453" w14:textId="77777777" w:rsidR="00EE50A8" w:rsidRDefault="00EE50A8" w:rsidP="00BC4101">
      <w:pPr>
        <w:spacing w:after="0" w:line="240" w:lineRule="auto"/>
      </w:pPr>
      <w:r>
        <w:separator/>
      </w:r>
    </w:p>
  </w:endnote>
  <w:endnote w:type="continuationSeparator" w:id="0">
    <w:p w14:paraId="0D50FB60" w14:textId="77777777" w:rsidR="00EE50A8" w:rsidRDefault="00EE50A8" w:rsidP="00BC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384568"/>
      <w:docPartObj>
        <w:docPartGallery w:val="Page Numbers (Bottom of Page)"/>
        <w:docPartUnique/>
      </w:docPartObj>
    </w:sdtPr>
    <w:sdtEndPr>
      <w:rPr>
        <w:noProof/>
      </w:rPr>
    </w:sdtEndPr>
    <w:sdtContent>
      <w:p w14:paraId="069551D3" w14:textId="66A0384E" w:rsidR="000E601D" w:rsidRDefault="000E60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D0C07" w14:textId="77777777" w:rsidR="008B55F4" w:rsidRDefault="008B5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43D3" w14:textId="77777777" w:rsidR="00EE50A8" w:rsidRDefault="00EE50A8" w:rsidP="00BC4101">
      <w:pPr>
        <w:spacing w:after="0" w:line="240" w:lineRule="auto"/>
      </w:pPr>
      <w:r>
        <w:separator/>
      </w:r>
    </w:p>
  </w:footnote>
  <w:footnote w:type="continuationSeparator" w:id="0">
    <w:p w14:paraId="4F017249" w14:textId="77777777" w:rsidR="00EE50A8" w:rsidRDefault="00EE50A8" w:rsidP="00BC4101">
      <w:pPr>
        <w:spacing w:after="0" w:line="240" w:lineRule="auto"/>
      </w:pPr>
      <w:r>
        <w:continuationSeparator/>
      </w:r>
    </w:p>
  </w:footnote>
  <w:footnote w:id="1">
    <w:p w14:paraId="367D3100" w14:textId="57B3F135" w:rsidR="00C63F13" w:rsidRDefault="00C63F13">
      <w:pPr>
        <w:pStyle w:val="FootnoteText"/>
      </w:pPr>
      <w:r>
        <w:rPr>
          <w:rStyle w:val="FootnoteReference"/>
        </w:rPr>
        <w:footnoteRef/>
      </w:r>
      <w:r>
        <w:t xml:space="preserve"> Exhibit 26</w:t>
      </w:r>
    </w:p>
  </w:footnote>
  <w:footnote w:id="2">
    <w:p w14:paraId="3E374EDF" w14:textId="77777777" w:rsidR="001A2EFA" w:rsidRDefault="001A2EFA" w:rsidP="001A2EFA">
      <w:pPr>
        <w:pStyle w:val="FootnoteText"/>
      </w:pPr>
      <w:r>
        <w:rPr>
          <w:rStyle w:val="FootnoteReference"/>
        </w:rPr>
        <w:footnoteRef/>
      </w:r>
      <w:r>
        <w:t xml:space="preserve"> Exhibit 21, page 4</w:t>
      </w:r>
    </w:p>
  </w:footnote>
  <w:footnote w:id="3">
    <w:p w14:paraId="3777AA12" w14:textId="762FF985" w:rsidR="0077226C" w:rsidRDefault="0077226C" w:rsidP="006443D9">
      <w:pPr>
        <w:pStyle w:val="FootnoteText"/>
        <w:jc w:val="both"/>
      </w:pPr>
      <w:r>
        <w:rPr>
          <w:rStyle w:val="FootnoteReference"/>
        </w:rPr>
        <w:footnoteRef/>
      </w:r>
      <w:r>
        <w:t xml:space="preserve"> Clexane is a low molecular weight heparin that the mother was prescribed post caesarean section birth </w:t>
      </w:r>
      <w:r w:rsidRPr="0077226C">
        <w:t>to prevent venous thromboembolism</w:t>
      </w:r>
      <w:r>
        <w:t xml:space="preserve"> complications.</w:t>
      </w:r>
    </w:p>
  </w:footnote>
  <w:footnote w:id="4">
    <w:p w14:paraId="51CF09EF" w14:textId="0A7E1B3E" w:rsidR="00554F91" w:rsidRDefault="00554F91">
      <w:pPr>
        <w:pStyle w:val="FootnoteText"/>
      </w:pPr>
      <w:r>
        <w:rPr>
          <w:rStyle w:val="FootnoteReference"/>
        </w:rPr>
        <w:footnoteRef/>
      </w:r>
      <w:r>
        <w:t xml:space="preserve"> Exhibit 53</w:t>
      </w:r>
    </w:p>
  </w:footnote>
  <w:footnote w:id="5">
    <w:p w14:paraId="4764F072" w14:textId="69E56453" w:rsidR="005D3242" w:rsidRDefault="005D3242">
      <w:pPr>
        <w:pStyle w:val="FootnoteText"/>
      </w:pPr>
      <w:r>
        <w:rPr>
          <w:rStyle w:val="FootnoteReference"/>
        </w:rPr>
        <w:footnoteRef/>
      </w:r>
      <w:r>
        <w:t xml:space="preserve"> Exhibit 10</w:t>
      </w:r>
    </w:p>
  </w:footnote>
  <w:footnote w:id="6">
    <w:p w14:paraId="0C0C66A7" w14:textId="5DAB078A" w:rsidR="00D32CC5" w:rsidRDefault="00D32CC5" w:rsidP="00D32CC5">
      <w:pPr>
        <w:pStyle w:val="FootnoteText"/>
      </w:pPr>
      <w:r>
        <w:rPr>
          <w:rStyle w:val="FootnoteReference"/>
        </w:rPr>
        <w:footnoteRef/>
      </w:r>
      <w:r>
        <w:t xml:space="preserve"> Exhibit 50, </w:t>
      </w:r>
      <w:r w:rsidR="003254DB">
        <w:t>pg.</w:t>
      </w:r>
      <w:r>
        <w:t xml:space="preserve"> 11.</w:t>
      </w:r>
    </w:p>
  </w:footnote>
  <w:footnote w:id="7">
    <w:p w14:paraId="5A56292D" w14:textId="79DDCA47" w:rsidR="00180C96" w:rsidRPr="004E0889" w:rsidRDefault="00180C96">
      <w:pPr>
        <w:pStyle w:val="FootnoteText"/>
        <w:rPr>
          <w:rFonts w:cstheme="minorHAnsi"/>
        </w:rPr>
      </w:pPr>
      <w:r w:rsidRPr="004E0889">
        <w:rPr>
          <w:rStyle w:val="FootnoteReference"/>
          <w:rFonts w:cstheme="minorHAnsi"/>
        </w:rPr>
        <w:footnoteRef/>
      </w:r>
      <w:r w:rsidRPr="004E0889">
        <w:rPr>
          <w:rFonts w:cstheme="minorHAnsi"/>
        </w:rPr>
        <w:t xml:space="preserve"> </w:t>
      </w:r>
      <w:r w:rsidR="00685EF6">
        <w:rPr>
          <w:rFonts w:cstheme="minorHAnsi"/>
        </w:rPr>
        <w:t>E</w:t>
      </w:r>
      <w:r w:rsidRPr="004E0889">
        <w:rPr>
          <w:rFonts w:cstheme="minorHAnsi"/>
        </w:rPr>
        <w:t>x</w:t>
      </w:r>
      <w:r w:rsidR="00685EF6">
        <w:rPr>
          <w:rFonts w:cstheme="minorHAnsi"/>
        </w:rPr>
        <w:t>hibit</w:t>
      </w:r>
      <w:r w:rsidRPr="004E0889">
        <w:rPr>
          <w:rFonts w:cstheme="minorHAnsi"/>
        </w:rPr>
        <w:t xml:space="preserve"> 12</w:t>
      </w:r>
    </w:p>
  </w:footnote>
  <w:footnote w:id="8">
    <w:p w14:paraId="7BDB7709" w14:textId="3A71B503" w:rsidR="00B63D95" w:rsidRDefault="00B63D95">
      <w:pPr>
        <w:pStyle w:val="FootnoteText"/>
      </w:pPr>
      <w:r>
        <w:rPr>
          <w:rStyle w:val="FootnoteReference"/>
        </w:rPr>
        <w:footnoteRef/>
      </w:r>
      <w:r>
        <w:t xml:space="preserve"> Exhibits 49 &amp; 50</w:t>
      </w:r>
    </w:p>
  </w:footnote>
  <w:footnote w:id="9">
    <w:p w14:paraId="1F1A907F" w14:textId="5006B42D" w:rsidR="0065124A" w:rsidRDefault="0065124A">
      <w:pPr>
        <w:pStyle w:val="FootnoteText"/>
      </w:pPr>
      <w:r>
        <w:rPr>
          <w:rStyle w:val="FootnoteReference"/>
        </w:rPr>
        <w:footnoteRef/>
      </w:r>
      <w:r>
        <w:t xml:space="preserve"> Exhibit 16</w:t>
      </w:r>
    </w:p>
  </w:footnote>
  <w:footnote w:id="10">
    <w:p w14:paraId="3765B3FE" w14:textId="2BC9F22A" w:rsidR="0012239A" w:rsidRDefault="0012239A">
      <w:pPr>
        <w:pStyle w:val="FootnoteText"/>
      </w:pPr>
      <w:r>
        <w:rPr>
          <w:rStyle w:val="FootnoteReference"/>
        </w:rPr>
        <w:footnoteRef/>
      </w:r>
      <w:r>
        <w:t xml:space="preserve"> Exhibits 49 &amp; 50</w:t>
      </w:r>
    </w:p>
  </w:footnote>
  <w:footnote w:id="11">
    <w:p w14:paraId="00AC0012" w14:textId="58EEEFE1" w:rsidR="006C34E4" w:rsidRDefault="006C34E4" w:rsidP="00ED7F97">
      <w:pPr>
        <w:pStyle w:val="FootnoteText"/>
        <w:jc w:val="both"/>
      </w:pPr>
      <w:r>
        <w:rPr>
          <w:rStyle w:val="FootnoteReference"/>
        </w:rPr>
        <w:footnoteRef/>
      </w:r>
      <w:r>
        <w:t xml:space="preserve"> Pereira EM 2015 Clinical Perspectives on Osteogenesis Imperfecta versus non-accidental injury. American Journal of Medical Genetics Part C Seminars in Medical Genetics 169C:302-306.</w:t>
      </w:r>
    </w:p>
  </w:footnote>
  <w:footnote w:id="12">
    <w:p w14:paraId="33106E90" w14:textId="4CE652EC" w:rsidR="006C34E4" w:rsidRDefault="006C34E4" w:rsidP="00ED7F97">
      <w:pPr>
        <w:pStyle w:val="FootnoteText"/>
        <w:jc w:val="both"/>
      </w:pPr>
      <w:r>
        <w:rPr>
          <w:rStyle w:val="FootnoteReference"/>
        </w:rPr>
        <w:footnoteRef/>
      </w:r>
      <w:r>
        <w:t xml:space="preserve"> Ibid at </w:t>
      </w:r>
      <w:r w:rsidR="003254DB">
        <w:t>pg.</w:t>
      </w:r>
      <w:r>
        <w:t xml:space="preserve"> 303.</w:t>
      </w:r>
    </w:p>
  </w:footnote>
  <w:footnote w:id="13">
    <w:p w14:paraId="6F97F401" w14:textId="0FF67ECD" w:rsidR="00390FB0" w:rsidRDefault="00390FB0" w:rsidP="00ED7F97">
      <w:pPr>
        <w:pStyle w:val="FootnoteText"/>
        <w:jc w:val="both"/>
      </w:pPr>
      <w:r>
        <w:rPr>
          <w:rStyle w:val="FootnoteReference"/>
        </w:rPr>
        <w:footnoteRef/>
      </w:r>
      <w:r>
        <w:t xml:space="preserve"> Ibid at </w:t>
      </w:r>
      <w:r w:rsidR="003254DB">
        <w:t>pg.</w:t>
      </w:r>
      <w:r>
        <w:t xml:space="preserve"> 305</w:t>
      </w:r>
    </w:p>
  </w:footnote>
  <w:footnote w:id="14">
    <w:p w14:paraId="36BEA37B" w14:textId="7ED8F8E3" w:rsidR="00390FB0" w:rsidRDefault="00390FB0" w:rsidP="00ED7F97">
      <w:pPr>
        <w:pStyle w:val="FootnoteText"/>
        <w:jc w:val="both"/>
      </w:pPr>
      <w:r>
        <w:rPr>
          <w:rStyle w:val="FootnoteReference"/>
        </w:rPr>
        <w:footnoteRef/>
      </w:r>
      <w:r>
        <w:t xml:space="preserve"> Aboughalia</w:t>
      </w:r>
      <w:r w:rsidR="008D7895">
        <w:t xml:space="preserve"> et al Pediatric rib pathologies: clinicoimaging scenarios and approach to diagnosis. Pediatric Radiology (2021) 51:1783-1797</w:t>
      </w:r>
    </w:p>
  </w:footnote>
  <w:footnote w:id="15">
    <w:p w14:paraId="28E4B116" w14:textId="28CD37DF" w:rsidR="006F373B" w:rsidRDefault="006F373B" w:rsidP="00ED7F97">
      <w:pPr>
        <w:pStyle w:val="FootnoteText"/>
        <w:jc w:val="both"/>
      </w:pPr>
      <w:r>
        <w:rPr>
          <w:rStyle w:val="FootnoteReference"/>
        </w:rPr>
        <w:footnoteRef/>
      </w:r>
      <w:r>
        <w:t xml:space="preserve"> Barsness, Cha, Bensard et al (2003) The positive predictive value of rib fractures as an indicator of nonaccidental trauma in children. J Trauma 54:1107-1110 (endnote 35 in the above paper)</w:t>
      </w:r>
    </w:p>
  </w:footnote>
  <w:footnote w:id="16">
    <w:p w14:paraId="6A7A9C52" w14:textId="2D64B362" w:rsidR="006F373B" w:rsidRDefault="006F373B">
      <w:pPr>
        <w:pStyle w:val="FootnoteText"/>
      </w:pPr>
      <w:r>
        <w:rPr>
          <w:rStyle w:val="FootnoteReference"/>
        </w:rPr>
        <w:footnoteRef/>
      </w:r>
      <w:hyperlink r:id="rId1" w:history="1">
        <w:r w:rsidR="00A562F6" w:rsidRPr="00D97AA9">
          <w:rPr>
            <w:rStyle w:val="Hyperlink"/>
          </w:rPr>
          <w:t>https://journals.lww.com/jtrauma/Abstract/2003/06000/The_Positive_Predictive_Value_of_Rib_Fractures_as.10.aspx</w:t>
        </w:r>
      </w:hyperlink>
      <w:r w:rsidR="00A562F6">
        <w:t xml:space="preserve"> Note NAT is the acronym for </w:t>
      </w:r>
      <w:r w:rsidR="009D7629">
        <w:t>non-accidental</w:t>
      </w:r>
      <w:r w:rsidR="00A562F6">
        <w:t xml:space="preserve"> trauma</w:t>
      </w:r>
    </w:p>
  </w:footnote>
  <w:footnote w:id="17">
    <w:p w14:paraId="447BA89F" w14:textId="72090614" w:rsidR="00563051" w:rsidRDefault="00563051">
      <w:pPr>
        <w:pStyle w:val="FootnoteText"/>
      </w:pPr>
      <w:r>
        <w:rPr>
          <w:rStyle w:val="FootnoteReference"/>
        </w:rPr>
        <w:footnoteRef/>
      </w:r>
      <w:r>
        <w:t xml:space="preserve"> </w:t>
      </w:r>
      <w:r w:rsidR="008E24E4">
        <w:t xml:space="preserve">Op cit  Aboughalia et al pg 1791 </w:t>
      </w:r>
    </w:p>
  </w:footnote>
  <w:footnote w:id="18">
    <w:p w14:paraId="1B633B70" w14:textId="0ACCFDD0" w:rsidR="008E24E4" w:rsidRDefault="008E24E4">
      <w:pPr>
        <w:pStyle w:val="FootnoteText"/>
      </w:pPr>
      <w:r>
        <w:rPr>
          <w:rStyle w:val="FootnoteReference"/>
        </w:rPr>
        <w:footnoteRef/>
      </w:r>
      <w:r>
        <w:t xml:space="preserve"> Op cit Pereira pg 304.</w:t>
      </w:r>
    </w:p>
  </w:footnote>
  <w:footnote w:id="19">
    <w:p w14:paraId="1F7F30EA" w14:textId="52D301D8" w:rsidR="00C66217" w:rsidRDefault="00C66217" w:rsidP="002B5C77">
      <w:pPr>
        <w:pStyle w:val="FootnoteText"/>
      </w:pPr>
      <w:r>
        <w:rPr>
          <w:rStyle w:val="FootnoteReference"/>
        </w:rPr>
        <w:footnoteRef/>
      </w:r>
      <w:r>
        <w:t xml:space="preserve"> Exhibit 47</w:t>
      </w:r>
    </w:p>
  </w:footnote>
  <w:footnote w:id="20">
    <w:p w14:paraId="5D87F631" w14:textId="606EB3D8" w:rsidR="00523AB0" w:rsidRDefault="00523AB0" w:rsidP="002B5C77">
      <w:pPr>
        <w:pStyle w:val="FootnoteText"/>
      </w:pPr>
      <w:r>
        <w:rPr>
          <w:rStyle w:val="FootnoteReference"/>
        </w:rPr>
        <w:footnoteRef/>
      </w:r>
      <w:r>
        <w:t xml:space="preserve"> Exhibit 38</w:t>
      </w:r>
    </w:p>
  </w:footnote>
  <w:footnote w:id="21">
    <w:p w14:paraId="77901CE6" w14:textId="7B283307" w:rsidR="00F1799B" w:rsidRDefault="00F1799B">
      <w:pPr>
        <w:pStyle w:val="FootnoteText"/>
      </w:pPr>
      <w:r>
        <w:rPr>
          <w:rStyle w:val="FootnoteReference"/>
        </w:rPr>
        <w:footnoteRef/>
      </w:r>
      <w:r>
        <w:t xml:space="preserve"> Exhibit 47, page 10</w:t>
      </w:r>
    </w:p>
  </w:footnote>
  <w:footnote w:id="22">
    <w:p w14:paraId="36188C04" w14:textId="25B7FF82" w:rsidR="0096502B" w:rsidRDefault="0096502B">
      <w:pPr>
        <w:pStyle w:val="FootnoteText"/>
      </w:pPr>
      <w:r>
        <w:rPr>
          <w:rStyle w:val="FootnoteReference"/>
        </w:rPr>
        <w:footnoteRef/>
      </w:r>
      <w:r>
        <w:t xml:space="preserve"> Exhibit 33</w:t>
      </w:r>
    </w:p>
  </w:footnote>
  <w:footnote w:id="23">
    <w:p w14:paraId="32DDBB98" w14:textId="77777777" w:rsidR="00A74CC7" w:rsidRDefault="00A74CC7" w:rsidP="00A74CC7">
      <w:pPr>
        <w:pStyle w:val="FootnoteText"/>
      </w:pPr>
      <w:r>
        <w:rPr>
          <w:rStyle w:val="FootnoteReference"/>
        </w:rPr>
        <w:footnoteRef/>
      </w:r>
      <w:r>
        <w:t xml:space="preserve"> Ibid pg 10-11</w:t>
      </w:r>
    </w:p>
  </w:footnote>
  <w:footnote w:id="24">
    <w:p w14:paraId="3A99B2BC" w14:textId="2A971D30" w:rsidR="009C481F" w:rsidRDefault="009C481F">
      <w:pPr>
        <w:pStyle w:val="FootnoteText"/>
      </w:pPr>
      <w:r>
        <w:rPr>
          <w:rStyle w:val="FootnoteReference"/>
        </w:rPr>
        <w:footnoteRef/>
      </w:r>
      <w:r>
        <w:t xml:space="preserve"> Exhibit 8</w:t>
      </w:r>
    </w:p>
  </w:footnote>
  <w:footnote w:id="25">
    <w:p w14:paraId="6F5F295F" w14:textId="57AA20B9" w:rsidR="00DD6EF8" w:rsidRDefault="00DD6EF8">
      <w:pPr>
        <w:pStyle w:val="FootnoteText"/>
      </w:pPr>
      <w:r>
        <w:rPr>
          <w:rStyle w:val="FootnoteReference"/>
        </w:rPr>
        <w:footnoteRef/>
      </w:r>
      <w:r>
        <w:t xml:space="preserve"> S. 274(a) Children</w:t>
      </w:r>
      <w:r w:rsidR="003E27CC">
        <w:t>,</w:t>
      </w:r>
      <w:r>
        <w:t xml:space="preserve"> Youth and Families Act 2005 (Vic).</w:t>
      </w:r>
    </w:p>
  </w:footnote>
  <w:footnote w:id="26">
    <w:p w14:paraId="39CC0FD4" w14:textId="13605AF1" w:rsidR="0023033F" w:rsidRDefault="0023033F" w:rsidP="004C5195">
      <w:pPr>
        <w:pStyle w:val="FootnoteText"/>
        <w:jc w:val="both"/>
      </w:pPr>
      <w:r>
        <w:rPr>
          <w:rStyle w:val="FootnoteReference"/>
        </w:rPr>
        <w:footnoteRef/>
      </w:r>
      <w:r>
        <w:t xml:space="preserve"> </w:t>
      </w:r>
      <w:r w:rsidRPr="0023033F">
        <w:t xml:space="preserve">DHHS v County Court [2018] VSCA </w:t>
      </w:r>
      <w:r w:rsidR="00246978">
        <w:t>322</w:t>
      </w:r>
      <w:r w:rsidRPr="0023033F">
        <w:t xml:space="preserve"> at [65]</w:t>
      </w:r>
      <w:r w:rsidR="004C5195">
        <w:t>.</w:t>
      </w:r>
      <w:r w:rsidR="00EE134D">
        <w:t xml:space="preserve"> Whilst the appeal before Ginnane J concerned allegations of sexual abuse, his Honour’s reasoning is </w:t>
      </w:r>
      <w:r w:rsidR="00973642">
        <w:t xml:space="preserve">also </w:t>
      </w:r>
      <w:r w:rsidR="00EE134D">
        <w:t>applicable to allegations of emotional and physical harm.</w:t>
      </w:r>
    </w:p>
  </w:footnote>
  <w:footnote w:id="27">
    <w:p w14:paraId="0E712C62" w14:textId="0505D615" w:rsidR="001C0027" w:rsidRDefault="001C0027" w:rsidP="00B147EE">
      <w:pPr>
        <w:pStyle w:val="CommentText"/>
        <w:jc w:val="both"/>
      </w:pPr>
      <w:r w:rsidRPr="004E0889">
        <w:rPr>
          <w:rStyle w:val="FootnoteReference"/>
          <w:rFonts w:cstheme="minorHAnsi"/>
        </w:rPr>
        <w:footnoteRef/>
      </w:r>
      <w:r w:rsidRPr="004E0889">
        <w:rPr>
          <w:rFonts w:cstheme="minorHAnsi"/>
        </w:rPr>
        <w:t xml:space="preserve"> </w:t>
      </w:r>
      <w:r w:rsidRPr="004E0889">
        <w:rPr>
          <w:rFonts w:cstheme="minorHAnsi"/>
          <w:color w:val="000000"/>
        </w:rPr>
        <w:t xml:space="preserve">An order striking out an initiating document  or an element thereof is not a determination of the merits of the case and therefore does not put an end to the proceedings.  A striking out order is no more than a direction to remove the case from the list of matters for hearing and determination by the Court: </w:t>
      </w:r>
      <w:r w:rsidRPr="00D94E5D">
        <w:rPr>
          <w:rFonts w:cstheme="minorHAnsi"/>
          <w:color w:val="000000"/>
        </w:rPr>
        <w:t xml:space="preserve">see </w:t>
      </w:r>
      <w:r w:rsidRPr="00D94E5D">
        <w:rPr>
          <w:rFonts w:cstheme="minorHAnsi"/>
          <w:i/>
          <w:iCs/>
          <w:color w:val="000000"/>
        </w:rPr>
        <w:t xml:space="preserve">R v McGowan &amp; </w:t>
      </w:r>
      <w:r w:rsidRPr="004E0889">
        <w:rPr>
          <w:rFonts w:cstheme="minorHAnsi"/>
          <w:i/>
          <w:iCs/>
          <w:color w:val="000000"/>
        </w:rPr>
        <w:t>Another; ex parte Macko &amp; Sanderson</w:t>
      </w:r>
      <w:r w:rsidRPr="004E0889">
        <w:rPr>
          <w:rFonts w:cstheme="minorHAnsi"/>
          <w:color w:val="000000"/>
        </w:rPr>
        <w:t xml:space="preserve"> [1984] VR 1000 at 1002 per Kaye J; </w:t>
      </w:r>
      <w:r w:rsidRPr="004E0889">
        <w:rPr>
          <w:rFonts w:cstheme="minorHAnsi"/>
          <w:i/>
          <w:iCs/>
          <w:color w:val="000000"/>
        </w:rPr>
        <w:t xml:space="preserve">Chalker v Baldwin </w:t>
      </w:r>
      <w:r w:rsidRPr="004E0889">
        <w:rPr>
          <w:rFonts w:cstheme="minorHAnsi"/>
          <w:color w:val="000000"/>
        </w:rPr>
        <w:t xml:space="preserve">[2021] VSC 644 at [15]-[17] per Niall JA; </w:t>
      </w:r>
      <w:r w:rsidRPr="004E0889">
        <w:rPr>
          <w:rFonts w:cstheme="minorHAnsi"/>
          <w:i/>
          <w:iCs/>
          <w:color w:val="000000"/>
        </w:rPr>
        <w:t>Thurin v Krongold Constructions Aust P/L</w:t>
      </w:r>
      <w:r w:rsidRPr="004E0889">
        <w:rPr>
          <w:rFonts w:cstheme="minorHAnsi"/>
          <w:color w:val="000000"/>
        </w:rPr>
        <w:t xml:space="preserve"> [2022] VSCA 226 at [150].</w:t>
      </w:r>
    </w:p>
    <w:p w14:paraId="5C396D3D" w14:textId="26C06812" w:rsidR="001C0027" w:rsidRDefault="001C0027">
      <w:pPr>
        <w:pStyle w:val="FootnoteText"/>
      </w:pPr>
    </w:p>
  </w:footnote>
  <w:footnote w:id="28">
    <w:p w14:paraId="0B2C20DA" w14:textId="04DDFA26" w:rsidR="0047586C" w:rsidRDefault="0047586C">
      <w:pPr>
        <w:pStyle w:val="FootnoteText"/>
      </w:pPr>
      <w:r>
        <w:rPr>
          <w:rStyle w:val="FootnoteReference"/>
        </w:rPr>
        <w:footnoteRef/>
      </w:r>
      <w:r>
        <w:t xml:space="preserve"> S</w:t>
      </w:r>
      <w:r w:rsidR="00464F28">
        <w:t>ection</w:t>
      </w:r>
      <w:r>
        <w:t xml:space="preserve"> 215A Children</w:t>
      </w:r>
      <w:r w:rsidR="00464F28">
        <w:t>,</w:t>
      </w:r>
      <w:r>
        <w:t xml:space="preserve"> Youth and Families Act 2005 (Vic)</w:t>
      </w:r>
    </w:p>
  </w:footnote>
  <w:footnote w:id="29">
    <w:p w14:paraId="3F2EEAFB" w14:textId="4029B931" w:rsidR="003F322E" w:rsidRDefault="003F322E" w:rsidP="00DE3792">
      <w:pPr>
        <w:pStyle w:val="FootnoteText"/>
        <w:jc w:val="both"/>
      </w:pPr>
      <w:r>
        <w:rPr>
          <w:rStyle w:val="FootnoteReference"/>
        </w:rPr>
        <w:footnoteRef/>
      </w:r>
      <w:r>
        <w:t xml:space="preserve"> </w:t>
      </w:r>
      <w:r w:rsidR="00DE3792">
        <w:t xml:space="preserve">The reasoning of his Honour O’Bryan J in </w:t>
      </w:r>
      <w:r>
        <w:t xml:space="preserve">Director-General of Community Services of Victoria v Buckley &amp; Others VSC 1992 (Unreported) regarding significant emotional harm is </w:t>
      </w:r>
      <w:r w:rsidR="00DE3792">
        <w:t xml:space="preserve">no less </w:t>
      </w:r>
      <w:r>
        <w:t>applicable to the interpretation of significant harm as a result of physical injury</w:t>
      </w:r>
      <w:r w:rsidR="00DE3792">
        <w:t>.</w:t>
      </w:r>
    </w:p>
  </w:footnote>
  <w:footnote w:id="30">
    <w:p w14:paraId="68483902" w14:textId="420339CA" w:rsidR="00B708CB" w:rsidRDefault="00B708CB">
      <w:pPr>
        <w:pStyle w:val="FootnoteText"/>
      </w:pPr>
      <w:r>
        <w:rPr>
          <w:rStyle w:val="FootnoteReference"/>
        </w:rPr>
        <w:footnoteRef/>
      </w:r>
      <w:r>
        <w:t xml:space="preserve"> Submissions of the Secretary dated 4/11/2022 at paragraph 31</w:t>
      </w:r>
    </w:p>
  </w:footnote>
  <w:footnote w:id="31">
    <w:p w14:paraId="1F7FB736" w14:textId="68A91621" w:rsidR="00F56215" w:rsidRPr="000836A3" w:rsidRDefault="00F56215">
      <w:pPr>
        <w:pStyle w:val="FootnoteText"/>
        <w:rPr>
          <w:rFonts w:cstheme="minorHAnsi"/>
        </w:rPr>
      </w:pPr>
      <w:r w:rsidRPr="000836A3">
        <w:rPr>
          <w:rStyle w:val="FootnoteReference"/>
          <w:rFonts w:cstheme="minorHAnsi"/>
        </w:rPr>
        <w:footnoteRef/>
      </w:r>
      <w:r w:rsidRPr="000836A3">
        <w:rPr>
          <w:rFonts w:cstheme="minorHAnsi"/>
        </w:rPr>
        <w:t xml:space="preserve"> </w:t>
      </w:r>
      <w:r w:rsidRPr="000836A3">
        <w:rPr>
          <w:rFonts w:eastAsia="Times New Roman" w:cstheme="minorHAnsi"/>
          <w:color w:val="000000"/>
        </w:rPr>
        <w:t>[1996] AC 563 at 590-591</w:t>
      </w:r>
    </w:p>
  </w:footnote>
  <w:footnote w:id="32">
    <w:p w14:paraId="6BD0B3B8" w14:textId="489D1E76" w:rsidR="0089202A" w:rsidRPr="000836A3" w:rsidRDefault="0089202A">
      <w:pPr>
        <w:pStyle w:val="FootnoteText"/>
        <w:rPr>
          <w:rFonts w:cstheme="minorHAnsi"/>
        </w:rPr>
      </w:pPr>
      <w:r w:rsidRPr="000836A3">
        <w:rPr>
          <w:rStyle w:val="FootnoteReference"/>
          <w:rFonts w:cstheme="minorHAnsi"/>
        </w:rPr>
        <w:footnoteRef/>
      </w:r>
      <w:r w:rsidRPr="000836A3">
        <w:rPr>
          <w:rFonts w:cstheme="minorHAnsi"/>
        </w:rPr>
        <w:t xml:space="preserve"> In re B (Children) [2008] UKHL 35, Baroness Hale of Richmond </w:t>
      </w:r>
      <w:r w:rsidR="00A03056" w:rsidRPr="000836A3">
        <w:rPr>
          <w:rFonts w:cstheme="minorHAnsi"/>
        </w:rPr>
        <w:t xml:space="preserve">(with who all other House of Lords members hearing the appeal agreed) </w:t>
      </w:r>
      <w:r w:rsidRPr="000836A3">
        <w:rPr>
          <w:rFonts w:cstheme="minorHAnsi"/>
        </w:rPr>
        <w:t>at 54</w:t>
      </w:r>
    </w:p>
  </w:footnote>
  <w:footnote w:id="33">
    <w:p w14:paraId="20AC173C" w14:textId="24D675A5" w:rsidR="000A7AFD" w:rsidRDefault="000A7AFD">
      <w:pPr>
        <w:pStyle w:val="FootnoteText"/>
      </w:pPr>
      <w:r>
        <w:rPr>
          <w:rStyle w:val="FootnoteReference"/>
        </w:rPr>
        <w:footnoteRef/>
      </w:r>
      <w:r>
        <w:t xml:space="preserve"> Ibid at 59</w:t>
      </w:r>
    </w:p>
  </w:footnote>
  <w:footnote w:id="34">
    <w:p w14:paraId="7FC96753" w14:textId="77777777" w:rsidR="007D6ED7" w:rsidRDefault="007D6ED7" w:rsidP="007D6ED7">
      <w:pPr>
        <w:pStyle w:val="FootnoteText"/>
      </w:pPr>
      <w:r>
        <w:rPr>
          <w:rStyle w:val="FootnoteReference"/>
        </w:rPr>
        <w:footnoteRef/>
      </w:r>
      <w:r>
        <w:t xml:space="preserve"> Jones </w:t>
      </w:r>
      <w:r w:rsidRPr="004A6118">
        <w:t>v. D</w:t>
      </w:r>
      <w:r>
        <w:t>unkel</w:t>
      </w:r>
      <w:r w:rsidRPr="004A6118">
        <w:t xml:space="preserve">  [1959] HCA 8; (1959) 101 CLR 298</w:t>
      </w:r>
    </w:p>
  </w:footnote>
  <w:footnote w:id="35">
    <w:p w14:paraId="6C8DE026" w14:textId="77777777" w:rsidR="007D6ED7" w:rsidRDefault="007D6ED7" w:rsidP="00715527">
      <w:pPr>
        <w:pStyle w:val="FootnoteText"/>
        <w:jc w:val="both"/>
      </w:pPr>
      <w:r>
        <w:rPr>
          <w:rStyle w:val="FootnoteReference"/>
        </w:rPr>
        <w:footnoteRef/>
      </w:r>
      <w:r>
        <w:t xml:space="preserve"> Ibid: the precedent in Jones v Dunkeld as set out by Menzies J (at 312) “</w:t>
      </w:r>
      <w:r w:rsidRPr="004A6118">
        <w:t xml:space="preserve">(i) that the absence of the defendant </w:t>
      </w:r>
      <w:r>
        <w:t>…</w:t>
      </w:r>
      <w:r w:rsidRPr="004A6118">
        <w:t xml:space="preserve"> as a witness cannot be used to make up any deficiency of evidence; (ii) that evidence which might have been contradicted by the defendant can be accepted the more readily if the defendant fails to give evidence; (iii) 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 (at p312)</w:t>
      </w:r>
    </w:p>
  </w:footnote>
  <w:footnote w:id="36">
    <w:p w14:paraId="0D2C6AE4" w14:textId="35918A09" w:rsidR="00DB075A" w:rsidRDefault="00DB075A" w:rsidP="00715527">
      <w:pPr>
        <w:pStyle w:val="FootnoteText"/>
        <w:jc w:val="both"/>
      </w:pPr>
      <w:r>
        <w:rPr>
          <w:rStyle w:val="FootnoteReference"/>
        </w:rPr>
        <w:footnoteRef/>
      </w:r>
      <w:r>
        <w:t xml:space="preserve"> The DFFH acknowledged in evidence that despite the interim orders requiring the parents</w:t>
      </w:r>
      <w:r w:rsidR="00715527">
        <w:t>’</w:t>
      </w:r>
      <w:r>
        <w:t xml:space="preserve"> care to be supervised, from the children’s perspective, the parents have remained their primary care givers.</w:t>
      </w:r>
    </w:p>
  </w:footnote>
  <w:footnote w:id="37">
    <w:p w14:paraId="28411593" w14:textId="2B6944C7" w:rsidR="0029547E" w:rsidRDefault="0029547E">
      <w:pPr>
        <w:pStyle w:val="FootnoteText"/>
      </w:pPr>
      <w:r>
        <w:rPr>
          <w:rStyle w:val="FootnoteReference"/>
        </w:rPr>
        <w:footnoteRef/>
      </w:r>
      <w:r>
        <w:t xml:space="preserve"> See ss 162(2) and (3) of the Children</w:t>
      </w:r>
      <w:r w:rsidR="00715527">
        <w:t>,</w:t>
      </w:r>
      <w:r>
        <w:t xml:space="preserve"> Youth and Families Act 2005 (Vic)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529D2"/>
    <w:multiLevelType w:val="hybridMultilevel"/>
    <w:tmpl w:val="220A2FCA"/>
    <w:lvl w:ilvl="0" w:tplc="FFFFFFFF">
      <w:start w:val="1"/>
      <w:numFmt w:val="decimal"/>
      <w:lvlText w:val="%1."/>
      <w:lvlJc w:val="left"/>
      <w:pPr>
        <w:ind w:left="1440" w:hanging="360"/>
      </w:pPr>
    </w:lvl>
    <w:lvl w:ilvl="1" w:tplc="0C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E8E2B3F"/>
    <w:multiLevelType w:val="hybridMultilevel"/>
    <w:tmpl w:val="A8B4794E"/>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AD5"/>
    <w:rsid w:val="00007867"/>
    <w:rsid w:val="0003614C"/>
    <w:rsid w:val="0004390B"/>
    <w:rsid w:val="00065A3E"/>
    <w:rsid w:val="00074C38"/>
    <w:rsid w:val="000836A3"/>
    <w:rsid w:val="00093A9F"/>
    <w:rsid w:val="000A2A98"/>
    <w:rsid w:val="000A7AFD"/>
    <w:rsid w:val="000C1F93"/>
    <w:rsid w:val="000C4885"/>
    <w:rsid w:val="000E601D"/>
    <w:rsid w:val="000F1A83"/>
    <w:rsid w:val="00112316"/>
    <w:rsid w:val="001158CF"/>
    <w:rsid w:val="00115B5A"/>
    <w:rsid w:val="0012239A"/>
    <w:rsid w:val="00130E9F"/>
    <w:rsid w:val="00141467"/>
    <w:rsid w:val="00142B7B"/>
    <w:rsid w:val="00144F9F"/>
    <w:rsid w:val="0018036E"/>
    <w:rsid w:val="00180C96"/>
    <w:rsid w:val="00186E02"/>
    <w:rsid w:val="00193B31"/>
    <w:rsid w:val="00197B6E"/>
    <w:rsid w:val="001A2EFA"/>
    <w:rsid w:val="001A79E5"/>
    <w:rsid w:val="001B3465"/>
    <w:rsid w:val="001C0027"/>
    <w:rsid w:val="001C338A"/>
    <w:rsid w:val="001D1B3A"/>
    <w:rsid w:val="001D2D5D"/>
    <w:rsid w:val="0020505A"/>
    <w:rsid w:val="0023033F"/>
    <w:rsid w:val="00236E9E"/>
    <w:rsid w:val="0024396C"/>
    <w:rsid w:val="00246978"/>
    <w:rsid w:val="002550D4"/>
    <w:rsid w:val="00287497"/>
    <w:rsid w:val="0029547E"/>
    <w:rsid w:val="00295783"/>
    <w:rsid w:val="002A51BB"/>
    <w:rsid w:val="002A73E0"/>
    <w:rsid w:val="002B5C77"/>
    <w:rsid w:val="002E3E9A"/>
    <w:rsid w:val="00320555"/>
    <w:rsid w:val="003254DB"/>
    <w:rsid w:val="003376D3"/>
    <w:rsid w:val="0035405D"/>
    <w:rsid w:val="00355213"/>
    <w:rsid w:val="00356677"/>
    <w:rsid w:val="0036606E"/>
    <w:rsid w:val="003847F0"/>
    <w:rsid w:val="003853A5"/>
    <w:rsid w:val="00390FB0"/>
    <w:rsid w:val="003A2F8C"/>
    <w:rsid w:val="003A48D6"/>
    <w:rsid w:val="003A7EFC"/>
    <w:rsid w:val="003D1F49"/>
    <w:rsid w:val="003E27CC"/>
    <w:rsid w:val="003F322E"/>
    <w:rsid w:val="00420214"/>
    <w:rsid w:val="00430D4F"/>
    <w:rsid w:val="00435F3A"/>
    <w:rsid w:val="00452F55"/>
    <w:rsid w:val="00464F28"/>
    <w:rsid w:val="0047586C"/>
    <w:rsid w:val="00476F92"/>
    <w:rsid w:val="0048075D"/>
    <w:rsid w:val="004A6118"/>
    <w:rsid w:val="004B5704"/>
    <w:rsid w:val="004C5195"/>
    <w:rsid w:val="004D699C"/>
    <w:rsid w:val="004E0889"/>
    <w:rsid w:val="004E7BBE"/>
    <w:rsid w:val="00523AB0"/>
    <w:rsid w:val="00524BEF"/>
    <w:rsid w:val="00530E97"/>
    <w:rsid w:val="00547B4F"/>
    <w:rsid w:val="005527F4"/>
    <w:rsid w:val="00554F91"/>
    <w:rsid w:val="00563051"/>
    <w:rsid w:val="00570F90"/>
    <w:rsid w:val="005711E5"/>
    <w:rsid w:val="0057175C"/>
    <w:rsid w:val="005A1B31"/>
    <w:rsid w:val="005A2133"/>
    <w:rsid w:val="005A4B04"/>
    <w:rsid w:val="005B13E5"/>
    <w:rsid w:val="005C3439"/>
    <w:rsid w:val="005D3242"/>
    <w:rsid w:val="005D4FDB"/>
    <w:rsid w:val="005D593D"/>
    <w:rsid w:val="005D68CC"/>
    <w:rsid w:val="005F3672"/>
    <w:rsid w:val="00615832"/>
    <w:rsid w:val="00626431"/>
    <w:rsid w:val="00631973"/>
    <w:rsid w:val="00633313"/>
    <w:rsid w:val="006443D9"/>
    <w:rsid w:val="00644584"/>
    <w:rsid w:val="0065124A"/>
    <w:rsid w:val="0066438F"/>
    <w:rsid w:val="00671523"/>
    <w:rsid w:val="00685EF6"/>
    <w:rsid w:val="00695D9C"/>
    <w:rsid w:val="006B11BE"/>
    <w:rsid w:val="006B26F5"/>
    <w:rsid w:val="006C34E4"/>
    <w:rsid w:val="006E45DC"/>
    <w:rsid w:val="006E52F0"/>
    <w:rsid w:val="006F30A7"/>
    <w:rsid w:val="006F373B"/>
    <w:rsid w:val="00703768"/>
    <w:rsid w:val="00706116"/>
    <w:rsid w:val="00715527"/>
    <w:rsid w:val="00724A43"/>
    <w:rsid w:val="00760213"/>
    <w:rsid w:val="0077226C"/>
    <w:rsid w:val="00794066"/>
    <w:rsid w:val="00797D53"/>
    <w:rsid w:val="007A189C"/>
    <w:rsid w:val="007B729D"/>
    <w:rsid w:val="007D44AA"/>
    <w:rsid w:val="007D6ED7"/>
    <w:rsid w:val="007E00B2"/>
    <w:rsid w:val="007E0525"/>
    <w:rsid w:val="007E2E29"/>
    <w:rsid w:val="007F6872"/>
    <w:rsid w:val="007F71E5"/>
    <w:rsid w:val="007F7D31"/>
    <w:rsid w:val="00811E37"/>
    <w:rsid w:val="0081252E"/>
    <w:rsid w:val="00814341"/>
    <w:rsid w:val="0081537E"/>
    <w:rsid w:val="00851F43"/>
    <w:rsid w:val="00880F09"/>
    <w:rsid w:val="0089202A"/>
    <w:rsid w:val="008B55F4"/>
    <w:rsid w:val="008C322C"/>
    <w:rsid w:val="008D7895"/>
    <w:rsid w:val="008E24E4"/>
    <w:rsid w:val="008E3D5F"/>
    <w:rsid w:val="008E655B"/>
    <w:rsid w:val="0091718D"/>
    <w:rsid w:val="00921CD2"/>
    <w:rsid w:val="009235F0"/>
    <w:rsid w:val="00925D43"/>
    <w:rsid w:val="00927532"/>
    <w:rsid w:val="00935A35"/>
    <w:rsid w:val="00962921"/>
    <w:rsid w:val="0096502B"/>
    <w:rsid w:val="00971AD5"/>
    <w:rsid w:val="00973642"/>
    <w:rsid w:val="00983D3E"/>
    <w:rsid w:val="009872F2"/>
    <w:rsid w:val="009A62D2"/>
    <w:rsid w:val="009A6845"/>
    <w:rsid w:val="009A6A93"/>
    <w:rsid w:val="009B5E21"/>
    <w:rsid w:val="009C481F"/>
    <w:rsid w:val="009D7629"/>
    <w:rsid w:val="009E1942"/>
    <w:rsid w:val="009F5A11"/>
    <w:rsid w:val="00A03056"/>
    <w:rsid w:val="00A36319"/>
    <w:rsid w:val="00A37C55"/>
    <w:rsid w:val="00A562F6"/>
    <w:rsid w:val="00A61382"/>
    <w:rsid w:val="00A6412C"/>
    <w:rsid w:val="00A74CC7"/>
    <w:rsid w:val="00A87A63"/>
    <w:rsid w:val="00A91A16"/>
    <w:rsid w:val="00AB5711"/>
    <w:rsid w:val="00AB59B7"/>
    <w:rsid w:val="00AD1EB7"/>
    <w:rsid w:val="00AF57DB"/>
    <w:rsid w:val="00B00FC2"/>
    <w:rsid w:val="00B147EE"/>
    <w:rsid w:val="00B224A4"/>
    <w:rsid w:val="00B40BD2"/>
    <w:rsid w:val="00B47B51"/>
    <w:rsid w:val="00B555AE"/>
    <w:rsid w:val="00B56B75"/>
    <w:rsid w:val="00B63D95"/>
    <w:rsid w:val="00B708CB"/>
    <w:rsid w:val="00B938E7"/>
    <w:rsid w:val="00BA4AA2"/>
    <w:rsid w:val="00BB738C"/>
    <w:rsid w:val="00BB772C"/>
    <w:rsid w:val="00BC1479"/>
    <w:rsid w:val="00BC3F61"/>
    <w:rsid w:val="00BC4101"/>
    <w:rsid w:val="00BE16F0"/>
    <w:rsid w:val="00BF0E50"/>
    <w:rsid w:val="00C320DC"/>
    <w:rsid w:val="00C363A2"/>
    <w:rsid w:val="00C476EB"/>
    <w:rsid w:val="00C63F13"/>
    <w:rsid w:val="00C66217"/>
    <w:rsid w:val="00C70107"/>
    <w:rsid w:val="00C87734"/>
    <w:rsid w:val="00C97BD7"/>
    <w:rsid w:val="00CC7883"/>
    <w:rsid w:val="00CE1B1B"/>
    <w:rsid w:val="00CF28E1"/>
    <w:rsid w:val="00D32C24"/>
    <w:rsid w:val="00D32CC5"/>
    <w:rsid w:val="00D40C57"/>
    <w:rsid w:val="00D44874"/>
    <w:rsid w:val="00D47D69"/>
    <w:rsid w:val="00D6187B"/>
    <w:rsid w:val="00D66845"/>
    <w:rsid w:val="00D677BF"/>
    <w:rsid w:val="00D81970"/>
    <w:rsid w:val="00D94353"/>
    <w:rsid w:val="00D94E5D"/>
    <w:rsid w:val="00D95070"/>
    <w:rsid w:val="00DB075A"/>
    <w:rsid w:val="00DB1A55"/>
    <w:rsid w:val="00DC4328"/>
    <w:rsid w:val="00DD20AF"/>
    <w:rsid w:val="00DD638E"/>
    <w:rsid w:val="00DD6EF8"/>
    <w:rsid w:val="00DE3792"/>
    <w:rsid w:val="00E03CEC"/>
    <w:rsid w:val="00E34E3E"/>
    <w:rsid w:val="00E44428"/>
    <w:rsid w:val="00E446C4"/>
    <w:rsid w:val="00E62172"/>
    <w:rsid w:val="00E62B58"/>
    <w:rsid w:val="00E63BDF"/>
    <w:rsid w:val="00E63D75"/>
    <w:rsid w:val="00EC6A7C"/>
    <w:rsid w:val="00ED4514"/>
    <w:rsid w:val="00ED7F97"/>
    <w:rsid w:val="00EE134D"/>
    <w:rsid w:val="00EE50A8"/>
    <w:rsid w:val="00F12AAB"/>
    <w:rsid w:val="00F13884"/>
    <w:rsid w:val="00F1799B"/>
    <w:rsid w:val="00F32983"/>
    <w:rsid w:val="00F34581"/>
    <w:rsid w:val="00F366F7"/>
    <w:rsid w:val="00F40C24"/>
    <w:rsid w:val="00F420D7"/>
    <w:rsid w:val="00F4389E"/>
    <w:rsid w:val="00F5407E"/>
    <w:rsid w:val="00F56215"/>
    <w:rsid w:val="00F850F7"/>
    <w:rsid w:val="00F9318B"/>
    <w:rsid w:val="00FA3533"/>
    <w:rsid w:val="00FA3D7D"/>
    <w:rsid w:val="00FB588E"/>
    <w:rsid w:val="00FC34B8"/>
    <w:rsid w:val="00FE04BD"/>
    <w:rsid w:val="00FE5D82"/>
    <w:rsid w:val="00FF2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AEB1"/>
  <w15:docId w15:val="{BF7BCC55-E1F9-49E4-A110-E331E763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A7C"/>
    <w:pPr>
      <w:ind w:left="720"/>
      <w:contextualSpacing/>
    </w:pPr>
  </w:style>
  <w:style w:type="paragraph" w:styleId="FootnoteText">
    <w:name w:val="footnote text"/>
    <w:basedOn w:val="Normal"/>
    <w:link w:val="FootnoteTextChar"/>
    <w:uiPriority w:val="99"/>
    <w:semiHidden/>
    <w:unhideWhenUsed/>
    <w:rsid w:val="004807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75D"/>
    <w:rPr>
      <w:sz w:val="20"/>
      <w:szCs w:val="20"/>
    </w:rPr>
  </w:style>
  <w:style w:type="character" w:styleId="FootnoteReference">
    <w:name w:val="footnote reference"/>
    <w:basedOn w:val="DefaultParagraphFont"/>
    <w:uiPriority w:val="99"/>
    <w:semiHidden/>
    <w:unhideWhenUsed/>
    <w:rsid w:val="0048075D"/>
    <w:rPr>
      <w:vertAlign w:val="superscript"/>
    </w:rPr>
  </w:style>
  <w:style w:type="character" w:styleId="Strong">
    <w:name w:val="Strong"/>
    <w:basedOn w:val="DefaultParagraphFont"/>
    <w:uiPriority w:val="22"/>
    <w:qFormat/>
    <w:rsid w:val="006F373B"/>
    <w:rPr>
      <w:b/>
      <w:bCs/>
    </w:rPr>
  </w:style>
  <w:style w:type="character" w:styleId="Hyperlink">
    <w:name w:val="Hyperlink"/>
    <w:basedOn w:val="DefaultParagraphFont"/>
    <w:uiPriority w:val="99"/>
    <w:unhideWhenUsed/>
    <w:rsid w:val="00AD1EB7"/>
    <w:rPr>
      <w:color w:val="0000FF"/>
      <w:u w:val="single"/>
    </w:rPr>
  </w:style>
  <w:style w:type="character" w:styleId="Emphasis">
    <w:name w:val="Emphasis"/>
    <w:basedOn w:val="DefaultParagraphFont"/>
    <w:uiPriority w:val="20"/>
    <w:qFormat/>
    <w:rsid w:val="00BB772C"/>
    <w:rPr>
      <w:i/>
      <w:iCs/>
    </w:rPr>
  </w:style>
  <w:style w:type="paragraph" w:styleId="Header">
    <w:name w:val="header"/>
    <w:basedOn w:val="Normal"/>
    <w:link w:val="HeaderChar"/>
    <w:uiPriority w:val="99"/>
    <w:unhideWhenUsed/>
    <w:rsid w:val="008B5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5F4"/>
  </w:style>
  <w:style w:type="paragraph" w:styleId="Footer">
    <w:name w:val="footer"/>
    <w:basedOn w:val="Normal"/>
    <w:link w:val="FooterChar"/>
    <w:uiPriority w:val="99"/>
    <w:unhideWhenUsed/>
    <w:rsid w:val="008B5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5F4"/>
  </w:style>
  <w:style w:type="character" w:customStyle="1" w:styleId="contentpasted1">
    <w:name w:val="contentpasted1"/>
    <w:basedOn w:val="DefaultParagraphFont"/>
    <w:rsid w:val="0020505A"/>
  </w:style>
  <w:style w:type="character" w:styleId="UnresolvedMention">
    <w:name w:val="Unresolved Mention"/>
    <w:basedOn w:val="DefaultParagraphFont"/>
    <w:uiPriority w:val="99"/>
    <w:semiHidden/>
    <w:unhideWhenUsed/>
    <w:rsid w:val="00A562F6"/>
    <w:rPr>
      <w:color w:val="605E5C"/>
      <w:shd w:val="clear" w:color="auto" w:fill="E1DFDD"/>
    </w:rPr>
  </w:style>
  <w:style w:type="paragraph" w:styleId="CommentText">
    <w:name w:val="annotation text"/>
    <w:basedOn w:val="Normal"/>
    <w:link w:val="CommentTextChar"/>
    <w:uiPriority w:val="99"/>
    <w:semiHidden/>
    <w:unhideWhenUsed/>
    <w:rsid w:val="001C0027"/>
    <w:pPr>
      <w:spacing w:line="240" w:lineRule="auto"/>
    </w:pPr>
    <w:rPr>
      <w:sz w:val="20"/>
      <w:szCs w:val="20"/>
    </w:rPr>
  </w:style>
  <w:style w:type="character" w:customStyle="1" w:styleId="CommentTextChar">
    <w:name w:val="Comment Text Char"/>
    <w:basedOn w:val="DefaultParagraphFont"/>
    <w:link w:val="CommentText"/>
    <w:uiPriority w:val="99"/>
    <w:semiHidden/>
    <w:rsid w:val="001C0027"/>
    <w:rPr>
      <w:sz w:val="20"/>
      <w:szCs w:val="20"/>
    </w:rPr>
  </w:style>
  <w:style w:type="character" w:styleId="CommentReference">
    <w:name w:val="annotation reference"/>
    <w:basedOn w:val="DefaultParagraphFont"/>
    <w:uiPriority w:val="99"/>
    <w:semiHidden/>
    <w:unhideWhenUsed/>
    <w:rsid w:val="00631973"/>
    <w:rPr>
      <w:sz w:val="16"/>
      <w:szCs w:val="16"/>
    </w:rPr>
  </w:style>
  <w:style w:type="paragraph" w:styleId="CommentSubject">
    <w:name w:val="annotation subject"/>
    <w:basedOn w:val="CommentText"/>
    <w:next w:val="CommentText"/>
    <w:link w:val="CommentSubjectChar"/>
    <w:uiPriority w:val="99"/>
    <w:semiHidden/>
    <w:unhideWhenUsed/>
    <w:rsid w:val="00631973"/>
    <w:rPr>
      <w:b/>
      <w:bCs/>
    </w:rPr>
  </w:style>
  <w:style w:type="character" w:customStyle="1" w:styleId="CommentSubjectChar">
    <w:name w:val="Comment Subject Char"/>
    <w:basedOn w:val="CommentTextChar"/>
    <w:link w:val="CommentSubject"/>
    <w:uiPriority w:val="99"/>
    <w:semiHidden/>
    <w:rsid w:val="00631973"/>
    <w:rPr>
      <w:b/>
      <w:bCs/>
      <w:sz w:val="20"/>
      <w:szCs w:val="20"/>
    </w:rPr>
  </w:style>
  <w:style w:type="table" w:customStyle="1" w:styleId="TableGrid">
    <w:name w:val="TableGrid"/>
    <w:rsid w:val="007B729D"/>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1162">
      <w:bodyDiv w:val="1"/>
      <w:marLeft w:val="0"/>
      <w:marRight w:val="0"/>
      <w:marTop w:val="0"/>
      <w:marBottom w:val="0"/>
      <w:divBdr>
        <w:top w:val="none" w:sz="0" w:space="0" w:color="auto"/>
        <w:left w:val="none" w:sz="0" w:space="0" w:color="auto"/>
        <w:bottom w:val="none" w:sz="0" w:space="0" w:color="auto"/>
        <w:right w:val="none" w:sz="0" w:space="0" w:color="auto"/>
      </w:divBdr>
    </w:div>
    <w:div w:id="189531963">
      <w:bodyDiv w:val="1"/>
      <w:marLeft w:val="0"/>
      <w:marRight w:val="0"/>
      <w:marTop w:val="0"/>
      <w:marBottom w:val="0"/>
      <w:divBdr>
        <w:top w:val="none" w:sz="0" w:space="0" w:color="auto"/>
        <w:left w:val="none" w:sz="0" w:space="0" w:color="auto"/>
        <w:bottom w:val="none" w:sz="0" w:space="0" w:color="auto"/>
        <w:right w:val="none" w:sz="0" w:space="0" w:color="auto"/>
      </w:divBdr>
    </w:div>
    <w:div w:id="266931708">
      <w:bodyDiv w:val="1"/>
      <w:marLeft w:val="0"/>
      <w:marRight w:val="0"/>
      <w:marTop w:val="0"/>
      <w:marBottom w:val="0"/>
      <w:divBdr>
        <w:top w:val="none" w:sz="0" w:space="0" w:color="auto"/>
        <w:left w:val="none" w:sz="0" w:space="0" w:color="auto"/>
        <w:bottom w:val="none" w:sz="0" w:space="0" w:color="auto"/>
        <w:right w:val="none" w:sz="0" w:space="0" w:color="auto"/>
      </w:divBdr>
    </w:div>
    <w:div w:id="133086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ournals.lww.com/jtrauma/Abstract/2003/06000/The_Positive_Predictive_Value_of_Rib_Fractures_as.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BBB5C-C4CE-431F-A9A2-1415429E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8099</Words>
  <Characters>46165</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Magistrate Melissa J Stead (CSV)</dc:creator>
  <cp:keywords/>
  <dc:description/>
  <cp:lastModifiedBy>Filiz Casey (CSV)</cp:lastModifiedBy>
  <cp:revision>2</cp:revision>
  <cp:lastPrinted>2022-12-12T04:41:00Z</cp:lastPrinted>
  <dcterms:created xsi:type="dcterms:W3CDTF">2022-12-20T03:52:00Z</dcterms:created>
  <dcterms:modified xsi:type="dcterms:W3CDTF">2022-12-20T03:52:00Z</dcterms:modified>
</cp:coreProperties>
</file>