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1012D" w14:textId="77777777" w:rsidR="00693223" w:rsidRDefault="00693223">
      <w:pPr>
        <w:pStyle w:val="Heading1"/>
        <w:numPr>
          <w:ilvl w:val="0"/>
          <w:numId w:val="0"/>
        </w:numPr>
        <w:spacing w:before="0" w:line="240" w:lineRule="auto"/>
        <w:jc w:val="center"/>
        <w:rPr>
          <w:rFonts w:ascii="Arial" w:hAnsi="Arial" w:cs="Arial"/>
          <w:b/>
          <w:bCs/>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Pr>
          <w:rFonts w:ascii="Arial" w:hAnsi="Arial" w:cs="Arial"/>
          <w:b/>
          <w:bCs/>
          <w:sz w:val="40"/>
        </w:rPr>
        <w:t xml:space="preserve">4.  FAMILY DIVISION -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ascii="Arial" w:hAnsi="Arial" w:cs="Arial"/>
          <w:b/>
          <w:bCs/>
          <w:sz w:val="40"/>
        </w:rPr>
        <w:t>GENERAL</w:t>
      </w:r>
      <w:bookmarkEnd w:id="32"/>
    </w:p>
    <w:p w14:paraId="5087260A" w14:textId="77777777" w:rsidR="00693223" w:rsidRPr="0030237B" w:rsidRDefault="00693223">
      <w:pPr>
        <w:jc w:val="both"/>
        <w:rPr>
          <w:rFonts w:ascii="Arial" w:hAnsi="Arial" w:cs="Arial"/>
          <w:sz w:val="8"/>
          <w:szCs w:val="20"/>
        </w:rPr>
      </w:pPr>
    </w:p>
    <w:p w14:paraId="6BCB2FDD" w14:textId="77777777" w:rsidR="00693223" w:rsidRPr="00F6672C" w:rsidRDefault="00693223">
      <w:pPr>
        <w:pBdr>
          <w:top w:val="single" w:sz="4" w:space="1" w:color="auto"/>
          <w:left w:val="single" w:sz="4" w:space="4" w:color="auto"/>
          <w:bottom w:val="single" w:sz="4" w:space="1" w:color="auto"/>
          <w:right w:val="single" w:sz="4" w:space="4" w:color="auto"/>
        </w:pBdr>
        <w:rPr>
          <w:rFonts w:ascii="Arial" w:hAnsi="Arial" w:cs="Arial"/>
          <w:b/>
          <w:bCs/>
          <w:sz w:val="12"/>
        </w:rPr>
      </w:pPr>
    </w:p>
    <w:p w14:paraId="6CF81024" w14:textId="77777777" w:rsidR="00693223" w:rsidRDefault="00693223">
      <w:pPr>
        <w:pBdr>
          <w:top w:val="single" w:sz="4" w:space="1" w:color="auto"/>
          <w:left w:val="single" w:sz="4" w:space="4" w:color="auto"/>
          <w:bottom w:val="single" w:sz="4" w:space="1" w:color="auto"/>
          <w:right w:val="single" w:sz="4" w:space="4" w:color="auto"/>
        </w:pBdr>
        <w:jc w:val="center"/>
        <w:rPr>
          <w:rFonts w:ascii="Arial" w:hAnsi="Arial" w:cs="Arial"/>
          <w:b/>
          <w:bCs/>
          <w:u w:val="single"/>
        </w:rPr>
      </w:pPr>
      <w:r>
        <w:rPr>
          <w:rFonts w:ascii="Arial" w:hAnsi="Arial" w:cs="Arial"/>
          <w:b/>
          <w:bCs/>
          <w:sz w:val="28"/>
          <w:u w:val="single"/>
        </w:rPr>
        <w:t>CONTENTS</w:t>
      </w:r>
    </w:p>
    <w:p w14:paraId="039033C9" w14:textId="77777777" w:rsidR="00693223" w:rsidRPr="00F6672C" w:rsidRDefault="00693223">
      <w:pPr>
        <w:pBdr>
          <w:top w:val="single" w:sz="4" w:space="1" w:color="auto"/>
          <w:left w:val="single" w:sz="4" w:space="4" w:color="auto"/>
          <w:bottom w:val="single" w:sz="4" w:space="1" w:color="auto"/>
          <w:right w:val="single" w:sz="4" w:space="4" w:color="auto"/>
        </w:pBdr>
        <w:rPr>
          <w:rFonts w:ascii="Arial" w:hAnsi="Arial" w:cs="Arial"/>
          <w:b/>
          <w:bCs/>
          <w:sz w:val="12"/>
        </w:rPr>
      </w:pPr>
    </w:p>
    <w:p w14:paraId="4E1F5F7D"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Child</w:t>
      </w:r>
      <w:r w:rsidR="00693223" w:rsidRPr="00F54387">
        <w:rPr>
          <w:rStyle w:val="Hyperlink"/>
          <w:rFonts w:ascii="Arial" w:hAnsi="Arial" w:cs="Arial"/>
          <w:b/>
          <w:bCs/>
          <w:color w:val="3333FF"/>
          <w:u w:val="none"/>
        </w:rPr>
        <w:t xml:space="preserve"> </w:t>
      </w:r>
      <w:r w:rsidR="00693223" w:rsidRPr="00F54387">
        <w:rPr>
          <w:rStyle w:val="Hyperlink"/>
          <w:rFonts w:ascii="Arial" w:hAnsi="Arial" w:cs="Arial"/>
          <w:b/>
          <w:bCs/>
          <w:color w:val="3333FF"/>
          <w:u w:val="none"/>
        </w:rPr>
        <w:t>Pr</w:t>
      </w:r>
      <w:r w:rsidR="00693223" w:rsidRPr="00F54387">
        <w:rPr>
          <w:rStyle w:val="Hyperlink"/>
          <w:rFonts w:ascii="Arial" w:hAnsi="Arial" w:cs="Arial"/>
          <w:b/>
          <w:bCs/>
          <w:color w:val="3333FF"/>
          <w:u w:val="none"/>
        </w:rPr>
        <w:t>o</w:t>
      </w:r>
      <w:r w:rsidR="00693223" w:rsidRPr="00F54387">
        <w:rPr>
          <w:rStyle w:val="Hyperlink"/>
          <w:rFonts w:ascii="Arial" w:hAnsi="Arial" w:cs="Arial"/>
          <w:b/>
          <w:bCs/>
          <w:color w:val="3333FF"/>
          <w:u w:val="none"/>
        </w:rPr>
        <w:t>te</w:t>
      </w:r>
      <w:r w:rsidR="00693223" w:rsidRPr="00F54387">
        <w:rPr>
          <w:rStyle w:val="Hyperlink"/>
          <w:rFonts w:ascii="Arial" w:hAnsi="Arial" w:cs="Arial"/>
          <w:b/>
          <w:bCs/>
          <w:color w:val="3333FF"/>
          <w:u w:val="none"/>
        </w:rPr>
        <w:t>c</w:t>
      </w:r>
      <w:r w:rsidR="00693223" w:rsidRPr="00F54387">
        <w:rPr>
          <w:rStyle w:val="Hyperlink"/>
          <w:rFonts w:ascii="Arial" w:hAnsi="Arial" w:cs="Arial"/>
          <w:b/>
          <w:bCs/>
          <w:color w:val="3333FF"/>
          <w:u w:val="none"/>
        </w:rPr>
        <w:t xml:space="preserve">tion </w:t>
      </w:r>
      <w:r w:rsidR="00940D74" w:rsidRPr="00F54387">
        <w:rPr>
          <w:rStyle w:val="Hyperlink"/>
          <w:rFonts w:ascii="Arial" w:hAnsi="Arial" w:cs="Arial"/>
          <w:b/>
          <w:bCs/>
          <w:color w:val="3333FF"/>
          <w:u w:val="none"/>
        </w:rPr>
        <w:t>Se</w:t>
      </w:r>
      <w:r w:rsidR="00940D74" w:rsidRPr="00F54387">
        <w:rPr>
          <w:rStyle w:val="Hyperlink"/>
          <w:rFonts w:ascii="Arial" w:hAnsi="Arial" w:cs="Arial"/>
          <w:b/>
          <w:bCs/>
          <w:color w:val="3333FF"/>
          <w:u w:val="none"/>
        </w:rPr>
        <w:t>r</w:t>
      </w:r>
      <w:r w:rsidR="00940D74" w:rsidRPr="00F54387">
        <w:rPr>
          <w:rStyle w:val="Hyperlink"/>
          <w:rFonts w:ascii="Arial" w:hAnsi="Arial" w:cs="Arial"/>
          <w:b/>
          <w:bCs/>
          <w:color w:val="3333FF"/>
          <w:u w:val="none"/>
        </w:rPr>
        <w:t>vice</w:t>
      </w:r>
      <w:r w:rsidRPr="00F54387">
        <w:rPr>
          <w:rStyle w:val="Hyperlink"/>
          <w:rFonts w:ascii="Arial" w:hAnsi="Arial" w:cs="Arial"/>
          <w:b/>
          <w:bCs/>
          <w:color w:val="3333FF"/>
          <w:u w:val="none"/>
        </w:rPr>
        <w:t xml:space="preserve"> [‘DFFH’]</w:t>
      </w:r>
    </w:p>
    <w:p w14:paraId="249F2477"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 xml:space="preserve">Functions of the </w:t>
        </w:r>
        <w:r w:rsidR="00693223" w:rsidRPr="00BE5170">
          <w:rPr>
            <w:rStyle w:val="Hyperlink"/>
            <w:rFonts w:ascii="Arial" w:hAnsi="Arial" w:cs="Arial"/>
            <w:b/>
            <w:bCs/>
            <w:sz w:val="20"/>
            <w:u w:val="none"/>
          </w:rPr>
          <w:t>C</w:t>
        </w:r>
        <w:r w:rsidR="00693223" w:rsidRPr="00BE5170">
          <w:rPr>
            <w:rStyle w:val="Hyperlink"/>
            <w:rFonts w:ascii="Arial" w:hAnsi="Arial" w:cs="Arial"/>
            <w:b/>
            <w:bCs/>
            <w:sz w:val="20"/>
            <w:u w:val="none"/>
          </w:rPr>
          <w:t>hild Protection Service</w:t>
        </w:r>
      </w:hyperlink>
    </w:p>
    <w:p w14:paraId="0846ABD8" w14:textId="77777777" w:rsidR="00A82435" w:rsidRPr="00BE5170" w:rsidRDefault="00A24F8C">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1A3B434E" w14:textId="77777777" w:rsidR="00D451AD" w:rsidRPr="00BE5170" w:rsidRDefault="00A24F8C">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4.1.3</w:t>
        </w:r>
        <w:r w:rsidR="00D451AD" w:rsidRPr="00BE5170">
          <w:rPr>
            <w:rStyle w:val="Hyperlink"/>
            <w:rFonts w:ascii="Arial" w:hAnsi="Arial" w:cs="Arial"/>
            <w:b/>
            <w:bCs/>
            <w:sz w:val="20"/>
            <w:u w:val="none"/>
          </w:rPr>
          <w:tab/>
          <w:t>Principles governing decision-making by the Child Protection Service</w:t>
        </w:r>
      </w:hyperlink>
    </w:p>
    <w:p w14:paraId="6E91C5E6" w14:textId="77777777" w:rsidR="00693223" w:rsidRPr="00BE5170" w:rsidRDefault="00A24F8C">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w:t>
        </w:r>
        <w:r w:rsidR="00693223" w:rsidRPr="00BE5170">
          <w:rPr>
            <w:rStyle w:val="Hyperlink"/>
            <w:rFonts w:ascii="Arial" w:hAnsi="Arial" w:cs="Arial"/>
            <w:b/>
            <w:bCs/>
            <w:sz w:val="20"/>
            <w:u w:val="none"/>
          </w:rPr>
          <w:t>t</w:t>
        </w:r>
        <w:r w:rsidR="00693223" w:rsidRPr="00BE5170">
          <w:rPr>
            <w:rStyle w:val="Hyperlink"/>
            <w:rFonts w:ascii="Arial" w:hAnsi="Arial" w:cs="Arial"/>
            <w:b/>
            <w:bCs/>
            <w:sz w:val="20"/>
            <w:u w:val="none"/>
          </w:rPr>
          <w:t>ervention</w:t>
        </w:r>
      </w:hyperlink>
    </w:p>
    <w:p w14:paraId="6961FC18" w14:textId="77777777" w:rsidR="00D451AD" w:rsidRPr="00BE5170" w:rsidRDefault="00A24F8C">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4.1.5</w:t>
        </w:r>
        <w:r w:rsidR="00D451AD" w:rsidRPr="00BE5170">
          <w:rPr>
            <w:rStyle w:val="Hyperlink"/>
            <w:rFonts w:ascii="Arial" w:hAnsi="Arial" w:cs="Arial"/>
            <w:b/>
            <w:bCs/>
            <w:sz w:val="20"/>
            <w:u w:val="none"/>
          </w:rPr>
          <w:tab/>
          <w:t>Statutory intervention</w:t>
        </w:r>
      </w:hyperlink>
    </w:p>
    <w:p w14:paraId="6F110227" w14:textId="77777777" w:rsidR="00CF2DFD" w:rsidRPr="00BE5170" w:rsidRDefault="00A24F8C" w:rsidP="00CF2DF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6_The_Child" w:history="1">
        <w:r w:rsidR="00CF2DFD" w:rsidRPr="00BE5170">
          <w:rPr>
            <w:rStyle w:val="Hyperlink"/>
            <w:rFonts w:ascii="Arial" w:hAnsi="Arial" w:cs="Arial"/>
            <w:b/>
            <w:bCs/>
            <w:sz w:val="20"/>
            <w:u w:val="none"/>
          </w:rPr>
          <w:tab/>
        </w:r>
        <w:r w:rsidR="00CF2DFD" w:rsidRPr="00BE5170">
          <w:rPr>
            <w:rStyle w:val="Hyperlink"/>
            <w:rFonts w:ascii="Arial" w:hAnsi="Arial" w:cs="Arial"/>
            <w:b/>
            <w:bCs/>
            <w:sz w:val="20"/>
            <w:u w:val="none"/>
          </w:rPr>
          <w:tab/>
          <w:t>4.1.6</w:t>
        </w:r>
        <w:r w:rsidR="00CF2DFD" w:rsidRPr="00BE5170">
          <w:rPr>
            <w:rStyle w:val="Hyperlink"/>
            <w:rFonts w:ascii="Arial" w:hAnsi="Arial" w:cs="Arial"/>
            <w:b/>
            <w:bCs/>
            <w:sz w:val="20"/>
            <w:u w:val="none"/>
          </w:rPr>
          <w:tab/>
          <w:t>The Child Protection Service as a model litigant</w:t>
        </w:r>
      </w:hyperlink>
    </w:p>
    <w:p w14:paraId="7A8C7F69" w14:textId="77777777" w:rsidR="00940D74" w:rsidRPr="00BE5170" w:rsidRDefault="00A24F8C" w:rsidP="00940D74">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2_Role_of" w:history="1">
        <w:r w:rsidR="00940D74" w:rsidRPr="00BE5170">
          <w:rPr>
            <w:rStyle w:val="Hyperlink"/>
            <w:rFonts w:ascii="Arial" w:hAnsi="Arial" w:cs="Arial"/>
            <w:b/>
            <w:bCs/>
            <w:u w:val="none"/>
          </w:rPr>
          <w:t>4.2</w:t>
        </w:r>
        <w:r w:rsidR="00940D74" w:rsidRPr="00BE5170">
          <w:rPr>
            <w:rStyle w:val="Hyperlink"/>
            <w:rFonts w:ascii="Arial" w:hAnsi="Arial" w:cs="Arial"/>
            <w:b/>
            <w:bCs/>
            <w:u w:val="none"/>
          </w:rPr>
          <w:tab/>
        </w:r>
        <w:r w:rsidR="00940D74" w:rsidRPr="00BE5170">
          <w:rPr>
            <w:rStyle w:val="Hyperlink"/>
            <w:rFonts w:ascii="Arial" w:hAnsi="Arial" w:cs="Arial"/>
            <w:b/>
            <w:bCs/>
            <w:u w:val="none"/>
          </w:rPr>
          <w:tab/>
          <w:t>Role of the Children’s Court in Child Protection in Victoria</w:t>
        </w:r>
      </w:hyperlink>
    </w:p>
    <w:p w14:paraId="7B00D90D" w14:textId="77777777" w:rsidR="00693223" w:rsidRPr="00BE5170" w:rsidRDefault="00A24F8C" w:rsidP="00D13996">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3_Jurisdiction_of" w:history="1">
        <w:r w:rsidR="00693223" w:rsidRPr="00BE5170">
          <w:rPr>
            <w:rStyle w:val="Hyperlink"/>
            <w:rFonts w:ascii="Arial" w:hAnsi="Arial" w:cs="Arial"/>
            <w:b/>
            <w:bCs/>
            <w:u w:val="none"/>
          </w:rPr>
          <w:t>4.</w:t>
        </w:r>
        <w:r w:rsidR="00940D74" w:rsidRPr="00BE5170">
          <w:rPr>
            <w:rStyle w:val="Hyperlink"/>
            <w:rFonts w:ascii="Arial" w:hAnsi="Arial" w:cs="Arial"/>
            <w:b/>
            <w:bCs/>
            <w:u w:val="none"/>
          </w:rPr>
          <w:t>3</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Jurisdiction of Family Division</w:t>
        </w:r>
      </w:hyperlink>
    </w:p>
    <w:p w14:paraId="6A93B5F1" w14:textId="77777777" w:rsidR="00693223" w:rsidRPr="00BE5170" w:rsidRDefault="00A24F8C"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3FB7BFE2" w14:textId="77777777" w:rsidR="00693223" w:rsidRPr="00BE5170" w:rsidRDefault="00A24F8C">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.2</w:t>
        </w:r>
        <w:r w:rsidR="00693223" w:rsidRPr="00BE5170">
          <w:rPr>
            <w:rStyle w:val="Hyperlink"/>
            <w:rFonts w:ascii="Arial" w:hAnsi="Arial" w:cs="Arial"/>
            <w:b/>
            <w:bCs/>
            <w:sz w:val="20"/>
            <w:u w:val="none"/>
          </w:rPr>
          <w:tab/>
          <w:t>Whether jurisdiction under the Family Law Act 1975 (Cth) [as amended]</w:t>
        </w:r>
      </w:hyperlink>
    </w:p>
    <w:p w14:paraId="07491912" w14:textId="77777777" w:rsidR="00693223" w:rsidRPr="00BE5170" w:rsidRDefault="00A24F8C">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4_Definitions_of" w:history="1">
        <w:r w:rsidR="00693223" w:rsidRPr="00BE5170">
          <w:rPr>
            <w:rStyle w:val="Hyperlink"/>
            <w:rFonts w:ascii="Arial" w:hAnsi="Arial" w:cs="Arial"/>
            <w:b/>
            <w:bCs/>
            <w:u w:val="none"/>
          </w:rPr>
          <w:t>4.4</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Definition</w:t>
        </w:r>
        <w:r w:rsidR="002B604A" w:rsidRPr="00BE5170">
          <w:rPr>
            <w:rStyle w:val="Hyperlink"/>
            <w:rFonts w:ascii="Arial" w:hAnsi="Arial" w:cs="Arial"/>
            <w:b/>
            <w:bCs/>
            <w:u w:val="none"/>
          </w:rPr>
          <w:t>s</w:t>
        </w:r>
        <w:r w:rsidR="00693223" w:rsidRPr="00BE5170">
          <w:rPr>
            <w:rStyle w:val="Hyperlink"/>
            <w:rFonts w:ascii="Arial" w:hAnsi="Arial" w:cs="Arial"/>
            <w:b/>
            <w:bCs/>
            <w:u w:val="none"/>
          </w:rPr>
          <w:t xml:space="preserve"> of </w:t>
        </w:r>
        <w:r w:rsidR="002B604A" w:rsidRPr="00BE5170">
          <w:rPr>
            <w:rStyle w:val="Hyperlink"/>
            <w:rFonts w:ascii="Arial" w:hAnsi="Arial" w:cs="Arial"/>
            <w:b/>
            <w:bCs/>
            <w:u w:val="none"/>
          </w:rPr>
          <w:t>‘c</w:t>
        </w:r>
        <w:r w:rsidR="002B604A" w:rsidRPr="00BE5170">
          <w:rPr>
            <w:rStyle w:val="Hyperlink"/>
            <w:rFonts w:ascii="Arial" w:hAnsi="Arial" w:cs="Arial"/>
            <w:b/>
            <w:bCs/>
            <w:u w:val="none"/>
          </w:rPr>
          <w:t>h</w:t>
        </w:r>
        <w:r w:rsidR="002B604A" w:rsidRPr="00BE5170">
          <w:rPr>
            <w:rStyle w:val="Hyperlink"/>
            <w:rFonts w:ascii="Arial" w:hAnsi="Arial" w:cs="Arial"/>
            <w:b/>
            <w:bCs/>
            <w:u w:val="none"/>
          </w:rPr>
          <w:t>i</w:t>
        </w:r>
        <w:r w:rsidR="002B604A" w:rsidRPr="00BE5170">
          <w:rPr>
            <w:rStyle w:val="Hyperlink"/>
            <w:rFonts w:ascii="Arial" w:hAnsi="Arial" w:cs="Arial"/>
            <w:b/>
            <w:bCs/>
            <w:u w:val="none"/>
          </w:rPr>
          <w:t xml:space="preserve">ld’ &amp; </w:t>
        </w:r>
        <w:r w:rsidR="00693223" w:rsidRPr="00BE5170">
          <w:rPr>
            <w:rStyle w:val="Hyperlink"/>
            <w:rFonts w:ascii="Arial" w:hAnsi="Arial" w:cs="Arial"/>
            <w:b/>
            <w:bCs/>
            <w:u w:val="none"/>
          </w:rPr>
          <w:t>'parent'</w:t>
        </w:r>
      </w:hyperlink>
    </w:p>
    <w:p w14:paraId="1A538475" w14:textId="77777777" w:rsidR="00693223" w:rsidRPr="00BE5170" w:rsidRDefault="00A24F8C">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5_Parental_responsibility" w:history="1">
        <w:r w:rsidR="00693223" w:rsidRPr="00BE5170">
          <w:rPr>
            <w:rStyle w:val="Hyperlink"/>
            <w:rFonts w:ascii="Arial" w:hAnsi="Arial" w:cs="Arial"/>
            <w:b/>
            <w:bCs/>
            <w:u w:val="none"/>
          </w:rPr>
          <w:t>4.5</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00693223"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110D49D5" w14:textId="77777777" w:rsidR="00693223" w:rsidRPr="00BE5170" w:rsidRDefault="00A24F8C" w:rsidP="00787E9B">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4.5.1_Parental_responsibilit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45D6353D" w14:textId="77777777" w:rsidR="00787E9B" w:rsidRPr="00BE5170" w:rsidRDefault="00A24F8C"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00787E9B" w:rsidRPr="00BE5170">
          <w:rPr>
            <w:rStyle w:val="Hyperlink"/>
            <w:rFonts w:ascii="Arial" w:hAnsi="Arial" w:cs="Arial"/>
            <w:b/>
            <w:bCs/>
            <w:sz w:val="20"/>
            <w:u w:val="none"/>
          </w:rPr>
          <w:tab/>
        </w:r>
        <w:r w:rsidR="00787E9B" w:rsidRPr="00BE5170">
          <w:rPr>
            <w:rStyle w:val="Hyperlink"/>
            <w:rFonts w:ascii="Arial" w:hAnsi="Arial" w:cs="Arial"/>
            <w:b/>
            <w:bCs/>
            <w:sz w:val="20"/>
            <w:u w:val="none"/>
          </w:rPr>
          <w:tab/>
          <w:t>4.5.2</w:t>
        </w:r>
        <w:r w:rsidR="00787E9B" w:rsidRPr="00BE5170">
          <w:rPr>
            <w:rStyle w:val="Hyperlink"/>
            <w:rFonts w:ascii="Arial" w:hAnsi="Arial" w:cs="Arial"/>
            <w:b/>
            <w:bCs/>
            <w:sz w:val="20"/>
            <w:u w:val="none"/>
          </w:rPr>
          <w:tab/>
          <w:t>Where carer may exercise parental responsibility</w:t>
        </w:r>
      </w:hyperlink>
    </w:p>
    <w:p w14:paraId="45C53C3A" w14:textId="77777777" w:rsidR="00693223" w:rsidRPr="00BE5170" w:rsidRDefault="00A24F8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3AA45975" w14:textId="77777777" w:rsidR="00693223" w:rsidRPr="00BE5170" w:rsidRDefault="00A24F8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4E08B5EB" w14:textId="77777777" w:rsidR="00693223" w:rsidRPr="00BE5170" w:rsidRDefault="00A24F8C">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6_Protective_intervention" w:history="1">
        <w:r w:rsidR="00693223" w:rsidRPr="00BE5170">
          <w:rPr>
            <w:rStyle w:val="Hyperlink"/>
            <w:rFonts w:ascii="Arial" w:hAnsi="Arial" w:cs="Arial"/>
            <w:b/>
            <w:bCs/>
            <w:u w:val="none"/>
          </w:rPr>
          <w:t>4.6</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00693223"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3F37DF19" w14:textId="77777777" w:rsidR="00C64706" w:rsidRPr="00BE5170" w:rsidRDefault="00A24F8C" w:rsidP="00F6672C">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4.6.1_Anonymity_of"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4.6.1</w:t>
        </w:r>
        <w:r w:rsidR="00C64706" w:rsidRPr="00BE5170">
          <w:rPr>
            <w:rStyle w:val="Hyperlink"/>
            <w:rFonts w:ascii="Arial" w:hAnsi="Arial" w:cs="Arial"/>
            <w:b/>
            <w:bCs/>
            <w:sz w:val="20"/>
            <w:u w:val="none"/>
          </w:rPr>
          <w:tab/>
          <w:t>Anonymity of protective intervention reporter [notifier]</w:t>
        </w:r>
      </w:hyperlink>
    </w:p>
    <w:p w14:paraId="5D769D0B" w14:textId="77777777" w:rsidR="00C64706" w:rsidRPr="00BE5170" w:rsidRDefault="00A24F8C"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4.6.2</w:t>
        </w:r>
        <w:r w:rsidR="00C64706" w:rsidRPr="00BE5170">
          <w:rPr>
            <w:rStyle w:val="Hyperlink"/>
            <w:rFonts w:ascii="Arial" w:hAnsi="Arial" w:cs="Arial"/>
            <w:b/>
            <w:bCs/>
            <w:sz w:val="20"/>
            <w:u w:val="none"/>
          </w:rPr>
          <w:tab/>
          <w:t>Mandatory protective intervention report</w:t>
        </w:r>
      </w:hyperlink>
    </w:p>
    <w:p w14:paraId="2A739C78" w14:textId="77777777" w:rsidR="00693223" w:rsidRPr="00BE5170" w:rsidRDefault="00A24F8C"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4.6.</w:t>
        </w:r>
        <w:r w:rsidR="00C6470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8D3A55" w:rsidRPr="00BE5170">
          <w:rPr>
            <w:rStyle w:val="Hyperlink"/>
            <w:rFonts w:ascii="Arial" w:hAnsi="Arial" w:cs="Arial"/>
            <w:b/>
            <w:bCs/>
            <w:sz w:val="20"/>
            <w:u w:val="none"/>
          </w:rPr>
          <w:t>Child protection reports by report source – 1999-2000 &amp; 200</w:t>
        </w:r>
        <w:r w:rsidR="008B3B03" w:rsidRPr="00BE5170">
          <w:rPr>
            <w:rStyle w:val="Hyperlink"/>
            <w:rFonts w:ascii="Arial" w:hAnsi="Arial" w:cs="Arial"/>
            <w:b/>
            <w:bCs/>
            <w:sz w:val="20"/>
            <w:u w:val="none"/>
          </w:rPr>
          <w:t>7</w:t>
        </w:r>
        <w:r w:rsidR="008D3A55" w:rsidRPr="00BE5170">
          <w:rPr>
            <w:rStyle w:val="Hyperlink"/>
            <w:rFonts w:ascii="Arial" w:hAnsi="Arial" w:cs="Arial"/>
            <w:b/>
            <w:bCs/>
            <w:sz w:val="20"/>
            <w:u w:val="none"/>
          </w:rPr>
          <w:t>-2010</w:t>
        </w:r>
      </w:hyperlink>
    </w:p>
    <w:p w14:paraId="30466988" w14:textId="77777777" w:rsidR="00693223" w:rsidRPr="00BE5170" w:rsidRDefault="0002378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4_Trends_i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4.6.</w:t>
        </w:r>
        <w:r w:rsidR="00C64706" w:rsidRPr="00BE5170">
          <w:rPr>
            <w:rStyle w:val="Hyperlink"/>
            <w:rFonts w:ascii="Arial" w:hAnsi="Arial" w:cs="Arial"/>
            <w:b/>
            <w:bCs/>
            <w:sz w:val="20"/>
            <w:u w:val="none"/>
          </w:rPr>
          <w:t>4</w:t>
        </w:r>
        <w:r w:rsidR="00693223" w:rsidRPr="00BE5170">
          <w:rPr>
            <w:rStyle w:val="Hyperlink"/>
            <w:rFonts w:ascii="Arial" w:hAnsi="Arial" w:cs="Arial"/>
            <w:b/>
            <w:bCs/>
            <w:sz w:val="20"/>
            <w:u w:val="none"/>
          </w:rPr>
          <w:tab/>
          <w:t xml:space="preserve">Trends in </w:t>
        </w:r>
        <w:r w:rsidR="008D3A55" w:rsidRPr="00BE5170">
          <w:rPr>
            <w:rStyle w:val="Hyperlink"/>
            <w:rFonts w:ascii="Arial" w:hAnsi="Arial" w:cs="Arial"/>
            <w:b/>
            <w:bCs/>
            <w:sz w:val="20"/>
            <w:u w:val="none"/>
          </w:rPr>
          <w:t xml:space="preserve">child protection </w:t>
        </w:r>
        <w:r w:rsidR="00A23E26" w:rsidRPr="00BE5170">
          <w:rPr>
            <w:rStyle w:val="Hyperlink"/>
            <w:rFonts w:ascii="Arial" w:hAnsi="Arial" w:cs="Arial"/>
            <w:b/>
            <w:bCs/>
            <w:sz w:val="20"/>
            <w:u w:val="none"/>
          </w:rPr>
          <w:t>rep</w:t>
        </w:r>
        <w:r w:rsidR="00A23E26" w:rsidRPr="00BE5170">
          <w:rPr>
            <w:rStyle w:val="Hyperlink"/>
            <w:rFonts w:ascii="Arial" w:hAnsi="Arial" w:cs="Arial"/>
            <w:b/>
            <w:bCs/>
            <w:sz w:val="20"/>
            <w:u w:val="none"/>
          </w:rPr>
          <w:t>o</w:t>
        </w:r>
        <w:r w:rsidR="00A23E26" w:rsidRPr="00BE5170">
          <w:rPr>
            <w:rStyle w:val="Hyperlink"/>
            <w:rFonts w:ascii="Arial" w:hAnsi="Arial" w:cs="Arial"/>
            <w:b/>
            <w:bCs/>
            <w:sz w:val="20"/>
            <w:u w:val="none"/>
          </w:rPr>
          <w:t>rts</w:t>
        </w:r>
        <w:r w:rsidR="00693223" w:rsidRPr="00BE5170">
          <w:rPr>
            <w:rStyle w:val="Hyperlink"/>
            <w:rFonts w:ascii="Arial" w:hAnsi="Arial" w:cs="Arial"/>
            <w:b/>
            <w:bCs/>
            <w:sz w:val="20"/>
            <w:u w:val="none"/>
          </w:rPr>
          <w:t xml:space="preserve"> 1989</w:t>
        </w:r>
        <w:r w:rsidR="00E732EA" w:rsidRPr="00BE5170">
          <w:rPr>
            <w:rStyle w:val="Hyperlink"/>
            <w:rFonts w:ascii="Arial" w:hAnsi="Arial" w:cs="Arial"/>
            <w:b/>
            <w:bCs/>
            <w:sz w:val="20"/>
            <w:u w:val="none"/>
          </w:rPr>
          <w:t>-1990</w:t>
        </w:r>
        <w:r w:rsidR="00693223" w:rsidRPr="00BE5170">
          <w:rPr>
            <w:rStyle w:val="Hyperlink"/>
            <w:rFonts w:ascii="Arial" w:hAnsi="Arial" w:cs="Arial"/>
            <w:b/>
            <w:bCs/>
            <w:sz w:val="20"/>
            <w:u w:val="none"/>
          </w:rPr>
          <w:t xml:space="preserve"> to </w:t>
        </w:r>
        <w:r w:rsidR="00240B5E" w:rsidRPr="00BE5170">
          <w:rPr>
            <w:rStyle w:val="Hyperlink"/>
            <w:rFonts w:ascii="Arial" w:hAnsi="Arial" w:cs="Arial"/>
            <w:b/>
            <w:bCs/>
            <w:sz w:val="20"/>
            <w:u w:val="none"/>
          </w:rPr>
          <w:t>201</w:t>
        </w:r>
        <w:r w:rsidR="00A309B2" w:rsidRPr="00BE5170">
          <w:rPr>
            <w:rStyle w:val="Hyperlink"/>
            <w:rFonts w:ascii="Arial" w:hAnsi="Arial" w:cs="Arial"/>
            <w:b/>
            <w:bCs/>
            <w:sz w:val="20"/>
            <w:u w:val="none"/>
          </w:rPr>
          <w:t>2</w:t>
        </w:r>
        <w:r w:rsidR="00240B5E" w:rsidRPr="00BE5170">
          <w:rPr>
            <w:rStyle w:val="Hyperlink"/>
            <w:rFonts w:ascii="Arial" w:hAnsi="Arial" w:cs="Arial"/>
            <w:b/>
            <w:bCs/>
            <w:sz w:val="20"/>
            <w:u w:val="none"/>
          </w:rPr>
          <w:t>-201</w:t>
        </w:r>
        <w:r w:rsidR="00A309B2" w:rsidRPr="00BE5170">
          <w:rPr>
            <w:rStyle w:val="Hyperlink"/>
            <w:rFonts w:ascii="Arial" w:hAnsi="Arial" w:cs="Arial"/>
            <w:b/>
            <w:bCs/>
            <w:sz w:val="20"/>
            <w:u w:val="none"/>
          </w:rPr>
          <w:t>3</w:t>
        </w:r>
      </w:hyperlink>
    </w:p>
    <w:p w14:paraId="184B5A41" w14:textId="77777777" w:rsidR="009855F0" w:rsidRPr="00BE5170" w:rsidRDefault="00A24F8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5_Australian_rate" w:history="1">
        <w:r w:rsidR="00D451AD" w:rsidRPr="00BE5170">
          <w:rPr>
            <w:rStyle w:val="Hyperlink"/>
            <w:rFonts w:ascii="Arial" w:hAnsi="Arial" w:cs="Arial"/>
            <w:b/>
            <w:bCs/>
            <w:sz w:val="20"/>
            <w:u w:val="none"/>
          </w:rPr>
          <w:tab/>
        </w:r>
        <w:r w:rsidR="009855F0" w:rsidRPr="00BE5170">
          <w:rPr>
            <w:rStyle w:val="Hyperlink"/>
            <w:rFonts w:ascii="Arial" w:hAnsi="Arial" w:cs="Arial"/>
            <w:b/>
            <w:bCs/>
            <w:sz w:val="20"/>
            <w:u w:val="none"/>
          </w:rPr>
          <w:tab/>
          <w:t>4.6.</w:t>
        </w:r>
        <w:r w:rsidR="00C64706" w:rsidRPr="00BE5170">
          <w:rPr>
            <w:rStyle w:val="Hyperlink"/>
            <w:rFonts w:ascii="Arial" w:hAnsi="Arial" w:cs="Arial"/>
            <w:b/>
            <w:bCs/>
            <w:sz w:val="20"/>
            <w:u w:val="none"/>
          </w:rPr>
          <w:t>5</w:t>
        </w:r>
        <w:r w:rsidR="009855F0" w:rsidRPr="00BE5170">
          <w:rPr>
            <w:rStyle w:val="Hyperlink"/>
            <w:rFonts w:ascii="Arial" w:hAnsi="Arial" w:cs="Arial"/>
            <w:b/>
            <w:bCs/>
            <w:sz w:val="20"/>
            <w:u w:val="none"/>
          </w:rPr>
          <w:tab/>
          <w:t>Australian</w:t>
        </w:r>
        <w:r w:rsidR="009855F0" w:rsidRPr="00BE5170">
          <w:rPr>
            <w:rStyle w:val="Hyperlink"/>
            <w:rFonts w:ascii="Arial" w:hAnsi="Arial" w:cs="Arial"/>
            <w:b/>
            <w:bCs/>
            <w:sz w:val="20"/>
            <w:u w:val="none"/>
          </w:rPr>
          <w:t xml:space="preserve"> </w:t>
        </w:r>
        <w:r w:rsidR="009855F0" w:rsidRPr="00BE5170">
          <w:rPr>
            <w:rStyle w:val="Hyperlink"/>
            <w:rFonts w:ascii="Arial" w:hAnsi="Arial" w:cs="Arial"/>
            <w:b/>
            <w:bCs/>
            <w:sz w:val="20"/>
            <w:u w:val="none"/>
          </w:rPr>
          <w:t>rate of reports of alleged child abuse</w:t>
        </w:r>
      </w:hyperlink>
    </w:p>
    <w:p w14:paraId="1DD22CE8" w14:textId="77777777" w:rsidR="00693223" w:rsidRPr="00BE5170" w:rsidRDefault="00023781">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7_Representation_of" w:history="1">
        <w:r w:rsidR="00693223" w:rsidRPr="00BE5170">
          <w:rPr>
            <w:rStyle w:val="Hyperlink"/>
            <w:rFonts w:ascii="Arial" w:hAnsi="Arial" w:cs="Arial"/>
            <w:b/>
            <w:bCs/>
            <w:u w:val="none"/>
          </w:rPr>
          <w:t>4.7</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 xml:space="preserve">Representation </w:t>
        </w:r>
        <w:r w:rsidR="00693223" w:rsidRPr="00BE5170">
          <w:rPr>
            <w:rStyle w:val="Hyperlink"/>
            <w:rFonts w:ascii="Arial" w:hAnsi="Arial" w:cs="Arial"/>
            <w:b/>
            <w:bCs/>
            <w:u w:val="none"/>
          </w:rPr>
          <w:t>o</w:t>
        </w:r>
        <w:r w:rsidR="00693223" w:rsidRPr="00BE5170">
          <w:rPr>
            <w:rStyle w:val="Hyperlink"/>
            <w:rFonts w:ascii="Arial" w:hAnsi="Arial" w:cs="Arial"/>
            <w:b/>
            <w:bCs/>
            <w:u w:val="none"/>
          </w:rPr>
          <w:t>f children in the Family Division of the Court</w:t>
        </w:r>
      </w:hyperlink>
    </w:p>
    <w:p w14:paraId="23118A16" w14:textId="77777777" w:rsidR="00C70722" w:rsidRPr="00BE5170" w:rsidRDefault="007D2F69"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00C70722" w:rsidRPr="00BE5170">
          <w:rPr>
            <w:rStyle w:val="Hyperlink"/>
            <w:rFonts w:ascii="Arial" w:hAnsi="Arial" w:cs="Arial"/>
            <w:b/>
            <w:bCs/>
            <w:sz w:val="20"/>
            <w:u w:val="none"/>
          </w:rPr>
          <w:tab/>
        </w:r>
        <w:r w:rsidR="00C70722" w:rsidRPr="00BE5170">
          <w:rPr>
            <w:rStyle w:val="Hyperlink"/>
            <w:rFonts w:ascii="Arial" w:hAnsi="Arial" w:cs="Arial"/>
            <w:b/>
            <w:bCs/>
            <w:sz w:val="20"/>
            <w:u w:val="none"/>
          </w:rPr>
          <w:tab/>
          <w:t>4.7.1</w:t>
        </w:r>
        <w:r w:rsidR="00C70722" w:rsidRPr="00BE5170">
          <w:rPr>
            <w:rStyle w:val="Hyperlink"/>
            <w:rFonts w:ascii="Arial" w:hAnsi="Arial" w:cs="Arial"/>
            <w:b/>
            <w:bCs/>
            <w:sz w:val="20"/>
            <w:u w:val="none"/>
          </w:rPr>
          <w:tab/>
          <w:t>Obligation to afford child a fair hearing</w:t>
        </w:r>
      </w:hyperlink>
    </w:p>
    <w:p w14:paraId="72EB449B" w14:textId="77777777" w:rsidR="00FB23AB" w:rsidRPr="00BE5170" w:rsidRDefault="007D2F69"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00FB23AB" w:rsidRPr="00BE5170">
          <w:rPr>
            <w:rStyle w:val="Hyperlink"/>
            <w:rFonts w:ascii="Arial" w:hAnsi="Arial" w:cs="Arial"/>
            <w:b/>
            <w:bCs/>
            <w:sz w:val="20"/>
            <w:u w:val="none"/>
          </w:rPr>
          <w:tab/>
        </w:r>
        <w:r w:rsidR="00FB23AB" w:rsidRPr="00BE5170">
          <w:rPr>
            <w:rStyle w:val="Hyperlink"/>
            <w:rFonts w:ascii="Arial" w:hAnsi="Arial" w:cs="Arial"/>
            <w:b/>
            <w:bCs/>
            <w:sz w:val="20"/>
            <w:u w:val="none"/>
          </w:rPr>
          <w:tab/>
          <w:t>4.7.2</w:t>
        </w:r>
        <w:r w:rsidR="00FB23AB" w:rsidRPr="00BE5170">
          <w:rPr>
            <w:rStyle w:val="Hyperlink"/>
            <w:rFonts w:ascii="Arial" w:hAnsi="Arial" w:cs="Arial"/>
            <w:b/>
            <w:bCs/>
            <w:sz w:val="20"/>
            <w:u w:val="none"/>
          </w:rPr>
          <w:tab/>
          <w:t>Models of child representation</w:t>
        </w:r>
      </w:hyperlink>
    </w:p>
    <w:p w14:paraId="46B3ED9D" w14:textId="77777777" w:rsidR="00693223" w:rsidRPr="00BE5170" w:rsidRDefault="007D2F69"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7FAF6AE3" w14:textId="77777777" w:rsidR="00693223" w:rsidRPr="00BE5170" w:rsidRDefault="007D2F6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r w:rsidR="0063057F" w:rsidRPr="00BE5170">
          <w:rPr>
            <w:rStyle w:val="Hyperlink"/>
            <w:rFonts w:ascii="Arial" w:hAnsi="Arial" w:cs="Arial"/>
            <w:b/>
            <w:bCs/>
            <w:sz w:val="20"/>
            <w:u w:val="none"/>
          </w:rPr>
          <w:t xml:space="preserve">Represent’n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07A471EA" w14:textId="77777777" w:rsidR="0094744E" w:rsidRPr="00BE5170" w:rsidRDefault="007D2F69"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0094744E" w:rsidRPr="00BE5170">
          <w:rPr>
            <w:rStyle w:val="Hyperlink"/>
            <w:rFonts w:ascii="Arial" w:hAnsi="Arial" w:cs="Arial"/>
            <w:b/>
            <w:bCs/>
            <w:sz w:val="20"/>
            <w:u w:val="none"/>
          </w:rPr>
          <w:tab/>
        </w:r>
        <w:r w:rsidR="0094744E"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0094744E" w:rsidRPr="00BE5170">
          <w:rPr>
            <w:rStyle w:val="Hyperlink"/>
            <w:rFonts w:ascii="Arial" w:hAnsi="Arial" w:cs="Arial"/>
            <w:b/>
            <w:bCs/>
            <w:sz w:val="20"/>
            <w:u w:val="none"/>
          </w:rPr>
          <w:tab/>
          <w:t>Representing more than one child in a proceeding</w:t>
        </w:r>
      </w:hyperlink>
    </w:p>
    <w:p w14:paraId="4AB2E3C4" w14:textId="77777777" w:rsidR="003252C3" w:rsidRPr="00BE5170" w:rsidRDefault="007D2F69"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003252C3" w:rsidRPr="00BE5170">
          <w:rPr>
            <w:rStyle w:val="Hyperlink"/>
            <w:rFonts w:ascii="Arial" w:hAnsi="Arial" w:cs="Arial"/>
            <w:b/>
            <w:bCs/>
            <w:sz w:val="20"/>
            <w:u w:val="none"/>
          </w:rPr>
          <w:tab/>
        </w:r>
        <w:r w:rsidR="003252C3"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003252C3" w:rsidRPr="00BE5170">
          <w:rPr>
            <w:rStyle w:val="Hyperlink"/>
            <w:rFonts w:ascii="Arial" w:hAnsi="Arial" w:cs="Arial"/>
            <w:b/>
            <w:bCs/>
            <w:sz w:val="20"/>
            <w:u w:val="none"/>
          </w:rPr>
          <w:tab/>
          <w:t>Child repres</w:t>
        </w:r>
        <w:r w:rsidR="003252C3" w:rsidRPr="00BE5170">
          <w:rPr>
            <w:rStyle w:val="Hyperlink"/>
            <w:rFonts w:ascii="Arial" w:hAnsi="Arial" w:cs="Arial"/>
            <w:b/>
            <w:bCs/>
            <w:sz w:val="20"/>
            <w:u w:val="none"/>
          </w:rPr>
          <w:t>e</w:t>
        </w:r>
        <w:r w:rsidR="003252C3" w:rsidRPr="00BE5170">
          <w:rPr>
            <w:rStyle w:val="Hyperlink"/>
            <w:rFonts w:ascii="Arial" w:hAnsi="Arial" w:cs="Arial"/>
            <w:b/>
            <w:bCs/>
            <w:sz w:val="20"/>
            <w:u w:val="none"/>
          </w:rPr>
          <w:t>ntation in Children's Court and Family Court compared</w:t>
        </w:r>
      </w:hyperlink>
    </w:p>
    <w:p w14:paraId="4BD8B42A" w14:textId="77777777" w:rsidR="00693223" w:rsidRPr="00BE5170" w:rsidRDefault="007D2F6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00D451AD"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5384808E" w14:textId="77777777" w:rsidR="00F917A7" w:rsidRPr="00BE5170" w:rsidRDefault="007D2F69"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00F917A7" w:rsidRPr="00BE5170">
          <w:rPr>
            <w:rStyle w:val="Hyperlink"/>
            <w:rFonts w:ascii="Arial" w:hAnsi="Arial" w:cs="Arial"/>
            <w:b/>
            <w:bCs/>
            <w:sz w:val="20"/>
            <w:u w:val="none"/>
          </w:rPr>
          <w:tab/>
        </w:r>
        <w:r w:rsidR="00F917A7"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00F917A7" w:rsidRPr="00BE5170">
          <w:rPr>
            <w:rStyle w:val="Hyperlink"/>
            <w:rFonts w:ascii="Arial" w:hAnsi="Arial" w:cs="Arial"/>
            <w:b/>
            <w:bCs/>
            <w:sz w:val="20"/>
            <w:u w:val="none"/>
          </w:rPr>
          <w:tab/>
          <w:t>Recommendations by Victorian Law Reform Commission</w:t>
        </w:r>
      </w:hyperlink>
    </w:p>
    <w:p w14:paraId="1D44A480" w14:textId="77777777" w:rsidR="009E5DAC" w:rsidRPr="00BE5170" w:rsidRDefault="007D2F69"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009E5DAC" w:rsidRPr="00BE5170">
          <w:rPr>
            <w:rStyle w:val="Hyperlink"/>
            <w:rFonts w:ascii="Arial" w:hAnsi="Arial" w:cs="Arial"/>
            <w:b/>
            <w:bCs/>
            <w:sz w:val="20"/>
            <w:u w:val="none"/>
          </w:rPr>
          <w:tab/>
        </w:r>
        <w:r w:rsidR="009E5DAC"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009E5DAC" w:rsidRPr="00BE5170">
          <w:rPr>
            <w:rStyle w:val="Hyperlink"/>
            <w:rFonts w:ascii="Arial" w:hAnsi="Arial" w:cs="Arial"/>
            <w:b/>
            <w:bCs/>
            <w:sz w:val="20"/>
            <w:u w:val="none"/>
          </w:rPr>
          <w:tab/>
          <w:t>Recommendations by the “Cummins Inquiry”</w:t>
        </w:r>
      </w:hyperlink>
    </w:p>
    <w:p w14:paraId="6D677EF7" w14:textId="77777777" w:rsidR="000B2C51" w:rsidRPr="00BE5170" w:rsidRDefault="007D2F69"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000B2C51" w:rsidRPr="00BE5170">
          <w:rPr>
            <w:rStyle w:val="Hyperlink"/>
            <w:rFonts w:ascii="Arial" w:hAnsi="Arial" w:cs="Arial"/>
            <w:b/>
            <w:bCs/>
            <w:sz w:val="20"/>
            <w:u w:val="none"/>
          </w:rPr>
          <w:tab/>
        </w:r>
        <w:r w:rsidR="000B2C51"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000B2C51" w:rsidRPr="00BE5170">
          <w:rPr>
            <w:rStyle w:val="Hyperlink"/>
            <w:rFonts w:ascii="Arial" w:hAnsi="Arial" w:cs="Arial"/>
            <w:b/>
            <w:bCs/>
            <w:sz w:val="20"/>
            <w:u w:val="none"/>
          </w:rPr>
          <w:tab/>
          <w:t>Representation of child who is not respondent or applicant under FVPA</w:t>
        </w:r>
      </w:hyperlink>
    </w:p>
    <w:p w14:paraId="367EB9F9" w14:textId="77777777" w:rsidR="00693223" w:rsidRPr="00BE5170" w:rsidRDefault="007D2F69">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8_Conduct_of" w:history="1">
        <w:r w:rsidR="00693223" w:rsidRPr="00BE5170">
          <w:rPr>
            <w:rStyle w:val="Hyperlink"/>
            <w:rFonts w:ascii="Arial" w:hAnsi="Arial" w:cs="Arial"/>
            <w:b/>
            <w:bCs/>
            <w:u w:val="none"/>
          </w:rPr>
          <w:t>4.8</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Conduct of proceedings in Family Division</w:t>
        </w:r>
      </w:hyperlink>
    </w:p>
    <w:p w14:paraId="36B16331" w14:textId="77777777" w:rsidR="00693223" w:rsidRPr="00BE5170" w:rsidRDefault="007D2F69"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E37318E" w14:textId="77777777" w:rsidR="00693223" w:rsidRPr="00BE5170" w:rsidRDefault="007D2F6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Court_ma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D6007D" w:rsidRPr="00BE5170">
          <w:rPr>
            <w:rStyle w:val="Hyperlink"/>
            <w:rFonts w:ascii="Arial" w:hAnsi="Arial" w:cs="Arial"/>
            <w:b/>
            <w:bCs/>
            <w:sz w:val="20"/>
            <w:u w:val="none"/>
          </w:rPr>
          <w:t>2</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674FDDC" w14:textId="77777777" w:rsidR="00D6007D" w:rsidRPr="00BE5170" w:rsidRDefault="007D2F69"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00D6007D" w:rsidRPr="00BE5170">
          <w:rPr>
            <w:rStyle w:val="Hyperlink"/>
            <w:rFonts w:ascii="Arial" w:hAnsi="Arial" w:cs="Arial"/>
            <w:b/>
            <w:bCs/>
            <w:sz w:val="20"/>
            <w:u w:val="none"/>
          </w:rPr>
          <w:tab/>
        </w:r>
        <w:r w:rsidR="00D6007D" w:rsidRPr="00BE5170">
          <w:rPr>
            <w:rStyle w:val="Hyperlink"/>
            <w:rFonts w:ascii="Arial" w:hAnsi="Arial" w:cs="Arial"/>
            <w:b/>
            <w:bCs/>
            <w:sz w:val="20"/>
            <w:u w:val="none"/>
          </w:rPr>
          <w:tab/>
          <w:t>4.8.3</w:t>
        </w:r>
        <w:r w:rsidR="00D6007D" w:rsidRPr="00BE5170">
          <w:rPr>
            <w:rStyle w:val="Hyperlink"/>
            <w:rFonts w:ascii="Arial" w:hAnsi="Arial" w:cs="Arial"/>
            <w:b/>
            <w:bCs/>
            <w:sz w:val="20"/>
            <w:u w:val="none"/>
          </w:rPr>
          <w:tab/>
          <w:t>Impact of the “bes</w:t>
        </w:r>
        <w:r w:rsidR="00D6007D" w:rsidRPr="00BE5170">
          <w:rPr>
            <w:rStyle w:val="Hyperlink"/>
            <w:rFonts w:ascii="Arial" w:hAnsi="Arial" w:cs="Arial"/>
            <w:b/>
            <w:bCs/>
            <w:sz w:val="20"/>
            <w:u w:val="none"/>
          </w:rPr>
          <w:t>t</w:t>
        </w:r>
        <w:r w:rsidR="00D6007D" w:rsidRPr="00BE5170">
          <w:rPr>
            <w:rStyle w:val="Hyperlink"/>
            <w:rFonts w:ascii="Arial" w:hAnsi="Arial" w:cs="Arial"/>
            <w:b/>
            <w:bCs/>
            <w:sz w:val="20"/>
            <w:u w:val="none"/>
          </w:rPr>
          <w:t xml:space="preserve"> interests” principle on the Court’s procedure</w:t>
        </w:r>
      </w:hyperlink>
    </w:p>
    <w:p w14:paraId="413BC2A1" w14:textId="77777777" w:rsidR="00693223" w:rsidRPr="00BE5170" w:rsidRDefault="007D2F6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48483D" w:rsidRPr="00BE5170">
          <w:rPr>
            <w:rStyle w:val="Hyperlink"/>
            <w:rFonts w:ascii="Arial" w:hAnsi="Arial" w:cs="Arial"/>
            <w:b/>
            <w:bCs/>
            <w:sz w:val="20"/>
            <w:u w:val="none"/>
          </w:rPr>
          <w:t>4</w:t>
        </w:r>
        <w:r w:rsidR="00693223" w:rsidRPr="00BE5170">
          <w:rPr>
            <w:rStyle w:val="Hyperlink"/>
            <w:rFonts w:ascii="Arial" w:hAnsi="Arial" w:cs="Arial"/>
            <w:b/>
            <w:bCs/>
            <w:sz w:val="20"/>
            <w:u w:val="none"/>
          </w:rPr>
          <w:tab/>
          <w:t>Findings on bala</w:t>
        </w:r>
        <w:r w:rsidR="00693223" w:rsidRPr="00BE5170">
          <w:rPr>
            <w:rStyle w:val="Hyperlink"/>
            <w:rFonts w:ascii="Arial" w:hAnsi="Arial" w:cs="Arial"/>
            <w:b/>
            <w:bCs/>
            <w:sz w:val="20"/>
            <w:u w:val="none"/>
          </w:rPr>
          <w:t>n</w:t>
        </w:r>
        <w:r w:rsidR="00693223" w:rsidRPr="00BE5170">
          <w:rPr>
            <w:rStyle w:val="Hyperlink"/>
            <w:rFonts w:ascii="Arial" w:hAnsi="Arial" w:cs="Arial"/>
            <w:b/>
            <w:bCs/>
            <w:sz w:val="20"/>
            <w:u w:val="none"/>
          </w:rPr>
          <w:t>ce of probabilities</w:t>
        </w:r>
      </w:hyperlink>
    </w:p>
    <w:p w14:paraId="2CA66EEF" w14:textId="77777777" w:rsidR="00693223" w:rsidRPr="00BE5170" w:rsidRDefault="007D2F6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5_Expert_evidenc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48483D" w:rsidRPr="00BE5170">
          <w:rPr>
            <w:rStyle w:val="Hyperlink"/>
            <w:rFonts w:ascii="Arial" w:hAnsi="Arial" w:cs="Arial"/>
            <w:b/>
            <w:bCs/>
            <w:sz w:val="20"/>
            <w:u w:val="none"/>
          </w:rPr>
          <w:t>5</w:t>
        </w:r>
        <w:r w:rsidR="00693223" w:rsidRPr="00BE5170">
          <w:rPr>
            <w:rStyle w:val="Hyperlink"/>
            <w:rFonts w:ascii="Arial" w:hAnsi="Arial" w:cs="Arial"/>
            <w:b/>
            <w:bCs/>
            <w:sz w:val="20"/>
            <w:u w:val="none"/>
          </w:rPr>
          <w:tab/>
          <w:t xml:space="preserve">Expert </w:t>
        </w:r>
        <w:r w:rsidR="00693223" w:rsidRPr="00BE5170">
          <w:rPr>
            <w:rStyle w:val="Hyperlink"/>
            <w:rFonts w:ascii="Arial" w:hAnsi="Arial" w:cs="Arial"/>
            <w:b/>
            <w:bCs/>
            <w:sz w:val="20"/>
            <w:u w:val="none"/>
          </w:rPr>
          <w:t>e</w:t>
        </w:r>
        <w:r w:rsidR="00693223" w:rsidRPr="00BE5170">
          <w:rPr>
            <w:rStyle w:val="Hyperlink"/>
            <w:rFonts w:ascii="Arial" w:hAnsi="Arial" w:cs="Arial"/>
            <w:b/>
            <w:bCs/>
            <w:sz w:val="20"/>
            <w:u w:val="none"/>
          </w:rPr>
          <w:t>vidence</w:t>
        </w:r>
      </w:hyperlink>
    </w:p>
    <w:p w14:paraId="07FA9581" w14:textId="77777777" w:rsidR="00775DC6" w:rsidRPr="00BE5170" w:rsidRDefault="007D7E3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00775DC6" w:rsidRPr="00BE5170">
          <w:rPr>
            <w:rStyle w:val="Hyperlink"/>
            <w:rFonts w:ascii="Arial" w:hAnsi="Arial" w:cs="Arial"/>
            <w:b/>
            <w:bCs/>
            <w:sz w:val="20"/>
            <w:u w:val="none"/>
          </w:rPr>
          <w:tab/>
        </w:r>
        <w:r w:rsidR="00775DC6" w:rsidRPr="00BE5170">
          <w:rPr>
            <w:rStyle w:val="Hyperlink"/>
            <w:rFonts w:ascii="Arial" w:hAnsi="Arial" w:cs="Arial"/>
            <w:b/>
            <w:bCs/>
            <w:sz w:val="20"/>
            <w:u w:val="none"/>
          </w:rPr>
          <w:tab/>
          <w:t>4.8.6</w:t>
        </w:r>
        <w:r w:rsidR="00775DC6" w:rsidRPr="00BE5170">
          <w:rPr>
            <w:rStyle w:val="Hyperlink"/>
            <w:rFonts w:ascii="Arial" w:hAnsi="Arial" w:cs="Arial"/>
            <w:b/>
            <w:bCs/>
            <w:sz w:val="20"/>
            <w:u w:val="none"/>
          </w:rPr>
          <w:tab/>
          <w:t>Attendance of child at Court</w:t>
        </w:r>
      </w:hyperlink>
    </w:p>
    <w:p w14:paraId="33461EB3" w14:textId="77777777" w:rsidR="00693223" w:rsidRPr="00BE5170" w:rsidRDefault="007D2F69">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9_Family_Division" w:history="1">
        <w:r w:rsidR="00693223" w:rsidRPr="00BE5170">
          <w:rPr>
            <w:rStyle w:val="Hyperlink"/>
            <w:rFonts w:ascii="Arial" w:hAnsi="Arial" w:cs="Arial"/>
            <w:b/>
            <w:bCs/>
            <w:u w:val="none"/>
          </w:rPr>
          <w:t>4.9</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Family Division Court hearings</w:t>
        </w:r>
      </w:hyperlink>
    </w:p>
    <w:p w14:paraId="241492A5" w14:textId="77777777" w:rsidR="00693223" w:rsidRPr="00BE5170" w:rsidRDefault="007D2F69"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00693223"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44A80B5" w14:textId="77777777" w:rsidR="00693223" w:rsidRPr="00BE5170" w:rsidRDefault="007D2F6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9388581" w14:textId="77777777" w:rsidR="00693223" w:rsidRPr="00BE5170" w:rsidRDefault="007D2F6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08669955" w14:textId="77777777" w:rsidR="002229EE" w:rsidRPr="00BE5170" w:rsidRDefault="007D2F6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_First_directions" w:history="1">
        <w:r w:rsidR="002229EE"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.4</w:t>
        </w:r>
        <w:r w:rsidR="002229EE" w:rsidRPr="00BE5170">
          <w:rPr>
            <w:rStyle w:val="Hyperlink"/>
            <w:rFonts w:ascii="Arial" w:hAnsi="Arial" w:cs="Arial"/>
            <w:b/>
            <w:bCs/>
            <w:sz w:val="20"/>
            <w:u w:val="none"/>
          </w:rPr>
          <w:tab/>
          <w:t xml:space="preserve">First </w:t>
        </w:r>
        <w:r w:rsidR="007867B3" w:rsidRPr="00BE5170">
          <w:rPr>
            <w:rStyle w:val="Hyperlink"/>
            <w:rFonts w:ascii="Arial" w:hAnsi="Arial" w:cs="Arial"/>
            <w:b/>
            <w:bCs/>
            <w:sz w:val="20"/>
            <w:u w:val="none"/>
          </w:rPr>
          <w:t>d</w:t>
        </w:r>
        <w:r w:rsidR="002229EE" w:rsidRPr="00BE5170">
          <w:rPr>
            <w:rStyle w:val="Hyperlink"/>
            <w:rFonts w:ascii="Arial" w:hAnsi="Arial" w:cs="Arial"/>
            <w:b/>
            <w:bCs/>
            <w:sz w:val="20"/>
            <w:u w:val="none"/>
          </w:rPr>
          <w:t>irections hearing</w:t>
        </w:r>
        <w:r w:rsidR="007867B3" w:rsidRPr="00BE5170">
          <w:rPr>
            <w:rStyle w:val="Hyperlink"/>
            <w:rFonts w:ascii="Arial" w:hAnsi="Arial" w:cs="Arial"/>
            <w:b/>
            <w:bCs/>
            <w:sz w:val="20"/>
            <w:u w:val="none"/>
          </w:rPr>
          <w:t xml:space="preserve"> &amp; Directions hearing preceding a contest</w:t>
        </w:r>
      </w:hyperlink>
    </w:p>
    <w:p w14:paraId="631501E8" w14:textId="77777777" w:rsidR="0030237B" w:rsidRPr="00BE5170" w:rsidRDefault="007D2F6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0030237B" w:rsidRPr="00BE5170">
          <w:rPr>
            <w:rStyle w:val="Hyperlink"/>
            <w:rFonts w:ascii="Arial" w:hAnsi="Arial" w:cs="Arial"/>
            <w:b/>
            <w:bCs/>
            <w:sz w:val="20"/>
            <w:u w:val="none"/>
          </w:rPr>
          <w:tab/>
        </w:r>
        <w:r w:rsidR="0030237B" w:rsidRPr="00BE5170">
          <w:rPr>
            <w:rStyle w:val="Hyperlink"/>
            <w:rFonts w:ascii="Arial" w:hAnsi="Arial" w:cs="Arial"/>
            <w:b/>
            <w:bCs/>
            <w:sz w:val="20"/>
            <w:u w:val="none"/>
          </w:rPr>
          <w:tab/>
          <w:t>4.9.4A</w:t>
        </w:r>
        <w:r w:rsidR="0030237B" w:rsidRPr="00BE5170">
          <w:rPr>
            <w:rStyle w:val="Hyperlink"/>
            <w:rFonts w:ascii="Arial" w:hAnsi="Arial" w:cs="Arial"/>
            <w:b/>
            <w:bCs/>
            <w:sz w:val="20"/>
            <w:u w:val="none"/>
          </w:rPr>
          <w:tab/>
          <w:t xml:space="preserve">Readiness </w:t>
        </w:r>
        <w:r w:rsidR="0030237B" w:rsidRPr="00BE5170">
          <w:rPr>
            <w:rStyle w:val="Hyperlink"/>
            <w:rFonts w:ascii="Arial" w:hAnsi="Arial" w:cs="Arial"/>
            <w:b/>
            <w:bCs/>
            <w:sz w:val="20"/>
            <w:u w:val="none"/>
          </w:rPr>
          <w:t>h</w:t>
        </w:r>
        <w:r w:rsidR="0030237B" w:rsidRPr="00BE5170">
          <w:rPr>
            <w:rStyle w:val="Hyperlink"/>
            <w:rFonts w:ascii="Arial" w:hAnsi="Arial" w:cs="Arial"/>
            <w:b/>
            <w:bCs/>
            <w:sz w:val="20"/>
            <w:u w:val="none"/>
          </w:rPr>
          <w:t>earings</w:t>
        </w:r>
      </w:hyperlink>
    </w:p>
    <w:p w14:paraId="37F70BAE" w14:textId="77777777" w:rsidR="00693223" w:rsidRPr="00BE5170" w:rsidRDefault="007D7E3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Contested_hearing" w:history="1">
        <w:r w:rsidR="00D451AD"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.5</w:t>
        </w:r>
        <w:r w:rsidR="00693223" w:rsidRPr="00BE5170">
          <w:rPr>
            <w:rStyle w:val="Hyperlink"/>
            <w:rFonts w:ascii="Arial" w:hAnsi="Arial" w:cs="Arial"/>
            <w:b/>
            <w:bCs/>
            <w:sz w:val="20"/>
            <w:u w:val="none"/>
          </w:rPr>
          <w:tab/>
          <w:t>Contested hearing</w:t>
        </w:r>
      </w:hyperlink>
    </w:p>
    <w:p w14:paraId="1B87E95B" w14:textId="77777777" w:rsidR="001A06D3" w:rsidRPr="00BE5170" w:rsidRDefault="007D7E3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6_Marram-Ngala_Ganbu" w:history="1">
        <w:r w:rsidR="001A06D3" w:rsidRPr="00BE5170">
          <w:rPr>
            <w:rStyle w:val="Hyperlink"/>
            <w:rFonts w:ascii="Arial" w:hAnsi="Arial" w:cs="Arial"/>
            <w:b/>
            <w:bCs/>
            <w:sz w:val="20"/>
            <w:u w:val="none"/>
          </w:rPr>
          <w:tab/>
        </w:r>
        <w:r w:rsidR="001A06D3" w:rsidRPr="00BE5170">
          <w:rPr>
            <w:rStyle w:val="Hyperlink"/>
            <w:rFonts w:ascii="Arial" w:hAnsi="Arial" w:cs="Arial"/>
            <w:b/>
            <w:bCs/>
            <w:sz w:val="20"/>
            <w:u w:val="none"/>
          </w:rPr>
          <w:tab/>
          <w:t>4.9.6</w:t>
        </w:r>
        <w:r w:rsidR="001A06D3" w:rsidRPr="00BE5170">
          <w:rPr>
            <w:rStyle w:val="Hyperlink"/>
            <w:rFonts w:ascii="Arial" w:hAnsi="Arial" w:cs="Arial"/>
            <w:b/>
            <w:bCs/>
            <w:sz w:val="20"/>
            <w:u w:val="none"/>
          </w:rPr>
          <w:tab/>
          <w:t>Marram-Nga</w:t>
        </w:r>
        <w:r w:rsidR="001A06D3" w:rsidRPr="00BE5170">
          <w:rPr>
            <w:rStyle w:val="Hyperlink"/>
            <w:rFonts w:ascii="Arial" w:hAnsi="Arial" w:cs="Arial"/>
            <w:b/>
            <w:bCs/>
            <w:sz w:val="20"/>
            <w:u w:val="none"/>
          </w:rPr>
          <w:t>l</w:t>
        </w:r>
        <w:r w:rsidR="001A06D3" w:rsidRPr="00BE5170">
          <w:rPr>
            <w:rStyle w:val="Hyperlink"/>
            <w:rFonts w:ascii="Arial" w:hAnsi="Arial" w:cs="Arial"/>
            <w:b/>
            <w:bCs/>
            <w:sz w:val="20"/>
            <w:u w:val="none"/>
          </w:rPr>
          <w:t>a Ganbu Program</w:t>
        </w:r>
      </w:hyperlink>
    </w:p>
    <w:p w14:paraId="4810050D" w14:textId="77777777" w:rsidR="00A338D2" w:rsidRPr="0030237B"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10"/>
          <w:szCs w:val="22"/>
        </w:rPr>
      </w:pPr>
    </w:p>
    <w:p w14:paraId="299E9805" w14:textId="77777777" w:rsidR="00693223" w:rsidRDefault="00693223">
      <w:pPr>
        <w:pStyle w:val="Heading1"/>
        <w:numPr>
          <w:ilvl w:val="0"/>
          <w:numId w:val="0"/>
        </w:numPr>
        <w:spacing w:before="0" w:line="240" w:lineRule="auto"/>
        <w:jc w:val="center"/>
        <w:rPr>
          <w:rFonts w:ascii="Arial" w:hAnsi="Arial" w:cs="Arial"/>
          <w:b/>
          <w:bCs/>
          <w:sz w:val="40"/>
        </w:rPr>
      </w:pPr>
      <w:r>
        <w:rPr>
          <w:rFonts w:ascii="Arial" w:hAnsi="Arial" w:cs="Arial"/>
        </w:rPr>
        <w:br w:type="page"/>
      </w:r>
      <w:r>
        <w:rPr>
          <w:rFonts w:ascii="Arial" w:hAnsi="Arial" w:cs="Arial"/>
          <w:b/>
          <w:bCs/>
          <w:sz w:val="40"/>
        </w:rPr>
        <w:lastRenderedPageBreak/>
        <w:t>4.  FAMILY DIVISION - GENERAL</w:t>
      </w:r>
    </w:p>
    <w:p w14:paraId="443AB88E" w14:textId="77777777" w:rsidR="00693223" w:rsidRPr="00E14F02" w:rsidRDefault="00693223">
      <w:pPr>
        <w:jc w:val="both"/>
        <w:rPr>
          <w:rFonts w:ascii="Arial" w:hAnsi="Arial" w:cs="Arial"/>
          <w:sz w:val="12"/>
        </w:rPr>
      </w:pPr>
    </w:p>
    <w:p w14:paraId="1BC6F708" w14:textId="77777777" w:rsidR="00693223" w:rsidRPr="00EF65CA" w:rsidRDefault="00693223">
      <w:pPr>
        <w:pBdr>
          <w:top w:val="single" w:sz="4" w:space="1" w:color="auto"/>
          <w:left w:val="single" w:sz="4" w:space="4" w:color="auto"/>
          <w:bottom w:val="single" w:sz="4" w:space="1" w:color="auto"/>
          <w:right w:val="single" w:sz="4" w:space="4" w:color="auto"/>
        </w:pBdr>
        <w:rPr>
          <w:rFonts w:ascii="Arial" w:hAnsi="Arial" w:cs="Arial"/>
          <w:b/>
          <w:bCs/>
          <w:sz w:val="10"/>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3AFFA069" w14:textId="77777777" w:rsidR="00693223" w:rsidRDefault="00693223">
      <w:pPr>
        <w:pBdr>
          <w:top w:val="single" w:sz="4" w:space="1" w:color="auto"/>
          <w:left w:val="single" w:sz="4" w:space="4" w:color="auto"/>
          <w:bottom w:val="single" w:sz="4" w:space="1" w:color="auto"/>
          <w:right w:val="single" w:sz="4" w:space="4" w:color="auto"/>
        </w:pBdr>
        <w:jc w:val="center"/>
        <w:rPr>
          <w:rFonts w:ascii="Arial" w:hAnsi="Arial" w:cs="Arial"/>
          <w:b/>
          <w:bCs/>
          <w:u w:val="single"/>
        </w:rPr>
      </w:pPr>
      <w:r>
        <w:rPr>
          <w:rFonts w:ascii="Arial" w:hAnsi="Arial" w:cs="Arial"/>
          <w:b/>
          <w:bCs/>
          <w:sz w:val="28"/>
          <w:u w:val="single"/>
        </w:rPr>
        <w:t>CONTENTS [continued]</w:t>
      </w:r>
    </w:p>
    <w:p w14:paraId="7BB99FF4" w14:textId="77777777" w:rsidR="00497924" w:rsidRPr="00BE5170" w:rsidRDefault="007D7E39" w:rsidP="00497924">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0_Alternative_Dispute" w:history="1">
        <w:r w:rsidR="00A338D2"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1B3A3C3E" w14:textId="77777777" w:rsidR="00497924" w:rsidRPr="00BE5170" w:rsidRDefault="007D7E39"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00D451AD" w:rsidRPr="00BE5170">
          <w:rPr>
            <w:rStyle w:val="Hyperlink"/>
            <w:rFonts w:ascii="Arial" w:hAnsi="Arial" w:cs="Arial"/>
            <w:b/>
            <w:bCs/>
            <w:sz w:val="20"/>
            <w:u w:val="none"/>
          </w:rPr>
          <w:tab/>
        </w:r>
        <w:r w:rsidR="00497924" w:rsidRPr="00BE5170">
          <w:rPr>
            <w:rStyle w:val="Hyperlink"/>
            <w:rFonts w:ascii="Arial" w:hAnsi="Arial" w:cs="Arial"/>
            <w:b/>
            <w:bCs/>
            <w:sz w:val="20"/>
            <w:u w:val="none"/>
          </w:rPr>
          <w:tab/>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.1</w:t>
        </w:r>
        <w:r w:rsidR="00EE4D2D" w:rsidRPr="00BE5170">
          <w:rPr>
            <w:rStyle w:val="Hyperlink"/>
            <w:rFonts w:ascii="Arial" w:hAnsi="Arial" w:cs="Arial"/>
            <w:b/>
            <w:bCs/>
            <w:sz w:val="20"/>
            <w:u w:val="none"/>
          </w:rPr>
          <w:tab/>
        </w:r>
        <w:r w:rsidR="00801CD5" w:rsidRPr="00BE5170">
          <w:rPr>
            <w:rStyle w:val="Hyperlink"/>
            <w:rFonts w:ascii="Arial" w:hAnsi="Arial" w:cs="Arial"/>
            <w:b/>
            <w:bCs/>
            <w:sz w:val="20"/>
            <w:u w:val="none"/>
          </w:rPr>
          <w:t>Concilia</w:t>
        </w:r>
        <w:r w:rsidR="009A5523" w:rsidRPr="00BE5170">
          <w:rPr>
            <w:rStyle w:val="Hyperlink"/>
            <w:rFonts w:ascii="Arial" w:hAnsi="Arial" w:cs="Arial"/>
            <w:b/>
            <w:bCs/>
            <w:sz w:val="20"/>
            <w:u w:val="none"/>
          </w:rPr>
          <w:t>tion Conferences</w:t>
        </w:r>
      </w:hyperlink>
    </w:p>
    <w:p w14:paraId="2425DFE1" w14:textId="77777777" w:rsidR="004C5BBD" w:rsidRPr="00BE5170" w:rsidRDefault="007D7E39"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004C5BBD"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5C0A8DE8" w14:textId="77777777" w:rsidR="00497924" w:rsidRPr="00BE5170" w:rsidRDefault="007D7E39"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3</w:t>
        </w:r>
        <w:r w:rsidR="009A5523"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1BF2EEF3" w14:textId="77777777" w:rsidR="0071271A" w:rsidRPr="00BE5170" w:rsidRDefault="007D7E39"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00D451AD"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51C5A8CF" w14:textId="77777777" w:rsidR="009A5523" w:rsidRPr="00BE5170" w:rsidRDefault="007D7E39"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26E9E072" w14:textId="77777777" w:rsidR="00497924" w:rsidRPr="00BE5170" w:rsidRDefault="007D7E39"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t>4.10.6</w:t>
        </w:r>
        <w:r w:rsidR="009A5523"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755447AF" w14:textId="77777777" w:rsidR="007A7BE3" w:rsidRPr="00BE5170" w:rsidRDefault="007D7E39"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3D4EEF59" w14:textId="77777777" w:rsidR="0048483D" w:rsidRPr="00BE5170" w:rsidRDefault="007D7E39"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0048483D" w:rsidRPr="00BE5170">
          <w:rPr>
            <w:rStyle w:val="Hyperlink"/>
            <w:rFonts w:ascii="Arial" w:hAnsi="Arial" w:cs="Arial"/>
            <w:b/>
            <w:bCs/>
            <w:sz w:val="20"/>
            <w:u w:val="none"/>
          </w:rPr>
          <w:tab/>
        </w:r>
        <w:r w:rsidR="0048483D"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0048483D"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1840FD08" w14:textId="77777777" w:rsidR="00F301D1" w:rsidRPr="00BE5170" w:rsidRDefault="007D7E39"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00F301D1" w:rsidRPr="00BE5170">
          <w:rPr>
            <w:rStyle w:val="Hyperlink"/>
            <w:rFonts w:ascii="Arial" w:hAnsi="Arial" w:cs="Arial"/>
            <w:b/>
            <w:bCs/>
            <w:sz w:val="20"/>
            <w:u w:val="none"/>
          </w:rPr>
          <w:tab/>
        </w:r>
        <w:r w:rsidR="00F301D1" w:rsidRPr="00BE5170">
          <w:rPr>
            <w:rStyle w:val="Hyperlink"/>
            <w:rFonts w:ascii="Arial" w:hAnsi="Arial" w:cs="Arial"/>
            <w:b/>
            <w:bCs/>
            <w:sz w:val="20"/>
            <w:u w:val="none"/>
          </w:rPr>
          <w:tab/>
          <w:t>4.10.9</w:t>
        </w:r>
        <w:r w:rsidR="00F301D1" w:rsidRPr="00BE5170">
          <w:rPr>
            <w:rStyle w:val="Hyperlink"/>
            <w:rFonts w:ascii="Arial" w:hAnsi="Arial" w:cs="Arial"/>
            <w:b/>
            <w:bCs/>
            <w:sz w:val="20"/>
            <w:u w:val="none"/>
          </w:rPr>
          <w:tab/>
          <w:t>Statistics</w:t>
        </w:r>
      </w:hyperlink>
    </w:p>
    <w:p w14:paraId="1037CB44" w14:textId="77777777" w:rsidR="00F0138C" w:rsidRPr="00BE5170" w:rsidRDefault="007D7E39"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00F0138C" w:rsidRPr="00BE5170">
          <w:rPr>
            <w:rStyle w:val="Hyperlink"/>
            <w:rFonts w:ascii="Arial" w:hAnsi="Arial" w:cs="Arial"/>
            <w:b/>
            <w:bCs/>
            <w:sz w:val="20"/>
            <w:u w:val="none"/>
          </w:rPr>
          <w:tab/>
        </w:r>
        <w:r w:rsidR="00F0138C"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00F0138C" w:rsidRPr="00BE5170">
          <w:rPr>
            <w:rStyle w:val="Hyperlink"/>
            <w:rFonts w:ascii="Arial" w:hAnsi="Arial" w:cs="Arial"/>
            <w:b/>
            <w:bCs/>
            <w:sz w:val="20"/>
            <w:u w:val="none"/>
          </w:rPr>
          <w:tab/>
          <w:t>Judicial Resolution Conferences</w:t>
        </w:r>
      </w:hyperlink>
    </w:p>
    <w:p w14:paraId="477D9B63" w14:textId="77777777" w:rsidR="00693223" w:rsidRPr="00BE5170" w:rsidRDefault="00BE517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00693223" w:rsidRPr="00BE5170">
          <w:rPr>
            <w:rStyle w:val="Hyperlink"/>
            <w:rFonts w:ascii="Arial" w:hAnsi="Arial" w:cs="Arial"/>
            <w:b/>
            <w:bCs/>
            <w:u w:val="none"/>
          </w:rPr>
          <w:t>4.1</w:t>
        </w:r>
        <w:r w:rsidR="00A338D2" w:rsidRPr="00BE5170">
          <w:rPr>
            <w:rStyle w:val="Hyperlink"/>
            <w:rFonts w:ascii="Arial" w:hAnsi="Arial" w:cs="Arial"/>
            <w:b/>
            <w:bCs/>
            <w:u w:val="none"/>
          </w:rPr>
          <w:t>1</w:t>
        </w:r>
        <w:r w:rsidR="00693223" w:rsidRPr="00BE5170">
          <w:rPr>
            <w:rStyle w:val="Hyperlink"/>
            <w:rFonts w:ascii="Arial" w:hAnsi="Arial" w:cs="Arial"/>
            <w:b/>
            <w:bCs/>
            <w:u w:val="none"/>
          </w:rPr>
          <w:tab/>
          <w:t>Children's Court &amp; Family Court compared &amp; contrasted</w:t>
        </w:r>
      </w:hyperlink>
    </w:p>
    <w:p w14:paraId="38BEFAD5" w14:textId="77777777" w:rsidR="00693223" w:rsidRPr="00BE5170" w:rsidRDefault="00BE5170" w:rsidP="007E7E01">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11A99D5D" w14:textId="77777777" w:rsidR="00693223" w:rsidRPr="00BE5170" w:rsidRDefault="00BE517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3306C669" w14:textId="77777777" w:rsidR="00693223" w:rsidRPr="00BE5170" w:rsidRDefault="00BE517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00A338D2"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25F68AE1" w14:textId="77777777" w:rsidR="00693223" w:rsidRPr="00BE5170" w:rsidRDefault="00BE517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E3AA051" w14:textId="77777777" w:rsidR="00693223" w:rsidRPr="00BE5170" w:rsidRDefault="00BE517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2A2547AD" w14:textId="77777777" w:rsidR="00693223" w:rsidRPr="00BE5170" w:rsidRDefault="00BE517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00693223" w:rsidRPr="00BE5170">
          <w:rPr>
            <w:rStyle w:val="Hyperlink"/>
            <w:rFonts w:ascii="Arial" w:hAnsi="Arial" w:cs="Arial"/>
            <w:b/>
            <w:bCs/>
            <w:u w:val="none"/>
          </w:rPr>
          <w:t>4.1</w:t>
        </w:r>
        <w:r w:rsidR="00A338D2" w:rsidRPr="00BE5170">
          <w:rPr>
            <w:rStyle w:val="Hyperlink"/>
            <w:rFonts w:ascii="Arial" w:hAnsi="Arial" w:cs="Arial"/>
            <w:b/>
            <w:bCs/>
            <w:u w:val="none"/>
          </w:rPr>
          <w:t>2</w:t>
        </w:r>
        <w:r w:rsidR="00693223" w:rsidRPr="00BE5170">
          <w:rPr>
            <w:rStyle w:val="Hyperlink"/>
            <w:rFonts w:ascii="Arial" w:hAnsi="Arial" w:cs="Arial"/>
            <w:b/>
            <w:bCs/>
            <w:u w:val="none"/>
          </w:rPr>
          <w:tab/>
          <w:t>Relationship between attachment and child's emotional wellbeing</w:t>
        </w:r>
      </w:hyperlink>
    </w:p>
    <w:p w14:paraId="733B8240" w14:textId="77777777" w:rsidR="00693223" w:rsidRPr="00BE5170" w:rsidRDefault="00BE517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00A338D2"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4D00B940" w14:textId="77777777" w:rsidR="00E14F02" w:rsidRPr="00BE5170" w:rsidRDefault="00BE5170"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00E14F02" w:rsidRPr="00BE5170">
          <w:rPr>
            <w:rStyle w:val="Hyperlink"/>
            <w:rFonts w:ascii="Arial" w:hAnsi="Arial" w:cs="Arial"/>
            <w:b/>
            <w:bCs/>
            <w:u w:val="none"/>
          </w:rPr>
          <w:t>4.14</w:t>
        </w:r>
        <w:r w:rsidR="00E14F02"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00E14F02"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00E14F02" w:rsidRPr="00BE5170">
          <w:rPr>
            <w:rStyle w:val="Hyperlink"/>
            <w:rFonts w:ascii="Arial" w:hAnsi="Arial" w:cs="Arial"/>
            <w:b/>
            <w:bCs/>
            <w:u w:val="none"/>
          </w:rPr>
          <w:t xml:space="preserve"> and parent</w:t>
        </w:r>
      </w:hyperlink>
    </w:p>
    <w:p w14:paraId="2FCFAA96" w14:textId="77777777" w:rsidR="007E7E01" w:rsidRPr="00BE5170" w:rsidRDefault="00BE5170"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4.1__“Baby" w:history="1">
        <w:r w:rsidR="007E7E01" w:rsidRPr="00BE5170">
          <w:rPr>
            <w:rStyle w:val="Hyperlink"/>
            <w:rFonts w:ascii="Arial" w:hAnsi="Arial" w:cs="Arial"/>
            <w:b/>
            <w:bCs/>
            <w:sz w:val="20"/>
            <w:u w:val="none"/>
          </w:rPr>
          <w:tab/>
        </w:r>
        <w:r w:rsidR="007E7E01" w:rsidRPr="00BE5170">
          <w:rPr>
            <w:rStyle w:val="Hyperlink"/>
            <w:rFonts w:ascii="Arial" w:hAnsi="Arial" w:cs="Arial"/>
            <w:b/>
            <w:bCs/>
            <w:sz w:val="20"/>
            <w:u w:val="none"/>
          </w:rPr>
          <w:tab/>
          <w:t>4.14.1</w:t>
        </w:r>
        <w:r w:rsidR="007E7E01" w:rsidRPr="00BE5170">
          <w:rPr>
            <w:rStyle w:val="Hyperlink"/>
            <w:rFonts w:ascii="Arial" w:hAnsi="Arial" w:cs="Arial"/>
            <w:b/>
            <w:bCs/>
            <w:sz w:val="20"/>
            <w:u w:val="none"/>
          </w:rPr>
          <w:tab/>
        </w:r>
        <w:r w:rsidR="004E7031" w:rsidRPr="00BE5170">
          <w:rPr>
            <w:rStyle w:val="Hyperlink"/>
            <w:rFonts w:ascii="Arial" w:hAnsi="Arial" w:cs="Arial"/>
            <w:b/>
            <w:bCs/>
            <w:sz w:val="20"/>
            <w:u w:val="none"/>
          </w:rPr>
          <w:t xml:space="preserve">“Baby on Board” and </w:t>
        </w:r>
        <w:r w:rsidR="00A078F1" w:rsidRPr="00BE5170">
          <w:rPr>
            <w:rStyle w:val="Hyperlink"/>
            <w:rFonts w:ascii="Arial" w:hAnsi="Arial" w:cs="Arial"/>
            <w:b/>
            <w:bCs/>
            <w:sz w:val="20"/>
            <w:u w:val="none"/>
          </w:rPr>
          <w:t>research</w:t>
        </w:r>
        <w:r w:rsidR="00C63A0D" w:rsidRPr="00BE5170">
          <w:rPr>
            <w:rStyle w:val="Hyperlink"/>
            <w:rFonts w:ascii="Arial" w:hAnsi="Arial" w:cs="Arial"/>
            <w:b/>
            <w:bCs/>
            <w:sz w:val="20"/>
            <w:u w:val="none"/>
          </w:rPr>
          <w:t xml:space="preserve"> cited therein</w:t>
        </w:r>
      </w:hyperlink>
    </w:p>
    <w:p w14:paraId="4CD00A44" w14:textId="77777777" w:rsidR="007E7E01" w:rsidRPr="00BE5170" w:rsidRDefault="00BE517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2__Case" w:history="1">
        <w:r w:rsidR="007E7E01" w:rsidRPr="00BE5170">
          <w:rPr>
            <w:rStyle w:val="Hyperlink"/>
            <w:rFonts w:ascii="Arial" w:hAnsi="Arial" w:cs="Arial"/>
            <w:b/>
            <w:bCs/>
            <w:sz w:val="20"/>
            <w:u w:val="none"/>
          </w:rPr>
          <w:tab/>
        </w:r>
        <w:r w:rsidR="007E7E01" w:rsidRPr="00BE5170">
          <w:rPr>
            <w:rStyle w:val="Hyperlink"/>
            <w:rFonts w:ascii="Arial" w:hAnsi="Arial" w:cs="Arial"/>
            <w:b/>
            <w:bCs/>
            <w:sz w:val="20"/>
            <w:u w:val="none"/>
          </w:rPr>
          <w:tab/>
          <w:t>4.14.2</w:t>
        </w:r>
        <w:r w:rsidR="007E7E01" w:rsidRPr="00BE5170">
          <w:rPr>
            <w:rStyle w:val="Hyperlink"/>
            <w:rFonts w:ascii="Arial" w:hAnsi="Arial" w:cs="Arial"/>
            <w:b/>
            <w:bCs/>
            <w:sz w:val="20"/>
            <w:u w:val="none"/>
          </w:rPr>
          <w:tab/>
          <w:t>Case law</w:t>
        </w:r>
      </w:hyperlink>
    </w:p>
    <w:p w14:paraId="6426C15F" w14:textId="77777777" w:rsidR="00F236C2" w:rsidRPr="00BE5170" w:rsidRDefault="00BE517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4.14.3</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w:t>
        </w:r>
        <w:r w:rsidR="00247BF7" w:rsidRPr="00BE5170">
          <w:rPr>
            <w:rStyle w:val="Hyperlink"/>
            <w:rFonts w:ascii="Arial" w:hAnsi="Arial" w:cs="Arial"/>
            <w:b/>
            <w:bCs/>
            <w:sz w:val="20"/>
            <w:u w:val="none"/>
          </w:rPr>
          <w:t>d</w:t>
        </w:r>
        <w:r w:rsidR="00247BF7" w:rsidRPr="00BE5170">
          <w:rPr>
            <w:rStyle w:val="Hyperlink"/>
            <w:rFonts w:ascii="Arial" w:hAnsi="Arial" w:cs="Arial"/>
            <w:b/>
            <w:bCs/>
            <w:sz w:val="20"/>
            <w:u w:val="none"/>
          </w:rPr>
          <w:t>elines</w:t>
        </w:r>
        <w:r w:rsidR="00806118" w:rsidRPr="00BE5170">
          <w:rPr>
            <w:rStyle w:val="Hyperlink"/>
            <w:rFonts w:ascii="Arial" w:hAnsi="Arial" w:cs="Arial"/>
            <w:b/>
            <w:bCs/>
            <w:sz w:val="20"/>
            <w:u w:val="none"/>
          </w:rPr>
          <w:t xml:space="preserve"> 2009</w:t>
        </w:r>
      </w:hyperlink>
    </w:p>
    <w:p w14:paraId="3DD53E37" w14:textId="77777777" w:rsidR="00EF65CA" w:rsidRPr="00BE5170" w:rsidRDefault="00BE5170" w:rsidP="00EF65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4__Contact" w:history="1">
        <w:r w:rsidR="00EF65CA" w:rsidRPr="00BE5170">
          <w:rPr>
            <w:rStyle w:val="Hyperlink"/>
            <w:rFonts w:ascii="Arial" w:hAnsi="Arial" w:cs="Arial"/>
            <w:b/>
            <w:bCs/>
            <w:sz w:val="20"/>
            <w:u w:val="none"/>
          </w:rPr>
          <w:tab/>
        </w:r>
        <w:r w:rsidR="00EF65CA" w:rsidRPr="00BE5170">
          <w:rPr>
            <w:rStyle w:val="Hyperlink"/>
            <w:rFonts w:ascii="Arial" w:hAnsi="Arial" w:cs="Arial"/>
            <w:b/>
            <w:bCs/>
            <w:sz w:val="20"/>
            <w:u w:val="none"/>
          </w:rPr>
          <w:tab/>
          <w:t>4.14.4</w:t>
        </w:r>
        <w:r w:rsidR="00EF65CA"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r w:rsidR="00EF65CA" w:rsidRPr="00BE5170">
          <w:rPr>
            <w:rStyle w:val="Hyperlink"/>
            <w:rFonts w:ascii="Arial" w:hAnsi="Arial" w:cs="Arial"/>
            <w:b/>
            <w:bCs/>
            <w:sz w:val="20"/>
            <w:u w:val="none"/>
          </w:rPr>
          <w:t xml:space="preserve"> conditions </w:t>
        </w:r>
        <w:r w:rsidR="00310561" w:rsidRPr="00BE5170">
          <w:rPr>
            <w:rStyle w:val="Hyperlink"/>
            <w:rFonts w:ascii="Arial" w:hAnsi="Arial" w:cs="Arial"/>
            <w:b/>
            <w:bCs/>
            <w:sz w:val="20"/>
            <w:u w:val="none"/>
          </w:rPr>
          <w:t xml:space="preserve">are </w:t>
        </w:r>
        <w:r w:rsidR="00EF65CA" w:rsidRPr="00BE5170">
          <w:rPr>
            <w:rStyle w:val="Hyperlink"/>
            <w:rFonts w:ascii="Arial" w:hAnsi="Arial" w:cs="Arial"/>
            <w:b/>
            <w:bCs/>
            <w:sz w:val="20"/>
            <w:u w:val="none"/>
          </w:rPr>
          <w:t>an integral part of a court order</w:t>
        </w:r>
      </w:hyperlink>
    </w:p>
    <w:p w14:paraId="38C0A29E" w14:textId="77777777" w:rsidR="00FB53EB" w:rsidRPr="00BE5170" w:rsidRDefault="00BE517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00497924"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512B4AAF" w14:textId="77777777" w:rsidR="00F034D2" w:rsidRPr="00BE5170" w:rsidRDefault="00BE5170" w:rsidP="00F034D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6_Effect_on" w:history="1">
        <w:r w:rsidR="00F034D2" w:rsidRPr="00BE5170">
          <w:rPr>
            <w:rStyle w:val="Hyperlink"/>
            <w:rFonts w:ascii="Arial" w:hAnsi="Arial" w:cs="Arial"/>
            <w:b/>
            <w:bCs/>
            <w:u w:val="none"/>
          </w:rPr>
          <w:t>4.16</w:t>
        </w:r>
        <w:r w:rsidR="00F034D2" w:rsidRPr="00BE5170">
          <w:rPr>
            <w:rStyle w:val="Hyperlink"/>
            <w:rFonts w:ascii="Arial" w:hAnsi="Arial" w:cs="Arial"/>
            <w:b/>
            <w:bCs/>
            <w:u w:val="none"/>
          </w:rPr>
          <w:tab/>
        </w:r>
        <w:r w:rsidR="006A48FD" w:rsidRPr="00BE5170">
          <w:rPr>
            <w:rStyle w:val="Hyperlink"/>
            <w:rFonts w:ascii="Arial" w:hAnsi="Arial" w:cs="Arial"/>
            <w:b/>
            <w:bCs/>
            <w:u w:val="none"/>
          </w:rPr>
          <w:t>Effect on child of separation from primary attachment figure</w:t>
        </w:r>
      </w:hyperlink>
    </w:p>
    <w:p w14:paraId="04DCF9C3" w14:textId="77777777"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r>
      <w:r w:rsidRPr="00BE5170">
        <w:rPr>
          <w:rFonts w:ascii="Arial" w:hAnsi="Arial" w:cs="Arial"/>
          <w:b/>
          <w:bCs/>
          <w:color w:val="000000"/>
        </w:rPr>
        <w:fldChar w:fldCharType="separate"/>
      </w:r>
      <w:r w:rsidR="00580B58" w:rsidRPr="00BE5170">
        <w:rPr>
          <w:rStyle w:val="Hyperlink"/>
          <w:rFonts w:ascii="Arial" w:hAnsi="Arial" w:cs="Arial"/>
          <w:b/>
          <w:bCs/>
          <w:u w:val="none"/>
        </w:rPr>
        <w:t>4.17</w:t>
      </w:r>
      <w:r w:rsidR="00580B58" w:rsidRPr="00BE5170">
        <w:rPr>
          <w:rStyle w:val="Hyperlink"/>
          <w:rFonts w:ascii="Arial" w:hAnsi="Arial" w:cs="Arial"/>
          <w:b/>
          <w:bCs/>
          <w:u w:val="none"/>
        </w:rPr>
        <w:tab/>
        <w:t>Fami</w:t>
      </w:r>
      <w:r w:rsidR="00580B58" w:rsidRPr="00BE5170">
        <w:rPr>
          <w:rStyle w:val="Hyperlink"/>
          <w:rFonts w:ascii="Arial" w:hAnsi="Arial" w:cs="Arial"/>
          <w:b/>
          <w:bCs/>
          <w:u w:val="none"/>
        </w:rPr>
        <w:t>l</w:t>
      </w:r>
      <w:r w:rsidR="00580B58" w:rsidRPr="00BE5170">
        <w:rPr>
          <w:rStyle w:val="Hyperlink"/>
          <w:rFonts w:ascii="Arial" w:hAnsi="Arial" w:cs="Arial"/>
          <w:b/>
          <w:bCs/>
          <w:u w:val="none"/>
        </w:rPr>
        <w:t>y D</w:t>
      </w:r>
      <w:r w:rsidR="00580B58" w:rsidRPr="00BE5170">
        <w:rPr>
          <w:rStyle w:val="Hyperlink"/>
          <w:rFonts w:ascii="Arial" w:hAnsi="Arial" w:cs="Arial"/>
          <w:b/>
          <w:bCs/>
          <w:u w:val="none"/>
        </w:rPr>
        <w:t>r</w:t>
      </w:r>
      <w:r w:rsidR="00580B58" w:rsidRPr="00BE5170">
        <w:rPr>
          <w:rStyle w:val="Hyperlink"/>
          <w:rFonts w:ascii="Arial" w:hAnsi="Arial" w:cs="Arial"/>
          <w:b/>
          <w:bCs/>
          <w:u w:val="none"/>
        </w:rPr>
        <w:t>ug Treatment Court</w:t>
      </w:r>
    </w:p>
    <w:p w14:paraId="2C666DAE" w14:textId="77777777" w:rsidR="00693223" w:rsidRPr="00BE5170" w:rsidRDefault="00BE5170">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BE5170">
        <w:rPr>
          <w:rFonts w:ascii="Arial" w:hAnsi="Arial" w:cs="Arial"/>
          <w:b/>
          <w:bCs/>
          <w:color w:val="000000"/>
        </w:rPr>
        <w:fldChar w:fldCharType="end"/>
      </w:r>
      <w:hyperlink w:anchor="_4.18_Some_other" w:history="1">
        <w:r w:rsidR="00E14F02" w:rsidRPr="00BE5170">
          <w:rPr>
            <w:rStyle w:val="Hyperlink"/>
            <w:rFonts w:ascii="Arial" w:hAnsi="Arial" w:cs="Arial"/>
            <w:b/>
            <w:bCs/>
            <w:u w:val="none"/>
          </w:rPr>
          <w:t>4.1</w:t>
        </w:r>
        <w:r w:rsidR="00580B58" w:rsidRPr="00BE5170">
          <w:rPr>
            <w:rStyle w:val="Hyperlink"/>
            <w:rFonts w:ascii="Arial" w:hAnsi="Arial" w:cs="Arial"/>
            <w:b/>
            <w:bCs/>
            <w:u w:val="none"/>
          </w:rPr>
          <w:t>8</w:t>
        </w:r>
        <w:r w:rsidR="00E14F02" w:rsidRPr="00BE5170">
          <w:rPr>
            <w:rStyle w:val="Hyperlink"/>
            <w:rFonts w:ascii="Arial" w:hAnsi="Arial" w:cs="Arial"/>
            <w:b/>
            <w:bCs/>
            <w:u w:val="none"/>
          </w:rPr>
          <w:tab/>
        </w:r>
        <w:r w:rsidR="00693223" w:rsidRPr="00BE5170">
          <w:rPr>
            <w:rStyle w:val="Hyperlink"/>
            <w:rFonts w:ascii="Arial" w:hAnsi="Arial" w:cs="Arial"/>
            <w:b/>
            <w:bCs/>
            <w:u w:val="none"/>
          </w:rPr>
          <w:t>Some other relevant papers</w:t>
        </w:r>
      </w:hyperlink>
    </w:p>
    <w:p w14:paraId="708A7CC2" w14:textId="77777777" w:rsidR="00693223" w:rsidRPr="00EF65CA" w:rsidRDefault="00693223">
      <w:pPr>
        <w:pBdr>
          <w:top w:val="single" w:sz="4" w:space="1" w:color="auto"/>
          <w:left w:val="single" w:sz="4" w:space="4" w:color="auto"/>
          <w:bottom w:val="single" w:sz="4" w:space="1" w:color="auto"/>
          <w:right w:val="single" w:sz="4" w:space="4" w:color="auto"/>
        </w:pBdr>
        <w:rPr>
          <w:rFonts w:ascii="Arial" w:hAnsi="Arial" w:cs="Arial"/>
          <w:b/>
          <w:bCs/>
          <w:sz w:val="10"/>
        </w:rPr>
      </w:pPr>
    </w:p>
    <w:p w14:paraId="0BE1026F" w14:textId="77777777" w:rsidR="00693223" w:rsidRPr="00E14F02" w:rsidRDefault="00693223">
      <w:pPr>
        <w:jc w:val="both"/>
        <w:rPr>
          <w:rFonts w:ascii="Arial" w:hAnsi="Arial" w:cs="Arial"/>
          <w:sz w:val="18"/>
        </w:rPr>
      </w:pPr>
    </w:p>
    <w:p w14:paraId="52271BCA"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4161E874"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City">
        <w:smartTag w:uri="urn:schemas-microsoft-com:office:smarttags" w:element="place">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641F7C56" w14:textId="77777777" w:rsidR="005B4417" w:rsidRPr="00EF65CA" w:rsidRDefault="005B4417">
      <w:pPr>
        <w:jc w:val="both"/>
        <w:rPr>
          <w:rFonts w:ascii="Arial" w:hAnsi="Arial" w:cs="Arial"/>
          <w:sz w:val="14"/>
        </w:rPr>
      </w:pPr>
    </w:p>
    <w:p w14:paraId="26F1D30C"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63A4B1A" w14:textId="77777777" w:rsidR="00693223" w:rsidRPr="00EF65CA" w:rsidRDefault="00693223">
      <w:pPr>
        <w:jc w:val="both"/>
        <w:rPr>
          <w:rFonts w:ascii="Arial" w:hAnsi="Arial" w:cs="Arial"/>
          <w:sz w:val="14"/>
        </w:rPr>
      </w:pPr>
    </w:p>
    <w:p w14:paraId="255FF2D2" w14:textId="77777777"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p>
    <w:p w14:paraId="6CF33BFA" w14:textId="77777777" w:rsidR="00693223" w:rsidRPr="00E14F02" w:rsidRDefault="00693223">
      <w:pPr>
        <w:pStyle w:val="NormalWeb"/>
        <w:spacing w:before="0" w:beforeAutospacing="0" w:after="0" w:afterAutospacing="0"/>
        <w:jc w:val="both"/>
        <w:rPr>
          <w:rFonts w:ascii="Arial" w:hAnsi="Arial" w:cs="Arial"/>
          <w:sz w:val="18"/>
          <w:szCs w:val="20"/>
        </w:rPr>
      </w:pPr>
    </w:p>
    <w:p w14:paraId="4A50CFEB" w14:textId="77777777" w:rsidR="00693223" w:rsidRDefault="00693223">
      <w:pPr>
        <w:pStyle w:val="Heading3"/>
        <w:spacing w:line="240" w:lineRule="auto"/>
        <w:rPr>
          <w:rFonts w:ascii="Arial" w:hAnsi="Arial" w:cs="Arial"/>
          <w:b/>
          <w:bCs/>
          <w:sz w:val="20"/>
        </w:rPr>
      </w:pPr>
      <w:bookmarkStart w:id="89" w:name="_Toc30644235"/>
      <w:bookmarkStart w:id="90" w:name="_Toc30644638"/>
      <w:bookmarkStart w:id="91" w:name="_Toc30645188"/>
      <w:bookmarkStart w:id="92" w:name="_Toc30646399"/>
      <w:bookmarkStart w:id="93" w:name="_Toc30646694"/>
      <w:bookmarkStart w:id="94" w:name="_Toc30646805"/>
      <w:bookmarkStart w:id="95" w:name="_Toc30648162"/>
      <w:bookmarkStart w:id="96" w:name="_Toc30649060"/>
      <w:bookmarkStart w:id="97" w:name="_Toc30649136"/>
      <w:bookmarkStart w:id="98" w:name="_Toc30649397"/>
      <w:bookmarkStart w:id="99" w:name="_Toc30649722"/>
      <w:bookmarkStart w:id="100" w:name="_Toc30651662"/>
      <w:bookmarkStart w:id="101" w:name="_Toc30652652"/>
      <w:bookmarkStart w:id="102" w:name="_Toc30652748"/>
      <w:bookmarkStart w:id="103" w:name="_Toc30654093"/>
      <w:bookmarkStart w:id="104" w:name="_Toc30654444"/>
      <w:bookmarkStart w:id="105" w:name="_Toc30655063"/>
      <w:bookmarkStart w:id="106" w:name="_Toc30655320"/>
      <w:bookmarkStart w:id="107" w:name="_Toc30656998"/>
      <w:bookmarkStart w:id="108" w:name="_Toc30661747"/>
      <w:bookmarkStart w:id="109" w:name="_Toc30666435"/>
      <w:bookmarkStart w:id="110" w:name="_Toc30666665"/>
      <w:bookmarkStart w:id="111" w:name="_Toc30667840"/>
      <w:bookmarkStart w:id="112" w:name="_Toc30669218"/>
      <w:bookmarkStart w:id="113" w:name="_Toc30671434"/>
      <w:bookmarkStart w:id="114" w:name="_Toc30673961"/>
      <w:bookmarkStart w:id="115" w:name="_Toc30691183"/>
      <w:bookmarkStart w:id="116" w:name="_Toc30691556"/>
      <w:bookmarkStart w:id="117" w:name="_Toc30691936"/>
      <w:bookmarkStart w:id="118" w:name="_Toc30692695"/>
      <w:bookmarkStart w:id="119" w:name="_Toc30693074"/>
      <w:bookmarkStart w:id="120" w:name="_Toc30693452"/>
      <w:bookmarkStart w:id="121" w:name="_Toc30693830"/>
      <w:bookmarkStart w:id="122" w:name="_Toc30694211"/>
      <w:bookmarkStart w:id="123" w:name="_Toc30698800"/>
      <w:bookmarkStart w:id="124" w:name="_Toc30699178"/>
      <w:bookmarkStart w:id="125" w:name="_Toc30699563"/>
      <w:bookmarkStart w:id="126" w:name="_Toc30700718"/>
      <w:bookmarkStart w:id="127" w:name="_Toc30701105"/>
      <w:bookmarkStart w:id="128" w:name="_Toc30743714"/>
      <w:bookmarkStart w:id="129" w:name="_Toc30754537"/>
      <w:bookmarkStart w:id="130" w:name="_Toc30756977"/>
      <w:bookmarkStart w:id="131" w:name="_Toc30757526"/>
      <w:bookmarkStart w:id="132" w:name="_Toc30757926"/>
      <w:bookmarkStart w:id="133" w:name="_Toc30762687"/>
      <w:bookmarkStart w:id="134" w:name="_Toc30767341"/>
      <w:bookmarkStart w:id="135" w:name="_Toc34823357"/>
      <w:bookmarkStart w:id="136" w:name="_4.1.1_Functions_of"/>
      <w:bookmarkStart w:id="137" w:name="B41x1"/>
      <w:bookmarkEnd w:id="136"/>
      <w:bookmarkEnd w:id="137"/>
      <w:r>
        <w:rPr>
          <w:rFonts w:ascii="Arial" w:hAnsi="Arial" w:cs="Arial"/>
          <w:b/>
          <w:bCs/>
          <w:sz w:val="20"/>
        </w:rPr>
        <w:t>4.1.1</w:t>
      </w:r>
      <w:r>
        <w:rPr>
          <w:rFonts w:ascii="Arial" w:hAnsi="Arial" w:cs="Arial"/>
          <w:b/>
          <w:bCs/>
          <w:sz w:val="20"/>
        </w:rPr>
        <w:tab/>
        <w:t>Functions of the Child Protection Service</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19454C01" w14:textId="77777777" w:rsidR="00693223" w:rsidRPr="00E14F02" w:rsidRDefault="00693223">
      <w:pPr>
        <w:pStyle w:val="Heading3"/>
        <w:spacing w:line="240" w:lineRule="auto"/>
        <w:rPr>
          <w:rFonts w:ascii="Arial" w:hAnsi="Arial" w:cs="Arial"/>
          <w:b/>
          <w:bCs/>
          <w:sz w:val="18"/>
        </w:rPr>
      </w:pPr>
    </w:p>
    <w:p w14:paraId="12818FD8" w14:textId="77777777" w:rsidR="00693223" w:rsidRDefault="00693223">
      <w:pPr>
        <w:jc w:val="both"/>
        <w:rPr>
          <w:rFonts w:ascii="Arial" w:hAnsi="Arial" w:cs="Arial"/>
          <w:sz w:val="20"/>
        </w:rPr>
      </w:pPr>
      <w:r>
        <w:rPr>
          <w:rFonts w:ascii="Arial" w:hAnsi="Arial" w:cs="Arial"/>
          <w:sz w:val="20"/>
        </w:rPr>
        <w:t xml:space="preserve">The main functions of the </w:t>
      </w:r>
      <w:r>
        <w:rPr>
          <w:rFonts w:ascii="Arial" w:hAnsi="Arial" w:cs="Arial"/>
          <w:sz w:val="20"/>
          <w:u w:val="single"/>
        </w:rPr>
        <w:t>Child Protection Service</w:t>
      </w:r>
      <w:r>
        <w:rPr>
          <w:rFonts w:ascii="Arial" w:hAnsi="Arial" w:cs="Arial"/>
          <w:sz w:val="20"/>
        </w:rPr>
        <w:t xml:space="preserve"> are:</w:t>
      </w:r>
    </w:p>
    <w:p w14:paraId="0F77FDE8" w14:textId="77777777" w:rsidR="00693223" w:rsidRDefault="00693223" w:rsidP="002239D1">
      <w:pPr>
        <w:numPr>
          <w:ilvl w:val="0"/>
          <w:numId w:val="6"/>
        </w:numPr>
        <w:tabs>
          <w:tab w:val="clear" w:pos="360"/>
          <w:tab w:val="num" w:leader="none" w:pos="363"/>
          <w:tab w:val="num" w:pos="720"/>
        </w:tabs>
        <w:ind w:left="357" w:hanging="357"/>
        <w:rPr>
          <w:sz w:val="20"/>
        </w:rPr>
      </w:pPr>
      <w:r>
        <w:rPr>
          <w:rFonts w:ascii="Arial" w:hAnsi="Arial" w:cs="Arial"/>
          <w:sz w:val="20"/>
        </w:rPr>
        <w:t>to investigate matters where it is alleged that a child is at risk of significant harm;</w:t>
      </w:r>
    </w:p>
    <w:p w14:paraId="095455BF" w14:textId="77777777" w:rsidR="00693223" w:rsidRDefault="00693223" w:rsidP="002239D1">
      <w:pPr>
        <w:numPr>
          <w:ilvl w:val="0"/>
          <w:numId w:val="6"/>
        </w:numPr>
        <w:tabs>
          <w:tab w:val="clear" w:pos="360"/>
          <w:tab w:val="num" w:leader="none" w:pos="363"/>
          <w:tab w:val="num" w:pos="720"/>
        </w:tabs>
        <w:rPr>
          <w:sz w:val="20"/>
        </w:rPr>
      </w:pPr>
      <w:r>
        <w:rPr>
          <w:rFonts w:ascii="Arial" w:hAnsi="Arial" w:cs="Arial"/>
          <w:sz w:val="20"/>
        </w:rPr>
        <w:t>to refer children and families to services that assist in providing the ongoing safety and well-being of the children;</w:t>
      </w:r>
    </w:p>
    <w:p w14:paraId="036A372A" w14:textId="77777777" w:rsidR="00693223" w:rsidRDefault="00693223" w:rsidP="002239D1">
      <w:pPr>
        <w:numPr>
          <w:ilvl w:val="0"/>
          <w:numId w:val="6"/>
        </w:numPr>
        <w:tabs>
          <w:tab w:val="clear" w:pos="360"/>
          <w:tab w:val="num" w:leader="none" w:pos="363"/>
          <w:tab w:val="num" w:pos="720"/>
        </w:tabs>
        <w:rPr>
          <w:sz w:val="20"/>
        </w:rPr>
      </w:pPr>
      <w:r>
        <w:rPr>
          <w:rFonts w:ascii="Arial" w:hAnsi="Arial" w:cs="Arial"/>
          <w:sz w:val="20"/>
        </w:rPr>
        <w:lastRenderedPageBreak/>
        <w:t>to take matters before the Children's Court if the child's safety cannot be ensured within the family;</w:t>
      </w:r>
    </w:p>
    <w:p w14:paraId="1CD2F145" w14:textId="77777777" w:rsidR="00693223" w:rsidRDefault="00693223" w:rsidP="002239D1">
      <w:pPr>
        <w:numPr>
          <w:ilvl w:val="0"/>
          <w:numId w:val="6"/>
        </w:numPr>
        <w:tabs>
          <w:tab w:val="clear" w:pos="360"/>
          <w:tab w:val="num" w:leader="none" w:pos="363"/>
          <w:tab w:val="num" w:pos="720"/>
        </w:tabs>
        <w:rPr>
          <w:sz w:val="20"/>
        </w:rPr>
      </w:pPr>
      <w:r>
        <w:rPr>
          <w:rFonts w:ascii="Arial" w:hAnsi="Arial" w:cs="Arial"/>
          <w:sz w:val="20"/>
        </w:rPr>
        <w:t>to supervise children on legal orders granted by the Children's Court; and</w:t>
      </w:r>
    </w:p>
    <w:p w14:paraId="637EA195" w14:textId="77777777" w:rsidR="00693223" w:rsidRDefault="00693223" w:rsidP="002239D1">
      <w:pPr>
        <w:numPr>
          <w:ilvl w:val="0"/>
          <w:numId w:val="6"/>
        </w:numPr>
        <w:tabs>
          <w:tab w:val="clear" w:pos="360"/>
          <w:tab w:val="num" w:leader="none" w:pos="363"/>
          <w:tab w:val="num" w:pos="720"/>
        </w:tabs>
        <w:rPr>
          <w:sz w:val="20"/>
        </w:rPr>
      </w:pPr>
      <w:r>
        <w:rPr>
          <w:rFonts w:ascii="Arial" w:hAnsi="Arial" w:cs="Arial"/>
          <w:sz w:val="20"/>
        </w:rPr>
        <w:t>to provide and fund accommodation services, specialist support services, and adoption and permanent care to those children and adolescents in need.</w:t>
      </w:r>
    </w:p>
    <w:p w14:paraId="0C09AFD7"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AAB955B" w14:textId="77777777" w:rsidR="00512A88" w:rsidRDefault="00512A88"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a paper entitled “National comparison of child protection systems”, published by the Australian Institute of Family Studies as No.22 Autumn 2005, </w:t>
      </w:r>
      <w:r w:rsidR="007F1C5C">
        <w:rPr>
          <w:rFonts w:ascii="Arial" w:hAnsi="Arial" w:cs="Arial"/>
          <w:sz w:val="20"/>
          <w:szCs w:val="20"/>
        </w:rPr>
        <w:t>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538DC47C" w14:textId="77777777" w:rsidR="00512A88" w:rsidRDefault="00512A88" w:rsidP="00A82435">
      <w:pPr>
        <w:pStyle w:val="NormalWeb"/>
        <w:spacing w:before="0" w:beforeAutospacing="0" w:after="0" w:afterAutospacing="0"/>
        <w:jc w:val="both"/>
        <w:rPr>
          <w:rFonts w:ascii="Arial" w:hAnsi="Arial" w:cs="Arial"/>
          <w:sz w:val="20"/>
          <w:szCs w:val="20"/>
        </w:rPr>
      </w:pPr>
    </w:p>
    <w:p w14:paraId="00B7AFA1"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t>4.1.2</w:t>
      </w:r>
      <w:r>
        <w:rPr>
          <w:rFonts w:ascii="Arial" w:hAnsi="Arial" w:cs="Arial"/>
          <w:b/>
          <w:bCs/>
          <w:sz w:val="20"/>
        </w:rPr>
        <w:tab/>
        <w:t>Duty of care of the Child Protection Service</w:t>
      </w:r>
    </w:p>
    <w:p w14:paraId="21D95A27" w14:textId="77777777" w:rsidR="00A82435" w:rsidRDefault="00A82435" w:rsidP="00497924">
      <w:pPr>
        <w:pStyle w:val="Heading3"/>
        <w:keepNext/>
        <w:keepLines/>
        <w:spacing w:line="240" w:lineRule="auto"/>
        <w:rPr>
          <w:rFonts w:ascii="Arial" w:hAnsi="Arial" w:cs="Arial"/>
          <w:b/>
          <w:bCs/>
          <w:sz w:val="20"/>
        </w:rPr>
      </w:pPr>
    </w:p>
    <w:p w14:paraId="2A645985"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66CB1001" w14:textId="77777777" w:rsidR="00693223" w:rsidRDefault="00693223">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731DFE7" w14:textId="77777777" w:rsidR="005B4417" w:rsidRDefault="005B4417" w:rsidP="005B4417">
      <w:pPr>
        <w:jc w:val="both"/>
        <w:rPr>
          <w:rFonts w:ascii="Arial" w:hAnsi="Arial" w:cs="Arial"/>
          <w:sz w:val="20"/>
        </w:rPr>
      </w:pPr>
    </w:p>
    <w:p w14:paraId="6F676181" w14:textId="77777777" w:rsidR="00693223" w:rsidRDefault="00693223" w:rsidP="007F1C5C">
      <w:pPr>
        <w:pStyle w:val="NormalWeb"/>
        <w:keepNext/>
        <w:keepLines/>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r>
        <w:rPr>
          <w:rFonts w:ascii="Arial" w:hAnsi="Arial" w:cs="Arial"/>
          <w:i/>
          <w:iCs/>
          <w:sz w:val="20"/>
        </w:rPr>
        <w:t>Zunica v State of Victoria</w:t>
      </w:r>
      <w:r>
        <w:rPr>
          <w:rFonts w:ascii="Arial" w:hAnsi="Arial" w:cs="Arial"/>
          <w:sz w:val="20"/>
        </w:rPr>
        <w:t xml:space="preserve"> [2004] VSC 80 where Bongiorno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Tahche </w:t>
      </w:r>
      <w:r>
        <w:rPr>
          <w:rFonts w:ascii="Arial" w:hAnsi="Arial" w:cs="Arial"/>
          <w:sz w:val="20"/>
        </w:rPr>
        <w:t>(2002) 5 VR 317.</w:t>
      </w:r>
    </w:p>
    <w:p w14:paraId="6C1481BB" w14:textId="77777777" w:rsidR="00693223" w:rsidRDefault="00693223">
      <w:pPr>
        <w:pStyle w:val="NormalWeb"/>
        <w:spacing w:before="0" w:beforeAutospacing="0" w:after="0" w:afterAutospacing="0"/>
        <w:jc w:val="both"/>
        <w:rPr>
          <w:rFonts w:ascii="Arial" w:hAnsi="Arial" w:cs="Arial"/>
          <w:sz w:val="20"/>
          <w:szCs w:val="20"/>
        </w:rPr>
      </w:pPr>
    </w:p>
    <w:p w14:paraId="69C1C41D"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498D7D01"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54015B7D" w14:textId="77777777" w:rsidR="00D34610"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w:t>
      </w:r>
      <w:r w:rsidR="00D34610" w:rsidRPr="00D34610">
        <w:rPr>
          <w:rFonts w:ascii="Arial" w:hAnsi="Arial" w:cs="Arial"/>
          <w:sz w:val="20"/>
          <w:szCs w:val="20"/>
        </w:rPr>
        <w:lastRenderedPageBreak/>
        <w:t xml:space="preserve">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531FB93A" w14:textId="77777777" w:rsidR="00D34610" w:rsidRPr="00D34610" w:rsidRDefault="008B516B" w:rsidP="006D081C">
      <w:pPr>
        <w:pStyle w:val="NormalWeb"/>
        <w:keepNext/>
        <w:keepLines/>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City">
        <w:smartTag w:uri="urn:schemas-microsoft-com:office:smarttags" w:element="place">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311D8B7" w14:textId="77777777" w:rsidR="00397BB2" w:rsidRDefault="00397BB2">
      <w:pPr>
        <w:pStyle w:val="NormalWeb"/>
        <w:spacing w:before="0" w:beforeAutospacing="0" w:after="0" w:afterAutospacing="0"/>
        <w:jc w:val="both"/>
        <w:rPr>
          <w:rFonts w:ascii="Arial" w:hAnsi="Arial" w:cs="Arial"/>
          <w:sz w:val="20"/>
          <w:szCs w:val="20"/>
        </w:rPr>
      </w:pPr>
    </w:p>
    <w:p w14:paraId="5EB39482"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2A5529A1"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202ACD46" w14:textId="77777777" w:rsidR="006D081C" w:rsidRDefault="006D081C" w:rsidP="006D081C">
      <w:pPr>
        <w:numPr>
          <w:ilvl w:val="0"/>
          <w:numId w:val="13"/>
        </w:numPr>
        <w:jc w:val="both"/>
        <w:rPr>
          <w:rFonts w:ascii="Arial" w:hAnsi="Arial" w:cs="Arial"/>
          <w:sz w:val="20"/>
        </w:rPr>
      </w:pPr>
      <w:r>
        <w:rPr>
          <w:rFonts w:ascii="Arial" w:hAnsi="Arial" w:cs="Arial"/>
          <w:sz w:val="20"/>
        </w:rPr>
        <w:t>s.10 – the “best interests” principle; and</w:t>
      </w:r>
    </w:p>
    <w:p w14:paraId="2511AA5B" w14:textId="77777777" w:rsidR="006D081C" w:rsidRDefault="006D081C" w:rsidP="006D081C">
      <w:pPr>
        <w:numPr>
          <w:ilvl w:val="0"/>
          <w:numId w:val="13"/>
        </w:numPr>
        <w:jc w:val="both"/>
        <w:rPr>
          <w:rFonts w:ascii="Arial" w:hAnsi="Arial" w:cs="Arial"/>
          <w:sz w:val="20"/>
        </w:rPr>
      </w:pPr>
      <w:r>
        <w:rPr>
          <w:rFonts w:ascii="Arial" w:hAnsi="Arial" w:cs="Arial"/>
          <w:sz w:val="20"/>
        </w:rPr>
        <w:t>s.11 – additional general decision-making principles; and</w:t>
      </w:r>
    </w:p>
    <w:p w14:paraId="31C13A2E" w14:textId="77777777" w:rsidR="006D081C" w:rsidRDefault="006D081C" w:rsidP="006D081C">
      <w:pPr>
        <w:numPr>
          <w:ilvl w:val="0"/>
          <w:numId w:val="13"/>
        </w:numPr>
        <w:jc w:val="both"/>
        <w:rPr>
          <w:rFonts w:ascii="Arial" w:hAnsi="Arial" w:cs="Arial"/>
          <w:sz w:val="20"/>
        </w:rPr>
      </w:pPr>
      <w:r>
        <w:rPr>
          <w:rFonts w:ascii="Arial" w:hAnsi="Arial" w:cs="Arial"/>
          <w:sz w:val="20"/>
        </w:rPr>
        <w:t>ss.12-14 – additional decision-making principles for Aboriginal children-</w:t>
      </w:r>
    </w:p>
    <w:p w14:paraId="5CE1B75F"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5A44AE59" w14:textId="77777777" w:rsidR="006D081C" w:rsidRDefault="006D081C" w:rsidP="006D081C">
      <w:pPr>
        <w:jc w:val="both"/>
        <w:rPr>
          <w:rFonts w:ascii="Arial" w:hAnsi="Arial" w:cs="Arial"/>
          <w:sz w:val="20"/>
        </w:rPr>
      </w:pPr>
    </w:p>
    <w:p w14:paraId="17E16952"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3D92323A" w14:textId="77777777" w:rsidR="006D081C" w:rsidRDefault="006D081C" w:rsidP="006D081C">
      <w:pPr>
        <w:jc w:val="both"/>
        <w:rPr>
          <w:rFonts w:ascii="Arial" w:hAnsi="Arial" w:cs="Arial"/>
          <w:sz w:val="20"/>
        </w:rPr>
      </w:pPr>
    </w:p>
    <w:p w14:paraId="2C9DA0D4"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362FC2FA" w14:textId="77777777" w:rsidR="006D081C" w:rsidRDefault="006D081C" w:rsidP="006D081C">
      <w:pPr>
        <w:jc w:val="both"/>
        <w:rPr>
          <w:rFonts w:ascii="Arial" w:hAnsi="Arial" w:cs="Arial"/>
          <w:sz w:val="20"/>
        </w:rPr>
      </w:pPr>
    </w:p>
    <w:p w14:paraId="6157C21E"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7EBED5CE" w14:textId="77777777" w:rsidR="006D081C" w:rsidRDefault="006D081C" w:rsidP="006D081C">
      <w:pPr>
        <w:jc w:val="both"/>
        <w:rPr>
          <w:rFonts w:ascii="Arial" w:hAnsi="Arial" w:cs="Arial"/>
          <w:sz w:val="20"/>
        </w:rPr>
      </w:pPr>
    </w:p>
    <w:p w14:paraId="7A1D4907"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508781DC" w14:textId="77777777" w:rsidR="006D081C" w:rsidRDefault="006D081C">
      <w:pPr>
        <w:pStyle w:val="NormalWeb"/>
        <w:spacing w:before="0" w:beforeAutospacing="0" w:after="0" w:afterAutospacing="0"/>
        <w:jc w:val="both"/>
        <w:rPr>
          <w:rFonts w:ascii="Arial" w:hAnsi="Arial" w:cs="Arial"/>
          <w:sz w:val="20"/>
          <w:szCs w:val="20"/>
        </w:rPr>
      </w:pPr>
    </w:p>
    <w:p w14:paraId="798DB98C"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4D142DE3" w14:textId="77777777" w:rsidR="006D081C" w:rsidRDefault="006D081C" w:rsidP="006D081C">
      <w:pPr>
        <w:rPr>
          <w:rFonts w:ascii="Arial" w:hAnsi="Arial" w:cs="Arial"/>
          <w:b/>
          <w:bCs/>
          <w:sz w:val="20"/>
        </w:rPr>
      </w:pPr>
    </w:p>
    <w:p w14:paraId="1A314B63"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7025DA59"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773669D0"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7D863689"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20E72E37" w14:textId="77777777" w:rsidR="006D081C" w:rsidRDefault="006D081C" w:rsidP="006D081C">
      <w:pPr>
        <w:rPr>
          <w:rFonts w:ascii="Arial" w:hAnsi="Arial" w:cs="Arial"/>
          <w:b/>
          <w:bCs/>
          <w:sz w:val="20"/>
        </w:rPr>
      </w:pPr>
    </w:p>
    <w:p w14:paraId="5FE4C4FA" w14:textId="77777777" w:rsidR="007A7B63" w:rsidRDefault="006D081C">
      <w:pPr>
        <w:pStyle w:val="NormalWeb"/>
        <w:spacing w:before="0" w:beforeAutospacing="0" w:after="0" w:afterAutospacing="0"/>
        <w:jc w:val="both"/>
        <w:rPr>
          <w:rFonts w:ascii="Arial" w:hAnsi="Arial" w:cs="Arial"/>
          <w:sz w:val="20"/>
          <w:szCs w:val="20"/>
        </w:rPr>
      </w:pPr>
      <w:r>
        <w:rPr>
          <w:rFonts w:ascii="Arial" w:hAnsi="Arial" w:cs="Arial"/>
          <w:sz w:val="20"/>
          <w:szCs w:val="20"/>
        </w:rPr>
        <w:t>All of these principles are discussed in much greater d</w:t>
      </w:r>
      <w:r w:rsidR="00B05EC7">
        <w:rPr>
          <w:rFonts w:ascii="Arial" w:hAnsi="Arial" w:cs="Arial"/>
          <w:sz w:val="20"/>
          <w:szCs w:val="20"/>
        </w:rPr>
        <w:t xml:space="preserve">etail in these materials in </w:t>
      </w:r>
      <w:r>
        <w:rPr>
          <w:rFonts w:ascii="Arial" w:hAnsi="Arial" w:cs="Arial"/>
          <w:sz w:val="20"/>
          <w:szCs w:val="20"/>
        </w:rPr>
        <w:t xml:space="preserve">section </w:t>
      </w:r>
      <w:r w:rsidR="00B05EC7">
        <w:rPr>
          <w:rFonts w:ascii="Arial" w:hAnsi="Arial" w:cs="Arial"/>
          <w:sz w:val="20"/>
          <w:szCs w:val="20"/>
        </w:rPr>
        <w:t xml:space="preserve">5.10 </w:t>
      </w:r>
      <w:r>
        <w:rPr>
          <w:rFonts w:ascii="Arial" w:hAnsi="Arial" w:cs="Arial"/>
          <w:sz w:val="20"/>
          <w:szCs w:val="20"/>
        </w:rPr>
        <w:t xml:space="preserve">entitled “Decision-making Principles for </w:t>
      </w:r>
      <w:r w:rsidR="00B05EC7">
        <w:rPr>
          <w:rFonts w:ascii="Arial" w:hAnsi="Arial" w:cs="Arial"/>
          <w:sz w:val="20"/>
          <w:szCs w:val="20"/>
        </w:rPr>
        <w:t>Family Division matters” in c</w:t>
      </w:r>
      <w:r>
        <w:rPr>
          <w:rFonts w:ascii="Arial" w:hAnsi="Arial" w:cs="Arial"/>
          <w:sz w:val="20"/>
          <w:szCs w:val="20"/>
        </w:rPr>
        <w:t xml:space="preserve">hapter </w:t>
      </w:r>
      <w:r w:rsidR="00B05EC7">
        <w:rPr>
          <w:rFonts w:ascii="Arial" w:hAnsi="Arial" w:cs="Arial"/>
          <w:sz w:val="20"/>
          <w:szCs w:val="20"/>
        </w:rPr>
        <w:t>5:</w:t>
      </w:r>
      <w:r>
        <w:rPr>
          <w:rFonts w:ascii="Arial" w:hAnsi="Arial" w:cs="Arial"/>
          <w:sz w:val="20"/>
          <w:szCs w:val="20"/>
        </w:rPr>
        <w:t xml:space="preserve"> “Family Division – Child Protection”.</w:t>
      </w:r>
    </w:p>
    <w:p w14:paraId="66659238" w14:textId="77777777" w:rsidR="00066867" w:rsidRDefault="00066867">
      <w:pPr>
        <w:pStyle w:val="NormalWeb"/>
        <w:spacing w:before="0" w:beforeAutospacing="0" w:after="0" w:afterAutospacing="0"/>
        <w:jc w:val="both"/>
        <w:rPr>
          <w:rFonts w:ascii="Arial" w:hAnsi="Arial" w:cs="Arial"/>
          <w:sz w:val="20"/>
          <w:szCs w:val="20"/>
        </w:rPr>
      </w:pPr>
    </w:p>
    <w:p w14:paraId="61A761A8" w14:textId="77777777" w:rsidR="00693223" w:rsidRDefault="00693223">
      <w:pPr>
        <w:pStyle w:val="Heading3"/>
        <w:keepNext/>
        <w:keepLines/>
        <w:spacing w:line="240" w:lineRule="auto"/>
        <w:rPr>
          <w:rFonts w:ascii="Arial" w:hAnsi="Arial" w:cs="Arial"/>
          <w:b/>
          <w:bCs/>
          <w:sz w:val="20"/>
        </w:rPr>
      </w:pPr>
      <w:bookmarkStart w:id="142" w:name="_Toc30644236"/>
      <w:bookmarkStart w:id="143" w:name="_Toc30644639"/>
      <w:bookmarkStart w:id="144" w:name="_Toc30645189"/>
      <w:bookmarkStart w:id="145" w:name="_Toc30646400"/>
      <w:bookmarkStart w:id="146" w:name="_Toc30646695"/>
      <w:bookmarkStart w:id="147" w:name="_Toc30646806"/>
      <w:bookmarkStart w:id="148" w:name="_Toc30648163"/>
      <w:bookmarkStart w:id="149" w:name="_Toc30649061"/>
      <w:bookmarkStart w:id="150" w:name="_Toc30649137"/>
      <w:bookmarkStart w:id="151" w:name="_Toc30649398"/>
      <w:bookmarkStart w:id="152" w:name="_Toc30649723"/>
      <w:bookmarkStart w:id="153" w:name="_Toc30651663"/>
      <w:bookmarkStart w:id="154" w:name="_Toc30652653"/>
      <w:bookmarkStart w:id="155" w:name="_Toc30652749"/>
      <w:bookmarkStart w:id="156" w:name="_Toc30654094"/>
      <w:bookmarkStart w:id="157" w:name="_Toc30654445"/>
      <w:bookmarkStart w:id="158" w:name="_Toc30655064"/>
      <w:bookmarkStart w:id="159" w:name="_Toc30655321"/>
      <w:bookmarkStart w:id="160" w:name="_Toc30656999"/>
      <w:bookmarkStart w:id="161" w:name="_Toc30661748"/>
      <w:bookmarkStart w:id="162" w:name="_Toc30666436"/>
      <w:bookmarkStart w:id="163" w:name="_Toc30666666"/>
      <w:bookmarkStart w:id="164" w:name="_Toc30667841"/>
      <w:bookmarkStart w:id="165" w:name="_Toc30669219"/>
      <w:bookmarkStart w:id="166" w:name="_Toc30671435"/>
      <w:bookmarkStart w:id="167" w:name="_Toc30673962"/>
      <w:bookmarkStart w:id="168" w:name="_Toc30691184"/>
      <w:bookmarkStart w:id="169" w:name="_Toc30691557"/>
      <w:bookmarkStart w:id="170" w:name="_Toc30691937"/>
      <w:bookmarkStart w:id="171" w:name="_Toc30692696"/>
      <w:bookmarkStart w:id="172" w:name="_Toc30693075"/>
      <w:bookmarkStart w:id="173" w:name="_Toc30693453"/>
      <w:bookmarkStart w:id="174" w:name="_Toc30693831"/>
      <w:bookmarkStart w:id="175" w:name="_Toc30694212"/>
      <w:bookmarkStart w:id="176" w:name="_Toc30698801"/>
      <w:bookmarkStart w:id="177" w:name="_Toc30699179"/>
      <w:bookmarkStart w:id="178" w:name="_Toc30699564"/>
      <w:bookmarkStart w:id="179" w:name="_Toc30700719"/>
      <w:bookmarkStart w:id="180" w:name="_Toc30701106"/>
      <w:bookmarkStart w:id="181" w:name="_Toc30743715"/>
      <w:bookmarkStart w:id="182" w:name="_Toc30754538"/>
      <w:bookmarkStart w:id="183" w:name="_Toc30756978"/>
      <w:bookmarkStart w:id="184" w:name="_Toc30757527"/>
      <w:bookmarkStart w:id="185" w:name="_Toc30757927"/>
      <w:bookmarkStart w:id="186" w:name="_Toc30762688"/>
      <w:bookmarkStart w:id="187" w:name="_Toc30767342"/>
      <w:bookmarkStart w:id="188" w:name="_Toc34823358"/>
      <w:bookmarkStart w:id="189" w:name="_4.1.4_Voluntary_intervention"/>
      <w:bookmarkStart w:id="190" w:name="B41x4"/>
      <w:bookmarkEnd w:id="189"/>
      <w:bookmarkEnd w:id="190"/>
      <w:r>
        <w:rPr>
          <w:rFonts w:ascii="Arial" w:hAnsi="Arial" w:cs="Arial"/>
          <w:b/>
          <w:bCs/>
          <w:sz w:val="20"/>
        </w:rPr>
        <w:lastRenderedPageBreak/>
        <w:t>4.1.</w:t>
      </w:r>
      <w:r w:rsidR="00066867">
        <w:rPr>
          <w:rFonts w:ascii="Arial" w:hAnsi="Arial" w:cs="Arial"/>
          <w:b/>
          <w:bCs/>
          <w:sz w:val="20"/>
        </w:rPr>
        <w:t>4</w:t>
      </w:r>
      <w:r>
        <w:rPr>
          <w:rFonts w:ascii="Arial" w:hAnsi="Arial" w:cs="Arial"/>
          <w:b/>
          <w:bCs/>
          <w:sz w:val="20"/>
        </w:rPr>
        <w:tab/>
        <w:t>Voluntary intervention</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6D5A58C6" w14:textId="77777777" w:rsidR="00693223" w:rsidRDefault="00693223">
      <w:pPr>
        <w:pStyle w:val="Heading3"/>
        <w:keepNext/>
        <w:keepLines/>
        <w:spacing w:line="240" w:lineRule="auto"/>
        <w:rPr>
          <w:rFonts w:ascii="Arial" w:hAnsi="Arial" w:cs="Arial"/>
          <w:b/>
          <w:bCs/>
          <w:sz w:val="20"/>
        </w:rPr>
      </w:pPr>
    </w:p>
    <w:p w14:paraId="3E0C8F9A"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02EDE18A" w14:textId="77777777" w:rsidR="00787E9B" w:rsidRDefault="00787E9B">
      <w:pPr>
        <w:pStyle w:val="NormalWeb"/>
        <w:spacing w:before="0" w:beforeAutospacing="0" w:after="0" w:afterAutospacing="0"/>
        <w:jc w:val="both"/>
        <w:rPr>
          <w:rFonts w:ascii="Arial" w:hAnsi="Arial" w:cs="Arial"/>
          <w:sz w:val="20"/>
          <w:szCs w:val="20"/>
        </w:rPr>
      </w:pPr>
    </w:p>
    <w:p w14:paraId="7AF20F65" w14:textId="77777777" w:rsidR="00693223" w:rsidRDefault="00066867">
      <w:pPr>
        <w:pStyle w:val="Heading3"/>
        <w:spacing w:line="240" w:lineRule="auto"/>
        <w:rPr>
          <w:rFonts w:ascii="Arial" w:hAnsi="Arial" w:cs="Arial"/>
          <w:b/>
          <w:bCs/>
          <w:sz w:val="20"/>
        </w:rPr>
      </w:pPr>
      <w:bookmarkStart w:id="191" w:name="_Toc30644237"/>
      <w:bookmarkStart w:id="192" w:name="_Toc30644640"/>
      <w:bookmarkStart w:id="193" w:name="_Toc30645190"/>
      <w:bookmarkStart w:id="194" w:name="_Toc30646401"/>
      <w:bookmarkStart w:id="195" w:name="_Toc30646696"/>
      <w:bookmarkStart w:id="196" w:name="_Toc30646807"/>
      <w:bookmarkStart w:id="197" w:name="_Toc30648164"/>
      <w:bookmarkStart w:id="198" w:name="_Toc30649062"/>
      <w:bookmarkStart w:id="199" w:name="_Toc30649138"/>
      <w:bookmarkStart w:id="200" w:name="_Toc30649399"/>
      <w:bookmarkStart w:id="201" w:name="_Toc30649724"/>
      <w:bookmarkStart w:id="202" w:name="_Toc30651664"/>
      <w:bookmarkStart w:id="203" w:name="_Toc30652654"/>
      <w:bookmarkStart w:id="204" w:name="_Toc30652750"/>
      <w:bookmarkStart w:id="205" w:name="_Toc30654095"/>
      <w:bookmarkStart w:id="206" w:name="_Toc30654446"/>
      <w:bookmarkStart w:id="207" w:name="_Toc30655065"/>
      <w:bookmarkStart w:id="208" w:name="_Toc30655322"/>
      <w:bookmarkStart w:id="209" w:name="_Toc30657000"/>
      <w:bookmarkStart w:id="210" w:name="_Toc30661749"/>
      <w:bookmarkStart w:id="211" w:name="_Toc30666437"/>
      <w:bookmarkStart w:id="212" w:name="_Toc30666667"/>
      <w:bookmarkStart w:id="213" w:name="_Toc30667842"/>
      <w:bookmarkStart w:id="214" w:name="_Toc30669220"/>
      <w:bookmarkStart w:id="215" w:name="_Toc30671436"/>
      <w:bookmarkStart w:id="216" w:name="_Toc30673963"/>
      <w:bookmarkStart w:id="217" w:name="_Toc30691185"/>
      <w:bookmarkStart w:id="218" w:name="_Toc30691558"/>
      <w:bookmarkStart w:id="219" w:name="_Toc30691938"/>
      <w:bookmarkStart w:id="220" w:name="_Toc30692697"/>
      <w:bookmarkStart w:id="221" w:name="_Toc30693076"/>
      <w:bookmarkStart w:id="222" w:name="_Toc30693454"/>
      <w:bookmarkStart w:id="223" w:name="_Toc30693832"/>
      <w:bookmarkStart w:id="224" w:name="_Toc30694213"/>
      <w:bookmarkStart w:id="225" w:name="_Toc30698802"/>
      <w:bookmarkStart w:id="226" w:name="_Toc30699180"/>
      <w:bookmarkStart w:id="227" w:name="_Toc30699565"/>
      <w:bookmarkStart w:id="228" w:name="_Toc30700720"/>
      <w:bookmarkStart w:id="229" w:name="_Toc30701107"/>
      <w:bookmarkStart w:id="230" w:name="_Toc30743716"/>
      <w:bookmarkStart w:id="231" w:name="_Toc30754539"/>
      <w:bookmarkStart w:id="232" w:name="_Toc30756979"/>
      <w:bookmarkStart w:id="233" w:name="_Toc30757528"/>
      <w:bookmarkStart w:id="234" w:name="_Toc30757928"/>
      <w:bookmarkStart w:id="235" w:name="_Toc30762689"/>
      <w:bookmarkStart w:id="236" w:name="_Toc30767343"/>
      <w:bookmarkStart w:id="237" w:name="_Toc34823359"/>
      <w:bookmarkStart w:id="238" w:name="_4.1.5_Statutory_intervention"/>
      <w:bookmarkStart w:id="239" w:name="B41x5"/>
      <w:bookmarkEnd w:id="238"/>
      <w:bookmarkEnd w:id="239"/>
      <w:r>
        <w:rPr>
          <w:rFonts w:ascii="Arial" w:hAnsi="Arial" w:cs="Arial"/>
          <w:b/>
          <w:bCs/>
          <w:sz w:val="20"/>
        </w:rPr>
        <w:t>4.1.5</w:t>
      </w:r>
      <w:r w:rsidR="00693223">
        <w:rPr>
          <w:rFonts w:ascii="Arial" w:hAnsi="Arial" w:cs="Arial"/>
          <w:b/>
          <w:bCs/>
          <w:sz w:val="20"/>
        </w:rPr>
        <w:tab/>
        <w:t>Statutory intervention</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3345929A" w14:textId="77777777" w:rsidR="00693223" w:rsidRDefault="00693223">
      <w:pPr>
        <w:pStyle w:val="Heading3"/>
        <w:spacing w:line="240" w:lineRule="auto"/>
        <w:rPr>
          <w:rFonts w:ascii="Arial" w:hAnsi="Arial" w:cs="Arial"/>
          <w:b/>
          <w:bCs/>
          <w:sz w:val="20"/>
        </w:rPr>
      </w:pPr>
    </w:p>
    <w:p w14:paraId="0F15E08F" w14:textId="77777777" w:rsidR="00693223" w:rsidRDefault="00693223">
      <w:pPr>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555493C8"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28B6449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7371FBAA" w14:textId="77777777" w:rsidR="00CF2DFD" w:rsidRPr="00E14F02" w:rsidRDefault="00CF2DFD" w:rsidP="00CF2DFD">
      <w:pPr>
        <w:pStyle w:val="Heading3"/>
        <w:spacing w:line="240" w:lineRule="auto"/>
        <w:rPr>
          <w:rFonts w:ascii="Arial" w:hAnsi="Arial" w:cs="Arial"/>
          <w:b/>
          <w:bCs/>
          <w:sz w:val="18"/>
        </w:rPr>
      </w:pPr>
    </w:p>
    <w:p w14:paraId="76D0AC67"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3E72F12A"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 behave as a model litigant in the conduct of litigation.</w:t>
      </w:r>
    </w:p>
    <w:p w14:paraId="5A9ABAF0"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w:t>
      </w:r>
    </w:p>
    <w:p w14:paraId="7D026B7D" w14:textId="77777777" w:rsidR="00403196" w:rsidRDefault="00403196" w:rsidP="002239D1">
      <w:pPr>
        <w:numPr>
          <w:ilvl w:val="0"/>
          <w:numId w:val="1"/>
        </w:numPr>
        <w:tabs>
          <w:tab w:val="clear" w:pos="363"/>
          <w:tab w:val="num" w:leader="none"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60E2A699" w14:textId="77777777" w:rsidR="00403196" w:rsidRDefault="00403196" w:rsidP="002239D1">
      <w:pPr>
        <w:numPr>
          <w:ilvl w:val="0"/>
          <w:numId w:val="1"/>
        </w:numPr>
        <w:tabs>
          <w:tab w:val="clear" w:pos="363"/>
          <w:tab w:val="num" w:leader="none" w:pos="567"/>
        </w:tabs>
        <w:ind w:left="568" w:hanging="284"/>
        <w:jc w:val="both"/>
        <w:rPr>
          <w:rFonts w:ascii="Arial" w:hAnsi="Arial" w:cs="Arial"/>
          <w:sz w:val="20"/>
        </w:rPr>
      </w:pPr>
      <w:r>
        <w:rPr>
          <w:rFonts w:ascii="Arial" w:hAnsi="Arial" w:cs="Arial"/>
          <w:sz w:val="20"/>
        </w:rPr>
        <w:t>act consistently in the handling of litigation;</w:t>
      </w:r>
    </w:p>
    <w:p w14:paraId="721E3616" w14:textId="77777777" w:rsidR="00403196" w:rsidRDefault="00403196" w:rsidP="002239D1">
      <w:pPr>
        <w:numPr>
          <w:ilvl w:val="0"/>
          <w:numId w:val="1"/>
        </w:numPr>
        <w:tabs>
          <w:tab w:val="clear" w:pos="363"/>
          <w:tab w:val="num" w:leader="none" w:pos="567"/>
        </w:tabs>
        <w:ind w:left="568" w:hanging="284"/>
        <w:jc w:val="both"/>
        <w:rPr>
          <w:rFonts w:ascii="Arial" w:hAnsi="Arial" w:cs="Arial"/>
          <w:sz w:val="20"/>
        </w:rPr>
      </w:pPr>
      <w:r>
        <w:rPr>
          <w:rFonts w:ascii="Arial" w:hAnsi="Arial" w:cs="Arial"/>
          <w:sz w:val="20"/>
        </w:rPr>
        <w:t>avoid litigation, wherever possible;</w:t>
      </w:r>
    </w:p>
    <w:p w14:paraId="0C0DE986" w14:textId="77777777" w:rsidR="00403196" w:rsidRDefault="00403196" w:rsidP="002239D1">
      <w:pPr>
        <w:numPr>
          <w:ilvl w:val="0"/>
          <w:numId w:val="1"/>
        </w:numPr>
        <w:tabs>
          <w:tab w:val="clear" w:pos="363"/>
          <w:tab w:val="num" w:leader="none"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0CC47327" w14:textId="77777777" w:rsidR="00403196" w:rsidRDefault="00403196" w:rsidP="002239D1">
      <w:pPr>
        <w:numPr>
          <w:ilvl w:val="0"/>
          <w:numId w:val="1"/>
        </w:numPr>
        <w:tabs>
          <w:tab w:val="clear" w:pos="363"/>
          <w:tab w:val="num" w:leader="none"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7825EDB" w14:textId="77777777" w:rsidR="00403196" w:rsidRDefault="00403196" w:rsidP="002239D1">
      <w:pPr>
        <w:numPr>
          <w:ilvl w:val="0"/>
          <w:numId w:val="1"/>
        </w:numPr>
        <w:tabs>
          <w:tab w:val="clear" w:pos="363"/>
          <w:tab w:val="num" w:leader="none"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0F7DE089" w14:textId="77777777" w:rsidR="00403196" w:rsidRDefault="00403196" w:rsidP="002239D1">
      <w:pPr>
        <w:numPr>
          <w:ilvl w:val="0"/>
          <w:numId w:val="1"/>
        </w:numPr>
        <w:tabs>
          <w:tab w:val="clear" w:pos="363"/>
          <w:tab w:val="num" w:leader="none"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B1BAD9A"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1FDFD1E0"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68834BA0"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0FF91D62"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62E8ED6D" w14:textId="77777777" w:rsidR="00823729" w:rsidRDefault="00823729">
      <w:pPr>
        <w:rPr>
          <w:rFonts w:ascii="Arial" w:hAnsi="Arial" w:cs="Arial"/>
          <w:sz w:val="20"/>
        </w:rPr>
      </w:pPr>
    </w:p>
    <w:p w14:paraId="1CE94A9D" w14:textId="77777777"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3CE01E9C" w14:textId="77777777" w:rsidR="00B51860" w:rsidRPr="00785E1A" w:rsidRDefault="00B51860" w:rsidP="00BE7653">
      <w:pPr>
        <w:jc w:val="both"/>
        <w:rPr>
          <w:rFonts w:ascii="Arial" w:hAnsi="Arial" w:cs="Arial"/>
          <w:color w:val="000000"/>
          <w:sz w:val="20"/>
        </w:rPr>
      </w:pPr>
    </w:p>
    <w:p w14:paraId="7D031BA3" w14:textId="77777777" w:rsidR="002D7628" w:rsidRPr="00785E1A" w:rsidRDefault="002D7628" w:rsidP="00733EAB">
      <w:pPr>
        <w:keepNext/>
        <w:keepLines/>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Director of Consumer Affairs Victoria v Operation Smile (Australia) Inc &amp; Ors (No 2)</w:t>
      </w:r>
      <w:r w:rsidRPr="00785E1A">
        <w:rPr>
          <w:rFonts w:ascii="Arial" w:hAnsi="Arial" w:cs="Arial"/>
          <w:color w:val="000000"/>
          <w:sz w:val="16"/>
        </w:rPr>
        <w:t xml:space="preserve"> </w:t>
      </w:r>
      <w:r w:rsidRPr="00785E1A">
        <w:rPr>
          <w:rFonts w:ascii="Arial" w:hAnsi="Arial" w:cs="Arial"/>
          <w:color w:val="000000"/>
          <w:sz w:val="20"/>
        </w:rPr>
        <w:t>[2011] VSC 153 at [12] Pagone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7B483BAA" w14:textId="77777777" w:rsidR="002D7628" w:rsidRPr="00785E1A" w:rsidRDefault="002D7628" w:rsidP="00BE7653">
      <w:pPr>
        <w:jc w:val="both"/>
        <w:rPr>
          <w:rFonts w:ascii="Arial" w:hAnsi="Arial" w:cs="Arial"/>
          <w:color w:val="000000"/>
          <w:sz w:val="20"/>
        </w:rPr>
      </w:pPr>
    </w:p>
    <w:p w14:paraId="1D25E7EA"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523EB8EC" w14:textId="77777777" w:rsidR="00940D74" w:rsidRDefault="00940D74" w:rsidP="00940D74">
      <w:pPr>
        <w:jc w:val="both"/>
        <w:rPr>
          <w:rFonts w:ascii="Arial" w:hAnsi="Arial" w:cs="Arial"/>
          <w:sz w:val="20"/>
        </w:rPr>
      </w:pPr>
    </w:p>
    <w:p w14:paraId="4B49296C" w14:textId="77777777" w:rsidR="00940D74" w:rsidRDefault="00940D74" w:rsidP="00F034D2">
      <w:pPr>
        <w:pStyle w:val="Heading2"/>
        <w:keepNext/>
        <w:keepLines/>
        <w:tabs>
          <w:tab w:val="left" w:pos="567"/>
        </w:tabs>
        <w:spacing w:line="240" w:lineRule="auto"/>
        <w:rPr>
          <w:rFonts w:ascii="Arial" w:hAnsi="Arial" w:cs="Arial"/>
          <w:b/>
          <w:bCs/>
        </w:rPr>
      </w:pPr>
      <w:bookmarkStart w:id="242" w:name="_4.2_Role_of"/>
      <w:bookmarkStart w:id="243" w:name="B42"/>
      <w:bookmarkEnd w:id="242"/>
      <w:bookmarkEnd w:id="243"/>
      <w:r>
        <w:rPr>
          <w:rFonts w:ascii="Arial" w:hAnsi="Arial" w:cs="Arial"/>
          <w:b/>
          <w:bCs/>
        </w:rPr>
        <w:t>4.2</w:t>
      </w:r>
      <w:r>
        <w:rPr>
          <w:rFonts w:ascii="Arial" w:hAnsi="Arial" w:cs="Arial"/>
          <w:b/>
          <w:bCs/>
        </w:rPr>
        <w:tab/>
        <w:t xml:space="preserve">Role of the Children’s Court in Child Protection in </w:t>
      </w:r>
      <w:smartTag w:uri="urn:schemas-microsoft-com:office:smarttags" w:element="State">
        <w:smartTag w:uri="urn:schemas-microsoft-com:office:smarttags" w:element="place">
          <w:r>
            <w:rPr>
              <w:rFonts w:ascii="Arial" w:hAnsi="Arial" w:cs="Arial"/>
              <w:b/>
              <w:bCs/>
            </w:rPr>
            <w:t>Victoria</w:t>
          </w:r>
        </w:smartTag>
      </w:smartTag>
    </w:p>
    <w:p w14:paraId="50C6FF75" w14:textId="77777777" w:rsidR="00940D74" w:rsidRDefault="00940D74" w:rsidP="00F034D2">
      <w:pPr>
        <w:keepNext/>
        <w:keepLines/>
        <w:jc w:val="both"/>
        <w:rPr>
          <w:rFonts w:ascii="Arial" w:hAnsi="Arial" w:cs="Arial"/>
          <w:sz w:val="20"/>
        </w:rPr>
      </w:pPr>
    </w:p>
    <w:p w14:paraId="7D430291"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0EC6776E" w14:textId="77777777" w:rsidR="00940D74" w:rsidRDefault="00940D74" w:rsidP="00940D74">
      <w:pPr>
        <w:jc w:val="both"/>
        <w:rPr>
          <w:rFonts w:ascii="Arial" w:hAnsi="Arial" w:cs="Arial"/>
          <w:sz w:val="20"/>
        </w:rPr>
      </w:pPr>
    </w:p>
    <w:p w14:paraId="6EE06916" w14:textId="77777777" w:rsidR="001B05E1" w:rsidRDefault="002B758B" w:rsidP="002B758B">
      <w:pPr>
        <w:keepNext/>
        <w:keepLines/>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322C5EB0"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B395CC7"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12A92C24"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7F0F1FA4"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023DCA1F"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77FBE56" w14:textId="77777777" w:rsidR="002B758B" w:rsidRDefault="002B758B" w:rsidP="00923FB5">
      <w:pPr>
        <w:keepNext/>
        <w:keepLines/>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1AB5B021"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4732A60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4E4F26">
        <w:rPr>
          <w:rFonts w:ascii="Arial" w:hAnsi="Arial" w:cs="Arial"/>
          <w:sz w:val="20"/>
          <w:szCs w:val="20"/>
        </w:rPr>
        <w:t>conciliation</w:t>
      </w:r>
      <w:r w:rsidRPr="002B758B">
        <w:rPr>
          <w:rFonts w:ascii="Arial" w:hAnsi="Arial" w:cs="Arial"/>
          <w:sz w:val="20"/>
          <w:szCs w:val="20"/>
        </w:rPr>
        <w:t xml:space="preserve"> conference</w:t>
      </w:r>
      <w:r w:rsidR="004E4F26">
        <w:rPr>
          <w:rFonts w:ascii="Arial" w:hAnsi="Arial" w:cs="Arial"/>
          <w:sz w:val="20"/>
          <w:szCs w:val="20"/>
        </w:rPr>
        <w:t xml:space="preserve"> process</w:t>
      </w:r>
      <w:r w:rsidRPr="002B758B">
        <w:rPr>
          <w:rFonts w:ascii="Arial" w:hAnsi="Arial" w:cs="Arial"/>
          <w:sz w:val="20"/>
          <w:szCs w:val="20"/>
        </w:rPr>
        <w:t>. ADR resolves about 30% of the cases referred to it. A small percentage of cases end up being listed for a contested hearing and a significant percentage of these resolve on the doorstep of the court or during the hearing of evidence.</w:t>
      </w:r>
    </w:p>
    <w:p w14:paraId="7D180B51"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E772C25"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5CE55BE2" w14:textId="77777777" w:rsidR="002B758B" w:rsidRPr="00BC4C99" w:rsidRDefault="00BC4C99" w:rsidP="00CC22FC">
      <w:pPr>
        <w:keepNext/>
        <w:keepLines/>
        <w:numPr>
          <w:ilvl w:val="0"/>
          <w:numId w:val="33"/>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lastRenderedPageBreak/>
        <w:t xml:space="preserve">has been </w:t>
      </w:r>
      <w:r w:rsidRPr="00BC4C99">
        <w:rPr>
          <w:rFonts w:ascii="Arial" w:hAnsi="Arial" w:cs="Arial"/>
          <w:sz w:val="20"/>
          <w:szCs w:val="20"/>
        </w:rPr>
        <w:t xml:space="preserve">orphaned or abandoned without anyone to care for him or her; or  </w:t>
      </w:r>
    </w:p>
    <w:p w14:paraId="6602E223" w14:textId="77777777" w:rsidR="00BC4C99" w:rsidRDefault="00BC4C99" w:rsidP="00CC22FC">
      <w:pPr>
        <w:numPr>
          <w:ilvl w:val="0"/>
          <w:numId w:val="33"/>
        </w:numPr>
        <w:pBdr>
          <w:top w:val="single" w:sz="4" w:space="1" w:color="auto"/>
          <w:left w:val="single" w:sz="4" w:space="4" w:color="auto"/>
          <w:bottom w:val="single" w:sz="4" w:space="1" w:color="auto"/>
          <w:right w:val="single" w:sz="4" w:space="4" w:color="auto"/>
        </w:pBdr>
        <w:ind w:left="964" w:right="284" w:hanging="680"/>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17AA4E48"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7B89D367"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is usually timely.  In only a small number of cases has a child already suffered harm.</w:t>
      </w:r>
    </w:p>
    <w:p w14:paraId="71801FE9"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5B551379"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69D8DD19" w14:textId="77777777" w:rsidR="00084EDE" w:rsidRDefault="00084EDE" w:rsidP="00CC22FC">
      <w:pPr>
        <w:numPr>
          <w:ilvl w:val="0"/>
          <w:numId w:val="32"/>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3FA7079C" w14:textId="77777777" w:rsidR="00084EDE" w:rsidRDefault="00084EDE" w:rsidP="00CC22FC">
      <w:pPr>
        <w:numPr>
          <w:ilvl w:val="0"/>
          <w:numId w:val="32"/>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05DBCB5C" w14:textId="77777777" w:rsidR="004E4F26" w:rsidRDefault="00084EDE" w:rsidP="00D050AD">
      <w:pPr>
        <w:numPr>
          <w:ilvl w:val="0"/>
          <w:numId w:val="32"/>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5C153A2C"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5659B34"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15FFDEFA" w14:textId="77777777" w:rsidR="002B758B" w:rsidRPr="00DA334D" w:rsidRDefault="002B758B">
      <w:pPr>
        <w:rPr>
          <w:rFonts w:ascii="Arial" w:hAnsi="Arial" w:cs="Arial"/>
          <w:sz w:val="20"/>
        </w:rPr>
      </w:pPr>
    </w:p>
    <w:p w14:paraId="1419E26F" w14:textId="77777777" w:rsidR="00693223" w:rsidRDefault="00693223">
      <w:pPr>
        <w:pStyle w:val="Heading2"/>
        <w:keepNext/>
        <w:keepLines/>
        <w:tabs>
          <w:tab w:val="left" w:pos="567"/>
        </w:tabs>
        <w:spacing w:line="240" w:lineRule="auto"/>
        <w:rPr>
          <w:rFonts w:ascii="Arial" w:hAnsi="Arial" w:cs="Arial"/>
          <w:b/>
          <w:bCs/>
        </w:rPr>
      </w:pPr>
      <w:bookmarkStart w:id="244" w:name="_Toc30607528"/>
      <w:bookmarkStart w:id="245" w:name="_Toc30607657"/>
      <w:bookmarkStart w:id="246" w:name="_Toc30607982"/>
      <w:bookmarkStart w:id="247" w:name="_Toc30608815"/>
      <w:bookmarkStart w:id="248" w:name="_Toc30610029"/>
      <w:bookmarkStart w:id="249" w:name="_Toc30610273"/>
      <w:bookmarkStart w:id="250" w:name="_Toc30638427"/>
      <w:bookmarkStart w:id="251" w:name="_Toc30644240"/>
      <w:bookmarkStart w:id="252" w:name="_Toc30644643"/>
      <w:bookmarkStart w:id="253" w:name="_Toc30645193"/>
      <w:bookmarkStart w:id="254" w:name="_Toc30646404"/>
      <w:bookmarkStart w:id="255" w:name="_Toc30646699"/>
      <w:bookmarkStart w:id="256" w:name="_Toc30646810"/>
      <w:bookmarkStart w:id="257" w:name="_Toc30648167"/>
      <w:bookmarkStart w:id="258" w:name="_Toc30649065"/>
      <w:bookmarkStart w:id="259" w:name="_Toc30649141"/>
      <w:bookmarkStart w:id="260" w:name="_Toc30649402"/>
      <w:bookmarkStart w:id="261" w:name="_Toc30649727"/>
      <w:bookmarkStart w:id="262" w:name="_Toc30651667"/>
      <w:bookmarkStart w:id="263" w:name="_Toc30652657"/>
      <w:bookmarkStart w:id="264" w:name="_Toc30652753"/>
      <w:bookmarkStart w:id="265" w:name="_Toc30654098"/>
      <w:bookmarkStart w:id="266" w:name="_Toc30654449"/>
      <w:bookmarkStart w:id="267" w:name="_Toc30655068"/>
      <w:bookmarkStart w:id="268" w:name="_Toc30655325"/>
      <w:bookmarkStart w:id="269" w:name="_Toc30657003"/>
      <w:bookmarkStart w:id="270" w:name="_Toc30661752"/>
      <w:bookmarkStart w:id="271" w:name="_Toc30666440"/>
      <w:bookmarkStart w:id="272" w:name="_Toc30666670"/>
      <w:bookmarkStart w:id="273" w:name="_Toc30667845"/>
      <w:bookmarkStart w:id="274" w:name="_Toc30669223"/>
      <w:bookmarkStart w:id="275" w:name="_Toc30671439"/>
      <w:bookmarkStart w:id="276" w:name="_Toc30673966"/>
      <w:bookmarkStart w:id="277" w:name="_Toc30691188"/>
      <w:bookmarkStart w:id="278" w:name="_Toc30691561"/>
      <w:bookmarkStart w:id="279" w:name="_Toc30691941"/>
      <w:bookmarkStart w:id="280" w:name="_Toc30692700"/>
      <w:bookmarkStart w:id="281" w:name="_Toc30693079"/>
      <w:bookmarkStart w:id="282" w:name="_Toc30693457"/>
      <w:bookmarkStart w:id="283" w:name="_Toc30693835"/>
      <w:bookmarkStart w:id="284" w:name="_Toc30694216"/>
      <w:bookmarkStart w:id="285" w:name="_Toc30698805"/>
      <w:bookmarkStart w:id="286" w:name="_Toc30699183"/>
      <w:bookmarkStart w:id="287" w:name="_Toc30699568"/>
      <w:bookmarkStart w:id="288" w:name="_Toc30700723"/>
      <w:bookmarkStart w:id="289" w:name="_Toc30701110"/>
      <w:bookmarkStart w:id="290" w:name="_Toc30743719"/>
      <w:bookmarkStart w:id="291" w:name="_Toc30754542"/>
      <w:bookmarkStart w:id="292" w:name="_Toc30756982"/>
      <w:bookmarkStart w:id="293" w:name="_Toc30757531"/>
      <w:bookmarkStart w:id="294" w:name="_Toc30757931"/>
      <w:bookmarkStart w:id="295" w:name="_Toc30762692"/>
      <w:bookmarkStart w:id="296" w:name="_Toc30767346"/>
      <w:bookmarkStart w:id="297" w:name="_Toc34823362"/>
      <w:bookmarkStart w:id="298" w:name="_Toc30607526"/>
      <w:bookmarkStart w:id="299" w:name="_Toc30607655"/>
      <w:bookmarkStart w:id="300" w:name="_Toc30607980"/>
      <w:bookmarkStart w:id="301" w:name="_Toc30608813"/>
      <w:bookmarkStart w:id="302" w:name="_Toc30610027"/>
      <w:bookmarkStart w:id="303" w:name="_Toc30610271"/>
      <w:bookmarkStart w:id="304" w:name="_Toc30638425"/>
      <w:bookmarkStart w:id="305" w:name="_Toc30644238"/>
      <w:bookmarkStart w:id="306" w:name="_Toc30644641"/>
      <w:bookmarkStart w:id="307" w:name="_Toc30645191"/>
      <w:bookmarkStart w:id="308" w:name="_Toc30646402"/>
      <w:bookmarkStart w:id="309" w:name="_Toc30646697"/>
      <w:bookmarkStart w:id="310" w:name="_Toc30646808"/>
      <w:bookmarkStart w:id="311" w:name="_Toc30648165"/>
      <w:bookmarkStart w:id="312" w:name="_Toc30649063"/>
      <w:bookmarkStart w:id="313" w:name="_Toc30649139"/>
      <w:bookmarkStart w:id="314" w:name="_Toc30649400"/>
      <w:bookmarkStart w:id="315" w:name="_Toc30649725"/>
      <w:bookmarkStart w:id="316" w:name="_Toc30651665"/>
      <w:bookmarkStart w:id="317" w:name="_Toc30652655"/>
      <w:bookmarkStart w:id="318" w:name="_Toc30652751"/>
      <w:bookmarkStart w:id="319" w:name="_Toc30654096"/>
      <w:bookmarkStart w:id="320" w:name="_Toc30654447"/>
      <w:bookmarkStart w:id="321" w:name="_Toc30655066"/>
      <w:bookmarkStart w:id="322" w:name="_Toc30655323"/>
      <w:bookmarkStart w:id="323" w:name="_Toc30657001"/>
      <w:bookmarkStart w:id="324" w:name="_Toc30661750"/>
      <w:bookmarkStart w:id="325" w:name="_Toc30666438"/>
      <w:bookmarkStart w:id="326" w:name="_Toc30666668"/>
      <w:bookmarkStart w:id="327" w:name="_Toc30667843"/>
      <w:bookmarkStart w:id="328" w:name="_Toc30669221"/>
      <w:bookmarkStart w:id="329" w:name="_Toc30671437"/>
      <w:bookmarkStart w:id="330" w:name="_Toc30673964"/>
      <w:bookmarkStart w:id="331" w:name="_Toc30691186"/>
      <w:bookmarkStart w:id="332" w:name="_Toc30691559"/>
      <w:bookmarkStart w:id="333" w:name="_Toc30691939"/>
      <w:bookmarkStart w:id="334" w:name="_Toc30692698"/>
      <w:bookmarkStart w:id="335" w:name="_Toc30693077"/>
      <w:bookmarkStart w:id="336" w:name="_Toc30693455"/>
      <w:bookmarkStart w:id="337" w:name="_Toc30693833"/>
      <w:bookmarkStart w:id="338" w:name="_Toc30694214"/>
      <w:bookmarkStart w:id="339" w:name="_Toc30698803"/>
      <w:bookmarkStart w:id="340" w:name="_Toc30699181"/>
      <w:bookmarkStart w:id="341" w:name="_Toc30699566"/>
      <w:bookmarkStart w:id="342" w:name="_Toc30700721"/>
      <w:bookmarkStart w:id="343" w:name="_Toc30701108"/>
      <w:bookmarkStart w:id="344" w:name="_Toc30743717"/>
      <w:bookmarkStart w:id="345" w:name="_Toc30754540"/>
      <w:bookmarkStart w:id="346" w:name="_Toc30756980"/>
      <w:bookmarkStart w:id="347" w:name="_Toc30757529"/>
      <w:bookmarkStart w:id="348" w:name="_Toc30757929"/>
      <w:bookmarkStart w:id="349" w:name="_Toc30762690"/>
      <w:bookmarkStart w:id="350" w:name="_Toc30767344"/>
      <w:bookmarkStart w:id="351" w:name="_Toc34823360"/>
      <w:bookmarkStart w:id="352" w:name="_Toc60399993"/>
      <w:bookmarkStart w:id="353" w:name="_4.3_Jurisdiction_of"/>
      <w:bookmarkStart w:id="354" w:name="B43"/>
      <w:bookmarkEnd w:id="353"/>
      <w:bookmarkEnd w:id="354"/>
      <w:r>
        <w:rPr>
          <w:rFonts w:ascii="Arial" w:hAnsi="Arial" w:cs="Arial"/>
          <w:b/>
          <w:bCs/>
        </w:rPr>
        <w:t>4.</w:t>
      </w:r>
      <w:r w:rsidR="00940D74">
        <w:rPr>
          <w:rFonts w:ascii="Arial" w:hAnsi="Arial" w:cs="Arial"/>
          <w:b/>
          <w:bCs/>
        </w:rPr>
        <w:t>3</w:t>
      </w:r>
      <w:r>
        <w:rPr>
          <w:rFonts w:ascii="Arial" w:hAnsi="Arial" w:cs="Arial"/>
          <w:b/>
          <w:bCs/>
        </w:rPr>
        <w:tab/>
        <w:t>Jurisdiction</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Pr>
          <w:rFonts w:ascii="Arial" w:hAnsi="Arial" w:cs="Arial"/>
          <w:b/>
          <w:bCs/>
        </w:rPr>
        <w:t xml:space="preserve"> of Family Division</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401065FC" w14:textId="77777777" w:rsidR="00693223" w:rsidRDefault="00693223">
      <w:pPr>
        <w:keepNext/>
        <w:keepLines/>
        <w:jc w:val="both"/>
        <w:rPr>
          <w:rFonts w:ascii="Arial" w:hAnsi="Arial" w:cs="Arial"/>
          <w:sz w:val="20"/>
        </w:rPr>
      </w:pPr>
    </w:p>
    <w:p w14:paraId="50254E16"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2317E27" w14:textId="77777777" w:rsidR="00693223" w:rsidRDefault="00693223">
      <w:pPr>
        <w:pStyle w:val="Heading3"/>
        <w:spacing w:line="240" w:lineRule="auto"/>
        <w:rPr>
          <w:rFonts w:ascii="Arial" w:hAnsi="Arial" w:cs="Arial"/>
          <w:b/>
          <w:bCs/>
          <w:sz w:val="20"/>
        </w:rPr>
      </w:pPr>
      <w:bookmarkStart w:id="355" w:name="_Toc60399994"/>
    </w:p>
    <w:p w14:paraId="7FC1880A" w14:textId="77777777" w:rsidR="00693223" w:rsidRDefault="00693223">
      <w:pPr>
        <w:pStyle w:val="Heading3"/>
        <w:keepNext/>
        <w:keepLines/>
        <w:spacing w:line="240" w:lineRule="auto"/>
        <w:rPr>
          <w:rFonts w:ascii="Arial" w:hAnsi="Arial" w:cs="Arial"/>
          <w:b/>
          <w:bCs/>
          <w:sz w:val="20"/>
        </w:rPr>
      </w:pPr>
      <w:bookmarkStart w:id="356" w:name="_4.3.1_Jurisdiction_under"/>
      <w:bookmarkStart w:id="357" w:name="B431"/>
      <w:bookmarkEnd w:id="356"/>
      <w:bookmarkEnd w:id="357"/>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5"/>
    </w:p>
    <w:p w14:paraId="3E8CDAB9" w14:textId="77777777" w:rsidR="00693223" w:rsidRDefault="00693223" w:rsidP="00B51860">
      <w:pPr>
        <w:pStyle w:val="Heading3"/>
        <w:keepNext/>
        <w:keepLines/>
        <w:spacing w:line="240" w:lineRule="auto"/>
        <w:rPr>
          <w:rFonts w:ascii="Arial" w:hAnsi="Arial" w:cs="Arial"/>
          <w:b/>
          <w:bCs/>
          <w:sz w:val="20"/>
        </w:rPr>
      </w:pPr>
    </w:p>
    <w:p w14:paraId="3CAFC50C" w14:textId="77777777"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A, the Family Division has jurisdiction to hear and determine a number of Primary Applications &amp; Secondary Applications for orders relating to the protection of children and young persons.  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3E272F08" w14:textId="77777777" w:rsidR="00693223" w:rsidRDefault="00693223">
      <w:pPr>
        <w:jc w:val="both"/>
        <w:rPr>
          <w:rFonts w:ascii="Arial" w:hAnsi="Arial" w:cs="Arial"/>
          <w:sz w:val="20"/>
        </w:rPr>
      </w:pPr>
    </w:p>
    <w:p w14:paraId="00441F4D" w14:textId="77777777" w:rsidR="00693223" w:rsidRDefault="00693223" w:rsidP="00823729">
      <w:pPr>
        <w:keepNext/>
        <w:keepLines/>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507174D5"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2B9C017F"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1AF23F81" w14:textId="77777777" w:rsidR="00693223" w:rsidRDefault="00693223">
      <w:pPr>
        <w:jc w:val="both"/>
        <w:rPr>
          <w:rFonts w:ascii="Arial" w:hAnsi="Arial" w:cs="Arial"/>
          <w:sz w:val="20"/>
        </w:rPr>
      </w:pPr>
    </w:p>
    <w:p w14:paraId="5A7AED96"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38F97666" w14:textId="77777777" w:rsidR="004809F9" w:rsidRDefault="004809F9">
      <w:pPr>
        <w:jc w:val="both"/>
        <w:rPr>
          <w:rFonts w:ascii="Arial" w:hAnsi="Arial" w:cs="Arial"/>
          <w:sz w:val="20"/>
        </w:rPr>
      </w:pPr>
    </w:p>
    <w:p w14:paraId="553FF7E7" w14:textId="77777777" w:rsidR="00693223" w:rsidRDefault="00693223">
      <w:pPr>
        <w:pStyle w:val="Heading3"/>
        <w:keepNext/>
        <w:keepLines/>
        <w:spacing w:line="240" w:lineRule="auto"/>
        <w:rPr>
          <w:rFonts w:ascii="Arial" w:hAnsi="Arial" w:cs="Arial"/>
          <w:b/>
          <w:bCs/>
          <w:sz w:val="20"/>
        </w:rPr>
      </w:pPr>
      <w:bookmarkStart w:id="358" w:name="_Toc30607527"/>
      <w:bookmarkStart w:id="359" w:name="_Toc30607656"/>
      <w:bookmarkStart w:id="360" w:name="_Toc30607981"/>
      <w:bookmarkStart w:id="361" w:name="_Toc30608814"/>
      <w:bookmarkStart w:id="362" w:name="_Toc30610028"/>
      <w:bookmarkStart w:id="363" w:name="_Toc30610272"/>
      <w:bookmarkStart w:id="364" w:name="_Toc30638426"/>
      <w:bookmarkStart w:id="365" w:name="_Toc60399995"/>
      <w:bookmarkStart w:id="366" w:name="_4.3.2_Whether_jurisdiction"/>
      <w:bookmarkStart w:id="367" w:name="B432"/>
      <w:bookmarkEnd w:id="366"/>
      <w:bookmarkEnd w:id="367"/>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t>Whether jurisdiction under the Family Law Act 1975 (Cth) [as amended]</w:t>
      </w:r>
      <w:bookmarkEnd w:id="365"/>
    </w:p>
    <w:p w14:paraId="12163263" w14:textId="77777777" w:rsidR="00693223" w:rsidRDefault="00693223" w:rsidP="00CF2DFD">
      <w:pPr>
        <w:pStyle w:val="Heading3"/>
        <w:keepNext/>
        <w:keepLines/>
        <w:spacing w:line="240" w:lineRule="auto"/>
        <w:rPr>
          <w:rFonts w:ascii="Arial" w:hAnsi="Arial" w:cs="Arial"/>
          <w:b/>
          <w:bCs/>
          <w:sz w:val="20"/>
        </w:rPr>
      </w:pPr>
    </w:p>
    <w:p w14:paraId="7897AECB" w14:textId="77777777" w:rsidR="00693223" w:rsidRPr="00B310F4" w:rsidRDefault="00693223">
      <w:pPr>
        <w:jc w:val="both"/>
        <w:rPr>
          <w:rFonts w:ascii="Arial" w:hAnsi="Arial" w:cs="Arial"/>
          <w:color w:val="000000"/>
          <w:sz w:val="20"/>
        </w:rPr>
      </w:pPr>
      <w:r w:rsidRPr="00B310F4">
        <w:rPr>
          <w:rFonts w:ascii="Arial" w:hAnsi="Arial" w:cs="Arial"/>
          <w:color w:val="000000"/>
          <w:sz w:val="20"/>
        </w:rPr>
        <w:t xml:space="preserve">It </w:t>
      </w:r>
      <w:r w:rsidR="0095697C" w:rsidRPr="00B310F4">
        <w:rPr>
          <w:rFonts w:ascii="Arial" w:hAnsi="Arial" w:cs="Arial"/>
          <w:color w:val="000000"/>
          <w:sz w:val="20"/>
        </w:rPr>
        <w:t xml:space="preserve">has </w:t>
      </w:r>
      <w:r w:rsidRPr="00B310F4">
        <w:rPr>
          <w:rFonts w:ascii="Arial" w:hAnsi="Arial" w:cs="Arial"/>
          <w:color w:val="000000"/>
          <w:sz w:val="20"/>
        </w:rPr>
        <w:t xml:space="preserve">long been accepted in </w:t>
      </w:r>
      <w:smartTag w:uri="urn:schemas-microsoft-com:office:smarttags" w:element="State">
        <w:smartTag w:uri="urn:schemas-microsoft-com:office:smarttags" w:element="place">
          <w:r w:rsidRPr="00B310F4">
            <w:rPr>
              <w:rFonts w:ascii="Arial" w:hAnsi="Arial" w:cs="Arial"/>
              <w:color w:val="000000"/>
              <w:sz w:val="20"/>
            </w:rPr>
            <w:t>Victoria</w:t>
          </w:r>
        </w:smartTag>
      </w:smartTag>
      <w:r w:rsidRPr="00B310F4">
        <w:rPr>
          <w:rFonts w:ascii="Arial" w:hAnsi="Arial" w:cs="Arial"/>
          <w:color w:val="000000"/>
          <w:sz w:val="20"/>
        </w:rPr>
        <w:t xml:space="preserve"> as a matter of general practice that</w:t>
      </w:r>
      <w:r w:rsidR="00120B81" w:rsidRPr="00B310F4">
        <w:rPr>
          <w:rFonts w:ascii="Arial" w:hAnsi="Arial" w:cs="Arial"/>
          <w:color w:val="000000"/>
          <w:sz w:val="20"/>
        </w:rPr>
        <w:t xml:space="preserve"> paradoxically</w:t>
      </w:r>
      <w:r w:rsidRPr="00B310F4">
        <w:rPr>
          <w:rFonts w:ascii="Arial" w:hAnsi="Arial" w:cs="Arial"/>
          <w:color w:val="000000"/>
          <w:sz w:val="20"/>
        </w:rPr>
        <w:t>:</w:t>
      </w:r>
    </w:p>
    <w:p w14:paraId="6E198FBD" w14:textId="77777777" w:rsidR="00693223" w:rsidRDefault="00693223" w:rsidP="002239D1">
      <w:pPr>
        <w:numPr>
          <w:ilvl w:val="0"/>
          <w:numId w:val="18"/>
        </w:numPr>
        <w:tabs>
          <w:tab w:val="num" w:leader="none"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has jurisdiction to hear and determine certain matters relating to children pursuant to Part VII of the </w:t>
      </w:r>
      <w:r>
        <w:rPr>
          <w:rFonts w:ascii="Arial" w:hAnsi="Arial" w:cs="Arial"/>
          <w:sz w:val="20"/>
          <w:u w:val="single"/>
        </w:rPr>
        <w:t>Family Law Act 1975 (Cth)</w:t>
      </w:r>
      <w:r>
        <w:rPr>
          <w:rFonts w:ascii="Arial" w:hAnsi="Arial" w:cs="Arial"/>
          <w:sz w:val="20"/>
        </w:rPr>
        <w:t xml:space="preserve"> [as amended] ('the FLA'), including applications for parenting orders in certain circumstances; but</w:t>
      </w:r>
    </w:p>
    <w:p w14:paraId="65AC3860" w14:textId="77777777" w:rsidR="00693223" w:rsidRDefault="00693223" w:rsidP="002239D1">
      <w:pPr>
        <w:numPr>
          <w:ilvl w:val="0"/>
          <w:numId w:val="18"/>
        </w:numPr>
        <w:tabs>
          <w:tab w:val="num" w:leader="none"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does not have jurisdiction under the FLA.</w:t>
      </w:r>
    </w:p>
    <w:p w14:paraId="1AFB9850" w14:textId="77777777" w:rsidR="00693223" w:rsidRDefault="00693223">
      <w:pPr>
        <w:jc w:val="both"/>
        <w:rPr>
          <w:rFonts w:ascii="Arial" w:hAnsi="Arial" w:cs="Arial"/>
          <w:sz w:val="20"/>
        </w:rPr>
      </w:pPr>
    </w:p>
    <w:p w14:paraId="410EFBF2" w14:textId="77777777" w:rsidR="00693223" w:rsidRDefault="00693223">
      <w:pPr>
        <w:tabs>
          <w:tab w:val="num" w:pos="720"/>
        </w:tabs>
        <w:jc w:val="both"/>
        <w:rPr>
          <w:rFonts w:ascii="Arial" w:hAnsi="Arial" w:cs="Arial"/>
          <w:sz w:val="20"/>
        </w:rPr>
      </w:pPr>
      <w:r>
        <w:rPr>
          <w:rFonts w:ascii="Arial" w:hAnsi="Arial" w:cs="Arial"/>
          <w:sz w:val="20"/>
        </w:rPr>
        <w:t>The Family Law Council agrees, stating baldly in its Final Report on Family Law and Child Protection (September 2002) at p.82:</w:t>
      </w:r>
    </w:p>
    <w:p w14:paraId="76E4464E"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2E6A24E9" w14:textId="77777777" w:rsidR="00693223" w:rsidRDefault="00693223">
      <w:pPr>
        <w:tabs>
          <w:tab w:val="num" w:pos="720"/>
        </w:tabs>
        <w:jc w:val="both"/>
        <w:rPr>
          <w:rFonts w:ascii="Arial" w:hAnsi="Arial" w:cs="Arial"/>
          <w:sz w:val="20"/>
        </w:rPr>
      </w:pPr>
    </w:p>
    <w:p w14:paraId="3916BAD0" w14:textId="77777777" w:rsidR="00DA334D" w:rsidRDefault="00FC719E" w:rsidP="00DA334D">
      <w:pPr>
        <w:tabs>
          <w:tab w:val="num" w:pos="720"/>
        </w:tabs>
        <w:jc w:val="both"/>
        <w:rPr>
          <w:rFonts w:ascii="Arial" w:hAnsi="Arial" w:cs="Arial"/>
          <w:sz w:val="20"/>
        </w:rPr>
      </w:pPr>
      <w:r>
        <w:rPr>
          <w:rFonts w:ascii="Arial" w:hAnsi="Arial" w:cs="Arial"/>
          <w:sz w:val="20"/>
        </w:rPr>
        <w:t xml:space="preserve">In an earlier version of this paragraph, the writer agreed “but with less certainty that the Family Law Council” that the Children’s Court of Victoria does not have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jurisdiction.  The </w:t>
      </w:r>
      <w:r w:rsidR="00182678">
        <w:rPr>
          <w:rFonts w:ascii="Arial" w:hAnsi="Arial" w:cs="Arial"/>
          <w:sz w:val="20"/>
        </w:rPr>
        <w:t>writer has resiled a long way from that view</w:t>
      </w:r>
      <w:r w:rsidR="00617055">
        <w:rPr>
          <w:rFonts w:ascii="Arial" w:hAnsi="Arial" w:cs="Arial"/>
          <w:sz w:val="20"/>
        </w:rPr>
        <w:t xml:space="preserve">.  This is largely </w:t>
      </w:r>
      <w:r w:rsidR="00182678">
        <w:rPr>
          <w:rFonts w:ascii="Arial" w:hAnsi="Arial" w:cs="Arial"/>
          <w:sz w:val="20"/>
        </w:rPr>
        <w:t xml:space="preserve">a consequence of reading a </w:t>
      </w:r>
      <w:r w:rsidR="00DA334D">
        <w:rPr>
          <w:rFonts w:ascii="Arial" w:hAnsi="Arial" w:cs="Arial"/>
          <w:sz w:val="20"/>
        </w:rPr>
        <w:t xml:space="preserve">detailed Memorandum of Advice dated 03/07/2006 provided to the Department of Justice by eminent senior &amp; junior counsel on a related question: “Does the Children’s Court have jurisdiction to vary Family Court orders that conflict with intervention orders made under the </w:t>
      </w:r>
      <w:r w:rsidR="00617055" w:rsidRPr="00617055">
        <w:rPr>
          <w:rFonts w:ascii="Arial" w:hAnsi="Arial" w:cs="Arial"/>
          <w:sz w:val="20"/>
          <w:u w:val="single"/>
        </w:rPr>
        <w:t>Crimes (Family Violence) Act 1987 (Vic)</w:t>
      </w:r>
      <w:r w:rsidR="00617055">
        <w:rPr>
          <w:rFonts w:ascii="Arial" w:hAnsi="Arial" w:cs="Arial"/>
          <w:sz w:val="20"/>
        </w:rPr>
        <w:t xml:space="preserve"> (‘the </w:t>
      </w:r>
      <w:r w:rsidR="00DA334D">
        <w:rPr>
          <w:rFonts w:ascii="Arial" w:hAnsi="Arial" w:cs="Arial"/>
          <w:sz w:val="20"/>
        </w:rPr>
        <w:t>CFVA</w:t>
      </w:r>
      <w:r w:rsidR="00617055">
        <w:rPr>
          <w:rFonts w:ascii="Arial" w:hAnsi="Arial" w:cs="Arial"/>
          <w:sz w:val="20"/>
        </w:rPr>
        <w:t>’)</w:t>
      </w:r>
      <w:r w:rsidR="00DA334D">
        <w:rPr>
          <w:rFonts w:ascii="Arial" w:hAnsi="Arial" w:cs="Arial"/>
          <w:sz w:val="20"/>
        </w:rPr>
        <w:t xml:space="preserve">?” </w:t>
      </w:r>
      <w:r w:rsidR="00617055">
        <w:rPr>
          <w:rFonts w:ascii="Arial" w:hAnsi="Arial" w:cs="Arial"/>
          <w:sz w:val="20"/>
        </w:rPr>
        <w:t xml:space="preserve">[The same question is relevant to the FVPA which replaced the CFVA on 08/12/2008.] </w:t>
      </w:r>
      <w:r w:rsidR="00DA334D">
        <w:rPr>
          <w:rFonts w:ascii="Arial" w:hAnsi="Arial" w:cs="Arial"/>
          <w:sz w:val="20"/>
        </w:rPr>
        <w:t xml:space="preserve"> Counsels’ conclusion was: “The Children’s Court does have jurisdiction to vary Family Court </w:t>
      </w:r>
      <w:r w:rsidR="00B86FAB">
        <w:rPr>
          <w:rFonts w:ascii="Arial" w:hAnsi="Arial" w:cs="Arial"/>
          <w:sz w:val="20"/>
        </w:rPr>
        <w:t>o</w:t>
      </w:r>
      <w:r w:rsidR="00DA334D">
        <w:rPr>
          <w:rFonts w:ascii="Arial" w:hAnsi="Arial" w:cs="Arial"/>
          <w:sz w:val="20"/>
        </w:rPr>
        <w:t>rders that conflict with intervention orders made under the CFVA, provided that the jurisdiction is exercised by a magistrate rather than by the President of the Court.”</w:t>
      </w:r>
    </w:p>
    <w:p w14:paraId="380991EF" w14:textId="77777777" w:rsidR="00DA334D" w:rsidRDefault="00DA334D" w:rsidP="00DA334D">
      <w:pPr>
        <w:tabs>
          <w:tab w:val="num" w:pos="720"/>
        </w:tabs>
        <w:jc w:val="both"/>
        <w:rPr>
          <w:rFonts w:ascii="Arial" w:hAnsi="Arial" w:cs="Arial"/>
          <w:sz w:val="20"/>
        </w:rPr>
      </w:pPr>
    </w:p>
    <w:p w14:paraId="62304587" w14:textId="77777777" w:rsidR="00B42517" w:rsidRDefault="00DA334D" w:rsidP="00DA334D">
      <w:pPr>
        <w:tabs>
          <w:tab w:val="num" w:pos="720"/>
        </w:tabs>
        <w:jc w:val="both"/>
        <w:rPr>
          <w:rFonts w:ascii="Arial" w:hAnsi="Arial" w:cs="Arial"/>
          <w:sz w:val="20"/>
        </w:rPr>
      </w:pPr>
      <w:r>
        <w:rPr>
          <w:rFonts w:ascii="Arial" w:hAnsi="Arial" w:cs="Arial"/>
          <w:sz w:val="20"/>
        </w:rPr>
        <w:t>Having read counsels’ opinion, the writer accepts that “</w:t>
      </w:r>
      <w:r w:rsidRPr="00ED2BF4">
        <w:rPr>
          <w:rFonts w:ascii="Arial" w:hAnsi="Arial" w:cs="Arial"/>
          <w:i/>
          <w:sz w:val="20"/>
        </w:rPr>
        <w:t>Le Mesurier v Connor</w:t>
      </w:r>
      <w:r>
        <w:rPr>
          <w:rFonts w:ascii="Arial" w:hAnsi="Arial" w:cs="Arial"/>
          <w:sz w:val="20"/>
        </w:rPr>
        <w:t xml:space="preserve"> (1929) 42 CLR 481 at 503 is not authority for the proposition that Commonwealth legislation can confer jurisdiction only on State courts that exist at the time the Commonwealth legislation that invests federal jurisdiction is passed”.</w:t>
      </w:r>
    </w:p>
    <w:p w14:paraId="70E845B9" w14:textId="77777777" w:rsidR="00B42517" w:rsidRDefault="00B42517" w:rsidP="00DA334D">
      <w:pPr>
        <w:tabs>
          <w:tab w:val="num" w:pos="720"/>
        </w:tabs>
        <w:jc w:val="both"/>
        <w:rPr>
          <w:rFonts w:ascii="Arial" w:hAnsi="Arial" w:cs="Arial"/>
          <w:sz w:val="20"/>
        </w:rPr>
      </w:pPr>
    </w:p>
    <w:p w14:paraId="19C7C9D0" w14:textId="77777777" w:rsidR="009A55B9" w:rsidRDefault="009A55B9" w:rsidP="009A55B9">
      <w:pPr>
        <w:tabs>
          <w:tab w:val="num" w:pos="720"/>
        </w:tabs>
        <w:jc w:val="both"/>
        <w:rPr>
          <w:rFonts w:ascii="Arial" w:hAnsi="Arial" w:cs="Arial"/>
          <w:sz w:val="20"/>
        </w:rPr>
      </w:pPr>
      <w:r>
        <w:rPr>
          <w:rFonts w:ascii="Arial" w:hAnsi="Arial" w:cs="Arial"/>
          <w:sz w:val="20"/>
        </w:rPr>
        <w:t xml:space="preserve">The issue about which the writer remains uncertain is whether or not the investing of </w:t>
      </w:r>
      <w:smartTag w:uri="urn:schemas-microsoft-com:office:smarttags" w:element="State">
        <w:r>
          <w:rPr>
            <w:rFonts w:ascii="Arial" w:hAnsi="Arial" w:cs="Arial"/>
            <w:sz w:val="20"/>
          </w:rPr>
          <w:t>FLA</w:t>
        </w:r>
      </w:smartTag>
      <w:r>
        <w:rPr>
          <w:rFonts w:ascii="Arial" w:hAnsi="Arial" w:cs="Arial"/>
          <w:sz w:val="20"/>
        </w:rPr>
        <w:t xml:space="preserve"> jurisdiction by s.69J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on </w:t>
      </w:r>
      <w:smartTag w:uri="urn:schemas-microsoft-com:office:smarttags" w:element="date">
        <w:smartTagPr>
          <w:attr w:name="Year" w:val="1996"/>
          <w:attr w:name="Day" w:val="11"/>
          <w:attr w:name="Month" w:val="6"/>
        </w:smartTagPr>
        <w:r>
          <w:rPr>
            <w:rFonts w:ascii="Arial" w:hAnsi="Arial" w:cs="Arial"/>
            <w:sz w:val="20"/>
          </w:rPr>
          <w:t>11/06/1996</w:t>
        </w:r>
      </w:smartTag>
      <w:r>
        <w:rPr>
          <w:rFonts w:ascii="Arial" w:hAnsi="Arial" w:cs="Arial"/>
          <w:sz w:val="20"/>
        </w:rPr>
        <w:t xml:space="preserve"> survived the significant change in the constitution of the Children’s Court of Victoria </w:t>
      </w:r>
      <w:r w:rsidR="00C8042A">
        <w:rPr>
          <w:rFonts w:ascii="Arial" w:hAnsi="Arial" w:cs="Arial"/>
          <w:sz w:val="20"/>
        </w:rPr>
        <w:t xml:space="preserve">brought about by Act No.36/2000 on </w:t>
      </w:r>
      <w:smartTag w:uri="urn:schemas-microsoft-com:office:smarttags" w:element="date">
        <w:smartTagPr>
          <w:attr w:name="Year" w:val="2000"/>
          <w:attr w:name="Day" w:val="26"/>
          <w:attr w:name="Month" w:val="6"/>
        </w:smartTagPr>
        <w:r w:rsidR="00C8042A">
          <w:rPr>
            <w:rFonts w:ascii="Arial" w:hAnsi="Arial" w:cs="Arial"/>
            <w:sz w:val="20"/>
          </w:rPr>
          <w:t>26/06/2000</w:t>
        </w:r>
      </w:smartTag>
      <w:r w:rsidR="00C8042A">
        <w:rPr>
          <w:rFonts w:ascii="Arial" w:hAnsi="Arial" w:cs="Arial"/>
          <w:sz w:val="20"/>
        </w:rPr>
        <w:t>.</w:t>
      </w:r>
    </w:p>
    <w:p w14:paraId="2095F0EE" w14:textId="77777777" w:rsidR="009A55B9" w:rsidRDefault="009A55B9" w:rsidP="00DA334D">
      <w:pPr>
        <w:tabs>
          <w:tab w:val="num" w:pos="720"/>
        </w:tabs>
        <w:jc w:val="both"/>
        <w:rPr>
          <w:rFonts w:ascii="Arial" w:hAnsi="Arial" w:cs="Arial"/>
          <w:sz w:val="20"/>
        </w:rPr>
      </w:pPr>
    </w:p>
    <w:p w14:paraId="33488F10" w14:textId="77777777" w:rsidR="009A55B9" w:rsidRDefault="009A55B9" w:rsidP="00B51860">
      <w:pPr>
        <w:keepNext/>
        <w:keepLines/>
        <w:tabs>
          <w:tab w:val="left" w:pos="363"/>
        </w:tabs>
        <w:jc w:val="both"/>
        <w:rPr>
          <w:rFonts w:ascii="Arial" w:hAnsi="Arial" w:cs="Arial"/>
          <w:sz w:val="20"/>
        </w:rPr>
      </w:pPr>
      <w:r>
        <w:rPr>
          <w:rFonts w:ascii="Arial" w:hAnsi="Arial" w:cs="Arial"/>
          <w:sz w:val="20"/>
        </w:rPr>
        <w:t>The writer-</w:t>
      </w:r>
    </w:p>
    <w:p w14:paraId="01A51FEC" w14:textId="77777777" w:rsidR="009A55B9" w:rsidRDefault="009A55B9" w:rsidP="002239D1">
      <w:pPr>
        <w:numPr>
          <w:ilvl w:val="0"/>
          <w:numId w:val="28"/>
        </w:numPr>
        <w:tabs>
          <w:tab w:val="clear" w:pos="726"/>
          <w:tab w:val="num" w:leader="none" w:pos="363"/>
        </w:tabs>
        <w:ind w:left="363"/>
        <w:jc w:val="both"/>
        <w:rPr>
          <w:rFonts w:ascii="Arial" w:hAnsi="Arial" w:cs="Arial"/>
          <w:sz w:val="20"/>
          <w:szCs w:val="20"/>
        </w:rPr>
      </w:pPr>
      <w:r>
        <w:rPr>
          <w:rFonts w:ascii="Arial" w:hAnsi="Arial" w:cs="Arial"/>
          <w:sz w:val="20"/>
          <w:szCs w:val="20"/>
        </w:rPr>
        <w:t xml:space="preserve">accepts that when it is constituted by the President, the Children’s Court of Victoria </w:t>
      </w:r>
      <w:r w:rsidRPr="006555D8">
        <w:rPr>
          <w:rFonts w:ascii="Arial" w:hAnsi="Arial" w:cs="Arial"/>
          <w:sz w:val="20"/>
          <w:szCs w:val="20"/>
        </w:rPr>
        <w:t>cannot</w:t>
      </w:r>
      <w:r>
        <w:rPr>
          <w:rFonts w:ascii="Arial" w:hAnsi="Arial" w:cs="Arial"/>
          <w:sz w:val="20"/>
          <w:szCs w:val="20"/>
        </w:rPr>
        <w:t xml:space="preserve"> exercise the jurisdiction which a Magistrates’ Court has under the </w:t>
      </w:r>
      <w:smartTag w:uri="urn:schemas-microsoft-com:office:smarttags" w:element="State">
        <w:smartTag w:uri="urn:schemas-microsoft-com:office:smarttags" w:element="place">
          <w:r>
            <w:rPr>
              <w:rFonts w:ascii="Arial" w:hAnsi="Arial" w:cs="Arial"/>
              <w:sz w:val="20"/>
              <w:szCs w:val="20"/>
            </w:rPr>
            <w:t>FLA</w:t>
          </w:r>
        </w:smartTag>
      </w:smartTag>
      <w:r>
        <w:rPr>
          <w:rFonts w:ascii="Arial" w:hAnsi="Arial" w:cs="Arial"/>
          <w:sz w:val="20"/>
          <w:szCs w:val="20"/>
        </w:rPr>
        <w:t>; but</w:t>
      </w:r>
    </w:p>
    <w:p w14:paraId="36C662AC" w14:textId="77777777" w:rsidR="009A55B9" w:rsidRDefault="009A55B9" w:rsidP="002239D1">
      <w:pPr>
        <w:numPr>
          <w:ilvl w:val="0"/>
          <w:numId w:val="28"/>
        </w:numPr>
        <w:tabs>
          <w:tab w:val="clear" w:pos="726"/>
          <w:tab w:val="num" w:leader="none" w:pos="363"/>
        </w:tabs>
        <w:ind w:left="363"/>
        <w:jc w:val="both"/>
        <w:rPr>
          <w:rFonts w:ascii="Arial" w:hAnsi="Arial" w:cs="Arial"/>
          <w:sz w:val="20"/>
          <w:szCs w:val="20"/>
        </w:rPr>
      </w:pPr>
      <w:r>
        <w:rPr>
          <w:rFonts w:ascii="Arial" w:hAnsi="Arial" w:cs="Arial"/>
          <w:sz w:val="20"/>
          <w:szCs w:val="20"/>
        </w:rPr>
        <w:t xml:space="preserve">considers it moot that when it is constituted by a magistrate, the Children’s Court of Victoria </w:t>
      </w:r>
      <w:r w:rsidRPr="006555D8">
        <w:rPr>
          <w:rFonts w:ascii="Arial" w:hAnsi="Arial" w:cs="Arial"/>
          <w:sz w:val="20"/>
          <w:szCs w:val="20"/>
        </w:rPr>
        <w:t>can</w:t>
      </w:r>
      <w:r>
        <w:rPr>
          <w:rFonts w:ascii="Arial" w:hAnsi="Arial" w:cs="Arial"/>
          <w:sz w:val="20"/>
          <w:szCs w:val="20"/>
        </w:rPr>
        <w:t xml:space="preserve"> exercise the jurisdiction which a Magistrates’ Court has under the FLA.</w:t>
      </w:r>
    </w:p>
    <w:p w14:paraId="73C43454" w14:textId="77777777" w:rsidR="009A55B9" w:rsidRDefault="009A55B9" w:rsidP="009A55B9">
      <w:pPr>
        <w:tabs>
          <w:tab w:val="num" w:pos="720"/>
        </w:tabs>
        <w:jc w:val="both"/>
        <w:rPr>
          <w:rFonts w:ascii="Arial" w:hAnsi="Arial" w:cs="Arial"/>
          <w:sz w:val="20"/>
        </w:rPr>
      </w:pPr>
    </w:p>
    <w:p w14:paraId="491869A2" w14:textId="77777777" w:rsidR="00B42517" w:rsidRDefault="00B42517" w:rsidP="00DA334D">
      <w:pPr>
        <w:tabs>
          <w:tab w:val="num" w:pos="720"/>
        </w:tabs>
        <w:jc w:val="both"/>
        <w:rPr>
          <w:rFonts w:ascii="Arial" w:hAnsi="Arial" w:cs="Arial"/>
          <w:sz w:val="20"/>
        </w:rPr>
      </w:pPr>
      <w:r>
        <w:rPr>
          <w:rFonts w:ascii="Arial" w:hAnsi="Arial" w:cs="Arial"/>
          <w:sz w:val="20"/>
        </w:rPr>
        <w:t xml:space="preserve">As </w:t>
      </w:r>
      <w:r w:rsidR="00BF567E">
        <w:rPr>
          <w:rFonts w:ascii="Arial" w:hAnsi="Arial" w:cs="Arial"/>
          <w:sz w:val="20"/>
        </w:rPr>
        <w:t>counsel concede</w:t>
      </w:r>
      <w:r>
        <w:rPr>
          <w:rFonts w:ascii="Arial" w:hAnsi="Arial" w:cs="Arial"/>
          <w:sz w:val="20"/>
        </w:rPr>
        <w:t xml:space="preserve">, the underlying reasoning </w:t>
      </w:r>
      <w:r w:rsidR="006E57FB">
        <w:rPr>
          <w:rFonts w:ascii="Arial" w:hAnsi="Arial" w:cs="Arial"/>
          <w:sz w:val="20"/>
        </w:rPr>
        <w:t>is complex</w:t>
      </w:r>
      <w:r w:rsidR="00BF567E">
        <w:rPr>
          <w:rFonts w:ascii="Arial" w:hAnsi="Arial" w:cs="Arial"/>
          <w:sz w:val="20"/>
        </w:rPr>
        <w:t>.  It is as follows:</w:t>
      </w:r>
    </w:p>
    <w:p w14:paraId="48995414" w14:textId="77777777" w:rsidR="00693223" w:rsidRDefault="00693223">
      <w:pPr>
        <w:tabs>
          <w:tab w:val="num" w:pos="720"/>
        </w:tabs>
        <w:jc w:val="both"/>
        <w:rPr>
          <w:rFonts w:ascii="Arial" w:hAnsi="Arial" w:cs="Arial"/>
          <w:sz w:val="20"/>
        </w:rPr>
      </w:pPr>
    </w:p>
    <w:p w14:paraId="3D3B5024" w14:textId="77777777" w:rsidR="00693223" w:rsidRDefault="00693223" w:rsidP="00C30866">
      <w:pPr>
        <w:keepNext/>
        <w:keepLines/>
        <w:tabs>
          <w:tab w:val="left" w:pos="363"/>
        </w:tabs>
        <w:ind w:left="363" w:hanging="363"/>
        <w:jc w:val="both"/>
        <w:rPr>
          <w:rFonts w:ascii="Arial" w:hAnsi="Arial" w:cs="Arial"/>
          <w:sz w:val="20"/>
        </w:rPr>
      </w:pPr>
      <w:r>
        <w:rPr>
          <w:rFonts w:ascii="Arial" w:hAnsi="Arial" w:cs="Arial"/>
          <w:sz w:val="20"/>
        </w:rPr>
        <w:t>1.</w:t>
      </w:r>
      <w:r>
        <w:rPr>
          <w:rFonts w:ascii="Arial" w:hAnsi="Arial" w:cs="Arial"/>
          <w:sz w:val="20"/>
        </w:rPr>
        <w:tab/>
        <w:t xml:space="preserve">By ss.51(xxi) &amp; 51(xxii) of the </w:t>
      </w:r>
      <w:r>
        <w:rPr>
          <w:rFonts w:ascii="Arial" w:hAnsi="Arial" w:cs="Arial"/>
          <w:sz w:val="20"/>
          <w:u w:val="single"/>
        </w:rPr>
        <w:t>Constitution</w:t>
      </w:r>
      <w:r>
        <w:rPr>
          <w:rFonts w:ascii="Arial" w:hAnsi="Arial" w:cs="Arial"/>
          <w:sz w:val="20"/>
        </w:rPr>
        <w:t>, Federal Parliament is empowered to make laws with respect to:</w:t>
      </w:r>
    </w:p>
    <w:p w14:paraId="277E5CDB" w14:textId="77777777" w:rsidR="00693223" w:rsidRDefault="00693223" w:rsidP="00823729">
      <w:pPr>
        <w:keepNext/>
        <w:keepLines/>
        <w:tabs>
          <w:tab w:val="left" w:pos="363"/>
        </w:tabs>
        <w:ind w:left="1083" w:hanging="1083"/>
        <w:jc w:val="both"/>
        <w:rPr>
          <w:rFonts w:ascii="Arial" w:hAnsi="Arial" w:cs="Arial"/>
          <w:sz w:val="20"/>
        </w:rPr>
      </w:pPr>
      <w:r>
        <w:rPr>
          <w:rFonts w:ascii="Arial" w:hAnsi="Arial" w:cs="Arial"/>
          <w:sz w:val="20"/>
        </w:rPr>
        <w:tab/>
        <w:t>(xxi)</w:t>
      </w:r>
      <w:r>
        <w:rPr>
          <w:rFonts w:ascii="Arial" w:hAnsi="Arial" w:cs="Arial"/>
          <w:sz w:val="20"/>
        </w:rPr>
        <w:tab/>
        <w:t xml:space="preserve">marriage; </w:t>
      </w:r>
    </w:p>
    <w:p w14:paraId="35BD06FD" w14:textId="77777777" w:rsidR="00693223" w:rsidRDefault="00693223">
      <w:pPr>
        <w:tabs>
          <w:tab w:val="left" w:pos="363"/>
        </w:tabs>
        <w:ind w:left="1083" w:hanging="1083"/>
        <w:jc w:val="both"/>
        <w:rPr>
          <w:rFonts w:ascii="Arial" w:hAnsi="Arial" w:cs="Arial"/>
          <w:sz w:val="20"/>
        </w:rPr>
      </w:pPr>
      <w:r>
        <w:rPr>
          <w:rFonts w:ascii="Arial" w:hAnsi="Arial" w:cs="Arial"/>
          <w:sz w:val="20"/>
        </w:rPr>
        <w:tab/>
        <w:t>(xxii)</w:t>
      </w:r>
      <w:r>
        <w:rPr>
          <w:rFonts w:ascii="Arial" w:hAnsi="Arial" w:cs="Arial"/>
          <w:sz w:val="20"/>
        </w:rPr>
        <w:tab/>
        <w:t>divorce and matrimonial causes; and in relation thereto, parental rights, and the custody and guardianship of infants.</w:t>
      </w:r>
    </w:p>
    <w:p w14:paraId="2FC1F20D" w14:textId="77777777" w:rsidR="00693223" w:rsidRDefault="00693223" w:rsidP="003126C2">
      <w:pPr>
        <w:ind w:left="363" w:hanging="363"/>
        <w:jc w:val="both"/>
        <w:rPr>
          <w:rFonts w:ascii="Arial" w:hAnsi="Arial" w:cs="Arial"/>
          <w:sz w:val="20"/>
        </w:rPr>
      </w:pPr>
      <w:r>
        <w:rPr>
          <w:rFonts w:ascii="Arial" w:hAnsi="Arial" w:cs="Arial"/>
          <w:sz w:val="20"/>
        </w:rPr>
        <w:tab/>
        <w:t xml:space="preserve">In purported exercise of these powers the FLA had originally defined 'matrimonial cause' as including "proceedings with respect to the custody, guardianship or maintenance of, or access to, a child of a marriage": s.4(1)(c)(iii).  In </w:t>
      </w:r>
      <w:r>
        <w:rPr>
          <w:rFonts w:ascii="Arial" w:hAnsi="Arial" w:cs="Arial"/>
          <w:i/>
          <w:iCs/>
          <w:sz w:val="20"/>
        </w:rPr>
        <w:t>Russell v Russell</w:t>
      </w:r>
      <w:r>
        <w:rPr>
          <w:rFonts w:ascii="Arial" w:hAnsi="Arial" w:cs="Arial"/>
          <w:sz w:val="20"/>
        </w:rPr>
        <w:t xml:space="preserve"> (1976) 134 CLR 495 at 556 a majority of the High Court read down s.4(1)(c)(iii) to apply only to "proceedings </w:t>
      </w:r>
      <w:r>
        <w:rPr>
          <w:rFonts w:ascii="Arial" w:hAnsi="Arial" w:cs="Arial"/>
          <w:sz w:val="20"/>
          <w:u w:val="single"/>
        </w:rPr>
        <w:t>between the parties to a marriage</w:t>
      </w:r>
      <w:r>
        <w:rPr>
          <w:rFonts w:ascii="Arial" w:hAnsi="Arial" w:cs="Arial"/>
          <w:sz w:val="20"/>
        </w:rPr>
        <w:t xml:space="preserve"> with respect to the custody, guardianship or maintenance of, or access to, </w:t>
      </w:r>
      <w:r>
        <w:rPr>
          <w:rFonts w:ascii="Arial" w:hAnsi="Arial" w:cs="Arial"/>
          <w:sz w:val="20"/>
          <w:u w:val="single"/>
        </w:rPr>
        <w:t>the natural and adopted children of the parties to the marriage</w:t>
      </w:r>
      <w:r>
        <w:rPr>
          <w:rFonts w:ascii="Arial" w:hAnsi="Arial" w:cs="Arial"/>
          <w:sz w:val="20"/>
        </w:rPr>
        <w:t>".  In brief the High Court held that the Federal Parliament had no power to legislate with respect to the custody and guardianship of ex-nuptial children.</w:t>
      </w:r>
    </w:p>
    <w:p w14:paraId="3E6FA3E8" w14:textId="77777777" w:rsidR="00693223" w:rsidRDefault="00693223">
      <w:pPr>
        <w:jc w:val="both"/>
        <w:rPr>
          <w:rFonts w:ascii="Arial" w:hAnsi="Arial" w:cs="Arial"/>
          <w:sz w:val="20"/>
        </w:rPr>
      </w:pPr>
    </w:p>
    <w:p w14:paraId="5BEFC42F" w14:textId="77777777" w:rsidR="00693223" w:rsidRDefault="00693223">
      <w:pPr>
        <w:keepNext/>
        <w:keepLines/>
        <w:ind w:left="363" w:hanging="363"/>
        <w:jc w:val="both"/>
        <w:rPr>
          <w:rFonts w:ascii="Arial" w:hAnsi="Arial" w:cs="Arial"/>
          <w:sz w:val="20"/>
        </w:rPr>
      </w:pPr>
      <w:r>
        <w:rPr>
          <w:rFonts w:ascii="Arial" w:hAnsi="Arial" w:cs="Arial"/>
          <w:sz w:val="20"/>
        </w:rPr>
        <w:t>2.</w:t>
      </w:r>
      <w:r>
        <w:rPr>
          <w:rFonts w:ascii="Arial" w:hAnsi="Arial" w:cs="Arial"/>
          <w:sz w:val="20"/>
        </w:rPr>
        <w:tab/>
        <w:t xml:space="preserve">In 1986 all of the States except </w:t>
      </w:r>
      <w:smartTag w:uri="urn:schemas-microsoft-com:office:smarttags" w:element="State">
        <w:smartTag w:uri="urn:schemas-microsoft-com:office:smarttags" w:element="place">
          <w:r>
            <w:rPr>
              <w:rFonts w:ascii="Arial" w:hAnsi="Arial" w:cs="Arial"/>
              <w:sz w:val="20"/>
            </w:rPr>
            <w:t>Western Australia</w:t>
          </w:r>
        </w:smartTag>
      </w:smartTag>
      <w:r>
        <w:rPr>
          <w:rFonts w:ascii="Arial" w:hAnsi="Arial" w:cs="Arial"/>
          <w:sz w:val="20"/>
        </w:rPr>
        <w:t xml:space="preserve"> referred to the Federal Parliament until further notice some of their powers in relation to custody and guardianship of children.  By s.3(1) of the </w:t>
      </w:r>
      <w:r>
        <w:rPr>
          <w:rFonts w:ascii="Arial" w:hAnsi="Arial" w:cs="Arial"/>
          <w:sz w:val="20"/>
          <w:u w:val="single"/>
        </w:rPr>
        <w:t>Commonwealth Powers (Family Law - Children) Act 1986 (Vic)</w:t>
      </w:r>
      <w:r>
        <w:rPr>
          <w:rFonts w:ascii="Arial" w:hAnsi="Arial" w:cs="Arial"/>
          <w:sz w:val="20"/>
        </w:rPr>
        <w:t xml:space="preserve"> - assented to on 16/12/1986 - the State of Victoria referred to the Parliament of the Commonwealth certain of its powers to legislate with respect to-</w:t>
      </w:r>
    </w:p>
    <w:p w14:paraId="1846352A" w14:textId="77777777" w:rsidR="00693223" w:rsidRDefault="00693223">
      <w:pPr>
        <w:ind w:left="720" w:hanging="357"/>
        <w:jc w:val="both"/>
        <w:rPr>
          <w:rFonts w:ascii="Arial" w:hAnsi="Arial" w:cs="Arial"/>
          <w:sz w:val="20"/>
        </w:rPr>
      </w:pPr>
      <w:r>
        <w:rPr>
          <w:rFonts w:ascii="Arial" w:hAnsi="Arial" w:cs="Arial"/>
          <w:sz w:val="20"/>
        </w:rPr>
        <w:t>(a)</w:t>
      </w:r>
      <w:r>
        <w:rPr>
          <w:rFonts w:ascii="Arial" w:hAnsi="Arial" w:cs="Arial"/>
          <w:sz w:val="20"/>
        </w:rPr>
        <w:tab/>
        <w:t>the maintenance of children and the payment of expenses in relation to children or child bearing; and</w:t>
      </w:r>
    </w:p>
    <w:p w14:paraId="587249EC" w14:textId="77777777" w:rsidR="00693223" w:rsidRDefault="00693223">
      <w:pPr>
        <w:ind w:left="720" w:hanging="357"/>
        <w:jc w:val="both"/>
        <w:rPr>
          <w:rFonts w:ascii="Arial" w:hAnsi="Arial" w:cs="Arial"/>
          <w:sz w:val="20"/>
        </w:rPr>
      </w:pPr>
      <w:r>
        <w:rPr>
          <w:rFonts w:ascii="Arial" w:hAnsi="Arial" w:cs="Arial"/>
          <w:sz w:val="20"/>
        </w:rPr>
        <w:t>(b)</w:t>
      </w:r>
      <w:r>
        <w:rPr>
          <w:rFonts w:ascii="Arial" w:hAnsi="Arial" w:cs="Arial"/>
          <w:sz w:val="20"/>
        </w:rPr>
        <w:tab/>
        <w:t>the custody and guardianship of, and access to, children.</w:t>
      </w:r>
    </w:p>
    <w:p w14:paraId="338ACF62" w14:textId="77777777" w:rsidR="00AB0162" w:rsidRDefault="00693223">
      <w:pPr>
        <w:ind w:left="363" w:hanging="363"/>
        <w:jc w:val="both"/>
        <w:rPr>
          <w:rFonts w:ascii="Arial" w:hAnsi="Arial" w:cs="Arial"/>
          <w:sz w:val="20"/>
        </w:rPr>
      </w:pPr>
      <w:r>
        <w:rPr>
          <w:rFonts w:ascii="Arial" w:hAnsi="Arial" w:cs="Arial"/>
          <w:sz w:val="20"/>
        </w:rPr>
        <w:tab/>
      </w:r>
    </w:p>
    <w:p w14:paraId="6F42A49C" w14:textId="77777777" w:rsidR="00693223" w:rsidRDefault="00693223" w:rsidP="00AB0162">
      <w:pPr>
        <w:ind w:left="363" w:hanging="6"/>
        <w:jc w:val="both"/>
        <w:rPr>
          <w:rFonts w:ascii="Arial" w:hAnsi="Arial" w:cs="Arial"/>
          <w:sz w:val="20"/>
        </w:rPr>
      </w:pPr>
      <w:r>
        <w:rPr>
          <w:rFonts w:ascii="Arial" w:hAnsi="Arial" w:cs="Arial"/>
          <w:sz w:val="20"/>
        </w:rPr>
        <w:t xml:space="preserve">By s.3(2) of that Act, a number of powers were excepted from this general referral, including the jurisdiction of a Victorian court, under a provision of the </w:t>
      </w:r>
      <w:r>
        <w:rPr>
          <w:rFonts w:ascii="Arial" w:hAnsi="Arial" w:cs="Arial"/>
          <w:sz w:val="20"/>
          <w:u w:val="single"/>
        </w:rPr>
        <w:t>Children's Court Act 1973 (Vic)</w:t>
      </w:r>
      <w:r>
        <w:rPr>
          <w:rFonts w:ascii="Arial" w:hAnsi="Arial" w:cs="Arial"/>
          <w:sz w:val="20"/>
        </w:rPr>
        <w:t xml:space="preserve">, the </w:t>
      </w:r>
      <w:r>
        <w:rPr>
          <w:rFonts w:ascii="Arial" w:hAnsi="Arial" w:cs="Arial"/>
          <w:sz w:val="20"/>
          <w:u w:val="single"/>
        </w:rPr>
        <w:t>Community Welfare Services Act 1970 (Vic)</w:t>
      </w:r>
      <w:r>
        <w:rPr>
          <w:rFonts w:ascii="Arial" w:hAnsi="Arial" w:cs="Arial"/>
          <w:sz w:val="20"/>
        </w:rPr>
        <w:t xml:space="preserve"> and subsequently the CYPA</w:t>
      </w:r>
      <w:r w:rsidR="005919CD">
        <w:rPr>
          <w:rFonts w:ascii="Arial" w:hAnsi="Arial" w:cs="Arial"/>
          <w:sz w:val="20"/>
        </w:rPr>
        <w:t xml:space="preserve"> and the CYFA</w:t>
      </w:r>
      <w:r>
        <w:rPr>
          <w:rFonts w:ascii="Arial" w:hAnsi="Arial" w:cs="Arial"/>
          <w:sz w:val="20"/>
        </w:rPr>
        <w:t>, to make orders or take any other action, in respect of-</w:t>
      </w:r>
    </w:p>
    <w:p w14:paraId="6AB1F5D9" w14:textId="77777777" w:rsidR="00693223" w:rsidRDefault="00693223">
      <w:pPr>
        <w:ind w:left="363" w:hanging="363"/>
        <w:jc w:val="both"/>
        <w:rPr>
          <w:rFonts w:ascii="Arial" w:hAnsi="Arial" w:cs="Arial"/>
          <w:sz w:val="20"/>
        </w:rPr>
      </w:pPr>
      <w:r>
        <w:rPr>
          <w:rFonts w:ascii="Arial" w:hAnsi="Arial" w:cs="Arial"/>
          <w:sz w:val="20"/>
        </w:rPr>
        <w:tab/>
        <w:t>(i)</w:t>
      </w:r>
      <w:r>
        <w:rPr>
          <w:rFonts w:ascii="Arial" w:hAnsi="Arial" w:cs="Arial"/>
          <w:sz w:val="20"/>
        </w:rPr>
        <w:tab/>
        <w:t>the custody, guardianship, care or control of children; or</w:t>
      </w:r>
    </w:p>
    <w:p w14:paraId="4831655E"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b/>
        <w:t>(ii)</w:t>
      </w:r>
      <w:r w:rsidRPr="008E0B61">
        <w:rPr>
          <w:rFonts w:ascii="Arial" w:hAnsi="Arial" w:cs="Arial"/>
          <w:color w:val="000000"/>
          <w:sz w:val="20"/>
        </w:rPr>
        <w:tab/>
        <w:t xml:space="preserve">access to </w:t>
      </w:r>
      <w:r w:rsidR="00CF6AAD" w:rsidRPr="008E0B61">
        <w:rPr>
          <w:rFonts w:ascii="Arial" w:hAnsi="Arial" w:cs="Arial"/>
          <w:color w:val="000000"/>
          <w:sz w:val="20"/>
        </w:rPr>
        <w:t xml:space="preserve">[now called contact with] </w:t>
      </w:r>
      <w:r w:rsidRPr="008E0B61">
        <w:rPr>
          <w:rFonts w:ascii="Arial" w:hAnsi="Arial" w:cs="Arial"/>
          <w:color w:val="000000"/>
          <w:sz w:val="20"/>
        </w:rPr>
        <w:t>children</w:t>
      </w:r>
      <w:r w:rsidR="00CF6AAD" w:rsidRPr="008E0B61">
        <w:rPr>
          <w:rFonts w:ascii="Arial" w:hAnsi="Arial" w:cs="Arial"/>
          <w:color w:val="000000"/>
          <w:sz w:val="20"/>
        </w:rPr>
        <w:t xml:space="preserve"> </w:t>
      </w:r>
      <w:r w:rsidRPr="008E0B61">
        <w:rPr>
          <w:rFonts w:ascii="Arial" w:hAnsi="Arial" w:cs="Arial"/>
          <w:color w:val="000000"/>
          <w:sz w:val="20"/>
        </w:rPr>
        <w:t>or the supervision of children.</w:t>
      </w:r>
    </w:p>
    <w:p w14:paraId="2A0A9154" w14:textId="77777777" w:rsidR="00693223" w:rsidRDefault="00693223">
      <w:pPr>
        <w:ind w:firstLine="363"/>
        <w:jc w:val="both"/>
        <w:rPr>
          <w:rFonts w:ascii="Arial" w:hAnsi="Arial" w:cs="Arial"/>
          <w:sz w:val="20"/>
        </w:rPr>
      </w:pPr>
      <w:r>
        <w:rPr>
          <w:rFonts w:ascii="Arial" w:hAnsi="Arial" w:cs="Arial"/>
          <w:sz w:val="20"/>
        </w:rPr>
        <w:t xml:space="preserve">So the State </w:t>
      </w:r>
      <w:r w:rsidR="005919CD">
        <w:rPr>
          <w:rFonts w:ascii="Arial" w:hAnsi="Arial" w:cs="Arial"/>
          <w:sz w:val="20"/>
        </w:rPr>
        <w:t xml:space="preserve">has </w:t>
      </w:r>
      <w:r>
        <w:rPr>
          <w:rFonts w:ascii="Arial" w:hAnsi="Arial" w:cs="Arial"/>
          <w:sz w:val="20"/>
        </w:rPr>
        <w:t>retained its jurisdiction in respect of the protection of children.</w:t>
      </w:r>
    </w:p>
    <w:p w14:paraId="7276169C" w14:textId="77777777" w:rsidR="00693223" w:rsidRDefault="00693223">
      <w:pPr>
        <w:jc w:val="both"/>
        <w:rPr>
          <w:rFonts w:ascii="Arial" w:hAnsi="Arial" w:cs="Arial"/>
          <w:sz w:val="20"/>
        </w:rPr>
      </w:pPr>
    </w:p>
    <w:p w14:paraId="374E495F" w14:textId="77777777" w:rsidR="00693223" w:rsidRDefault="00693223" w:rsidP="00AB0162">
      <w:pPr>
        <w:keepNext/>
        <w:keepLines/>
        <w:ind w:left="363" w:hanging="363"/>
        <w:jc w:val="both"/>
        <w:rPr>
          <w:rFonts w:ascii="Arial" w:hAnsi="Arial" w:cs="Arial"/>
          <w:sz w:val="20"/>
        </w:rPr>
      </w:pPr>
      <w:r>
        <w:rPr>
          <w:rFonts w:ascii="Arial" w:hAnsi="Arial" w:cs="Arial"/>
          <w:sz w:val="20"/>
        </w:rPr>
        <w:t>3.</w:t>
      </w:r>
      <w:r>
        <w:rPr>
          <w:rFonts w:ascii="Arial" w:hAnsi="Arial" w:cs="Arial"/>
          <w:sz w:val="20"/>
        </w:rPr>
        <w:tab/>
        <w:t xml:space="preserve">Subsequently the Federal Parliament accepted and acted upon this limited referral.  By s.24 of Act No.181 of 1987 - which came into operation on </w:t>
      </w:r>
      <w:smartTag w:uri="urn:schemas-microsoft-com:office:smarttags" w:element="date">
        <w:smartTagPr>
          <w:attr w:name="Year" w:val="1988"/>
          <w:attr w:name="Day" w:val="1"/>
          <w:attr w:name="Month" w:val="4"/>
        </w:smartTagPr>
        <w:r>
          <w:rPr>
            <w:rFonts w:ascii="Arial" w:hAnsi="Arial" w:cs="Arial"/>
            <w:sz w:val="20"/>
          </w:rPr>
          <w:t>01/04/1988</w:t>
        </w:r>
      </w:smartTag>
      <w:r>
        <w:rPr>
          <w:rFonts w:ascii="Arial" w:hAnsi="Arial" w:cs="Arial"/>
          <w:sz w:val="20"/>
        </w:rPr>
        <w:t xml:space="preserve"> - Federal Parliament amended the title of Part VII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from "Welfare &amp; Custody of Children" to "Children" and made substantial changes to that Part.  By ss.69ZE(1) &amp; 69ZE(3) Part VII of the </w:t>
      </w:r>
      <w:smartTag w:uri="urn:schemas-microsoft-com:office:smarttags" w:element="State">
        <w:r>
          <w:rPr>
            <w:rFonts w:ascii="Arial" w:hAnsi="Arial" w:cs="Arial"/>
            <w:sz w:val="20"/>
          </w:rPr>
          <w:t>FLA</w:t>
        </w:r>
      </w:smartTag>
      <w:r>
        <w:rPr>
          <w:rFonts w:ascii="Arial" w:hAnsi="Arial" w:cs="Arial"/>
          <w:sz w:val="20"/>
        </w:rPr>
        <w:t xml:space="preserve"> was said to extend to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for so long as there is in force either:</w:t>
      </w:r>
    </w:p>
    <w:p w14:paraId="51618E2A" w14:textId="77777777" w:rsidR="00693223" w:rsidRDefault="00693223">
      <w:pPr>
        <w:ind w:left="720" w:hanging="357"/>
        <w:jc w:val="both"/>
        <w:rPr>
          <w:rFonts w:ascii="Arial" w:hAnsi="Arial" w:cs="Arial"/>
          <w:sz w:val="20"/>
        </w:rPr>
      </w:pPr>
      <w:r>
        <w:rPr>
          <w:rFonts w:ascii="Arial" w:hAnsi="Arial" w:cs="Arial"/>
          <w:sz w:val="20"/>
        </w:rPr>
        <w:t>(a)</w:t>
      </w:r>
      <w:r>
        <w:rPr>
          <w:rFonts w:ascii="Arial" w:hAnsi="Arial" w:cs="Arial"/>
          <w:sz w:val="20"/>
        </w:rPr>
        <w:tab/>
        <w:t>a Victorian Act referring to the Commonwealth Parliament the requisite powers in relation to children; or</w:t>
      </w:r>
    </w:p>
    <w:p w14:paraId="2697B421" w14:textId="77777777" w:rsidR="00693223" w:rsidRDefault="00693223">
      <w:pPr>
        <w:ind w:left="720" w:hanging="357"/>
        <w:jc w:val="both"/>
        <w:rPr>
          <w:rFonts w:ascii="Arial" w:hAnsi="Arial" w:cs="Arial"/>
          <w:sz w:val="20"/>
        </w:rPr>
      </w:pPr>
      <w:r>
        <w:rPr>
          <w:rFonts w:ascii="Arial" w:hAnsi="Arial" w:cs="Arial"/>
          <w:sz w:val="20"/>
        </w:rPr>
        <w:t>(b)</w:t>
      </w:r>
      <w:r>
        <w:rPr>
          <w:rFonts w:ascii="Arial" w:hAnsi="Arial" w:cs="Arial"/>
          <w:sz w:val="20"/>
        </w:rPr>
        <w:tab/>
        <w:t>a Victorian law adopting Part VII.</w:t>
      </w:r>
    </w:p>
    <w:p w14:paraId="24E62BC8" w14:textId="77777777" w:rsidR="00AB0162" w:rsidRDefault="00693223" w:rsidP="00326D15">
      <w:pPr>
        <w:ind w:left="363" w:hanging="363"/>
        <w:jc w:val="both"/>
        <w:rPr>
          <w:rFonts w:ascii="Arial" w:hAnsi="Arial" w:cs="Arial"/>
          <w:sz w:val="20"/>
        </w:rPr>
      </w:pPr>
      <w:r>
        <w:rPr>
          <w:rFonts w:ascii="Arial" w:hAnsi="Arial" w:cs="Arial"/>
          <w:sz w:val="20"/>
        </w:rPr>
        <w:tab/>
      </w:r>
    </w:p>
    <w:p w14:paraId="2D2A70AC" w14:textId="77777777" w:rsidR="00693223" w:rsidRDefault="00693223" w:rsidP="00AB0162">
      <w:pPr>
        <w:ind w:left="363" w:hanging="6"/>
        <w:jc w:val="both"/>
        <w:rPr>
          <w:rFonts w:ascii="Arial" w:hAnsi="Arial" w:cs="Arial"/>
          <w:sz w:val="20"/>
        </w:rPr>
      </w:pPr>
      <w:r>
        <w:rPr>
          <w:rFonts w:ascii="Arial" w:hAnsi="Arial" w:cs="Arial"/>
          <w:sz w:val="20"/>
        </w:rPr>
        <w:t xml:space="preserve">The amendments to Part VII included a new s.63(2) which - in reliance on the power conferred on Federal Parliament by s.77(iii) of the </w:t>
      </w:r>
      <w:r>
        <w:rPr>
          <w:rFonts w:ascii="Arial" w:hAnsi="Arial" w:cs="Arial"/>
          <w:sz w:val="20"/>
          <w:u w:val="single"/>
        </w:rPr>
        <w:t>Constitution</w:t>
      </w:r>
      <w:r>
        <w:rPr>
          <w:rFonts w:ascii="Arial" w:hAnsi="Arial" w:cs="Arial"/>
          <w:sz w:val="20"/>
        </w:rPr>
        <w:t xml:space="preserve"> to "make laws investing any court of a State with federal jurisdiction" - provided:  "Subject to subsection (5), </w:t>
      </w:r>
      <w:r>
        <w:rPr>
          <w:rFonts w:ascii="Arial" w:hAnsi="Arial" w:cs="Arial"/>
          <w:b/>
          <w:bCs/>
          <w:sz w:val="20"/>
        </w:rPr>
        <w:t>each court of summary jurisdiction</w:t>
      </w:r>
      <w:r>
        <w:rPr>
          <w:rFonts w:ascii="Arial" w:hAnsi="Arial" w:cs="Arial"/>
          <w:sz w:val="20"/>
        </w:rPr>
        <w:t xml:space="preserve"> of each State is invested with federal jurisdiction…in relation to matters under this Part."  It seems clear that the several Victorian children's courts existing at that time were courts of summary jurisdiction within the meaning of s.63(2) for in s.26(d) of the </w:t>
      </w:r>
      <w:r>
        <w:rPr>
          <w:rFonts w:ascii="Arial" w:hAnsi="Arial" w:cs="Arial"/>
          <w:sz w:val="20"/>
          <w:u w:val="single"/>
        </w:rPr>
        <w:t>Acts Interpretation Act 1901 (Cth)</w:t>
      </w:r>
      <w:r w:rsidR="00623773">
        <w:rPr>
          <w:rFonts w:ascii="Arial" w:hAnsi="Arial" w:cs="Arial"/>
          <w:sz w:val="20"/>
          <w:u w:val="single"/>
        </w:rPr>
        <w:t xml:space="preserve"> (‘the AIA’)</w:t>
      </w:r>
      <w:r>
        <w:rPr>
          <w:rFonts w:ascii="Arial" w:hAnsi="Arial" w:cs="Arial"/>
          <w:sz w:val="20"/>
        </w:rPr>
        <w:t xml:space="preserve">, 'court of summary jurisdiction' is defined as </w:t>
      </w:r>
    </w:p>
    <w:p w14:paraId="5031483B" w14:textId="77777777" w:rsidR="00693223" w:rsidRDefault="00693223">
      <w:pPr>
        <w:ind w:left="851" w:right="567"/>
        <w:jc w:val="both"/>
        <w:rPr>
          <w:rFonts w:ascii="Arial" w:hAnsi="Arial" w:cs="Arial"/>
          <w:sz w:val="20"/>
        </w:rPr>
      </w:pPr>
      <w:r>
        <w:rPr>
          <w:rFonts w:ascii="Arial" w:hAnsi="Arial" w:cs="Arial"/>
          <w:sz w:val="20"/>
        </w:rPr>
        <w:t>"any justice or justices of the peace or other magistrate of the Commonwealth or part of the Commonwealth, or of a State or part of a State, or of an external Territory, sitting as a court for the making of summary orders or the summary punishment of offences under the law of the Commonwealth or part of the Commonwealth or under the law of the State or external territory or by virtue of his or their commission or commissions or any Imperial Act".</w:t>
      </w:r>
    </w:p>
    <w:p w14:paraId="0DACDFCB" w14:textId="77777777" w:rsidR="00693223" w:rsidRDefault="00693223">
      <w:pPr>
        <w:jc w:val="both"/>
        <w:rPr>
          <w:rFonts w:ascii="Arial" w:hAnsi="Arial" w:cs="Arial"/>
          <w:sz w:val="20"/>
        </w:rPr>
      </w:pPr>
    </w:p>
    <w:p w14:paraId="3C1238DA" w14:textId="77777777" w:rsidR="00693223" w:rsidRDefault="00693223">
      <w:pPr>
        <w:ind w:left="363" w:hanging="363"/>
        <w:jc w:val="both"/>
        <w:rPr>
          <w:rFonts w:ascii="Arial" w:hAnsi="Arial" w:cs="Arial"/>
          <w:sz w:val="20"/>
        </w:rPr>
      </w:pPr>
      <w:r>
        <w:rPr>
          <w:rFonts w:ascii="Arial" w:hAnsi="Arial" w:cs="Arial"/>
          <w:sz w:val="20"/>
        </w:rPr>
        <w:t>4.</w:t>
      </w:r>
      <w:r>
        <w:rPr>
          <w:rFonts w:ascii="Arial" w:hAnsi="Arial" w:cs="Arial"/>
          <w:sz w:val="20"/>
        </w:rPr>
        <w:tab/>
        <w:t xml:space="preserve">The Children's Court of Victoria, in its present manifestation, was created on </w:t>
      </w:r>
      <w:smartTag w:uri="urn:schemas-microsoft-com:office:smarttags" w:element="date">
        <w:smartTagPr>
          <w:attr w:name="Month" w:val="1"/>
          <w:attr w:name="Day" w:val="31"/>
          <w:attr w:name="Year" w:val="1991"/>
        </w:smartTagPr>
        <w:r>
          <w:rPr>
            <w:rFonts w:ascii="Arial" w:hAnsi="Arial" w:cs="Arial"/>
            <w:sz w:val="20"/>
          </w:rPr>
          <w:t>31/01/1991</w:t>
        </w:r>
      </w:smartTag>
      <w:r>
        <w:rPr>
          <w:rFonts w:ascii="Arial" w:hAnsi="Arial" w:cs="Arial"/>
          <w:sz w:val="20"/>
        </w:rPr>
        <w:t xml:space="preserve"> when s.8 of the CYPA came into operation.  By clause 1(1) of Schedule 8 of the CYPA, that Court was "deemed to be the same Court as the several children's courts existing immediately before the commencement of section 8".  However there was not included in the Transitional provisions in Schedule 8 of the CYPA any equivalent to clause 1(9) of Schedule 8 of the </w:t>
      </w:r>
      <w:r>
        <w:rPr>
          <w:rFonts w:ascii="Arial" w:hAnsi="Arial" w:cs="Arial"/>
          <w:sz w:val="20"/>
          <w:u w:val="single"/>
        </w:rPr>
        <w:t>Magistrates' Court Act 1989 (Vic)</w:t>
      </w:r>
      <w:r>
        <w:rPr>
          <w:rFonts w:ascii="Arial" w:hAnsi="Arial" w:cs="Arial"/>
          <w:sz w:val="20"/>
        </w:rPr>
        <w:t xml:space="preserve"> which preserved any jurisdiction, power or authority previously vested in a magistrate of the several predecessor magistrates' courts.</w:t>
      </w:r>
    </w:p>
    <w:p w14:paraId="221BCF53" w14:textId="77777777" w:rsidR="00693223" w:rsidRDefault="00693223">
      <w:pPr>
        <w:ind w:left="363" w:hanging="363"/>
        <w:jc w:val="both"/>
        <w:rPr>
          <w:rFonts w:ascii="Arial" w:hAnsi="Arial" w:cs="Arial"/>
          <w:sz w:val="20"/>
        </w:rPr>
      </w:pPr>
    </w:p>
    <w:p w14:paraId="1FED6B9C" w14:textId="77777777" w:rsidR="00693223" w:rsidRDefault="00693223">
      <w:pPr>
        <w:ind w:left="363" w:hanging="363"/>
        <w:jc w:val="both"/>
        <w:rPr>
          <w:rFonts w:ascii="Arial" w:hAnsi="Arial" w:cs="Arial"/>
          <w:sz w:val="20"/>
        </w:rPr>
      </w:pPr>
      <w:r>
        <w:rPr>
          <w:rFonts w:ascii="Arial" w:hAnsi="Arial" w:cs="Arial"/>
          <w:sz w:val="20"/>
        </w:rPr>
        <w:t>5.</w:t>
      </w:r>
      <w:r>
        <w:rPr>
          <w:rFonts w:ascii="Arial" w:hAnsi="Arial" w:cs="Arial"/>
          <w:sz w:val="20"/>
        </w:rPr>
        <w:tab/>
      </w:r>
      <w:r w:rsidR="00ED2BF4">
        <w:rPr>
          <w:rFonts w:ascii="Arial" w:hAnsi="Arial" w:cs="Arial"/>
          <w:sz w:val="20"/>
        </w:rPr>
        <w:t>B</w:t>
      </w:r>
      <w:r>
        <w:rPr>
          <w:rFonts w:ascii="Arial" w:hAnsi="Arial" w:cs="Arial"/>
          <w:sz w:val="20"/>
        </w:rPr>
        <w:t xml:space="preserve">y Act No.167 of 1995 - most of which came into operation on </w:t>
      </w:r>
      <w:smartTag w:uri="urn:schemas-microsoft-com:office:smarttags" w:element="date">
        <w:smartTagPr>
          <w:attr w:name="Year" w:val="1996"/>
          <w:attr w:name="Day" w:val="11"/>
          <w:attr w:name="Month" w:val="6"/>
        </w:smartTagPr>
        <w:r>
          <w:rPr>
            <w:rFonts w:ascii="Arial" w:hAnsi="Arial" w:cs="Arial"/>
            <w:sz w:val="20"/>
          </w:rPr>
          <w:t>11/06/1996</w:t>
        </w:r>
      </w:smartTag>
      <w:r>
        <w:rPr>
          <w:rFonts w:ascii="Arial" w:hAnsi="Arial" w:cs="Arial"/>
          <w:sz w:val="20"/>
        </w:rPr>
        <w:t xml:space="preserve"> - Federal Parliament again made substantial amendments to Part VII of the FLA.  Among the powers thus vested on State courts of summary jurisdiction were power to make interim parenting orders [s.69N(4)] and power to make parenting orders by consent but not power to hear and determine contested proceedings for a parenting order [ss.69N(2) &amp; 69N(3)].</w:t>
      </w:r>
    </w:p>
    <w:p w14:paraId="72460BF2" w14:textId="77777777" w:rsidR="00693223" w:rsidRDefault="00693223">
      <w:pPr>
        <w:ind w:left="363" w:hanging="363"/>
        <w:jc w:val="both"/>
        <w:rPr>
          <w:rFonts w:ascii="Arial" w:hAnsi="Arial" w:cs="Arial"/>
          <w:sz w:val="20"/>
        </w:rPr>
      </w:pPr>
    </w:p>
    <w:p w14:paraId="04453FAC" w14:textId="77777777" w:rsidR="00693223" w:rsidRDefault="00ED2BF4">
      <w:pPr>
        <w:ind w:left="363" w:hanging="363"/>
        <w:jc w:val="both"/>
        <w:rPr>
          <w:rFonts w:ascii="Arial" w:hAnsi="Arial" w:cs="Arial"/>
          <w:sz w:val="20"/>
        </w:rPr>
      </w:pPr>
      <w:r>
        <w:rPr>
          <w:rFonts w:ascii="Arial" w:hAnsi="Arial" w:cs="Arial"/>
          <w:sz w:val="20"/>
        </w:rPr>
        <w:t>6</w:t>
      </w:r>
      <w:r w:rsidR="00693223">
        <w:rPr>
          <w:rFonts w:ascii="Arial" w:hAnsi="Arial" w:cs="Arial"/>
          <w:sz w:val="20"/>
        </w:rPr>
        <w:t>.</w:t>
      </w:r>
      <w:r w:rsidR="00693223">
        <w:rPr>
          <w:rFonts w:ascii="Arial" w:hAnsi="Arial" w:cs="Arial"/>
          <w:sz w:val="20"/>
        </w:rPr>
        <w:tab/>
        <w:t xml:space="preserve">The 1995 amendments also included, as a replacement for s.63(2), a new s.69J(1) which - again in reliance on the power conferred by s.77(iii) of the Constitution - provided: "Subject to subsection (5), </w:t>
      </w:r>
      <w:r w:rsidR="00693223">
        <w:rPr>
          <w:rFonts w:ascii="Arial" w:hAnsi="Arial" w:cs="Arial"/>
          <w:b/>
          <w:bCs/>
          <w:sz w:val="20"/>
        </w:rPr>
        <w:t>each court of summary jurisdiction</w:t>
      </w:r>
      <w:r w:rsidR="00693223">
        <w:rPr>
          <w:rFonts w:ascii="Arial" w:hAnsi="Arial" w:cs="Arial"/>
          <w:sz w:val="20"/>
        </w:rPr>
        <w:t xml:space="preserve"> of each State is invested with federal jurisdiction in relation to matters arising under this Part (other than proceedings for leave [for adoption proceedings to commence] under s.60G)."  Section </w:t>
      </w:r>
      <w:r w:rsidR="00693223">
        <w:rPr>
          <w:rFonts w:ascii="Arial" w:hAnsi="Arial" w:cs="Arial"/>
          <w:sz w:val="20"/>
        </w:rPr>
        <w:lastRenderedPageBreak/>
        <w:t xml:space="preserve">69J(5) provides: "A court of summary jurisdiction must not hear and determine proceedings under this Part otherwise than in accordance with any Proclamation in force under subsection (3)."  There has been no relevant Proclamation relating to </w:t>
      </w:r>
      <w:smartTag w:uri="urn:schemas-microsoft-com:office:smarttags" w:element="State">
        <w:smartTag w:uri="urn:schemas-microsoft-com:office:smarttags" w:element="place">
          <w:r w:rsidR="00693223">
            <w:rPr>
              <w:rFonts w:ascii="Arial" w:hAnsi="Arial" w:cs="Arial"/>
              <w:sz w:val="20"/>
            </w:rPr>
            <w:t>Victoria</w:t>
          </w:r>
        </w:smartTag>
      </w:smartTag>
      <w:r w:rsidR="00693223">
        <w:rPr>
          <w:rFonts w:ascii="Arial" w:hAnsi="Arial" w:cs="Arial"/>
          <w:sz w:val="20"/>
        </w:rPr>
        <w:t>.</w:t>
      </w:r>
    </w:p>
    <w:p w14:paraId="6FA86D97" w14:textId="77777777" w:rsidR="00693223" w:rsidRDefault="00693223">
      <w:pPr>
        <w:ind w:left="363" w:hanging="363"/>
        <w:jc w:val="both"/>
        <w:rPr>
          <w:rFonts w:ascii="Arial" w:hAnsi="Arial" w:cs="Arial"/>
          <w:sz w:val="20"/>
        </w:rPr>
      </w:pPr>
    </w:p>
    <w:p w14:paraId="2B813E55" w14:textId="77777777" w:rsidR="00693223" w:rsidRDefault="00ED2BF4">
      <w:pPr>
        <w:ind w:left="363" w:hanging="363"/>
        <w:jc w:val="both"/>
        <w:rPr>
          <w:rFonts w:ascii="Arial" w:hAnsi="Arial" w:cs="Arial"/>
          <w:sz w:val="20"/>
        </w:rPr>
      </w:pPr>
      <w:r>
        <w:rPr>
          <w:rFonts w:ascii="Arial" w:hAnsi="Arial" w:cs="Arial"/>
          <w:sz w:val="20"/>
        </w:rPr>
        <w:t>7</w:t>
      </w:r>
      <w:r w:rsidR="00693223">
        <w:rPr>
          <w:rFonts w:ascii="Arial" w:hAnsi="Arial" w:cs="Arial"/>
          <w:sz w:val="20"/>
        </w:rPr>
        <w:t>.</w:t>
      </w:r>
      <w:r w:rsidR="00693223">
        <w:rPr>
          <w:rFonts w:ascii="Arial" w:hAnsi="Arial" w:cs="Arial"/>
          <w:sz w:val="20"/>
        </w:rPr>
        <w:tab/>
        <w:t xml:space="preserve">Just as with the predecessor s.63(2), it seems clear that the Children's Court of Victoria was - as at 11/06/1996 - a court of summary jurisdiction within the meaning of s.69J of the FLA and s.26(d) of the </w:t>
      </w:r>
      <w:r w:rsidR="00623773" w:rsidRPr="00623773">
        <w:rPr>
          <w:rFonts w:ascii="Arial" w:hAnsi="Arial" w:cs="Arial"/>
          <w:sz w:val="20"/>
        </w:rPr>
        <w:t>AIA</w:t>
      </w:r>
      <w:r w:rsidR="00693223">
        <w:rPr>
          <w:rFonts w:ascii="Arial" w:hAnsi="Arial" w:cs="Arial"/>
          <w:sz w:val="20"/>
        </w:rPr>
        <w:t>, being comprised of magistrates of the State of Victoria sitting as a court for the making of summary orders or the summary punishment of offences under the law of the Commonwealth and under the law of the State of Victoria.</w:t>
      </w:r>
      <w:r w:rsidR="00BE2912">
        <w:rPr>
          <w:rFonts w:ascii="Arial" w:hAnsi="Arial" w:cs="Arial"/>
          <w:sz w:val="20"/>
        </w:rPr>
        <w:t xml:space="preserve">  T</w:t>
      </w:r>
      <w:r w:rsidR="00693223">
        <w:rPr>
          <w:rFonts w:ascii="Arial" w:hAnsi="Arial" w:cs="Arial"/>
          <w:sz w:val="20"/>
        </w:rPr>
        <w:t xml:space="preserve">hat is enough to confer </w:t>
      </w:r>
      <w:smartTag w:uri="urn:schemas-microsoft-com:office:smarttags" w:element="State">
        <w:r w:rsidR="00970C03">
          <w:rPr>
            <w:rFonts w:ascii="Arial" w:hAnsi="Arial" w:cs="Arial"/>
            <w:sz w:val="20"/>
          </w:rPr>
          <w:t>FLA</w:t>
        </w:r>
      </w:smartTag>
      <w:r w:rsidR="00970C03">
        <w:rPr>
          <w:rFonts w:ascii="Arial" w:hAnsi="Arial" w:cs="Arial"/>
          <w:sz w:val="20"/>
        </w:rPr>
        <w:t xml:space="preserve"> </w:t>
      </w:r>
      <w:r w:rsidR="00693223">
        <w:rPr>
          <w:rFonts w:ascii="Arial" w:hAnsi="Arial" w:cs="Arial"/>
          <w:sz w:val="20"/>
        </w:rPr>
        <w:t xml:space="preserve">jurisdiction on the Children's Court, a jurisdiction which pursuant to s.69M of the </w:t>
      </w:r>
      <w:smartTag w:uri="urn:schemas-microsoft-com:office:smarttags" w:element="State">
        <w:smartTag w:uri="urn:schemas-microsoft-com:office:smarttags" w:element="place">
          <w:r w:rsidR="00693223">
            <w:rPr>
              <w:rFonts w:ascii="Arial" w:hAnsi="Arial" w:cs="Arial"/>
              <w:sz w:val="20"/>
            </w:rPr>
            <w:t>FLA</w:t>
          </w:r>
        </w:smartTag>
      </w:smartTag>
      <w:r w:rsidR="00693223">
        <w:rPr>
          <w:rFonts w:ascii="Arial" w:hAnsi="Arial" w:cs="Arial"/>
          <w:sz w:val="20"/>
        </w:rPr>
        <w:t xml:space="preserve"> is "in addition to any jurisdiction conferred on or invested in the court apart from this Division".  [See also p.2051 of CCH Australian Family Law &amp; Practice].  In particular, there does not seem to be a requirement that any such invested federal jurisdiction be legislatively adopted by the State upon whom the jurisdiction was invested.</w:t>
      </w:r>
    </w:p>
    <w:p w14:paraId="1840FBC1" w14:textId="77777777" w:rsidR="00693223" w:rsidRDefault="00693223">
      <w:pPr>
        <w:ind w:left="363" w:hanging="363"/>
        <w:jc w:val="both"/>
        <w:rPr>
          <w:rFonts w:ascii="Arial" w:hAnsi="Arial" w:cs="Arial"/>
          <w:sz w:val="20"/>
        </w:rPr>
      </w:pPr>
    </w:p>
    <w:p w14:paraId="1006C96C" w14:textId="77777777" w:rsidR="00693223" w:rsidRDefault="00970C03" w:rsidP="00733EAB">
      <w:pPr>
        <w:keepNext/>
        <w:keepLines/>
        <w:ind w:left="363" w:hanging="363"/>
        <w:jc w:val="both"/>
        <w:rPr>
          <w:rFonts w:ascii="Arial" w:hAnsi="Arial" w:cs="Arial"/>
          <w:sz w:val="20"/>
        </w:rPr>
      </w:pPr>
      <w:r>
        <w:rPr>
          <w:rFonts w:ascii="Arial" w:hAnsi="Arial" w:cs="Arial"/>
          <w:sz w:val="20"/>
        </w:rPr>
        <w:t>8.</w:t>
      </w:r>
      <w:r>
        <w:rPr>
          <w:rFonts w:ascii="Arial" w:hAnsi="Arial" w:cs="Arial"/>
          <w:sz w:val="20"/>
        </w:rPr>
        <w:tab/>
        <w:t xml:space="preserve">Up to this point the writer </w:t>
      </w:r>
      <w:r w:rsidR="00DD52AD">
        <w:rPr>
          <w:rFonts w:ascii="Arial" w:hAnsi="Arial" w:cs="Arial"/>
          <w:sz w:val="20"/>
        </w:rPr>
        <w:t>agrees with</w:t>
      </w:r>
      <w:r>
        <w:rPr>
          <w:rFonts w:ascii="Arial" w:hAnsi="Arial" w:cs="Arial"/>
          <w:sz w:val="20"/>
        </w:rPr>
        <w:t xml:space="preserve"> counsels’ opinion.  But one major </w:t>
      </w:r>
      <w:r w:rsidR="0016069D">
        <w:rPr>
          <w:rFonts w:ascii="Arial" w:hAnsi="Arial" w:cs="Arial"/>
          <w:sz w:val="20"/>
        </w:rPr>
        <w:t>question</w:t>
      </w:r>
      <w:r>
        <w:rPr>
          <w:rFonts w:ascii="Arial" w:hAnsi="Arial" w:cs="Arial"/>
          <w:sz w:val="20"/>
        </w:rPr>
        <w:t xml:space="preserve"> remains, </w:t>
      </w:r>
      <w:r w:rsidR="0058415E">
        <w:rPr>
          <w:rFonts w:ascii="Arial" w:hAnsi="Arial" w:cs="Arial"/>
          <w:sz w:val="20"/>
        </w:rPr>
        <w:t>a consequence of</w:t>
      </w:r>
      <w:r w:rsidR="00C545AC">
        <w:rPr>
          <w:rFonts w:ascii="Arial" w:hAnsi="Arial" w:cs="Arial"/>
          <w:sz w:val="20"/>
        </w:rPr>
        <w:t xml:space="preserve"> </w:t>
      </w:r>
      <w:r w:rsidR="00AB0162">
        <w:rPr>
          <w:rFonts w:ascii="Arial" w:hAnsi="Arial" w:cs="Arial"/>
          <w:sz w:val="20"/>
        </w:rPr>
        <w:t>two</w:t>
      </w:r>
      <w:r>
        <w:rPr>
          <w:rFonts w:ascii="Arial" w:hAnsi="Arial" w:cs="Arial"/>
          <w:sz w:val="20"/>
        </w:rPr>
        <w:t xml:space="preserve"> </w:t>
      </w:r>
      <w:r w:rsidR="0058415E">
        <w:rPr>
          <w:rFonts w:ascii="Arial" w:hAnsi="Arial" w:cs="Arial"/>
          <w:sz w:val="20"/>
        </w:rPr>
        <w:t xml:space="preserve">different </w:t>
      </w:r>
      <w:r>
        <w:rPr>
          <w:rFonts w:ascii="Arial" w:hAnsi="Arial" w:cs="Arial"/>
          <w:sz w:val="20"/>
        </w:rPr>
        <w:t>legislative quirk</w:t>
      </w:r>
      <w:r w:rsidR="00C545AC">
        <w:rPr>
          <w:rFonts w:ascii="Arial" w:hAnsi="Arial" w:cs="Arial"/>
          <w:sz w:val="20"/>
        </w:rPr>
        <w:t>s</w:t>
      </w:r>
      <w:r>
        <w:rPr>
          <w:rFonts w:ascii="Arial" w:hAnsi="Arial" w:cs="Arial"/>
          <w:sz w:val="20"/>
        </w:rPr>
        <w:t xml:space="preserve"> </w:t>
      </w:r>
      <w:r w:rsidR="0058415E">
        <w:rPr>
          <w:rFonts w:ascii="Arial" w:hAnsi="Arial" w:cs="Arial"/>
          <w:sz w:val="20"/>
        </w:rPr>
        <w:t xml:space="preserve">each of </w:t>
      </w:r>
      <w:r>
        <w:rPr>
          <w:rFonts w:ascii="Arial" w:hAnsi="Arial" w:cs="Arial"/>
          <w:sz w:val="20"/>
        </w:rPr>
        <w:t>which w</w:t>
      </w:r>
      <w:r w:rsidR="0058415E">
        <w:rPr>
          <w:rFonts w:ascii="Arial" w:hAnsi="Arial" w:cs="Arial"/>
          <w:sz w:val="20"/>
        </w:rPr>
        <w:t>as</w:t>
      </w:r>
      <w:r>
        <w:rPr>
          <w:rFonts w:ascii="Arial" w:hAnsi="Arial" w:cs="Arial"/>
          <w:sz w:val="20"/>
        </w:rPr>
        <w:t xml:space="preserve"> probably unintended.  </w:t>
      </w:r>
      <w:r w:rsidR="00693223">
        <w:rPr>
          <w:rFonts w:ascii="Arial" w:hAnsi="Arial" w:cs="Arial"/>
          <w:sz w:val="20"/>
        </w:rPr>
        <w:t xml:space="preserve">By Act No.36/2000, which came into operation on </w:t>
      </w:r>
      <w:smartTag w:uri="urn:schemas-microsoft-com:office:smarttags" w:element="date">
        <w:smartTagPr>
          <w:attr w:name="Year" w:val="2000"/>
          <w:attr w:name="Day" w:val="26"/>
          <w:attr w:name="Month" w:val="6"/>
        </w:smartTagPr>
        <w:r w:rsidR="00693223">
          <w:rPr>
            <w:rFonts w:ascii="Arial" w:hAnsi="Arial" w:cs="Arial"/>
            <w:sz w:val="20"/>
          </w:rPr>
          <w:t>26/06/2000</w:t>
        </w:r>
      </w:smartTag>
      <w:r w:rsidR="00693223">
        <w:rPr>
          <w:rFonts w:ascii="Arial" w:hAnsi="Arial" w:cs="Arial"/>
          <w:sz w:val="20"/>
        </w:rPr>
        <w:t>, the Victorian Parliament significantly changed the constitution of the Children's Court of Victoria.  Previously the Court had consisted of the magistrates and the registrars of the Court.  By s.4(1) of Act No.36/2000, s.8(2) of the CYPA was amended to read: "The Court shall consist of a President, the magistrates and the registrars of the Court."  By s.5 of the amending Act, ss.12(1) &amp; 12(2) were substituted and provide:</w:t>
      </w:r>
    </w:p>
    <w:p w14:paraId="6F69F173" w14:textId="77777777" w:rsidR="00693223" w:rsidRDefault="00693223" w:rsidP="00926EE1">
      <w:pPr>
        <w:keepNext/>
        <w:ind w:left="720" w:hanging="357"/>
        <w:jc w:val="both"/>
        <w:rPr>
          <w:rFonts w:ascii="Arial" w:hAnsi="Arial" w:cs="Arial"/>
          <w:sz w:val="20"/>
        </w:rPr>
      </w:pPr>
      <w:r>
        <w:rPr>
          <w:rFonts w:ascii="Arial" w:hAnsi="Arial" w:cs="Arial"/>
          <w:sz w:val="20"/>
        </w:rPr>
        <w:t>(1)</w:t>
      </w:r>
      <w:r>
        <w:rPr>
          <w:rFonts w:ascii="Arial" w:hAnsi="Arial" w:cs="Arial"/>
          <w:sz w:val="20"/>
        </w:rPr>
        <w:tab/>
        <w:t>"There is to be an office of President of the Children's Court.</w:t>
      </w:r>
    </w:p>
    <w:p w14:paraId="4E60B1FA" w14:textId="77777777" w:rsidR="00693223" w:rsidRDefault="00693223">
      <w:pPr>
        <w:ind w:left="720" w:hanging="357"/>
        <w:jc w:val="both"/>
        <w:rPr>
          <w:rFonts w:ascii="Arial" w:hAnsi="Arial" w:cs="Arial"/>
          <w:sz w:val="20"/>
        </w:rPr>
      </w:pPr>
      <w:r>
        <w:rPr>
          <w:rFonts w:ascii="Arial" w:hAnsi="Arial" w:cs="Arial"/>
          <w:sz w:val="20"/>
        </w:rPr>
        <w:t>(2)</w:t>
      </w:r>
      <w:r>
        <w:rPr>
          <w:rFonts w:ascii="Arial" w:hAnsi="Arial" w:cs="Arial"/>
          <w:sz w:val="20"/>
        </w:rPr>
        <w:tab/>
        <w:t>The President must be a judge of the County Court who is appointed by the Governor in Council on the recommendation of the Attorney-General made after consultation with the Chief Judge."</w:t>
      </w:r>
    </w:p>
    <w:p w14:paraId="6E989E8E" w14:textId="77777777" w:rsidR="00C545AC" w:rsidRDefault="00970C03">
      <w:pPr>
        <w:ind w:left="363" w:hanging="363"/>
        <w:jc w:val="both"/>
        <w:rPr>
          <w:rFonts w:ascii="Arial" w:hAnsi="Arial" w:cs="Arial"/>
          <w:sz w:val="20"/>
        </w:rPr>
      </w:pPr>
      <w:r>
        <w:rPr>
          <w:rFonts w:ascii="Arial" w:hAnsi="Arial" w:cs="Arial"/>
          <w:sz w:val="20"/>
        </w:rPr>
        <w:tab/>
      </w:r>
      <w:r w:rsidR="0016069D">
        <w:rPr>
          <w:rFonts w:ascii="Arial" w:hAnsi="Arial" w:cs="Arial"/>
          <w:sz w:val="20"/>
        </w:rPr>
        <w:t>F</w:t>
      </w:r>
      <w:r>
        <w:rPr>
          <w:rFonts w:ascii="Arial" w:hAnsi="Arial" w:cs="Arial"/>
          <w:sz w:val="20"/>
        </w:rPr>
        <w:t xml:space="preserve">rom </w:t>
      </w:r>
      <w:smartTag w:uri="urn:schemas-microsoft-com:office:smarttags" w:element="date">
        <w:smartTagPr>
          <w:attr w:name="Year" w:val="2007"/>
          <w:attr w:name="Day" w:val="23"/>
          <w:attr w:name="Month" w:val="4"/>
        </w:smartTagPr>
        <w:r>
          <w:rPr>
            <w:rFonts w:ascii="Arial" w:hAnsi="Arial" w:cs="Arial"/>
            <w:sz w:val="20"/>
          </w:rPr>
          <w:t>23/04/2007</w:t>
        </w:r>
      </w:smartTag>
      <w:r>
        <w:rPr>
          <w:rFonts w:ascii="Arial" w:hAnsi="Arial" w:cs="Arial"/>
          <w:sz w:val="20"/>
        </w:rPr>
        <w:t xml:space="preserve"> s.</w:t>
      </w:r>
      <w:r w:rsidR="00623773">
        <w:rPr>
          <w:rFonts w:ascii="Arial" w:hAnsi="Arial" w:cs="Arial"/>
          <w:sz w:val="20"/>
        </w:rPr>
        <w:t>8 of the CYPA has been replaced by s.504 of the CYFA and s.</w:t>
      </w:r>
      <w:r>
        <w:rPr>
          <w:rFonts w:ascii="Arial" w:hAnsi="Arial" w:cs="Arial"/>
          <w:sz w:val="20"/>
        </w:rPr>
        <w:t>12 of the CYPA</w:t>
      </w:r>
      <w:r w:rsidR="00623773">
        <w:rPr>
          <w:rFonts w:ascii="Arial" w:hAnsi="Arial" w:cs="Arial"/>
          <w:sz w:val="20"/>
        </w:rPr>
        <w:t xml:space="preserve"> </w:t>
      </w:r>
      <w:r>
        <w:rPr>
          <w:rFonts w:ascii="Arial" w:hAnsi="Arial" w:cs="Arial"/>
          <w:sz w:val="20"/>
        </w:rPr>
        <w:t>by s.</w:t>
      </w:r>
      <w:r w:rsidR="00C545AC">
        <w:rPr>
          <w:rFonts w:ascii="Arial" w:hAnsi="Arial" w:cs="Arial"/>
          <w:sz w:val="20"/>
        </w:rPr>
        <w:t>508 of the CYFA</w:t>
      </w:r>
      <w:r w:rsidR="00DD52AD">
        <w:rPr>
          <w:rFonts w:ascii="Arial" w:hAnsi="Arial" w:cs="Arial"/>
          <w:sz w:val="20"/>
        </w:rPr>
        <w:t xml:space="preserve"> but b</w:t>
      </w:r>
      <w:r w:rsidR="00623773">
        <w:rPr>
          <w:rFonts w:ascii="Arial" w:hAnsi="Arial" w:cs="Arial"/>
          <w:sz w:val="20"/>
        </w:rPr>
        <w:t xml:space="preserve">oth new sections are </w:t>
      </w:r>
      <w:r w:rsidR="00C545AC">
        <w:rPr>
          <w:rFonts w:ascii="Arial" w:hAnsi="Arial" w:cs="Arial"/>
          <w:sz w:val="20"/>
        </w:rPr>
        <w:t xml:space="preserve">effectively identical </w:t>
      </w:r>
      <w:r w:rsidR="0016069D">
        <w:rPr>
          <w:rFonts w:ascii="Arial" w:hAnsi="Arial" w:cs="Arial"/>
          <w:sz w:val="20"/>
        </w:rPr>
        <w:t>to the old</w:t>
      </w:r>
      <w:r w:rsidR="00C545AC">
        <w:rPr>
          <w:rFonts w:ascii="Arial" w:hAnsi="Arial" w:cs="Arial"/>
          <w:sz w:val="20"/>
        </w:rPr>
        <w:t>.</w:t>
      </w:r>
    </w:p>
    <w:p w14:paraId="7007AC83" w14:textId="77777777" w:rsidR="00C545AC" w:rsidRDefault="00C545AC">
      <w:pPr>
        <w:ind w:left="363" w:hanging="363"/>
        <w:jc w:val="both"/>
        <w:rPr>
          <w:rFonts w:ascii="Arial" w:hAnsi="Arial" w:cs="Arial"/>
          <w:sz w:val="20"/>
        </w:rPr>
      </w:pPr>
    </w:p>
    <w:p w14:paraId="71721266" w14:textId="77777777" w:rsidR="008905A4" w:rsidRDefault="008905A4" w:rsidP="008905A4">
      <w:pPr>
        <w:ind w:left="363" w:hanging="363"/>
        <w:jc w:val="both"/>
        <w:rPr>
          <w:rFonts w:ascii="Arial" w:hAnsi="Arial" w:cs="Arial"/>
          <w:sz w:val="20"/>
        </w:rPr>
      </w:pPr>
      <w:r w:rsidRPr="008905A4">
        <w:rPr>
          <w:rFonts w:ascii="Arial" w:hAnsi="Arial" w:cs="Arial"/>
          <w:sz w:val="20"/>
        </w:rPr>
        <w:t>9.</w:t>
      </w:r>
      <w:r>
        <w:rPr>
          <w:rFonts w:ascii="Arial" w:hAnsi="Arial" w:cs="Arial"/>
          <w:sz w:val="20"/>
        </w:rPr>
        <w:tab/>
        <w:t xml:space="preserve">The question which in the writer’s view remains moot is whether the changes to the constitution of the Children’s Court of Victoria introduced on </w:t>
      </w:r>
      <w:smartTag w:uri="urn:schemas-microsoft-com:office:smarttags" w:element="date">
        <w:smartTagPr>
          <w:attr w:name="Year" w:val="2000"/>
          <w:attr w:name="Day" w:val="26"/>
          <w:attr w:name="Month" w:val="6"/>
        </w:smartTagPr>
        <w:r>
          <w:rPr>
            <w:rFonts w:ascii="Arial" w:hAnsi="Arial" w:cs="Arial"/>
            <w:sz w:val="20"/>
          </w:rPr>
          <w:t>26/06/20</w:t>
        </w:r>
        <w:r w:rsidR="00A66799">
          <w:rPr>
            <w:rFonts w:ascii="Arial" w:hAnsi="Arial" w:cs="Arial"/>
            <w:sz w:val="20"/>
          </w:rPr>
          <w:t>00</w:t>
        </w:r>
      </w:smartTag>
      <w:r w:rsidR="00A66799">
        <w:rPr>
          <w:rFonts w:ascii="Arial" w:hAnsi="Arial" w:cs="Arial"/>
          <w:sz w:val="20"/>
        </w:rPr>
        <w:t xml:space="preserve"> </w:t>
      </w:r>
      <w:r>
        <w:rPr>
          <w:rFonts w:ascii="Arial" w:hAnsi="Arial" w:cs="Arial"/>
          <w:sz w:val="20"/>
        </w:rPr>
        <w:t xml:space="preserve">resulted in the Court </w:t>
      </w:r>
      <w:r w:rsidR="0016069D">
        <w:rPr>
          <w:rFonts w:ascii="Arial" w:hAnsi="Arial" w:cs="Arial"/>
          <w:sz w:val="20"/>
        </w:rPr>
        <w:t>ceasing to be</w:t>
      </w:r>
      <w:r>
        <w:rPr>
          <w:rFonts w:ascii="Arial" w:hAnsi="Arial" w:cs="Arial"/>
          <w:sz w:val="20"/>
        </w:rPr>
        <w:t xml:space="preserve"> a </w:t>
      </w:r>
      <w:r w:rsidRPr="008905A4">
        <w:rPr>
          <w:rFonts w:ascii="Arial" w:hAnsi="Arial" w:cs="Arial"/>
          <w:b/>
          <w:sz w:val="20"/>
        </w:rPr>
        <w:t>court of summary jurisdiction</w:t>
      </w:r>
      <w:r>
        <w:rPr>
          <w:rFonts w:ascii="Arial" w:hAnsi="Arial" w:cs="Arial"/>
          <w:sz w:val="20"/>
        </w:rPr>
        <w:t xml:space="preserve"> within the meaning of s.69J of the FLA.</w:t>
      </w:r>
    </w:p>
    <w:p w14:paraId="4038DA27" w14:textId="77777777" w:rsidR="008905A4" w:rsidRDefault="008905A4" w:rsidP="008905A4">
      <w:pPr>
        <w:ind w:left="363" w:hanging="363"/>
        <w:jc w:val="both"/>
        <w:rPr>
          <w:rFonts w:ascii="Arial" w:hAnsi="Arial" w:cs="Arial"/>
          <w:sz w:val="20"/>
        </w:rPr>
      </w:pPr>
    </w:p>
    <w:p w14:paraId="6015D0D3" w14:textId="77777777" w:rsidR="00DD52AD" w:rsidRDefault="00DD52AD" w:rsidP="002239D1">
      <w:pPr>
        <w:numPr>
          <w:ilvl w:val="0"/>
          <w:numId w:val="27"/>
        </w:numPr>
        <w:tabs>
          <w:tab w:val="clear" w:pos="720"/>
        </w:tabs>
        <w:ind w:left="357" w:hanging="357"/>
        <w:jc w:val="both"/>
        <w:rPr>
          <w:rFonts w:ascii="Arial" w:hAnsi="Arial" w:cs="Arial"/>
          <w:sz w:val="20"/>
        </w:rPr>
      </w:pPr>
      <w:r>
        <w:rPr>
          <w:rFonts w:ascii="Arial" w:hAnsi="Arial" w:cs="Arial"/>
          <w:sz w:val="20"/>
        </w:rPr>
        <w:t>It is counsel</w:t>
      </w:r>
      <w:r w:rsidR="00760E14">
        <w:rPr>
          <w:rFonts w:ascii="Arial" w:hAnsi="Arial" w:cs="Arial"/>
          <w:sz w:val="20"/>
        </w:rPr>
        <w:t>s’</w:t>
      </w:r>
      <w:r>
        <w:rPr>
          <w:rFonts w:ascii="Arial" w:hAnsi="Arial" w:cs="Arial"/>
          <w:sz w:val="20"/>
        </w:rPr>
        <w:t xml:space="preserve"> opinion at [50] that “the fact that one member of a Court does not fall </w:t>
      </w:r>
      <w:r w:rsidR="00760E14">
        <w:rPr>
          <w:rFonts w:ascii="Arial" w:hAnsi="Arial" w:cs="Arial"/>
          <w:sz w:val="20"/>
        </w:rPr>
        <w:t>within the definition of a ‘court of summary jurisdiction’ in s.26(d) of the AIA does not mean that the Children’s Court when constituted by a magistrate falls outside the definition”.  Counsel continue at [51]:</w:t>
      </w:r>
    </w:p>
    <w:p w14:paraId="3FF91382" w14:textId="77777777" w:rsidR="00623773" w:rsidRDefault="00623773" w:rsidP="00823729">
      <w:pPr>
        <w:spacing w:before="120"/>
        <w:ind w:left="851" w:right="567"/>
        <w:jc w:val="both"/>
        <w:rPr>
          <w:rFonts w:ascii="Arial" w:hAnsi="Arial" w:cs="Arial"/>
          <w:sz w:val="20"/>
        </w:rPr>
      </w:pPr>
      <w:r>
        <w:rPr>
          <w:rFonts w:ascii="Arial" w:hAnsi="Arial" w:cs="Arial"/>
          <w:sz w:val="20"/>
        </w:rPr>
        <w:t xml:space="preserve">“Section 69J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invests federal jurisdiction in ‘courts of summary jurisdiction’.  While it is tempting to regard the ‘court’ for this purpose as the institution that is created by s.8(1) of the CYPA, reading s.69J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in that way would ignore the language used by the Commonwealth Parliament.  In particular, it would ignore the definition in s.26(d) of the AIA.  That definition provides that the phrase ‘court of summary jurisdiction’ means specified </w:t>
      </w:r>
      <w:r w:rsidRPr="00D773EF">
        <w:rPr>
          <w:rFonts w:ascii="Arial" w:hAnsi="Arial" w:cs="Arial"/>
          <w:sz w:val="20"/>
          <w:u w:val="single"/>
        </w:rPr>
        <w:t>individuals</w:t>
      </w:r>
      <w:r>
        <w:rPr>
          <w:rFonts w:ascii="Arial" w:hAnsi="Arial" w:cs="Arial"/>
          <w:sz w:val="20"/>
        </w:rPr>
        <w:t xml:space="preserve"> (magistrates, justices of the peace etc) when those individuals are carrying out specified functions.  It does not mean the </w:t>
      </w:r>
      <w:r w:rsidRPr="00D773EF">
        <w:rPr>
          <w:rFonts w:ascii="Arial" w:hAnsi="Arial" w:cs="Arial"/>
          <w:sz w:val="20"/>
          <w:u w:val="single"/>
        </w:rPr>
        <w:t>institution</w:t>
      </w:r>
      <w:r>
        <w:rPr>
          <w:rFonts w:ascii="Arial" w:hAnsi="Arial" w:cs="Arial"/>
          <w:sz w:val="20"/>
        </w:rPr>
        <w:t xml:space="preserve"> of which those individuals form a part.”</w:t>
      </w:r>
    </w:p>
    <w:p w14:paraId="516E286F" w14:textId="77777777" w:rsidR="008905A4" w:rsidRDefault="00D773EF" w:rsidP="002B4834">
      <w:pPr>
        <w:spacing w:before="120" w:after="120"/>
        <w:ind w:left="363" w:hanging="363"/>
        <w:jc w:val="both"/>
        <w:rPr>
          <w:rFonts w:ascii="Arial" w:hAnsi="Arial" w:cs="Arial"/>
          <w:sz w:val="20"/>
        </w:rPr>
      </w:pPr>
      <w:r>
        <w:rPr>
          <w:rFonts w:ascii="Arial" w:hAnsi="Arial" w:cs="Arial"/>
          <w:sz w:val="20"/>
        </w:rPr>
        <w:tab/>
        <w:t xml:space="preserve">In support, counsel relied on dicta of Scrutton LJ in </w:t>
      </w:r>
      <w:r w:rsidRPr="00D773EF">
        <w:rPr>
          <w:rFonts w:ascii="Arial" w:hAnsi="Arial" w:cs="Arial"/>
          <w:i/>
          <w:sz w:val="20"/>
        </w:rPr>
        <w:t xml:space="preserve">Huish v </w:t>
      </w:r>
      <w:smartTag w:uri="urn:schemas-microsoft-com:office:smarttags" w:element="place">
        <w:r w:rsidRPr="00D773EF">
          <w:rPr>
            <w:rFonts w:ascii="Arial" w:hAnsi="Arial" w:cs="Arial"/>
            <w:i/>
            <w:sz w:val="20"/>
          </w:rPr>
          <w:t>Liverpool</w:t>
        </w:r>
      </w:smartTag>
      <w:r w:rsidRPr="00D773EF">
        <w:rPr>
          <w:rFonts w:ascii="Arial" w:hAnsi="Arial" w:cs="Arial"/>
          <w:i/>
          <w:sz w:val="20"/>
        </w:rPr>
        <w:t xml:space="preserve"> Justices</w:t>
      </w:r>
      <w:r>
        <w:rPr>
          <w:rFonts w:ascii="Arial" w:hAnsi="Arial" w:cs="Arial"/>
          <w:sz w:val="20"/>
        </w:rPr>
        <w:t xml:space="preserve"> [1914] 1 KB 109 at 116-117</w:t>
      </w:r>
      <w:r w:rsidR="00DC7451">
        <w:rPr>
          <w:rFonts w:ascii="Arial" w:hAnsi="Arial" w:cs="Arial"/>
          <w:sz w:val="20"/>
        </w:rPr>
        <w:t xml:space="preserve"> </w:t>
      </w:r>
      <w:r>
        <w:rPr>
          <w:rFonts w:ascii="Arial" w:hAnsi="Arial" w:cs="Arial"/>
          <w:sz w:val="20"/>
        </w:rPr>
        <w:t xml:space="preserve">and the High Court in </w:t>
      </w:r>
      <w:r w:rsidRPr="00D773EF">
        <w:rPr>
          <w:rFonts w:ascii="Arial" w:hAnsi="Arial" w:cs="Arial"/>
          <w:i/>
          <w:sz w:val="20"/>
        </w:rPr>
        <w:t>Pearce v Cocchiaro</w:t>
      </w:r>
      <w:r>
        <w:rPr>
          <w:rFonts w:ascii="Arial" w:hAnsi="Arial" w:cs="Arial"/>
          <w:sz w:val="20"/>
        </w:rPr>
        <w:t xml:space="preserve"> (1977) 137 CLR 600.  Accordingly counsel concluded</w:t>
      </w:r>
      <w:r w:rsidR="00760E14">
        <w:rPr>
          <w:rFonts w:ascii="Arial" w:hAnsi="Arial" w:cs="Arial"/>
          <w:sz w:val="20"/>
        </w:rPr>
        <w:t xml:space="preserve"> at [54]-[55]&amp; [58]</w:t>
      </w:r>
      <w:r>
        <w:rPr>
          <w:rFonts w:ascii="Arial" w:hAnsi="Arial" w:cs="Arial"/>
          <w:sz w:val="20"/>
        </w:rPr>
        <w:t>:</w:t>
      </w:r>
    </w:p>
    <w:p w14:paraId="0A120BBC" w14:textId="77777777" w:rsidR="00D773EF" w:rsidRDefault="00961575" w:rsidP="00CF2DFD">
      <w:pPr>
        <w:ind w:left="851" w:right="567"/>
        <w:jc w:val="both"/>
        <w:rPr>
          <w:rFonts w:ascii="Arial" w:hAnsi="Arial" w:cs="Arial"/>
          <w:sz w:val="20"/>
        </w:rPr>
      </w:pPr>
      <w:r>
        <w:rPr>
          <w:rFonts w:ascii="Arial" w:hAnsi="Arial" w:cs="Arial"/>
          <w:sz w:val="20"/>
        </w:rPr>
        <w:t xml:space="preserve">[54] </w:t>
      </w:r>
      <w:r w:rsidR="00D773EF">
        <w:rPr>
          <w:rFonts w:ascii="Arial" w:hAnsi="Arial" w:cs="Arial"/>
          <w:sz w:val="20"/>
        </w:rPr>
        <w:t>“In our opinion, on any occasion when a magistrate (including a magistrate who constitutes the Children’s Court) sits as a court to make summary orders under State law, the magistrate will be a ‘court of summary jurisdiction’ for the purpose of s.26(d) of the AIA and federal jurisdiction will be invested by s.6</w:t>
      </w:r>
      <w:r w:rsidR="00760E14">
        <w:rPr>
          <w:rFonts w:ascii="Arial" w:hAnsi="Arial" w:cs="Arial"/>
          <w:sz w:val="20"/>
        </w:rPr>
        <w:t>9J of the FLA.</w:t>
      </w:r>
    </w:p>
    <w:p w14:paraId="7158E3DD" w14:textId="77777777" w:rsidR="002B4834" w:rsidRDefault="00961575" w:rsidP="00CF2DFD">
      <w:pPr>
        <w:spacing w:before="120"/>
        <w:ind w:left="851" w:right="567"/>
        <w:jc w:val="both"/>
        <w:rPr>
          <w:rFonts w:ascii="Arial" w:hAnsi="Arial" w:cs="Arial"/>
          <w:sz w:val="20"/>
        </w:rPr>
      </w:pPr>
      <w:r>
        <w:rPr>
          <w:rFonts w:ascii="Arial" w:hAnsi="Arial" w:cs="Arial"/>
          <w:sz w:val="20"/>
        </w:rPr>
        <w:t xml:space="preserve">[55] </w:t>
      </w:r>
      <w:r w:rsidR="00D773EF">
        <w:rPr>
          <w:rFonts w:ascii="Arial" w:hAnsi="Arial" w:cs="Arial"/>
          <w:sz w:val="20"/>
        </w:rPr>
        <w:t xml:space="preserve">On the above analysis, federal jurisdiction is conferred on some members of the institution that is created by s.8 of the CYPA (the magistrates) but not on others (the President and registrars).  Subject to one possible objection, we consider it likely that the vesting of federal jurisdiction </w:t>
      </w:r>
      <w:r w:rsidR="00D773EF">
        <w:rPr>
          <w:rFonts w:ascii="Arial" w:hAnsi="Arial" w:cs="Arial"/>
          <w:sz w:val="20"/>
        </w:rPr>
        <w:lastRenderedPageBreak/>
        <w:t>in only some members of the State court created by s.8 of the CYPA will be held to be permissible</w:t>
      </w:r>
      <w:r w:rsidR="002B4834">
        <w:rPr>
          <w:rFonts w:ascii="Arial" w:hAnsi="Arial" w:cs="Arial"/>
          <w:sz w:val="20"/>
        </w:rPr>
        <w:t>…</w:t>
      </w:r>
    </w:p>
    <w:p w14:paraId="7A2A9ACE" w14:textId="77777777" w:rsidR="002B4834" w:rsidRDefault="00961575" w:rsidP="00CF2DFD">
      <w:pPr>
        <w:spacing w:before="120"/>
        <w:ind w:left="851" w:right="567"/>
        <w:jc w:val="both"/>
        <w:rPr>
          <w:rFonts w:ascii="Arial" w:hAnsi="Arial" w:cs="Arial"/>
          <w:sz w:val="20"/>
        </w:rPr>
      </w:pPr>
      <w:r>
        <w:rPr>
          <w:rFonts w:ascii="Arial" w:hAnsi="Arial" w:cs="Arial"/>
          <w:sz w:val="20"/>
        </w:rPr>
        <w:t xml:space="preserve">[58] </w:t>
      </w:r>
      <w:r w:rsidR="002B4834">
        <w:rPr>
          <w:rFonts w:ascii="Arial" w:hAnsi="Arial" w:cs="Arial"/>
          <w:sz w:val="20"/>
        </w:rPr>
        <w:t xml:space="preserve">Accordingly, because the CYPA contemplates that the Children’s Court can be constituted either by the President or by a magistrate, there is nothing to prevent the Commonwealth from choosing to invest federal jurisdiction when the Court is constituted by a magistrate but not when the Court is constituted by the President.  Although that may be an odd distinction as a matter of policy (it is probably an unintended consequence of s.26(d) of the </w:t>
      </w:r>
      <w:r w:rsidR="0058415E">
        <w:rPr>
          <w:rFonts w:ascii="Arial" w:hAnsi="Arial" w:cs="Arial"/>
          <w:sz w:val="20"/>
        </w:rPr>
        <w:t>AIA</w:t>
      </w:r>
      <w:r w:rsidR="002B4834">
        <w:rPr>
          <w:rFonts w:ascii="Arial" w:hAnsi="Arial" w:cs="Arial"/>
          <w:sz w:val="20"/>
        </w:rPr>
        <w:t>), in our opinion it is unlikely to be held objectionable as a matter of constitutional law.”</w:t>
      </w:r>
    </w:p>
    <w:p w14:paraId="4F81C50D" w14:textId="77777777" w:rsidR="0058415E" w:rsidRDefault="0058415E" w:rsidP="0058415E">
      <w:pPr>
        <w:ind w:left="363" w:hanging="363"/>
        <w:jc w:val="both"/>
        <w:rPr>
          <w:rFonts w:ascii="Arial" w:hAnsi="Arial" w:cs="Arial"/>
          <w:sz w:val="20"/>
        </w:rPr>
      </w:pPr>
    </w:p>
    <w:p w14:paraId="40715312" w14:textId="77777777" w:rsidR="0058415E" w:rsidRDefault="0058415E" w:rsidP="002239D1">
      <w:pPr>
        <w:numPr>
          <w:ilvl w:val="0"/>
          <w:numId w:val="27"/>
        </w:numPr>
        <w:tabs>
          <w:tab w:val="clear" w:pos="720"/>
        </w:tabs>
        <w:ind w:left="357" w:hanging="357"/>
        <w:jc w:val="both"/>
        <w:rPr>
          <w:rFonts w:ascii="Arial" w:hAnsi="Arial" w:cs="Arial"/>
          <w:sz w:val="20"/>
        </w:rPr>
      </w:pPr>
      <w:r>
        <w:rPr>
          <w:rFonts w:ascii="Arial" w:hAnsi="Arial" w:cs="Arial"/>
          <w:sz w:val="20"/>
        </w:rPr>
        <w:t xml:space="preserve">The “one possible objection” to which counsel referred arises from the decision of the High Court in </w:t>
      </w:r>
      <w:r w:rsidRPr="0058415E">
        <w:rPr>
          <w:rFonts w:ascii="Arial" w:hAnsi="Arial" w:cs="Arial"/>
          <w:i/>
          <w:sz w:val="20"/>
        </w:rPr>
        <w:t>Commonwealth v Hospital Contribution Fund</w:t>
      </w:r>
      <w:r>
        <w:rPr>
          <w:rFonts w:ascii="Arial" w:hAnsi="Arial" w:cs="Arial"/>
          <w:sz w:val="20"/>
        </w:rPr>
        <w:t xml:space="preserve"> (1982) 150 CLR 49 at 58 where the Court held that, for the purposes of s.77(iii) of the Constitution, a “court” is an organisation “consisting of judges and with ministerial officers having specified functions”.  In that case it was said that federal jurisdiction is “conferred on the court regarded as an entity, rather than on the individual persons who compose its membership</w:t>
      </w:r>
      <w:r w:rsidR="00F5692C">
        <w:rPr>
          <w:rFonts w:ascii="Arial" w:hAnsi="Arial" w:cs="Arial"/>
          <w:sz w:val="20"/>
        </w:rPr>
        <w:t xml:space="preserve">”.  Counsel </w:t>
      </w:r>
      <w:r w:rsidR="00A66799">
        <w:rPr>
          <w:rFonts w:ascii="Arial" w:hAnsi="Arial" w:cs="Arial"/>
          <w:sz w:val="20"/>
        </w:rPr>
        <w:t>say of this</w:t>
      </w:r>
      <w:r w:rsidR="00C930F9">
        <w:rPr>
          <w:rFonts w:ascii="Arial" w:hAnsi="Arial" w:cs="Arial"/>
          <w:sz w:val="20"/>
        </w:rPr>
        <w:t xml:space="preserve"> at [59]-[6</w:t>
      </w:r>
      <w:r w:rsidR="00961575">
        <w:rPr>
          <w:rFonts w:ascii="Arial" w:hAnsi="Arial" w:cs="Arial"/>
          <w:sz w:val="20"/>
        </w:rPr>
        <w:t>1</w:t>
      </w:r>
      <w:r w:rsidR="00C930F9">
        <w:rPr>
          <w:rFonts w:ascii="Arial" w:hAnsi="Arial" w:cs="Arial"/>
          <w:sz w:val="20"/>
        </w:rPr>
        <w:t>]:</w:t>
      </w:r>
    </w:p>
    <w:p w14:paraId="568CC117" w14:textId="77777777" w:rsidR="00C930F9" w:rsidRDefault="00961575" w:rsidP="00961575">
      <w:pPr>
        <w:spacing w:before="120"/>
        <w:ind w:left="851" w:right="567"/>
        <w:jc w:val="both"/>
        <w:rPr>
          <w:rFonts w:ascii="Arial" w:hAnsi="Arial" w:cs="Arial"/>
          <w:sz w:val="20"/>
        </w:rPr>
      </w:pPr>
      <w:r>
        <w:rPr>
          <w:rFonts w:ascii="Arial" w:hAnsi="Arial" w:cs="Arial"/>
          <w:sz w:val="20"/>
        </w:rPr>
        <w:t xml:space="preserve">[59] </w:t>
      </w:r>
      <w:r w:rsidR="00C930F9">
        <w:rPr>
          <w:rFonts w:ascii="Arial" w:hAnsi="Arial" w:cs="Arial"/>
          <w:sz w:val="20"/>
        </w:rPr>
        <w:t>“That appears to suggest that federal jurisdiction would ordinarily be taken to be invested in the Children’s Court as a whole (that is, the institution created by s.8(1) of the CYPA), rather than in the magistrates who constitute the court.</w:t>
      </w:r>
    </w:p>
    <w:p w14:paraId="70D86A3E" w14:textId="77777777" w:rsidR="00C930F9" w:rsidRDefault="00961575" w:rsidP="00961575">
      <w:pPr>
        <w:spacing w:before="120"/>
        <w:ind w:left="851" w:right="567"/>
        <w:jc w:val="both"/>
        <w:rPr>
          <w:rFonts w:ascii="Arial" w:hAnsi="Arial" w:cs="Arial"/>
          <w:sz w:val="20"/>
        </w:rPr>
      </w:pPr>
      <w:r>
        <w:rPr>
          <w:rFonts w:ascii="Arial" w:hAnsi="Arial" w:cs="Arial"/>
          <w:sz w:val="20"/>
        </w:rPr>
        <w:t xml:space="preserve">[60] </w:t>
      </w:r>
      <w:r w:rsidR="00C930F9">
        <w:rPr>
          <w:rFonts w:ascii="Arial" w:hAnsi="Arial" w:cs="Arial"/>
          <w:sz w:val="20"/>
        </w:rPr>
        <w:t xml:space="preserve">However, the effect of </w:t>
      </w:r>
      <w:r w:rsidR="00F11D30">
        <w:rPr>
          <w:rFonts w:ascii="Arial" w:hAnsi="Arial" w:cs="Arial"/>
          <w:sz w:val="20"/>
        </w:rPr>
        <w:t xml:space="preserve">s.26(d) of </w:t>
      </w:r>
      <w:r w:rsidR="00C930F9">
        <w:rPr>
          <w:rFonts w:ascii="Arial" w:hAnsi="Arial" w:cs="Arial"/>
          <w:sz w:val="20"/>
        </w:rPr>
        <w:t xml:space="preserve">the AIA is that the Commonwealth Parliament has not attempted to invest federal jurisdiction in the Children’s Court as an institution.  The </w:t>
      </w:r>
      <w:r>
        <w:rPr>
          <w:rFonts w:ascii="Arial" w:hAnsi="Arial" w:cs="Arial"/>
          <w:sz w:val="20"/>
        </w:rPr>
        <w:t>‘</w:t>
      </w:r>
      <w:r w:rsidR="00C930F9">
        <w:rPr>
          <w:rFonts w:ascii="Arial" w:hAnsi="Arial" w:cs="Arial"/>
          <w:sz w:val="20"/>
        </w:rPr>
        <w:t>court</w:t>
      </w:r>
      <w:r>
        <w:rPr>
          <w:rFonts w:ascii="Arial" w:hAnsi="Arial" w:cs="Arial"/>
          <w:sz w:val="20"/>
        </w:rPr>
        <w:t>’</w:t>
      </w:r>
      <w:r w:rsidR="00C930F9">
        <w:rPr>
          <w:rFonts w:ascii="Arial" w:hAnsi="Arial" w:cs="Arial"/>
          <w:sz w:val="20"/>
        </w:rPr>
        <w:t xml:space="preserve"> in which it has invested jurisdiction consists of the individual magistrates when constituting the Court and exercising judicial power.</w:t>
      </w:r>
    </w:p>
    <w:p w14:paraId="3970B307" w14:textId="77777777" w:rsidR="00C930F9" w:rsidRDefault="00961575" w:rsidP="00961575">
      <w:pPr>
        <w:spacing w:before="120"/>
        <w:ind w:left="851" w:right="567"/>
        <w:jc w:val="both"/>
        <w:rPr>
          <w:rFonts w:ascii="Arial" w:hAnsi="Arial" w:cs="Arial"/>
          <w:sz w:val="20"/>
        </w:rPr>
      </w:pPr>
      <w:r>
        <w:rPr>
          <w:rFonts w:ascii="Arial" w:hAnsi="Arial" w:cs="Arial"/>
          <w:sz w:val="20"/>
        </w:rPr>
        <w:t xml:space="preserve">[61] </w:t>
      </w:r>
      <w:r w:rsidR="00C930F9">
        <w:rPr>
          <w:rFonts w:ascii="Arial" w:hAnsi="Arial" w:cs="Arial"/>
          <w:sz w:val="20"/>
        </w:rPr>
        <w:t xml:space="preserve">If, as suggested </w:t>
      </w:r>
      <w:r>
        <w:rPr>
          <w:rFonts w:ascii="Arial" w:hAnsi="Arial" w:cs="Arial"/>
          <w:sz w:val="20"/>
        </w:rPr>
        <w:t xml:space="preserve">in paragraph [59] </w:t>
      </w:r>
      <w:r w:rsidR="00C930F9">
        <w:rPr>
          <w:rFonts w:ascii="Arial" w:hAnsi="Arial" w:cs="Arial"/>
          <w:sz w:val="20"/>
        </w:rPr>
        <w:t xml:space="preserve">above, it is constitutionally necessary to invest jurisdiction in an institution rather than a person, it would seem to follow that s.26(d) of the AIA is invalid.  It is unnecessary to reach a concluded view on this point because if s.26(d) is invalid, the consequence would be that the term ‘court of summary jurisdiction’ in s.69J(1) of the </w:t>
      </w:r>
      <w:smartTag w:uri="urn:schemas-microsoft-com:office:smarttags" w:element="State">
        <w:smartTag w:uri="urn:schemas-microsoft-com:office:smarttags" w:element="place">
          <w:r w:rsidR="00C930F9">
            <w:rPr>
              <w:rFonts w:ascii="Arial" w:hAnsi="Arial" w:cs="Arial"/>
              <w:sz w:val="20"/>
            </w:rPr>
            <w:t>FLA</w:t>
          </w:r>
        </w:smartTag>
      </w:smartTag>
      <w:r w:rsidR="00C930F9">
        <w:rPr>
          <w:rFonts w:ascii="Arial" w:hAnsi="Arial" w:cs="Arial"/>
          <w:sz w:val="20"/>
        </w:rPr>
        <w:t xml:space="preserve"> would bear its ordinary meaning.  On the basis of the passages from </w:t>
      </w:r>
      <w:r w:rsidRPr="00961575">
        <w:rPr>
          <w:rFonts w:ascii="Arial" w:hAnsi="Arial" w:cs="Arial"/>
          <w:i/>
          <w:sz w:val="20"/>
        </w:rPr>
        <w:t>John L Pierce Pty Ltd v Kennedy</w:t>
      </w:r>
      <w:r>
        <w:rPr>
          <w:rFonts w:ascii="Arial" w:hAnsi="Arial" w:cs="Arial"/>
          <w:sz w:val="20"/>
        </w:rPr>
        <w:t xml:space="preserve"> (2000) 104 FCR 225 at [24], [30] &amp; [46] quoted in paragraphs [39]-[41] [of this opinion], the ordinary meaning of the Children’s Court would include the Children’s Court.  It would follow that s.69J would invest federal jurisdiction in the entire Children’s Court, and that both the President and the magistrates would be empowered to make orders under s.68T [now s.68R] of the FLA.</w:t>
      </w:r>
    </w:p>
    <w:p w14:paraId="3390D99A" w14:textId="77777777" w:rsidR="001D0D1F" w:rsidRDefault="001D0D1F" w:rsidP="001D0D1F">
      <w:pPr>
        <w:ind w:left="363" w:hanging="363"/>
        <w:jc w:val="both"/>
        <w:rPr>
          <w:rFonts w:ascii="Arial" w:hAnsi="Arial" w:cs="Arial"/>
          <w:sz w:val="20"/>
        </w:rPr>
      </w:pPr>
    </w:p>
    <w:p w14:paraId="56F8BC6A" w14:textId="77777777" w:rsidR="00961575" w:rsidRDefault="00961575" w:rsidP="002239D1">
      <w:pPr>
        <w:numPr>
          <w:ilvl w:val="0"/>
          <w:numId w:val="27"/>
        </w:numPr>
        <w:tabs>
          <w:tab w:val="clear" w:pos="720"/>
        </w:tabs>
        <w:ind w:left="357" w:hanging="357"/>
        <w:jc w:val="both"/>
        <w:rPr>
          <w:rFonts w:ascii="Arial" w:hAnsi="Arial" w:cs="Arial"/>
          <w:sz w:val="20"/>
        </w:rPr>
      </w:pPr>
      <w:r>
        <w:rPr>
          <w:rFonts w:ascii="Arial" w:hAnsi="Arial" w:cs="Arial"/>
          <w:sz w:val="20"/>
        </w:rPr>
        <w:t xml:space="preserve">Counsel </w:t>
      </w:r>
      <w:r w:rsidR="001D0D1F">
        <w:rPr>
          <w:rFonts w:ascii="Arial" w:hAnsi="Arial" w:cs="Arial"/>
          <w:sz w:val="20"/>
        </w:rPr>
        <w:t xml:space="preserve">concluded at </w:t>
      </w:r>
      <w:r>
        <w:rPr>
          <w:rFonts w:ascii="Arial" w:hAnsi="Arial" w:cs="Arial"/>
          <w:sz w:val="20"/>
        </w:rPr>
        <w:t>[62]</w:t>
      </w:r>
      <w:r w:rsidR="001D0D1F">
        <w:rPr>
          <w:rFonts w:ascii="Arial" w:hAnsi="Arial" w:cs="Arial"/>
          <w:sz w:val="20"/>
        </w:rPr>
        <w:t>:</w:t>
      </w:r>
    </w:p>
    <w:p w14:paraId="1F6115B0" w14:textId="77777777" w:rsidR="001D0D1F" w:rsidRDefault="001D0D1F" w:rsidP="001D0D1F">
      <w:pPr>
        <w:spacing w:before="120"/>
        <w:ind w:left="851" w:right="567"/>
        <w:jc w:val="both"/>
        <w:rPr>
          <w:rFonts w:ascii="Arial" w:hAnsi="Arial" w:cs="Arial"/>
          <w:sz w:val="20"/>
        </w:rPr>
      </w:pPr>
      <w:r>
        <w:rPr>
          <w:rFonts w:ascii="Arial" w:hAnsi="Arial" w:cs="Arial"/>
          <w:sz w:val="20"/>
        </w:rPr>
        <w:t xml:space="preserve">“In our opinion, the safer course is to assume that s.26(d) of the AIA is valid.  That provision has been discussed in several cases by the High Court with no suggestion that its validity is questionable.  The consequence is that the President of the Children’s Court cannot exercise jurisdiction under s.68T [now s.68R]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but that there is no impediment to the Children’s Court exercising this jurisdiction when constituted by a magistrate.”</w:t>
      </w:r>
    </w:p>
    <w:p w14:paraId="6A89B8FB" w14:textId="77777777" w:rsidR="00C930F9" w:rsidRDefault="00C930F9" w:rsidP="00961575">
      <w:pPr>
        <w:jc w:val="both"/>
        <w:rPr>
          <w:rFonts w:ascii="Arial" w:hAnsi="Arial" w:cs="Arial"/>
          <w:sz w:val="20"/>
        </w:rPr>
      </w:pPr>
    </w:p>
    <w:p w14:paraId="408A704B" w14:textId="77777777" w:rsidR="00204401" w:rsidRDefault="00204401" w:rsidP="002239D1">
      <w:pPr>
        <w:numPr>
          <w:ilvl w:val="0"/>
          <w:numId w:val="27"/>
        </w:numPr>
        <w:tabs>
          <w:tab w:val="clear" w:pos="720"/>
        </w:tabs>
        <w:ind w:left="357" w:hanging="357"/>
        <w:jc w:val="both"/>
        <w:rPr>
          <w:rFonts w:ascii="Arial" w:hAnsi="Arial" w:cs="Arial"/>
          <w:sz w:val="20"/>
        </w:rPr>
      </w:pPr>
      <w:r>
        <w:rPr>
          <w:rFonts w:ascii="Arial" w:hAnsi="Arial" w:cs="Arial"/>
          <w:sz w:val="20"/>
        </w:rPr>
        <w:t xml:space="preserve">If s.26(d) of the AIA is in fact invalid and the “one possible objection” referred to by counsel is a good objection, the question is whether the Children’s Court of Victoria is a “court of summary jurisdiction” within the ordinary meaning of the phrase.  In </w:t>
      </w:r>
      <w:r w:rsidRPr="00961575">
        <w:rPr>
          <w:rFonts w:ascii="Arial" w:hAnsi="Arial" w:cs="Arial"/>
          <w:i/>
          <w:sz w:val="20"/>
        </w:rPr>
        <w:t>John L Pierce Pty Ltd v Kennedy</w:t>
      </w:r>
      <w:r>
        <w:rPr>
          <w:rFonts w:ascii="Arial" w:hAnsi="Arial" w:cs="Arial"/>
          <w:sz w:val="20"/>
        </w:rPr>
        <w:t xml:space="preserve"> (2000) 104 FCR 225 at [30] Madgwick J – with whom O’Connor J agreed – said:</w:t>
      </w:r>
    </w:p>
    <w:p w14:paraId="1A02B16F" w14:textId="77777777" w:rsidR="00204401" w:rsidRDefault="00204401" w:rsidP="00204401">
      <w:pPr>
        <w:spacing w:before="120"/>
        <w:ind w:left="851" w:right="567"/>
        <w:jc w:val="both"/>
        <w:rPr>
          <w:rFonts w:ascii="Arial" w:hAnsi="Arial" w:cs="Arial"/>
          <w:sz w:val="20"/>
        </w:rPr>
      </w:pPr>
      <w:r>
        <w:rPr>
          <w:rFonts w:ascii="Arial" w:hAnsi="Arial" w:cs="Arial"/>
          <w:sz w:val="20"/>
        </w:rPr>
        <w:t>“As a matter of ordinary language, the description ‘court of summary jurisdiction’ captures the foregoing notion of a relative lack of forma</w:t>
      </w:r>
      <w:r w:rsidR="00AD3B53">
        <w:rPr>
          <w:rFonts w:ascii="Arial" w:hAnsi="Arial" w:cs="Arial"/>
          <w:sz w:val="20"/>
        </w:rPr>
        <w:t>li</w:t>
      </w:r>
      <w:r>
        <w:rPr>
          <w:rFonts w:ascii="Arial" w:hAnsi="Arial" w:cs="Arial"/>
          <w:sz w:val="20"/>
        </w:rPr>
        <w:t>ty of the proceedings.”</w:t>
      </w:r>
    </w:p>
    <w:p w14:paraId="745DAE09" w14:textId="77777777" w:rsidR="00204401" w:rsidRDefault="00204401" w:rsidP="00961575">
      <w:pPr>
        <w:jc w:val="both"/>
        <w:rPr>
          <w:rFonts w:ascii="Arial" w:hAnsi="Arial" w:cs="Arial"/>
          <w:sz w:val="20"/>
        </w:rPr>
      </w:pPr>
    </w:p>
    <w:p w14:paraId="48EA90BF" w14:textId="77777777" w:rsidR="00204401" w:rsidRDefault="001E7017" w:rsidP="002239D1">
      <w:pPr>
        <w:keepNext/>
        <w:keepLines/>
        <w:numPr>
          <w:ilvl w:val="0"/>
          <w:numId w:val="27"/>
        </w:numPr>
        <w:tabs>
          <w:tab w:val="clear" w:pos="720"/>
        </w:tabs>
        <w:ind w:left="357" w:hanging="357"/>
        <w:jc w:val="both"/>
        <w:rPr>
          <w:rFonts w:ascii="Arial" w:hAnsi="Arial" w:cs="Arial"/>
          <w:sz w:val="20"/>
        </w:rPr>
      </w:pPr>
      <w:r>
        <w:rPr>
          <w:rFonts w:ascii="Arial" w:hAnsi="Arial" w:cs="Arial"/>
          <w:sz w:val="20"/>
        </w:rPr>
        <w:lastRenderedPageBreak/>
        <w:t xml:space="preserve">At [44] </w:t>
      </w:r>
      <w:r w:rsidR="00204401">
        <w:rPr>
          <w:rFonts w:ascii="Arial" w:hAnsi="Arial" w:cs="Arial"/>
          <w:sz w:val="20"/>
        </w:rPr>
        <w:t>of their opinion counsel say:</w:t>
      </w:r>
    </w:p>
    <w:p w14:paraId="69BFC46E" w14:textId="77777777" w:rsidR="00204401" w:rsidRDefault="00204401" w:rsidP="00204401">
      <w:pPr>
        <w:spacing w:before="120"/>
        <w:ind w:left="851" w:right="567"/>
        <w:jc w:val="both"/>
        <w:rPr>
          <w:rFonts w:ascii="Arial" w:hAnsi="Arial" w:cs="Arial"/>
          <w:sz w:val="20"/>
        </w:rPr>
      </w:pPr>
      <w:r>
        <w:rPr>
          <w:rFonts w:ascii="Arial" w:hAnsi="Arial" w:cs="Arial"/>
          <w:sz w:val="20"/>
        </w:rPr>
        <w:t>“</w:t>
      </w:r>
      <w:r w:rsidR="001E7017">
        <w:rPr>
          <w:rFonts w:ascii="Arial" w:hAnsi="Arial" w:cs="Arial"/>
          <w:sz w:val="20"/>
        </w:rPr>
        <w:t>As we understand it, the Children’s Court follows procedures of the kind followed in the Magistrates’ Court.  There is no material distinction between the level of formality in proceedings in the two courts.”</w:t>
      </w:r>
    </w:p>
    <w:p w14:paraId="7CDF9004" w14:textId="77777777" w:rsidR="00204401" w:rsidRDefault="00204401" w:rsidP="00961575">
      <w:pPr>
        <w:jc w:val="both"/>
        <w:rPr>
          <w:rFonts w:ascii="Arial" w:hAnsi="Arial" w:cs="Arial"/>
          <w:sz w:val="20"/>
        </w:rPr>
      </w:pPr>
    </w:p>
    <w:p w14:paraId="27A4E46A" w14:textId="77777777" w:rsidR="001E7017" w:rsidRDefault="00AD3B53" w:rsidP="002239D1">
      <w:pPr>
        <w:numPr>
          <w:ilvl w:val="0"/>
          <w:numId w:val="27"/>
        </w:numPr>
        <w:tabs>
          <w:tab w:val="clear" w:pos="720"/>
        </w:tabs>
        <w:ind w:left="357" w:hanging="357"/>
        <w:jc w:val="both"/>
        <w:rPr>
          <w:rFonts w:ascii="Arial" w:hAnsi="Arial" w:cs="Arial"/>
          <w:sz w:val="20"/>
        </w:rPr>
      </w:pPr>
      <w:r>
        <w:rPr>
          <w:rFonts w:ascii="Arial" w:hAnsi="Arial" w:cs="Arial"/>
          <w:sz w:val="20"/>
        </w:rPr>
        <w:t>In the writer’s opinion that is largely correct, but arguably not entirely correct.  Section 215(1) of the CYFA provides that the Family Division of the Court:</w:t>
      </w:r>
    </w:p>
    <w:p w14:paraId="7BDB6CD4" w14:textId="77777777" w:rsidR="00AD3B53" w:rsidRDefault="00AD3B53" w:rsidP="00AD3B53">
      <w:pPr>
        <w:tabs>
          <w:tab w:val="left" w:pos="363"/>
        </w:tabs>
        <w:jc w:val="both"/>
        <w:rPr>
          <w:rFonts w:ascii="Arial" w:hAnsi="Arial" w:cs="Arial"/>
          <w:sz w:val="20"/>
        </w:rPr>
      </w:pPr>
      <w:r w:rsidRPr="00AD3B53">
        <w:rPr>
          <w:rFonts w:ascii="Arial" w:hAnsi="Arial" w:cs="Arial"/>
          <w:sz w:val="20"/>
        </w:rPr>
        <w:tab/>
        <w:t>(</w:t>
      </w:r>
      <w:r>
        <w:rPr>
          <w:rFonts w:ascii="Arial" w:hAnsi="Arial" w:cs="Arial"/>
          <w:sz w:val="20"/>
        </w:rPr>
        <w:t>a)</w:t>
      </w:r>
      <w:r>
        <w:rPr>
          <w:rFonts w:ascii="Arial" w:hAnsi="Arial" w:cs="Arial"/>
          <w:sz w:val="20"/>
        </w:rPr>
        <w:tab/>
        <w:t>must conduct proceedings before it in an informal manner;</w:t>
      </w:r>
    </w:p>
    <w:p w14:paraId="2BEAF54E" w14:textId="77777777" w:rsidR="00204401" w:rsidRDefault="00AD3B53" w:rsidP="00AD3B53">
      <w:pPr>
        <w:tabs>
          <w:tab w:val="left" w:pos="363"/>
        </w:tabs>
        <w:jc w:val="both"/>
        <w:rPr>
          <w:rFonts w:ascii="Arial" w:hAnsi="Arial" w:cs="Arial"/>
          <w:sz w:val="20"/>
        </w:rPr>
      </w:pPr>
      <w:r>
        <w:rPr>
          <w:rFonts w:ascii="Arial" w:hAnsi="Arial" w:cs="Arial"/>
          <w:sz w:val="20"/>
        </w:rPr>
        <w:tab/>
        <w:t>(b)</w:t>
      </w:r>
      <w:r>
        <w:rPr>
          <w:rFonts w:ascii="Arial" w:hAnsi="Arial" w:cs="Arial"/>
          <w:sz w:val="20"/>
        </w:rPr>
        <w:tab/>
        <w:t>must proceed without regard to legal forms;</w:t>
      </w:r>
      <w:r w:rsidR="00AB0162">
        <w:rPr>
          <w:rFonts w:ascii="Arial" w:hAnsi="Arial" w:cs="Arial"/>
          <w:sz w:val="20"/>
        </w:rPr>
        <w:t xml:space="preserve"> and</w:t>
      </w:r>
    </w:p>
    <w:p w14:paraId="6FD18793" w14:textId="77777777" w:rsidR="00AD3B53" w:rsidRDefault="00AD3B53" w:rsidP="00AD3B53">
      <w:pPr>
        <w:tabs>
          <w:tab w:val="left" w:pos="363"/>
        </w:tabs>
        <w:ind w:left="720" w:hanging="720"/>
        <w:jc w:val="both"/>
        <w:rPr>
          <w:rFonts w:ascii="Arial" w:hAnsi="Arial" w:cs="Arial"/>
          <w:sz w:val="20"/>
        </w:rPr>
      </w:pPr>
      <w:r>
        <w:rPr>
          <w:rFonts w:ascii="Arial" w:hAnsi="Arial" w:cs="Arial"/>
          <w:sz w:val="20"/>
        </w:rPr>
        <w:tab/>
        <w:t>(d)</w:t>
      </w:r>
      <w:r>
        <w:rPr>
          <w:rFonts w:ascii="Arial" w:hAnsi="Arial" w:cs="Arial"/>
          <w:sz w:val="20"/>
        </w:rPr>
        <w:tab/>
        <w:t>may inform itself on a matter in such manner as it thinks fit, despite any rules of evidence to the contrary.</w:t>
      </w:r>
    </w:p>
    <w:p w14:paraId="544B153A" w14:textId="77777777" w:rsidR="004F50B7" w:rsidRDefault="004F50B7" w:rsidP="00647846">
      <w:pPr>
        <w:ind w:left="6" w:hanging="6"/>
        <w:jc w:val="both"/>
        <w:rPr>
          <w:rFonts w:ascii="Arial" w:hAnsi="Arial" w:cs="Arial"/>
          <w:sz w:val="20"/>
        </w:rPr>
      </w:pPr>
    </w:p>
    <w:p w14:paraId="5F7A319A" w14:textId="77777777" w:rsidR="00AD3B53" w:rsidRPr="0040043D" w:rsidRDefault="004F50B7" w:rsidP="0040043D">
      <w:pPr>
        <w:numPr>
          <w:ilvl w:val="0"/>
          <w:numId w:val="27"/>
        </w:numPr>
        <w:tabs>
          <w:tab w:val="clear" w:pos="720"/>
        </w:tabs>
        <w:ind w:left="363" w:hanging="363"/>
        <w:jc w:val="both"/>
        <w:rPr>
          <w:rFonts w:ascii="Arial" w:hAnsi="Arial" w:cs="Arial"/>
          <w:sz w:val="20"/>
        </w:rPr>
      </w:pPr>
      <w:r w:rsidRPr="0040043D">
        <w:rPr>
          <w:rFonts w:ascii="Arial" w:hAnsi="Arial" w:cs="Arial"/>
          <w:color w:val="000000"/>
          <w:sz w:val="20"/>
        </w:rPr>
        <w:t xml:space="preserve">Moreover, new section 215B of the CYFA – introduced on 01/12/2013 – gives judicial officers even greater power to manage the conduct of </w:t>
      </w:r>
      <w:r w:rsidR="006054BD" w:rsidRPr="0040043D">
        <w:rPr>
          <w:rFonts w:ascii="Arial" w:hAnsi="Arial" w:cs="Arial"/>
          <w:color w:val="000000"/>
          <w:sz w:val="20"/>
        </w:rPr>
        <w:t xml:space="preserve">child protection </w:t>
      </w:r>
      <w:r w:rsidRPr="0040043D">
        <w:rPr>
          <w:rFonts w:ascii="Arial" w:hAnsi="Arial" w:cs="Arial"/>
          <w:color w:val="000000"/>
          <w:sz w:val="20"/>
        </w:rPr>
        <w:t>proceedings in the Family Division of the Children’s Court in a less adversarial way.</w:t>
      </w:r>
      <w:r w:rsidR="0040043D" w:rsidRPr="0040043D">
        <w:rPr>
          <w:rFonts w:ascii="Arial" w:hAnsi="Arial" w:cs="Arial"/>
          <w:color w:val="000000"/>
          <w:sz w:val="20"/>
        </w:rPr>
        <w:t xml:space="preserve">  </w:t>
      </w:r>
      <w:r w:rsidR="00AD3B53" w:rsidRPr="0040043D">
        <w:rPr>
          <w:rFonts w:ascii="Arial" w:hAnsi="Arial" w:cs="Arial"/>
          <w:sz w:val="20"/>
        </w:rPr>
        <w:t xml:space="preserve">This supports counsels’ understanding, making the Children’s Court procedure even more summary in a sense than that in the Magistrates’ Court.  However, s.527(6) of the CYFA </w:t>
      </w:r>
      <w:r w:rsidR="00B26F4C" w:rsidRPr="0040043D">
        <w:rPr>
          <w:rFonts w:ascii="Arial" w:hAnsi="Arial" w:cs="Arial"/>
          <w:sz w:val="20"/>
        </w:rPr>
        <w:t xml:space="preserve">[in the same terms as s.23(5) of the CYPA] </w:t>
      </w:r>
      <w:r w:rsidR="00AD3B53" w:rsidRPr="0040043D">
        <w:rPr>
          <w:rFonts w:ascii="Arial" w:hAnsi="Arial" w:cs="Arial"/>
          <w:sz w:val="20"/>
        </w:rPr>
        <w:t xml:space="preserve">imposes an obligation on the </w:t>
      </w:r>
      <w:r w:rsidR="00B26F4C" w:rsidRPr="0040043D">
        <w:rPr>
          <w:rFonts w:ascii="Arial" w:hAnsi="Arial" w:cs="Arial"/>
          <w:sz w:val="20"/>
        </w:rPr>
        <w:t>Family Division of the Children’s C</w:t>
      </w:r>
      <w:r w:rsidR="00AD3B53" w:rsidRPr="0040043D">
        <w:rPr>
          <w:rFonts w:ascii="Arial" w:hAnsi="Arial" w:cs="Arial"/>
          <w:sz w:val="20"/>
        </w:rPr>
        <w:t xml:space="preserve">ourt to give a </w:t>
      </w:r>
      <w:r w:rsidR="00AD3B53" w:rsidRPr="0040043D">
        <w:rPr>
          <w:rFonts w:ascii="Arial" w:hAnsi="Arial" w:cs="Arial"/>
          <w:sz w:val="20"/>
          <w:u w:val="single"/>
        </w:rPr>
        <w:t>written</w:t>
      </w:r>
      <w:r w:rsidR="00AD3B53" w:rsidRPr="0040043D">
        <w:rPr>
          <w:rFonts w:ascii="Arial" w:hAnsi="Arial" w:cs="Arial"/>
          <w:sz w:val="20"/>
        </w:rPr>
        <w:t xml:space="preserve"> statement of reasons in every case in which it makes a final order in a proceeding.  This is certainly not </w:t>
      </w:r>
      <w:r w:rsidR="00CA6DAD" w:rsidRPr="0040043D">
        <w:rPr>
          <w:rFonts w:ascii="Arial" w:hAnsi="Arial" w:cs="Arial"/>
          <w:sz w:val="20"/>
        </w:rPr>
        <w:t>one of the</w:t>
      </w:r>
      <w:r w:rsidR="00AD3B53" w:rsidRPr="0040043D">
        <w:rPr>
          <w:rFonts w:ascii="Arial" w:hAnsi="Arial" w:cs="Arial"/>
          <w:sz w:val="20"/>
        </w:rPr>
        <w:t xml:space="preserve"> </w:t>
      </w:r>
      <w:r w:rsidR="00B26F4C" w:rsidRPr="0040043D">
        <w:rPr>
          <w:rFonts w:ascii="Arial" w:hAnsi="Arial" w:cs="Arial"/>
          <w:sz w:val="20"/>
        </w:rPr>
        <w:t xml:space="preserve">ordinary </w:t>
      </w:r>
      <w:r w:rsidR="00AD3B53" w:rsidRPr="0040043D">
        <w:rPr>
          <w:rFonts w:ascii="Arial" w:hAnsi="Arial" w:cs="Arial"/>
          <w:sz w:val="20"/>
        </w:rPr>
        <w:t>indicia of a court o</w:t>
      </w:r>
      <w:r w:rsidR="00B26F4C" w:rsidRPr="0040043D">
        <w:rPr>
          <w:rFonts w:ascii="Arial" w:hAnsi="Arial" w:cs="Arial"/>
          <w:sz w:val="20"/>
        </w:rPr>
        <w:t>f summary jurisdiction</w:t>
      </w:r>
      <w:r w:rsidR="00AD3B53" w:rsidRPr="0040043D">
        <w:rPr>
          <w:rFonts w:ascii="Arial" w:hAnsi="Arial" w:cs="Arial"/>
          <w:sz w:val="20"/>
        </w:rPr>
        <w:t>.</w:t>
      </w:r>
    </w:p>
    <w:p w14:paraId="6DCDD17C" w14:textId="77777777" w:rsidR="00D773EF" w:rsidRDefault="00D773EF" w:rsidP="00C545AC">
      <w:pPr>
        <w:ind w:left="363" w:hanging="363"/>
        <w:jc w:val="both"/>
        <w:rPr>
          <w:rFonts w:ascii="Arial" w:hAnsi="Arial" w:cs="Arial"/>
          <w:sz w:val="20"/>
        </w:rPr>
      </w:pPr>
    </w:p>
    <w:p w14:paraId="0BEA7B82" w14:textId="77777777" w:rsidR="00A25BEE" w:rsidRDefault="006555D8" w:rsidP="006555D8">
      <w:pPr>
        <w:jc w:val="both"/>
        <w:rPr>
          <w:rFonts w:ascii="Arial" w:hAnsi="Arial" w:cs="Arial"/>
          <w:sz w:val="20"/>
        </w:rPr>
      </w:pPr>
      <w:r>
        <w:rPr>
          <w:rFonts w:ascii="Arial" w:hAnsi="Arial" w:cs="Arial"/>
          <w:sz w:val="20"/>
        </w:rPr>
        <w:t>Counsels’ attractive argument, if correct, leads to highly unattractive consequences for the operation of the Children’s Court.  It is an intolerable position that the judicial head of a court should have less power than the puisne judicial members of the court.  Section 508</w:t>
      </w:r>
      <w:r w:rsidR="009B41D2">
        <w:rPr>
          <w:rFonts w:ascii="Arial" w:hAnsi="Arial" w:cs="Arial"/>
          <w:sz w:val="20"/>
        </w:rPr>
        <w:t>(8)</w:t>
      </w:r>
      <w:r>
        <w:rPr>
          <w:rFonts w:ascii="Arial" w:hAnsi="Arial" w:cs="Arial"/>
          <w:sz w:val="20"/>
        </w:rPr>
        <w:t xml:space="preserve"> of the CYFA [previously s.</w:t>
      </w:r>
      <w:r w:rsidR="009B41D2">
        <w:rPr>
          <w:rFonts w:ascii="Arial" w:hAnsi="Arial" w:cs="Arial"/>
          <w:sz w:val="20"/>
        </w:rPr>
        <w:t>12(8)</w:t>
      </w:r>
      <w:r>
        <w:rPr>
          <w:rFonts w:ascii="Arial" w:hAnsi="Arial" w:cs="Arial"/>
          <w:sz w:val="20"/>
        </w:rPr>
        <w:t xml:space="preserve"> of the CYPA] provides that the President may exercise any power conferred on a magistrate by or under this or any other Act.  </w:t>
      </w:r>
      <w:r w:rsidR="00022424">
        <w:rPr>
          <w:rFonts w:ascii="Arial" w:hAnsi="Arial" w:cs="Arial"/>
          <w:sz w:val="20"/>
        </w:rPr>
        <w:t xml:space="preserve">But this provision of State legislation cannot by itself vest federal judicial power on the President.  If anything, counsels’ opinion has strengthened, rather than weakened, the writer’s view that legislative amendment is necessary to invest </w:t>
      </w:r>
      <w:r w:rsidR="00022424" w:rsidRPr="00022424">
        <w:rPr>
          <w:rFonts w:ascii="Arial" w:hAnsi="Arial" w:cs="Arial"/>
          <w:sz w:val="20"/>
          <w:u w:val="single"/>
        </w:rPr>
        <w:t>all</w:t>
      </w:r>
      <w:r w:rsidR="00022424">
        <w:rPr>
          <w:rFonts w:ascii="Arial" w:hAnsi="Arial" w:cs="Arial"/>
          <w:sz w:val="20"/>
        </w:rPr>
        <w:t xml:space="preserve"> judicial members of the Children’s Court of Victoria </w:t>
      </w:r>
      <w:r w:rsidR="00022424" w:rsidRPr="00022424">
        <w:rPr>
          <w:rFonts w:ascii="Arial" w:hAnsi="Arial" w:cs="Arial"/>
          <w:sz w:val="20"/>
          <w:u w:val="single"/>
        </w:rPr>
        <w:t xml:space="preserve">unambiguously </w:t>
      </w:r>
      <w:r w:rsidR="00022424">
        <w:rPr>
          <w:rFonts w:ascii="Arial" w:hAnsi="Arial" w:cs="Arial"/>
          <w:sz w:val="20"/>
        </w:rPr>
        <w:t xml:space="preserve">with federal jurisdiction in relation to matters under Part VII of the </w:t>
      </w:r>
      <w:smartTag w:uri="urn:schemas-microsoft-com:office:smarttags" w:element="State">
        <w:smartTag w:uri="urn:schemas-microsoft-com:office:smarttags" w:element="place">
          <w:r w:rsidR="00022424">
            <w:rPr>
              <w:rFonts w:ascii="Arial" w:hAnsi="Arial" w:cs="Arial"/>
              <w:sz w:val="20"/>
            </w:rPr>
            <w:t>FLA</w:t>
          </w:r>
        </w:smartTag>
      </w:smartTag>
      <w:r w:rsidR="00022424">
        <w:rPr>
          <w:rFonts w:ascii="Arial" w:hAnsi="Arial" w:cs="Arial"/>
          <w:sz w:val="20"/>
        </w:rPr>
        <w:t xml:space="preserve"> as is currently invested in the Magistrates’</w:t>
      </w:r>
      <w:r w:rsidR="00CA6DAD">
        <w:rPr>
          <w:rFonts w:ascii="Arial" w:hAnsi="Arial" w:cs="Arial"/>
          <w:sz w:val="20"/>
        </w:rPr>
        <w:t xml:space="preserve"> Court of Victoria.  After all, the Children’s Court of Victoria has been described by State parliament in s.1(d) of the CYFA as “a specialist court dealing with matters relating to children”</w:t>
      </w:r>
      <w:r w:rsidR="00A25BEE">
        <w:rPr>
          <w:rFonts w:ascii="Arial" w:hAnsi="Arial" w:cs="Arial"/>
          <w:sz w:val="20"/>
        </w:rPr>
        <w:t>.</w:t>
      </w:r>
    </w:p>
    <w:p w14:paraId="3D90EEA3" w14:textId="77777777" w:rsidR="00A25BEE" w:rsidRDefault="00A25BEE" w:rsidP="006555D8">
      <w:pPr>
        <w:jc w:val="both"/>
        <w:rPr>
          <w:rFonts w:ascii="Arial" w:hAnsi="Arial" w:cs="Arial"/>
          <w:sz w:val="20"/>
        </w:rPr>
      </w:pPr>
    </w:p>
    <w:p w14:paraId="7C1FB6D5" w14:textId="77777777" w:rsidR="00A25BEE" w:rsidRDefault="00A25BEE" w:rsidP="00C57C45">
      <w:pPr>
        <w:jc w:val="both"/>
        <w:rPr>
          <w:rFonts w:ascii="Arial" w:hAnsi="Arial" w:cs="Arial"/>
          <w:sz w:val="20"/>
        </w:rPr>
      </w:pPr>
      <w:r>
        <w:rPr>
          <w:rFonts w:ascii="Arial" w:hAnsi="Arial" w:cs="Arial"/>
          <w:sz w:val="20"/>
        </w:rPr>
        <w:t>In its Final Report on Family Law and Child Protection (September 2002) the Family Law Council recommended at p.82:</w:t>
      </w:r>
      <w:r w:rsidR="00C57C45">
        <w:rPr>
          <w:rFonts w:ascii="Arial" w:hAnsi="Arial" w:cs="Arial"/>
          <w:sz w:val="20"/>
        </w:rPr>
        <w:t xml:space="preserve"> “</w:t>
      </w:r>
      <w:r>
        <w:rPr>
          <w:rFonts w:ascii="Arial" w:hAnsi="Arial" w:cs="Arial"/>
          <w:sz w:val="20"/>
        </w:rPr>
        <w:t>The FLA should be amended to allow Children's and Youth Courts to make consent orders regarding residence and contact in certain circumstances."</w:t>
      </w:r>
    </w:p>
    <w:p w14:paraId="67B5FE7D" w14:textId="77777777" w:rsidR="00A25BEE" w:rsidRDefault="00A25BEE" w:rsidP="00A25BEE">
      <w:pPr>
        <w:jc w:val="both"/>
        <w:rPr>
          <w:rFonts w:ascii="Arial" w:hAnsi="Arial" w:cs="Arial"/>
          <w:sz w:val="20"/>
        </w:rPr>
      </w:pPr>
    </w:p>
    <w:p w14:paraId="4BF0FE04" w14:textId="77777777" w:rsidR="00A25BEE" w:rsidRDefault="00A25BEE" w:rsidP="00A25BEE">
      <w:pPr>
        <w:jc w:val="both"/>
        <w:rPr>
          <w:rFonts w:ascii="Arial" w:hAnsi="Arial" w:cs="Arial"/>
          <w:sz w:val="20"/>
        </w:rPr>
      </w:pPr>
      <w:r>
        <w:rPr>
          <w:rFonts w:ascii="Arial" w:hAnsi="Arial" w:cs="Arial"/>
          <w:sz w:val="20"/>
        </w:rPr>
        <w:t xml:space="preserve">With respect, it is the writer's view that this recommendation does not go far enough.  If the legislation is to be amended, the writer sees no reason why any </w:t>
      </w:r>
      <w:smartTag w:uri="urn:schemas-microsoft-com:office:smarttags" w:element="State">
        <w:r>
          <w:rPr>
            <w:rFonts w:ascii="Arial" w:hAnsi="Arial" w:cs="Arial"/>
            <w:sz w:val="20"/>
          </w:rPr>
          <w:t>FLA</w:t>
        </w:r>
      </w:smartTag>
      <w:r>
        <w:rPr>
          <w:rFonts w:ascii="Arial" w:hAnsi="Arial" w:cs="Arial"/>
          <w:sz w:val="20"/>
        </w:rPr>
        <w:t xml:space="preserve"> jurisdiction </w:t>
      </w:r>
      <w:r w:rsidR="00974BF5" w:rsidRPr="00974BF5">
        <w:rPr>
          <w:rFonts w:ascii="Arial" w:hAnsi="Arial" w:cs="Arial"/>
          <w:sz w:val="20"/>
          <w:u w:val="single"/>
        </w:rPr>
        <w:t>unambiguously</w:t>
      </w:r>
      <w:r w:rsidR="00974BF5">
        <w:rPr>
          <w:rFonts w:ascii="Arial" w:hAnsi="Arial" w:cs="Arial"/>
          <w:sz w:val="20"/>
        </w:rPr>
        <w:t xml:space="preserve"> </w:t>
      </w:r>
      <w:r>
        <w:rPr>
          <w:rFonts w:ascii="Arial" w:hAnsi="Arial" w:cs="Arial"/>
          <w:sz w:val="20"/>
        </w:rPr>
        <w:t xml:space="preserve">invested in the Children's Court of Victoria should be any less than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jurisdiction currently invested in the Magistrates' Court of Victoria.  That is, it should not be restricted to parenting orders by consent </w:t>
      </w:r>
      <w:r w:rsidR="00974BF5">
        <w:rPr>
          <w:rFonts w:ascii="Arial" w:hAnsi="Arial" w:cs="Arial"/>
          <w:sz w:val="20"/>
        </w:rPr>
        <w:t xml:space="preserve">[s.69N(2)] </w:t>
      </w:r>
      <w:r>
        <w:rPr>
          <w:rFonts w:ascii="Arial" w:hAnsi="Arial" w:cs="Arial"/>
          <w:sz w:val="20"/>
        </w:rPr>
        <w:t>but should also include power to make inte</w:t>
      </w:r>
      <w:r w:rsidR="00974BF5">
        <w:rPr>
          <w:rFonts w:ascii="Arial" w:hAnsi="Arial" w:cs="Arial"/>
          <w:sz w:val="20"/>
        </w:rPr>
        <w:t>rim parenting orders [s.69N(4)] as well as power to revive, vary, discharge or suspend a parenting or other order in proceedings to make or vary a state family violence order [s.68R(1)].</w:t>
      </w:r>
    </w:p>
    <w:p w14:paraId="774DBBE9" w14:textId="77777777" w:rsidR="001B04CC" w:rsidRDefault="001B04CC" w:rsidP="006555D8">
      <w:pPr>
        <w:jc w:val="both"/>
        <w:rPr>
          <w:rFonts w:ascii="Arial" w:hAnsi="Arial" w:cs="Arial"/>
          <w:sz w:val="20"/>
        </w:rPr>
      </w:pPr>
    </w:p>
    <w:p w14:paraId="7C2EDF63" w14:textId="77777777" w:rsidR="00693223" w:rsidRDefault="00693223" w:rsidP="00823729">
      <w:pPr>
        <w:pStyle w:val="Heading2"/>
        <w:keepNext/>
        <w:keepLines/>
        <w:tabs>
          <w:tab w:val="left" w:pos="567"/>
        </w:tabs>
        <w:spacing w:line="240" w:lineRule="auto"/>
        <w:rPr>
          <w:rFonts w:ascii="Arial" w:hAnsi="Arial" w:cs="Arial"/>
          <w:b/>
          <w:bCs/>
        </w:rPr>
      </w:pPr>
      <w:bookmarkStart w:id="368" w:name="_Toc30644239"/>
      <w:bookmarkStart w:id="369" w:name="_Toc30644642"/>
      <w:bookmarkStart w:id="370" w:name="_Toc30645192"/>
      <w:bookmarkStart w:id="371" w:name="_Toc30646403"/>
      <w:bookmarkStart w:id="372" w:name="_Toc30646698"/>
      <w:bookmarkStart w:id="373" w:name="_Toc30646809"/>
      <w:bookmarkStart w:id="374" w:name="_Toc30648166"/>
      <w:bookmarkStart w:id="375" w:name="_Toc30649064"/>
      <w:bookmarkStart w:id="376" w:name="_Toc30649140"/>
      <w:bookmarkStart w:id="377" w:name="_Toc30649401"/>
      <w:bookmarkStart w:id="378" w:name="_Toc30649726"/>
      <w:bookmarkStart w:id="379" w:name="_Toc30651666"/>
      <w:bookmarkStart w:id="380" w:name="_Toc30652656"/>
      <w:bookmarkStart w:id="381" w:name="_Toc30652752"/>
      <w:bookmarkStart w:id="382" w:name="_Toc30654097"/>
      <w:bookmarkStart w:id="383" w:name="_Toc30654448"/>
      <w:bookmarkStart w:id="384" w:name="_Toc30655067"/>
      <w:bookmarkStart w:id="385" w:name="_Toc30655324"/>
      <w:bookmarkStart w:id="386" w:name="_Toc30657002"/>
      <w:bookmarkStart w:id="387" w:name="_Toc30661751"/>
      <w:bookmarkStart w:id="388" w:name="_Toc30666439"/>
      <w:bookmarkStart w:id="389" w:name="_Toc30666669"/>
      <w:bookmarkStart w:id="390" w:name="_Toc30667844"/>
      <w:bookmarkStart w:id="391" w:name="_Toc30669222"/>
      <w:bookmarkStart w:id="392" w:name="_Toc30671438"/>
      <w:bookmarkStart w:id="393" w:name="_Toc30673965"/>
      <w:bookmarkStart w:id="394" w:name="_Toc30691187"/>
      <w:bookmarkStart w:id="395" w:name="_Toc30691560"/>
      <w:bookmarkStart w:id="396" w:name="_Toc30691940"/>
      <w:bookmarkStart w:id="397" w:name="_Toc30692699"/>
      <w:bookmarkStart w:id="398" w:name="_Toc30693078"/>
      <w:bookmarkStart w:id="399" w:name="_Toc30693456"/>
      <w:bookmarkStart w:id="400" w:name="_Toc30693834"/>
      <w:bookmarkStart w:id="401" w:name="_Toc30694215"/>
      <w:bookmarkStart w:id="402" w:name="_Toc30698804"/>
      <w:bookmarkStart w:id="403" w:name="_Toc30699182"/>
      <w:bookmarkStart w:id="404" w:name="_Toc30699567"/>
      <w:bookmarkStart w:id="405" w:name="_Toc30700722"/>
      <w:bookmarkStart w:id="406" w:name="_Toc30701109"/>
      <w:bookmarkStart w:id="407" w:name="_Toc30743718"/>
      <w:bookmarkStart w:id="408" w:name="_Toc30754541"/>
      <w:bookmarkStart w:id="409" w:name="_Toc30756981"/>
      <w:bookmarkStart w:id="410" w:name="_Toc30757530"/>
      <w:bookmarkStart w:id="411" w:name="_Toc30757930"/>
      <w:bookmarkStart w:id="412" w:name="_Toc30762691"/>
      <w:bookmarkStart w:id="413" w:name="_Toc30767345"/>
      <w:bookmarkStart w:id="414" w:name="_Toc34823361"/>
      <w:bookmarkStart w:id="415" w:name="_Toc60399996"/>
      <w:bookmarkStart w:id="416" w:name="_4.4_Definitions_of"/>
      <w:bookmarkStart w:id="417" w:name="B44"/>
      <w:bookmarkEnd w:id="416"/>
      <w:bookmarkEnd w:id="417"/>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58"/>
      <w:bookmarkEnd w:id="359"/>
      <w:bookmarkEnd w:id="360"/>
      <w:bookmarkEnd w:id="361"/>
      <w:bookmarkEnd w:id="362"/>
      <w:bookmarkEnd w:id="363"/>
      <w:bookmarkEnd w:id="364"/>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005D57AF">
        <w:rPr>
          <w:rFonts w:ascii="Arial" w:hAnsi="Arial" w:cs="Arial"/>
          <w:b/>
          <w:bCs/>
        </w:rPr>
        <w:t xml:space="preserve"> &amp; ‘parent’</w:t>
      </w:r>
    </w:p>
    <w:p w14:paraId="2D3CE203" w14:textId="77777777" w:rsidR="00693223" w:rsidRDefault="00693223" w:rsidP="00823729">
      <w:pPr>
        <w:keepNext/>
        <w:keepLines/>
        <w:jc w:val="both"/>
        <w:rPr>
          <w:rFonts w:ascii="Arial" w:hAnsi="Arial" w:cs="Arial"/>
          <w:sz w:val="20"/>
        </w:rPr>
      </w:pPr>
    </w:p>
    <w:p w14:paraId="13B7491C" w14:textId="77777777" w:rsidR="000841DD" w:rsidRDefault="000841DD">
      <w:pPr>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797C7D9A" w14:textId="77777777" w:rsidR="000841DD" w:rsidRDefault="000841DD" w:rsidP="000841DD">
      <w:pPr>
        <w:numPr>
          <w:ilvl w:val="0"/>
          <w:numId w:val="69"/>
        </w:numPr>
        <w:ind w:left="357" w:hanging="357"/>
        <w:jc w:val="both"/>
        <w:rPr>
          <w:rFonts w:ascii="Arial" w:hAnsi="Arial" w:cs="Arial"/>
          <w:sz w:val="20"/>
        </w:rPr>
      </w:pPr>
      <w:r>
        <w:rPr>
          <w:rFonts w:ascii="Arial" w:hAnsi="Arial" w:cs="Arial"/>
          <w:sz w:val="20"/>
        </w:rPr>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37EB7342" w14:textId="77777777" w:rsidR="000841DD" w:rsidRDefault="000841DD" w:rsidP="000841DD">
      <w:pPr>
        <w:numPr>
          <w:ilvl w:val="0"/>
          <w:numId w:val="69"/>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5EB17D9F" w14:textId="77777777" w:rsidR="000841DD" w:rsidRDefault="000841DD" w:rsidP="000841DD">
      <w:pPr>
        <w:numPr>
          <w:ilvl w:val="0"/>
          <w:numId w:val="69"/>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5A2D2403" w14:textId="77777777" w:rsidR="000841DD" w:rsidRDefault="000841DD">
      <w:pPr>
        <w:jc w:val="both"/>
        <w:rPr>
          <w:rFonts w:ascii="Arial" w:hAnsi="Arial" w:cs="Arial"/>
          <w:sz w:val="20"/>
        </w:rPr>
      </w:pPr>
    </w:p>
    <w:p w14:paraId="10CB6C79" w14:textId="77777777" w:rsidR="000841DD" w:rsidRDefault="000841DD">
      <w:pPr>
        <w:jc w:val="both"/>
        <w:rPr>
          <w:rFonts w:ascii="Arial" w:hAnsi="Arial" w:cs="Arial"/>
          <w:sz w:val="20"/>
        </w:rPr>
      </w:pPr>
      <w:r>
        <w:rPr>
          <w:rFonts w:ascii="Arial" w:hAnsi="Arial" w:cs="Arial"/>
          <w:sz w:val="20"/>
        </w:rPr>
        <w:lastRenderedPageBreak/>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14:paraId="670D0837" w14:textId="77777777" w:rsidR="000841DD" w:rsidRDefault="000841DD">
      <w:pPr>
        <w:rPr>
          <w:rFonts w:ascii="Arial" w:hAnsi="Arial" w:cs="Arial"/>
          <w:sz w:val="20"/>
        </w:rPr>
      </w:pPr>
    </w:p>
    <w:p w14:paraId="7A0110E6"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15F24F7A"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0BDFC1FB"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222178AD"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791F4B0D"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408F397E" w14:textId="77777777" w:rsidR="00693223" w:rsidRDefault="00693223" w:rsidP="00242170">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519D75B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20B97FEA"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076D01B6" w14:textId="77777777" w:rsidR="00693223" w:rsidRDefault="00693223">
      <w:pPr>
        <w:rPr>
          <w:rFonts w:ascii="Arial" w:hAnsi="Arial" w:cs="Arial"/>
          <w:sz w:val="20"/>
        </w:rPr>
      </w:pPr>
    </w:p>
    <w:p w14:paraId="7BE76474"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77059EF6" w14:textId="77777777" w:rsidR="00693223" w:rsidRDefault="00693223">
      <w:pPr>
        <w:rPr>
          <w:rFonts w:ascii="Arial" w:hAnsi="Arial" w:cs="Arial"/>
          <w:sz w:val="20"/>
        </w:rPr>
      </w:pPr>
    </w:p>
    <w:p w14:paraId="2DB04811"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EC98206" w14:textId="77777777" w:rsidR="00C04B2D" w:rsidRDefault="00C04B2D">
      <w:pPr>
        <w:rPr>
          <w:rFonts w:ascii="Arial" w:hAnsi="Arial" w:cs="Arial"/>
          <w:sz w:val="20"/>
        </w:rPr>
      </w:pPr>
    </w:p>
    <w:p w14:paraId="738E15D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2CE7D383"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54AA014F" w14:textId="77777777" w:rsidR="00C04B2D" w:rsidRPr="00C14641" w:rsidRDefault="00C04B2D" w:rsidP="00C04B2D">
      <w:pPr>
        <w:jc w:val="both"/>
        <w:rPr>
          <w:rFonts w:ascii="Arial" w:hAnsi="Arial" w:cs="Arial"/>
          <w:color w:val="000000"/>
          <w:sz w:val="20"/>
        </w:rPr>
      </w:pPr>
    </w:p>
    <w:p w14:paraId="190120CC"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5B53F791" w14:textId="77777777" w:rsidR="00C04B2D" w:rsidRDefault="00C04B2D" w:rsidP="00C04B2D">
      <w:pPr>
        <w:numPr>
          <w:ilvl w:val="0"/>
          <w:numId w:val="70"/>
        </w:numPr>
        <w:ind w:left="357" w:hanging="357"/>
        <w:jc w:val="both"/>
        <w:rPr>
          <w:rFonts w:ascii="Arial" w:hAnsi="Arial" w:cs="Arial"/>
          <w:color w:val="000000"/>
          <w:sz w:val="20"/>
        </w:rPr>
      </w:pPr>
      <w:r>
        <w:rPr>
          <w:rFonts w:ascii="Arial" w:hAnsi="Arial" w:cs="Arial"/>
          <w:color w:val="000000"/>
          <w:sz w:val="20"/>
        </w:rPr>
        <w:lastRenderedPageBreak/>
        <w:t>G either fits within category (a) of the definition of ‘parent’ in s.3(1) of the CYFA; or</w:t>
      </w:r>
    </w:p>
    <w:p w14:paraId="3F4D5E20" w14:textId="77777777" w:rsidR="00C04B2D" w:rsidRDefault="00C04B2D" w:rsidP="00C04B2D">
      <w:pPr>
        <w:numPr>
          <w:ilvl w:val="0"/>
          <w:numId w:val="70"/>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1620D369"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045B1833"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35BC00B8" w14:textId="77777777" w:rsidR="00D5161E" w:rsidRDefault="00D5161E">
      <w:pPr>
        <w:rPr>
          <w:rFonts w:ascii="Arial" w:hAnsi="Arial" w:cs="Arial"/>
          <w:sz w:val="20"/>
        </w:rPr>
      </w:pPr>
    </w:p>
    <w:p w14:paraId="0874626C"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 sub-section 5.2.3.</w:t>
      </w:r>
    </w:p>
    <w:p w14:paraId="73F078F6" w14:textId="77777777" w:rsidR="00D5161E" w:rsidRDefault="00D5161E">
      <w:pPr>
        <w:rPr>
          <w:rFonts w:ascii="Arial" w:hAnsi="Arial" w:cs="Arial"/>
          <w:sz w:val="20"/>
        </w:rPr>
      </w:pPr>
    </w:p>
    <w:p w14:paraId="6B5D6A41" w14:textId="77777777" w:rsidR="00C04B2D" w:rsidRPr="00C04B2D" w:rsidRDefault="00C04B2D" w:rsidP="00C04B2D">
      <w:pPr>
        <w:jc w:val="center"/>
        <w:rPr>
          <w:rFonts w:ascii="Arial" w:hAnsi="Arial" w:cs="Arial"/>
          <w:b/>
          <w:bCs/>
          <w:sz w:val="20"/>
        </w:rPr>
      </w:pPr>
      <w:r w:rsidRPr="00C04B2D">
        <w:rPr>
          <w:rFonts w:ascii="Arial" w:hAnsi="Arial" w:cs="Arial"/>
          <w:b/>
          <w:bCs/>
          <w:sz w:val="20"/>
        </w:rPr>
        <w:t>THE REST OF THIS PAGE IS BLANK</w:t>
      </w:r>
    </w:p>
    <w:p w14:paraId="79C2273C" w14:textId="77777777" w:rsidR="00693223" w:rsidRPr="008E0B61" w:rsidRDefault="00A24F8C">
      <w:pPr>
        <w:pStyle w:val="Heading2"/>
        <w:tabs>
          <w:tab w:val="left" w:pos="567"/>
        </w:tabs>
        <w:spacing w:line="240" w:lineRule="auto"/>
        <w:rPr>
          <w:rFonts w:ascii="Arial" w:hAnsi="Arial" w:cs="Arial"/>
          <w:b/>
          <w:bCs/>
          <w:color w:val="000000"/>
        </w:rPr>
      </w:pPr>
      <w:bookmarkStart w:id="418" w:name="_Toc30607529"/>
      <w:bookmarkStart w:id="419" w:name="_Toc30607658"/>
      <w:bookmarkStart w:id="420" w:name="_Toc30607983"/>
      <w:bookmarkStart w:id="421" w:name="_Toc30608816"/>
      <w:bookmarkStart w:id="422" w:name="_Toc30610030"/>
      <w:bookmarkStart w:id="423" w:name="_Toc30610274"/>
      <w:bookmarkStart w:id="424" w:name="_Toc30638428"/>
      <w:bookmarkStart w:id="425" w:name="_Toc30644241"/>
      <w:bookmarkStart w:id="426" w:name="_Toc30644644"/>
      <w:bookmarkStart w:id="427" w:name="_Toc30645194"/>
      <w:bookmarkStart w:id="428" w:name="_Toc30646405"/>
      <w:bookmarkStart w:id="429" w:name="_Toc30646700"/>
      <w:bookmarkStart w:id="430" w:name="_Toc30646811"/>
      <w:bookmarkStart w:id="431" w:name="_Toc30648168"/>
      <w:bookmarkStart w:id="432" w:name="_Toc30649066"/>
      <w:bookmarkStart w:id="433" w:name="_Toc30649142"/>
      <w:bookmarkStart w:id="434" w:name="_Toc30649403"/>
      <w:bookmarkStart w:id="435" w:name="_Toc30649728"/>
      <w:bookmarkStart w:id="436" w:name="_Toc30651668"/>
      <w:bookmarkStart w:id="437" w:name="_Toc30652658"/>
      <w:bookmarkStart w:id="438" w:name="_Toc30652754"/>
      <w:bookmarkStart w:id="439" w:name="_Toc30654099"/>
      <w:bookmarkStart w:id="440" w:name="_Toc30654450"/>
      <w:bookmarkStart w:id="441" w:name="_Toc30655069"/>
      <w:bookmarkStart w:id="442" w:name="_Toc30655326"/>
      <w:bookmarkStart w:id="443" w:name="_Toc30657004"/>
      <w:bookmarkStart w:id="444" w:name="_Toc30661753"/>
      <w:bookmarkStart w:id="445" w:name="_Toc30666441"/>
      <w:bookmarkStart w:id="446" w:name="_Toc30666671"/>
      <w:bookmarkStart w:id="447" w:name="_Toc30667846"/>
      <w:bookmarkStart w:id="448" w:name="_Toc30669224"/>
      <w:bookmarkStart w:id="449" w:name="_Toc30671440"/>
      <w:bookmarkStart w:id="450" w:name="_Toc30673967"/>
      <w:bookmarkStart w:id="451" w:name="_Toc30691189"/>
      <w:bookmarkStart w:id="452" w:name="_Toc30691562"/>
      <w:bookmarkStart w:id="453" w:name="_Toc30691942"/>
      <w:bookmarkStart w:id="454" w:name="_Toc30692701"/>
      <w:bookmarkStart w:id="455" w:name="_Toc30693080"/>
      <w:bookmarkStart w:id="456" w:name="_Toc30693458"/>
      <w:bookmarkStart w:id="457" w:name="_Toc30693836"/>
      <w:bookmarkStart w:id="458" w:name="_Toc30694217"/>
      <w:bookmarkStart w:id="459" w:name="_Toc30698806"/>
      <w:bookmarkStart w:id="460" w:name="_Toc30699184"/>
      <w:bookmarkStart w:id="461" w:name="_Toc30699569"/>
      <w:bookmarkStart w:id="462" w:name="_Toc30700724"/>
      <w:bookmarkStart w:id="463" w:name="_Toc30701111"/>
      <w:bookmarkStart w:id="464" w:name="_Toc30743720"/>
      <w:bookmarkStart w:id="465" w:name="_Toc30754543"/>
      <w:bookmarkStart w:id="466" w:name="_Toc30756983"/>
      <w:bookmarkStart w:id="467" w:name="_Toc30757532"/>
      <w:bookmarkStart w:id="468" w:name="_Toc30757932"/>
      <w:bookmarkStart w:id="469" w:name="_Toc30762693"/>
      <w:bookmarkStart w:id="470" w:name="_Toc30767347"/>
      <w:bookmarkStart w:id="471" w:name="_Toc34823363"/>
      <w:bookmarkStart w:id="472" w:name="_4.5_Parental_responsibility"/>
      <w:bookmarkEnd w:id="472"/>
      <w:r>
        <w:rPr>
          <w:rFonts w:ascii="Arial" w:hAnsi="Arial" w:cs="Arial"/>
          <w:b/>
          <w:bCs/>
          <w:color w:val="000000"/>
        </w:rPr>
        <w:br w:type="page"/>
      </w:r>
      <w:bookmarkStart w:id="473" w:name="B45"/>
      <w:bookmarkEnd w:id="473"/>
      <w:r w:rsidR="00693223" w:rsidRPr="008E0B61">
        <w:rPr>
          <w:rFonts w:ascii="Arial" w:hAnsi="Arial" w:cs="Arial"/>
          <w:b/>
          <w:bCs/>
          <w:color w:val="000000"/>
        </w:rPr>
        <w:lastRenderedPageBreak/>
        <w:t>4.5</w:t>
      </w:r>
      <w:r w:rsidR="00693223" w:rsidRPr="008E0B61">
        <w:rPr>
          <w:rFonts w:ascii="Arial" w:hAnsi="Arial" w:cs="Arial"/>
          <w:b/>
          <w:bCs/>
          <w:color w:val="000000"/>
        </w:rPr>
        <w:tab/>
      </w:r>
      <w:r w:rsidR="00F4004D">
        <w:rPr>
          <w:rFonts w:ascii="Arial" w:hAnsi="Arial" w:cs="Arial"/>
          <w:b/>
          <w:bCs/>
          <w:color w:val="000000"/>
        </w:rPr>
        <w:t xml:space="preserve">Parental responsibility </w:t>
      </w:r>
      <w:r w:rsidR="00693223" w:rsidRPr="008E0B61">
        <w:rPr>
          <w:rFonts w:ascii="Arial" w:hAnsi="Arial" w:cs="Arial"/>
          <w:b/>
          <w:bCs/>
          <w:color w:val="000000"/>
        </w:rPr>
        <w:t xml:space="preserve">&amp; </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00CF6AAD" w:rsidRPr="008E0B61">
        <w:rPr>
          <w:rFonts w:ascii="Arial" w:hAnsi="Arial" w:cs="Arial"/>
          <w:b/>
          <w:bCs/>
          <w:color w:val="000000"/>
        </w:rPr>
        <w:t>contact</w:t>
      </w:r>
    </w:p>
    <w:p w14:paraId="28683118" w14:textId="77777777" w:rsidR="00693223" w:rsidRPr="008E0B61" w:rsidRDefault="00693223">
      <w:pPr>
        <w:rPr>
          <w:rFonts w:ascii="Arial" w:hAnsi="Arial" w:cs="Arial"/>
          <w:color w:val="000000"/>
          <w:sz w:val="20"/>
        </w:rPr>
      </w:pPr>
    </w:p>
    <w:p w14:paraId="403028C8"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129949F0" w14:textId="77777777" w:rsidR="00F47C45" w:rsidRDefault="00F47C45">
      <w:pPr>
        <w:jc w:val="both"/>
        <w:rPr>
          <w:rFonts w:ascii="Arial" w:hAnsi="Arial" w:cs="Arial"/>
          <w:color w:val="000000"/>
          <w:sz w:val="20"/>
        </w:rPr>
      </w:pPr>
    </w:p>
    <w:p w14:paraId="1DB64864" w14:textId="77777777" w:rsidR="00693223" w:rsidRDefault="00693223">
      <w:pPr>
        <w:pStyle w:val="Heading3"/>
        <w:spacing w:line="240" w:lineRule="auto"/>
        <w:rPr>
          <w:rFonts w:ascii="Arial" w:hAnsi="Arial" w:cs="Arial"/>
          <w:b/>
          <w:bCs/>
          <w:sz w:val="20"/>
        </w:rPr>
      </w:pPr>
      <w:bookmarkStart w:id="474" w:name="_Toc30644645"/>
      <w:bookmarkStart w:id="475" w:name="_Toc30645195"/>
      <w:bookmarkStart w:id="476" w:name="_Toc30646406"/>
      <w:bookmarkStart w:id="477" w:name="_Toc30646701"/>
      <w:bookmarkStart w:id="478" w:name="_Toc30646812"/>
      <w:bookmarkStart w:id="479" w:name="_Toc30648169"/>
      <w:bookmarkStart w:id="480" w:name="_Toc30649067"/>
      <w:bookmarkStart w:id="481" w:name="_Toc30649143"/>
      <w:bookmarkStart w:id="482" w:name="_Toc30649404"/>
      <w:bookmarkStart w:id="483" w:name="_Toc30649729"/>
      <w:bookmarkStart w:id="484" w:name="_Toc30651669"/>
      <w:bookmarkStart w:id="485" w:name="_Toc30652659"/>
      <w:bookmarkStart w:id="486" w:name="_Toc30652755"/>
      <w:bookmarkStart w:id="487" w:name="_Toc30654100"/>
      <w:bookmarkStart w:id="488" w:name="_Toc30654451"/>
      <w:bookmarkStart w:id="489" w:name="_Toc30655070"/>
      <w:bookmarkStart w:id="490" w:name="_Toc30655327"/>
      <w:bookmarkStart w:id="491" w:name="_Toc30657005"/>
      <w:bookmarkStart w:id="492" w:name="_Toc30661754"/>
      <w:bookmarkStart w:id="493" w:name="_Toc30666442"/>
      <w:bookmarkStart w:id="494" w:name="_Toc30666672"/>
      <w:bookmarkStart w:id="495" w:name="_Toc30667847"/>
      <w:bookmarkStart w:id="496" w:name="_Toc30669225"/>
      <w:bookmarkStart w:id="497" w:name="_Toc30671441"/>
      <w:bookmarkStart w:id="498" w:name="_Toc30673968"/>
      <w:bookmarkStart w:id="499" w:name="_Toc30691190"/>
      <w:bookmarkStart w:id="500" w:name="_Toc30691563"/>
      <w:bookmarkStart w:id="501" w:name="_Toc30691943"/>
      <w:bookmarkStart w:id="502" w:name="_Toc30692702"/>
      <w:bookmarkStart w:id="503" w:name="_Toc30693081"/>
      <w:bookmarkStart w:id="504" w:name="_Toc30693459"/>
      <w:bookmarkStart w:id="505" w:name="_Toc30693837"/>
      <w:bookmarkStart w:id="506" w:name="_Toc30694218"/>
      <w:bookmarkStart w:id="507" w:name="_Toc30698807"/>
      <w:bookmarkStart w:id="508" w:name="_Toc30699185"/>
      <w:bookmarkStart w:id="509" w:name="_Toc30699570"/>
      <w:bookmarkStart w:id="510" w:name="_Toc30700725"/>
      <w:bookmarkStart w:id="511" w:name="_Toc30701112"/>
      <w:bookmarkStart w:id="512" w:name="_Toc30743721"/>
      <w:bookmarkStart w:id="513" w:name="_Toc30754544"/>
      <w:bookmarkStart w:id="514" w:name="_Toc30756984"/>
      <w:bookmarkStart w:id="515" w:name="_Toc30757533"/>
      <w:bookmarkStart w:id="516" w:name="_Toc30757933"/>
      <w:bookmarkStart w:id="517" w:name="_Toc30762694"/>
      <w:bookmarkStart w:id="518" w:name="_Toc30767348"/>
      <w:bookmarkStart w:id="519" w:name="_Toc34823364"/>
      <w:bookmarkStart w:id="520" w:name="_4.5.1_Parental_responsibility"/>
      <w:bookmarkStart w:id="521" w:name="B451"/>
      <w:bookmarkEnd w:id="520"/>
      <w:bookmarkEnd w:id="521"/>
      <w:r>
        <w:rPr>
          <w:rFonts w:ascii="Arial" w:hAnsi="Arial" w:cs="Arial"/>
          <w:b/>
          <w:bCs/>
          <w:sz w:val="20"/>
        </w:rPr>
        <w:t>4.5.1</w:t>
      </w:r>
      <w:r>
        <w:rPr>
          <w:rFonts w:ascii="Arial" w:hAnsi="Arial" w:cs="Arial"/>
          <w:b/>
          <w:bCs/>
          <w:sz w:val="20"/>
        </w:rPr>
        <w:tab/>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00F47C45">
        <w:rPr>
          <w:rFonts w:ascii="Arial" w:hAnsi="Arial" w:cs="Arial"/>
          <w:b/>
          <w:bCs/>
          <w:sz w:val="20"/>
        </w:rPr>
        <w:t>Parental responsibility</w:t>
      </w:r>
      <w:r w:rsidR="00BF320F">
        <w:rPr>
          <w:rFonts w:ascii="Arial" w:hAnsi="Arial" w:cs="Arial"/>
          <w:b/>
          <w:bCs/>
          <w:sz w:val="20"/>
        </w:rPr>
        <w:t xml:space="preserve"> – Major long-term issue</w:t>
      </w:r>
    </w:p>
    <w:p w14:paraId="7503F3C0" w14:textId="77777777" w:rsidR="00693223" w:rsidRDefault="00693223">
      <w:pPr>
        <w:jc w:val="both"/>
        <w:rPr>
          <w:rFonts w:ascii="Arial" w:hAnsi="Arial" w:cs="Arial"/>
          <w:sz w:val="20"/>
        </w:rPr>
      </w:pPr>
    </w:p>
    <w:p w14:paraId="33AAFB45"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41765CE9" w14:textId="77777777" w:rsidR="006909C2" w:rsidRDefault="006909C2" w:rsidP="006909C2">
      <w:pPr>
        <w:keepNext/>
        <w:jc w:val="both"/>
        <w:rPr>
          <w:rFonts w:ascii="Arial" w:hAnsi="Arial" w:cs="Arial"/>
          <w:sz w:val="20"/>
        </w:rPr>
      </w:pPr>
    </w:p>
    <w:p w14:paraId="74D71E20"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BAB9666" w14:textId="77777777" w:rsidR="006909C2" w:rsidRPr="006909C2" w:rsidRDefault="006909C2" w:rsidP="000C54CD">
      <w:pPr>
        <w:numPr>
          <w:ilvl w:val="0"/>
          <w:numId w:val="59"/>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00B5D31A" w14:textId="77777777" w:rsidR="006909C2" w:rsidRPr="006909C2" w:rsidRDefault="006909C2" w:rsidP="000C54CD">
      <w:pPr>
        <w:numPr>
          <w:ilvl w:val="0"/>
          <w:numId w:val="59"/>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5A702C4A" w14:textId="77777777" w:rsidR="006909C2" w:rsidRPr="006909C2" w:rsidRDefault="006909C2" w:rsidP="000C54CD">
      <w:pPr>
        <w:numPr>
          <w:ilvl w:val="0"/>
          <w:numId w:val="59"/>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1C5FF44B" w14:textId="77777777" w:rsidR="006909C2" w:rsidRPr="006909C2" w:rsidRDefault="006909C2" w:rsidP="000C54CD">
      <w:pPr>
        <w:numPr>
          <w:ilvl w:val="0"/>
          <w:numId w:val="59"/>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282BA548"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D70924D" w14:textId="77777777" w:rsidR="006909C2" w:rsidRDefault="006909C2" w:rsidP="006909C2">
      <w:pPr>
        <w:jc w:val="both"/>
        <w:rPr>
          <w:rFonts w:ascii="Arial" w:hAnsi="Arial" w:cs="Arial"/>
          <w:color w:val="000000"/>
          <w:sz w:val="20"/>
        </w:rPr>
      </w:pPr>
    </w:p>
    <w:p w14:paraId="52A950F7" w14:textId="77777777" w:rsidR="006909C2" w:rsidRDefault="006909C2" w:rsidP="006909C2">
      <w:pPr>
        <w:pStyle w:val="Heading3"/>
        <w:keepNext/>
        <w:spacing w:line="240" w:lineRule="auto"/>
        <w:rPr>
          <w:rFonts w:ascii="Arial" w:hAnsi="Arial" w:cs="Arial"/>
          <w:b/>
          <w:bCs/>
          <w:sz w:val="20"/>
        </w:rPr>
      </w:pPr>
      <w:bookmarkStart w:id="522" w:name="_4.5.2_Where_carer"/>
      <w:bookmarkStart w:id="523" w:name="B452"/>
      <w:bookmarkEnd w:id="522"/>
      <w:bookmarkEnd w:id="523"/>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493E806" w14:textId="77777777" w:rsidR="006909C2" w:rsidRDefault="006909C2" w:rsidP="006909C2">
      <w:pPr>
        <w:keepNext/>
        <w:jc w:val="both"/>
        <w:rPr>
          <w:rFonts w:ascii="Arial" w:hAnsi="Arial" w:cs="Arial"/>
          <w:sz w:val="20"/>
        </w:rPr>
      </w:pPr>
    </w:p>
    <w:p w14:paraId="79391547" w14:textId="77777777" w:rsidR="00BF320F" w:rsidRPr="00BF320F" w:rsidRDefault="00BF320F" w:rsidP="00BF320F">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1DF2429A" w14:textId="77777777" w:rsidR="00BF320F" w:rsidRDefault="00BF320F" w:rsidP="00BF320F">
      <w:pPr>
        <w:keepNext/>
        <w:numPr>
          <w:ilvl w:val="0"/>
          <w:numId w:val="1"/>
        </w:numPr>
        <w:tabs>
          <w:tab w:val="num" w:leader="none" w:pos="363"/>
          <w:tab w:val="num" w:pos="723"/>
        </w:tabs>
        <w:jc w:val="both"/>
        <w:rPr>
          <w:rFonts w:ascii="Arial" w:hAnsi="Arial" w:cs="Arial"/>
          <w:sz w:val="20"/>
        </w:rPr>
      </w:pPr>
      <w:r w:rsidRPr="00BF320F">
        <w:rPr>
          <w:rFonts w:ascii="Arial" w:hAnsi="Arial" w:cs="Arial"/>
          <w:color w:val="000000"/>
          <w:sz w:val="20"/>
        </w:rPr>
        <w:t>the signing of school consent forms;</w:t>
      </w:r>
    </w:p>
    <w:p w14:paraId="71F1C085" w14:textId="77777777" w:rsidR="00BF320F" w:rsidRDefault="00BF320F" w:rsidP="00BF320F">
      <w:pPr>
        <w:keepNext/>
        <w:numPr>
          <w:ilvl w:val="0"/>
          <w:numId w:val="1"/>
        </w:numPr>
        <w:tabs>
          <w:tab w:val="num" w:leader="none" w:pos="363"/>
          <w:tab w:val="num" w:pos="723"/>
        </w:tabs>
        <w:jc w:val="both"/>
        <w:rPr>
          <w:rFonts w:ascii="Arial" w:hAnsi="Arial" w:cs="Arial"/>
          <w:sz w:val="20"/>
        </w:rPr>
      </w:pPr>
      <w:r w:rsidRPr="00BF320F">
        <w:rPr>
          <w:rFonts w:ascii="Arial" w:hAnsi="Arial" w:cs="Arial"/>
          <w:color w:val="000000"/>
          <w:sz w:val="20"/>
        </w:rPr>
        <w:t>obtaining routine medical care for the child;</w:t>
      </w:r>
    </w:p>
    <w:p w14:paraId="62739F75" w14:textId="77777777" w:rsidR="00BF320F" w:rsidRDefault="00BF320F" w:rsidP="00BF320F">
      <w:pPr>
        <w:keepNext/>
        <w:numPr>
          <w:ilvl w:val="0"/>
          <w:numId w:val="1"/>
        </w:numPr>
        <w:tabs>
          <w:tab w:val="num" w:leader="none" w:pos="363"/>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8B93023"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43786005" w14:textId="77777777" w:rsidR="006909C2" w:rsidRDefault="006909C2">
      <w:pPr>
        <w:jc w:val="both"/>
        <w:rPr>
          <w:rFonts w:ascii="Arial" w:hAnsi="Arial" w:cs="Arial"/>
          <w:color w:val="000000"/>
          <w:sz w:val="20"/>
        </w:rPr>
      </w:pPr>
    </w:p>
    <w:p w14:paraId="7C086738"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696CD384" w14:textId="77777777" w:rsidR="00646C1A" w:rsidRDefault="00646C1A" w:rsidP="000C54CD">
      <w:pPr>
        <w:numPr>
          <w:ilvl w:val="0"/>
          <w:numId w:val="60"/>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0EFB58AE" w14:textId="77777777" w:rsidR="00646C1A" w:rsidRDefault="00646C1A" w:rsidP="000C54CD">
      <w:pPr>
        <w:numPr>
          <w:ilvl w:val="0"/>
          <w:numId w:val="60"/>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5B85CA00"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36A34415" w14:textId="77777777" w:rsidR="00BF320F" w:rsidRDefault="00BF320F">
      <w:pPr>
        <w:jc w:val="both"/>
        <w:rPr>
          <w:rFonts w:ascii="Arial" w:hAnsi="Arial" w:cs="Arial"/>
          <w:color w:val="000000"/>
          <w:sz w:val="20"/>
        </w:rPr>
      </w:pPr>
    </w:p>
    <w:p w14:paraId="3077AA8E" w14:textId="77777777" w:rsidR="00693223" w:rsidRPr="008E0B61" w:rsidRDefault="00693223">
      <w:pPr>
        <w:pStyle w:val="Heading3"/>
        <w:spacing w:line="240" w:lineRule="auto"/>
        <w:rPr>
          <w:rFonts w:ascii="Arial" w:hAnsi="Arial" w:cs="Arial"/>
          <w:b/>
          <w:bCs/>
          <w:color w:val="000000"/>
          <w:sz w:val="20"/>
        </w:rPr>
      </w:pPr>
      <w:bookmarkStart w:id="524" w:name="_Toc30644647"/>
      <w:bookmarkStart w:id="525" w:name="_Toc30645197"/>
      <w:bookmarkStart w:id="526" w:name="_Toc30646408"/>
      <w:bookmarkStart w:id="527" w:name="_Toc30646703"/>
      <w:bookmarkStart w:id="528" w:name="_Toc30646814"/>
      <w:bookmarkStart w:id="529" w:name="_Toc30648171"/>
      <w:bookmarkStart w:id="530" w:name="_Toc30649069"/>
      <w:bookmarkStart w:id="531" w:name="_Toc30649145"/>
      <w:bookmarkStart w:id="532" w:name="_Toc30649406"/>
      <w:bookmarkStart w:id="533" w:name="_Toc30649731"/>
      <w:bookmarkStart w:id="534" w:name="_Toc30651671"/>
      <w:bookmarkStart w:id="535" w:name="_Toc30652661"/>
      <w:bookmarkStart w:id="536" w:name="_Toc30652757"/>
      <w:bookmarkStart w:id="537" w:name="_Toc30654102"/>
      <w:bookmarkStart w:id="538" w:name="_Toc30654453"/>
      <w:bookmarkStart w:id="539" w:name="_Toc30655072"/>
      <w:bookmarkStart w:id="540" w:name="_Toc30655329"/>
      <w:bookmarkStart w:id="541" w:name="_Toc30657007"/>
      <w:bookmarkStart w:id="542" w:name="_Toc30661756"/>
      <w:bookmarkStart w:id="543" w:name="_Toc30666444"/>
      <w:bookmarkStart w:id="544" w:name="_Toc30666674"/>
      <w:bookmarkStart w:id="545" w:name="_Toc30667849"/>
      <w:bookmarkStart w:id="546" w:name="_Toc30669227"/>
      <w:bookmarkStart w:id="547" w:name="_Toc30671443"/>
      <w:bookmarkStart w:id="548" w:name="_Toc30673970"/>
      <w:bookmarkStart w:id="549" w:name="_Toc30691192"/>
      <w:bookmarkStart w:id="550" w:name="_Toc30691565"/>
      <w:bookmarkStart w:id="551" w:name="_Toc30691945"/>
      <w:bookmarkStart w:id="552" w:name="_Toc30692704"/>
      <w:bookmarkStart w:id="553" w:name="_Toc30693083"/>
      <w:bookmarkStart w:id="554" w:name="_Toc30693461"/>
      <w:bookmarkStart w:id="555" w:name="_Toc30693839"/>
      <w:bookmarkStart w:id="556" w:name="_Toc30694220"/>
      <w:bookmarkStart w:id="557" w:name="_Toc30698809"/>
      <w:bookmarkStart w:id="558" w:name="_Toc30699187"/>
      <w:bookmarkStart w:id="559" w:name="_Toc30699572"/>
      <w:bookmarkStart w:id="560" w:name="_Toc30700727"/>
      <w:bookmarkStart w:id="561" w:name="_Toc30701114"/>
      <w:bookmarkStart w:id="562" w:name="_Toc30743723"/>
      <w:bookmarkStart w:id="563" w:name="_Toc30754546"/>
      <w:bookmarkStart w:id="564" w:name="_Toc30756986"/>
      <w:bookmarkStart w:id="565" w:name="_Toc30757535"/>
      <w:bookmarkStart w:id="566" w:name="_Toc30757935"/>
      <w:bookmarkStart w:id="567" w:name="_Toc30762696"/>
      <w:bookmarkStart w:id="568" w:name="_Toc30767350"/>
      <w:bookmarkStart w:id="569" w:name="_Toc34823366"/>
      <w:bookmarkStart w:id="570" w:name="_4.5.3_Contact"/>
      <w:bookmarkStart w:id="571" w:name="B453"/>
      <w:bookmarkEnd w:id="570"/>
      <w:bookmarkEnd w:id="571"/>
      <w:r w:rsidRPr="008E0B61">
        <w:rPr>
          <w:rFonts w:ascii="Arial" w:hAnsi="Arial" w:cs="Arial"/>
          <w:b/>
          <w:bCs/>
          <w:color w:val="000000"/>
          <w:sz w:val="20"/>
        </w:rPr>
        <w:t>4.5.3</w:t>
      </w:r>
      <w:r w:rsidRPr="008E0B61">
        <w:rPr>
          <w:rFonts w:ascii="Arial" w:hAnsi="Arial" w:cs="Arial"/>
          <w:b/>
          <w:bCs/>
          <w:color w:val="000000"/>
          <w:sz w:val="20"/>
        </w:rPr>
        <w:tab/>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00502296" w:rsidRPr="008E0B61">
        <w:rPr>
          <w:rFonts w:ascii="Arial" w:hAnsi="Arial" w:cs="Arial"/>
          <w:b/>
          <w:bCs/>
          <w:color w:val="000000"/>
          <w:sz w:val="20"/>
        </w:rPr>
        <w:t>Contact</w:t>
      </w:r>
    </w:p>
    <w:p w14:paraId="79D6C3A7" w14:textId="77777777" w:rsidR="00693223" w:rsidRPr="008E0B61" w:rsidRDefault="00693223">
      <w:pPr>
        <w:jc w:val="both"/>
        <w:rPr>
          <w:rFonts w:ascii="Arial" w:hAnsi="Arial" w:cs="Arial"/>
          <w:b/>
          <w:bCs/>
          <w:color w:val="000000"/>
          <w:sz w:val="20"/>
        </w:rPr>
      </w:pPr>
    </w:p>
    <w:p w14:paraId="3F1CD51B"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502834F7"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3184BE80"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4C8CF503"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56A05CFD" w14:textId="77777777" w:rsidR="00693223" w:rsidRPr="008E0B61" w:rsidRDefault="00693223">
      <w:pPr>
        <w:jc w:val="both"/>
        <w:rPr>
          <w:rFonts w:ascii="Arial" w:hAnsi="Arial" w:cs="Arial"/>
          <w:color w:val="000000"/>
          <w:sz w:val="18"/>
        </w:rPr>
      </w:pPr>
    </w:p>
    <w:p w14:paraId="611C3B23" w14:textId="77777777" w:rsidR="002F3870" w:rsidRPr="008E0B61" w:rsidRDefault="003B47AB">
      <w:pPr>
        <w:jc w:val="both"/>
        <w:rPr>
          <w:rFonts w:ascii="Arial" w:hAnsi="Arial" w:cs="Arial"/>
          <w:color w:val="000000"/>
          <w:sz w:val="20"/>
        </w:rPr>
      </w:pPr>
      <w:r>
        <w:rPr>
          <w:rFonts w:ascii="Arial" w:hAnsi="Arial" w:cs="Arial"/>
          <w:color w:val="000000"/>
          <w:sz w:val="20"/>
        </w:rPr>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31596C4" w14:textId="77777777" w:rsidR="002F3870" w:rsidRDefault="002F3870">
      <w:pPr>
        <w:jc w:val="both"/>
        <w:rPr>
          <w:rFonts w:ascii="Arial" w:hAnsi="Arial" w:cs="Arial"/>
          <w:sz w:val="18"/>
        </w:rPr>
      </w:pPr>
    </w:p>
    <w:p w14:paraId="3E45AA01" w14:textId="77777777" w:rsidR="00693223" w:rsidRDefault="00693223" w:rsidP="00787E9B">
      <w:pPr>
        <w:pStyle w:val="Heading3"/>
        <w:keepNext/>
        <w:keepLines/>
        <w:spacing w:line="240" w:lineRule="auto"/>
        <w:rPr>
          <w:rFonts w:ascii="Arial" w:hAnsi="Arial" w:cs="Arial"/>
          <w:b/>
          <w:bCs/>
          <w:sz w:val="20"/>
        </w:rPr>
      </w:pPr>
      <w:bookmarkStart w:id="572" w:name="_Toc30644648"/>
      <w:bookmarkStart w:id="573" w:name="_Toc30645198"/>
      <w:bookmarkStart w:id="574" w:name="_Toc30646409"/>
      <w:bookmarkStart w:id="575" w:name="_Toc30646704"/>
      <w:bookmarkStart w:id="576" w:name="_Toc30646815"/>
      <w:bookmarkStart w:id="577" w:name="_Toc30648172"/>
      <w:bookmarkStart w:id="578" w:name="_Toc30649070"/>
      <w:bookmarkStart w:id="579" w:name="_Toc30649146"/>
      <w:bookmarkStart w:id="580" w:name="_Toc30649407"/>
      <w:bookmarkStart w:id="581" w:name="_Toc30649732"/>
      <w:bookmarkStart w:id="582" w:name="_Toc30651672"/>
      <w:bookmarkStart w:id="583" w:name="_Toc30652662"/>
      <w:bookmarkStart w:id="584" w:name="_Toc30652758"/>
      <w:bookmarkStart w:id="585" w:name="_Toc30654103"/>
      <w:bookmarkStart w:id="586" w:name="_Toc30654454"/>
      <w:bookmarkStart w:id="587" w:name="_Toc30655073"/>
      <w:bookmarkStart w:id="588" w:name="_Toc30655330"/>
      <w:bookmarkStart w:id="589" w:name="_Toc30657008"/>
      <w:bookmarkStart w:id="590" w:name="_Toc30661757"/>
      <w:bookmarkStart w:id="591" w:name="_Toc30666445"/>
      <w:bookmarkStart w:id="592" w:name="_Toc30666675"/>
      <w:bookmarkStart w:id="593" w:name="_Toc30667850"/>
      <w:bookmarkStart w:id="594" w:name="_Toc30669228"/>
      <w:bookmarkStart w:id="595" w:name="_Toc30671444"/>
      <w:bookmarkStart w:id="596" w:name="_Toc30673971"/>
      <w:bookmarkStart w:id="597" w:name="_Toc30691193"/>
      <w:bookmarkStart w:id="598" w:name="_Toc30691566"/>
      <w:bookmarkStart w:id="599" w:name="_Toc30691946"/>
      <w:bookmarkStart w:id="600" w:name="_Toc30692705"/>
      <w:bookmarkStart w:id="601" w:name="_Toc30693084"/>
      <w:bookmarkStart w:id="602" w:name="_Toc30693462"/>
      <w:bookmarkStart w:id="603" w:name="_Toc30693840"/>
      <w:bookmarkStart w:id="604" w:name="_Toc30694221"/>
      <w:bookmarkStart w:id="605" w:name="_Toc30698810"/>
      <w:bookmarkStart w:id="606" w:name="_Toc30699188"/>
      <w:bookmarkStart w:id="607" w:name="_Toc30699573"/>
      <w:bookmarkStart w:id="608" w:name="_Toc30700728"/>
      <w:bookmarkStart w:id="609" w:name="_Toc30701115"/>
      <w:bookmarkStart w:id="610" w:name="_Toc30743724"/>
      <w:bookmarkStart w:id="611" w:name="_Toc30754547"/>
      <w:bookmarkStart w:id="612" w:name="_Toc30756987"/>
      <w:bookmarkStart w:id="613" w:name="_Toc30757536"/>
      <w:bookmarkStart w:id="614" w:name="_Toc30757936"/>
      <w:bookmarkStart w:id="615" w:name="_Toc30762697"/>
      <w:bookmarkStart w:id="616" w:name="_Toc30767351"/>
      <w:bookmarkStart w:id="617" w:name="_Toc34823367"/>
      <w:bookmarkStart w:id="618" w:name="_4.5.4_Terms_used"/>
      <w:bookmarkStart w:id="619" w:name="B454"/>
      <w:bookmarkEnd w:id="618"/>
      <w:bookmarkEnd w:id="619"/>
      <w:r>
        <w:rPr>
          <w:rFonts w:ascii="Arial" w:hAnsi="Arial" w:cs="Arial"/>
          <w:b/>
          <w:bCs/>
          <w:sz w:val="20"/>
        </w:rPr>
        <w:lastRenderedPageBreak/>
        <w:t>4.5.4</w:t>
      </w:r>
      <w:r>
        <w:rPr>
          <w:rFonts w:ascii="Arial" w:hAnsi="Arial" w:cs="Arial"/>
          <w:b/>
          <w:bCs/>
          <w:sz w:val="20"/>
        </w:rPr>
        <w:tab/>
        <w:t>Terms used in the Family Law Act</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1197C92C" w14:textId="77777777" w:rsidR="00693223" w:rsidRDefault="00693223" w:rsidP="00787E9B">
      <w:pPr>
        <w:keepNext/>
        <w:keepLines/>
        <w:jc w:val="both"/>
        <w:rPr>
          <w:rFonts w:ascii="Arial" w:hAnsi="Arial" w:cs="Arial"/>
          <w:sz w:val="18"/>
        </w:rPr>
      </w:pPr>
    </w:p>
    <w:p w14:paraId="070D6A8A"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(Cth)</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Month" w:val="6"/>
          <w:attr w:name="Day" w:val="11"/>
          <w:attr w:name="Year" w:val="1996"/>
        </w:smartTagPr>
        <w:r>
          <w:rPr>
            <w:rFonts w:ascii="Arial" w:hAnsi="Arial" w:cs="Arial"/>
            <w:sz w:val="20"/>
          </w:rPr>
          <w:t>11/06/1996</w:t>
        </w:r>
      </w:smartTag>
      <w:r>
        <w:rPr>
          <w:rFonts w:ascii="Arial" w:hAnsi="Arial" w:cs="Arial"/>
          <w:sz w:val="20"/>
        </w:rPr>
        <w:t>, amended significant sections of the Family Law Act 1975 (Cth)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(Cth)</w:t>
      </w:r>
      <w:r w:rsidR="00D43B59">
        <w:rPr>
          <w:rFonts w:ascii="Arial" w:hAnsi="Arial" w:cs="Arial"/>
          <w:sz w:val="20"/>
        </w:rPr>
        <w:t xml:space="preserve"> [No.46 of 2006] as and from 22/05/2006 “residence” is now termed “live with” and “contact” is now termed “spend time with”.</w:t>
      </w:r>
    </w:p>
    <w:p w14:paraId="28BCE389" w14:textId="77777777" w:rsidR="00D43B59" w:rsidRDefault="00D43B59" w:rsidP="00D43B59">
      <w:pPr>
        <w:rPr>
          <w:rFonts w:ascii="Arial" w:hAnsi="Arial" w:cs="Arial"/>
          <w:sz w:val="20"/>
        </w:rPr>
      </w:pPr>
    </w:p>
    <w:p w14:paraId="7171C978"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354B0478" w14:textId="77777777" w:rsidR="00D43B59" w:rsidRDefault="00D43B59">
      <w:pPr>
        <w:rPr>
          <w:rFonts w:ascii="Arial" w:hAnsi="Arial" w:cs="Arial"/>
          <w:sz w:val="20"/>
        </w:rPr>
      </w:pPr>
    </w:p>
    <w:p w14:paraId="19F73D72" w14:textId="77777777" w:rsidR="00693223" w:rsidRDefault="00693223">
      <w:pPr>
        <w:pStyle w:val="Heading2"/>
        <w:keepNext/>
        <w:tabs>
          <w:tab w:val="left" w:pos="567"/>
        </w:tabs>
        <w:spacing w:line="240" w:lineRule="auto"/>
        <w:rPr>
          <w:rFonts w:ascii="Arial" w:hAnsi="Arial" w:cs="Arial"/>
          <w:b/>
          <w:bCs/>
        </w:rPr>
      </w:pPr>
      <w:bookmarkStart w:id="620" w:name="_Toc30607530"/>
      <w:bookmarkStart w:id="621" w:name="_Toc30607659"/>
      <w:bookmarkStart w:id="622" w:name="_Toc30607984"/>
      <w:bookmarkStart w:id="623" w:name="_Toc30608817"/>
      <w:bookmarkStart w:id="624" w:name="_Toc30610031"/>
      <w:bookmarkStart w:id="625" w:name="_Toc30610275"/>
      <w:bookmarkStart w:id="626" w:name="_Toc30638429"/>
      <w:bookmarkStart w:id="627" w:name="_Toc30644242"/>
      <w:bookmarkStart w:id="628" w:name="_Toc30644649"/>
      <w:bookmarkStart w:id="629" w:name="_Toc30645199"/>
      <w:bookmarkStart w:id="630" w:name="_Toc30646410"/>
      <w:bookmarkStart w:id="631" w:name="_Toc30646705"/>
      <w:bookmarkStart w:id="632" w:name="_Toc30646816"/>
      <w:bookmarkStart w:id="633" w:name="_Toc30648173"/>
      <w:bookmarkStart w:id="634" w:name="_Toc30649071"/>
      <w:bookmarkStart w:id="635" w:name="_Toc30649147"/>
      <w:bookmarkStart w:id="636" w:name="_Toc30649408"/>
      <w:bookmarkStart w:id="637" w:name="_Toc30649733"/>
      <w:bookmarkStart w:id="638" w:name="_Toc30651673"/>
      <w:bookmarkStart w:id="639" w:name="_Toc30652663"/>
      <w:bookmarkStart w:id="640" w:name="_Toc30652759"/>
      <w:bookmarkStart w:id="641" w:name="_Toc30654104"/>
      <w:bookmarkStart w:id="642" w:name="_Toc30654455"/>
      <w:bookmarkStart w:id="643" w:name="_Toc30655074"/>
      <w:bookmarkStart w:id="644" w:name="_Toc30655331"/>
      <w:bookmarkStart w:id="645" w:name="_Toc30657009"/>
      <w:bookmarkStart w:id="646" w:name="_Toc30661758"/>
      <w:bookmarkStart w:id="647" w:name="_Toc30666446"/>
      <w:bookmarkStart w:id="648" w:name="_Toc30666676"/>
      <w:bookmarkStart w:id="649" w:name="_Toc30667851"/>
      <w:bookmarkStart w:id="650" w:name="_Toc30669229"/>
      <w:bookmarkStart w:id="651" w:name="_Toc30671445"/>
      <w:bookmarkStart w:id="652" w:name="_Toc30673972"/>
      <w:bookmarkStart w:id="653" w:name="_Toc30691194"/>
      <w:bookmarkStart w:id="654" w:name="_Toc30691567"/>
      <w:bookmarkStart w:id="655" w:name="_Toc30691947"/>
      <w:bookmarkStart w:id="656" w:name="_Toc30692706"/>
      <w:bookmarkStart w:id="657" w:name="_Toc30693085"/>
      <w:bookmarkStart w:id="658" w:name="_Toc30693463"/>
      <w:bookmarkStart w:id="659" w:name="_Toc30693841"/>
      <w:bookmarkStart w:id="660" w:name="_Toc30694222"/>
      <w:bookmarkStart w:id="661" w:name="_Toc30698811"/>
      <w:bookmarkStart w:id="662" w:name="_Toc30699189"/>
      <w:bookmarkStart w:id="663" w:name="_Toc30699574"/>
      <w:bookmarkStart w:id="664" w:name="_Toc30700729"/>
      <w:bookmarkStart w:id="665" w:name="_Toc30701116"/>
      <w:bookmarkStart w:id="666" w:name="_Toc30743725"/>
      <w:bookmarkStart w:id="667" w:name="_Toc30754548"/>
      <w:bookmarkStart w:id="668" w:name="_Toc30756988"/>
      <w:bookmarkStart w:id="669" w:name="_Toc30757537"/>
      <w:bookmarkStart w:id="670" w:name="_Toc30757937"/>
      <w:bookmarkStart w:id="671" w:name="_Toc30762698"/>
      <w:bookmarkStart w:id="672" w:name="_Toc30767352"/>
      <w:bookmarkStart w:id="673" w:name="_Toc34823368"/>
      <w:bookmarkStart w:id="674" w:name="_4.6_Protective_intervention"/>
      <w:bookmarkStart w:id="675" w:name="B46"/>
      <w:bookmarkEnd w:id="674"/>
      <w:bookmarkEnd w:id="675"/>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00272B88">
        <w:rPr>
          <w:rFonts w:ascii="Arial" w:hAnsi="Arial" w:cs="Arial"/>
          <w:b/>
          <w:bCs/>
        </w:rPr>
        <w:t>”</w:t>
      </w:r>
      <w:r w:rsidR="00863BC7">
        <w:rPr>
          <w:rFonts w:ascii="Arial" w:hAnsi="Arial" w:cs="Arial"/>
          <w:b/>
          <w:bCs/>
        </w:rPr>
        <w:t>]</w:t>
      </w:r>
    </w:p>
    <w:p w14:paraId="3CFD0DB0" w14:textId="77777777" w:rsidR="00693223" w:rsidRDefault="00693223">
      <w:pPr>
        <w:jc w:val="both"/>
        <w:rPr>
          <w:rFonts w:ascii="Arial" w:hAnsi="Arial" w:cs="Arial"/>
          <w:sz w:val="20"/>
        </w:rPr>
      </w:pPr>
    </w:p>
    <w:p w14:paraId="5302F985" w14:textId="7777777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 xml:space="preserve">in ss.182-184,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342B4254" w14:textId="77777777" w:rsidR="00693223" w:rsidRPr="00785E1A" w:rsidRDefault="00693223">
      <w:pPr>
        <w:jc w:val="both"/>
        <w:rPr>
          <w:rFonts w:ascii="Arial" w:hAnsi="Arial" w:cs="Arial"/>
          <w:color w:val="000000"/>
          <w:sz w:val="20"/>
        </w:rPr>
      </w:pPr>
    </w:p>
    <w:p w14:paraId="7A9C5047"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76" w:name="_4.6.1_Anonymity_of"/>
      <w:bookmarkStart w:id="677" w:name="B461"/>
      <w:bookmarkEnd w:id="676"/>
      <w:bookmarkEnd w:id="677"/>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59C0A3BC"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4E564B86"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in the case of a proceeding in a court or VCAT, the court or tribunal is satisfied that it is necessary for the evidence to be given to ensure the safety and well being of the child;</w:t>
      </w:r>
    </w:p>
    <w:p w14:paraId="5F9C208E"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0399CF5E" w14:textId="77777777" w:rsidR="00E732EA" w:rsidRDefault="00E732EA" w:rsidP="00E732EA">
      <w:pPr>
        <w:jc w:val="both"/>
        <w:rPr>
          <w:rFonts w:ascii="Arial" w:hAnsi="Arial" w:cs="Arial"/>
          <w:b/>
          <w:bCs/>
          <w:sz w:val="20"/>
        </w:rPr>
      </w:pPr>
    </w:p>
    <w:p w14:paraId="3EB4EC37"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78" w:name="_Toc30648177"/>
      <w:bookmarkStart w:id="679" w:name="_Toc30649075"/>
      <w:bookmarkStart w:id="680" w:name="_Toc30649151"/>
      <w:bookmarkStart w:id="681" w:name="_Toc30649412"/>
      <w:bookmarkStart w:id="682" w:name="_Toc30649737"/>
      <w:bookmarkStart w:id="683" w:name="_Toc30651677"/>
      <w:bookmarkStart w:id="684" w:name="_Toc30652667"/>
      <w:bookmarkStart w:id="685" w:name="_Toc30652763"/>
      <w:bookmarkStart w:id="686" w:name="_Toc30654108"/>
      <w:bookmarkStart w:id="687" w:name="_Toc30654459"/>
      <w:bookmarkStart w:id="688" w:name="_Toc30655078"/>
      <w:bookmarkStart w:id="689" w:name="_Toc30655335"/>
      <w:bookmarkStart w:id="690" w:name="_Toc30657013"/>
      <w:bookmarkStart w:id="691" w:name="_Toc30661762"/>
      <w:bookmarkStart w:id="692" w:name="_Toc30666450"/>
      <w:bookmarkStart w:id="693" w:name="_Toc30666680"/>
      <w:bookmarkStart w:id="694" w:name="_Toc30667855"/>
      <w:bookmarkStart w:id="695" w:name="_Toc30669233"/>
      <w:bookmarkStart w:id="696" w:name="_Toc30671449"/>
      <w:bookmarkStart w:id="697" w:name="_Toc30673976"/>
      <w:bookmarkStart w:id="698" w:name="_Toc30691198"/>
      <w:bookmarkStart w:id="699" w:name="_Toc30691571"/>
      <w:bookmarkStart w:id="700" w:name="_Toc30691951"/>
      <w:bookmarkStart w:id="701" w:name="_Toc30692710"/>
      <w:bookmarkStart w:id="702" w:name="_Toc30693089"/>
      <w:bookmarkStart w:id="703" w:name="_Toc30693467"/>
      <w:bookmarkStart w:id="704" w:name="_Toc30693845"/>
      <w:bookmarkStart w:id="705" w:name="_Toc30694226"/>
      <w:bookmarkStart w:id="706" w:name="_Toc30698815"/>
      <w:bookmarkStart w:id="707" w:name="_Toc30699193"/>
      <w:bookmarkStart w:id="708" w:name="_Toc30699578"/>
      <w:bookmarkStart w:id="709" w:name="_Toc30700733"/>
      <w:bookmarkStart w:id="710" w:name="_Toc30701120"/>
      <w:bookmarkStart w:id="711" w:name="_Toc30743729"/>
      <w:bookmarkStart w:id="712" w:name="_Toc30754552"/>
      <w:bookmarkStart w:id="713" w:name="_Toc30756992"/>
      <w:bookmarkStart w:id="714" w:name="_Toc30757541"/>
      <w:bookmarkStart w:id="715" w:name="_Toc30757941"/>
      <w:bookmarkStart w:id="716" w:name="_Toc30762702"/>
      <w:bookmarkStart w:id="717" w:name="_Toc30767356"/>
      <w:bookmarkStart w:id="718" w:name="_Toc34823372"/>
      <w:bookmarkStart w:id="719" w:name="_4.6.2_Mandatory_protective"/>
      <w:bookmarkStart w:id="720" w:name="B462"/>
      <w:bookmarkEnd w:id="719"/>
      <w:bookmarkEnd w:id="720"/>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Pr="00785E1A">
        <w:rPr>
          <w:rFonts w:ascii="Arial" w:hAnsi="Arial" w:cs="Arial"/>
          <w:b/>
          <w:bCs/>
          <w:color w:val="000000"/>
          <w:sz w:val="20"/>
        </w:rPr>
        <w:t>protective intervention report</w:t>
      </w:r>
    </w:p>
    <w:p w14:paraId="3DD6D41F" w14:textId="77777777" w:rsidR="00E732EA" w:rsidRPr="00785E1A" w:rsidRDefault="00E732EA" w:rsidP="00E732EA">
      <w:pPr>
        <w:keepNext/>
        <w:keepLines/>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p>
    <w:p w14:paraId="75947071"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5AAA8E51"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5C22AF96" w14:textId="77777777" w:rsidR="00E732EA" w:rsidRPr="00785E1A" w:rsidRDefault="00E732EA" w:rsidP="00E732EA">
      <w:pPr>
        <w:jc w:val="both"/>
        <w:rPr>
          <w:rFonts w:ascii="Arial" w:hAnsi="Arial" w:cs="Arial"/>
          <w:color w:val="000000"/>
          <w:sz w:val="20"/>
        </w:rPr>
      </w:pPr>
    </w:p>
    <w:p w14:paraId="39B6F87E" w14:textId="77777777" w:rsidR="00E732EA" w:rsidRPr="00785E1A" w:rsidRDefault="00E732EA" w:rsidP="00E732EA">
      <w:pPr>
        <w:jc w:val="both"/>
        <w:rPr>
          <w:rFonts w:ascii="Arial" w:hAnsi="Arial" w:cs="Arial"/>
          <w:color w:val="000000"/>
          <w:sz w:val="20"/>
        </w:rPr>
      </w:pPr>
      <w:r w:rsidRPr="00785E1A">
        <w:rPr>
          <w:rFonts w:ascii="Arial" w:hAnsi="Arial" w:cs="Arial"/>
          <w:color w:val="000000"/>
          <w:sz w:val="20"/>
        </w:rPr>
        <w:t>The relevant professionals referred to in s.182 include-</w:t>
      </w:r>
    </w:p>
    <w:p w14:paraId="3B67BBF0" w14:textId="77777777" w:rsidR="00E732EA" w:rsidRPr="00785E1A" w:rsidRDefault="00E732EA" w:rsidP="00E732EA">
      <w:pPr>
        <w:numPr>
          <w:ilvl w:val="0"/>
          <w:numId w:val="5"/>
        </w:numPr>
        <w:tabs>
          <w:tab w:val="clear" w:pos="360"/>
          <w:tab w:val="num" w:leader="none" w:pos="363"/>
          <w:tab w:val="num" w:pos="720"/>
        </w:tabs>
        <w:jc w:val="both"/>
        <w:rPr>
          <w:rFonts w:ascii="Arial" w:hAnsi="Arial" w:cs="Arial"/>
          <w:color w:val="000000"/>
          <w:sz w:val="20"/>
        </w:rPr>
      </w:pPr>
      <w:r w:rsidRPr="00785E1A">
        <w:rPr>
          <w:rFonts w:ascii="Arial" w:hAnsi="Arial" w:cs="Arial"/>
          <w:color w:val="000000"/>
          <w:sz w:val="20"/>
        </w:rPr>
        <w:t>registered medical practitioners and registered nurses;</w:t>
      </w:r>
    </w:p>
    <w:p w14:paraId="15A1A894" w14:textId="77777777" w:rsidR="00E732EA" w:rsidRPr="00785E1A" w:rsidRDefault="00E732EA" w:rsidP="00E732EA">
      <w:pPr>
        <w:numPr>
          <w:ilvl w:val="0"/>
          <w:numId w:val="5"/>
        </w:numPr>
        <w:tabs>
          <w:tab w:val="clear" w:pos="360"/>
          <w:tab w:val="num" w:leader="none" w:pos="363"/>
          <w:tab w:val="num" w:pos="720"/>
        </w:tabs>
        <w:jc w:val="both"/>
        <w:rPr>
          <w:rFonts w:ascii="Arial" w:hAnsi="Arial" w:cs="Arial"/>
          <w:color w:val="000000"/>
          <w:sz w:val="20"/>
        </w:rPr>
      </w:pPr>
      <w:r w:rsidRPr="00785E1A">
        <w:rPr>
          <w:rFonts w:ascii="Arial" w:hAnsi="Arial" w:cs="Arial"/>
          <w:color w:val="000000"/>
          <w:sz w:val="20"/>
        </w:rPr>
        <w:t>teachers, head teachers or principals;</w:t>
      </w:r>
    </w:p>
    <w:p w14:paraId="75CCE6B1" w14:textId="77777777" w:rsidR="00E732EA" w:rsidRPr="00785E1A" w:rsidRDefault="00E732EA" w:rsidP="00E732EA">
      <w:pPr>
        <w:numPr>
          <w:ilvl w:val="0"/>
          <w:numId w:val="5"/>
        </w:numPr>
        <w:tabs>
          <w:tab w:val="clear" w:pos="360"/>
          <w:tab w:val="num" w:leader="none" w:pos="363"/>
          <w:tab w:val="num" w:pos="720"/>
        </w:tabs>
        <w:jc w:val="both"/>
        <w:rPr>
          <w:rFonts w:ascii="Arial" w:hAnsi="Arial" w:cs="Arial"/>
          <w:color w:val="000000"/>
          <w:sz w:val="20"/>
        </w:rPr>
      </w:pPr>
      <w:r w:rsidRPr="00785E1A">
        <w:rPr>
          <w:rFonts w:ascii="Arial" w:hAnsi="Arial" w:cs="Arial"/>
          <w:color w:val="000000"/>
          <w:sz w:val="20"/>
        </w:rPr>
        <w:t>members of the police force.</w:t>
      </w:r>
    </w:p>
    <w:p w14:paraId="50BB0597" w14:textId="77777777" w:rsidR="00E732EA" w:rsidRPr="00785E1A" w:rsidRDefault="00E732EA" w:rsidP="00E732EA">
      <w:pPr>
        <w:tabs>
          <w:tab w:val="num" w:pos="720"/>
        </w:tabs>
        <w:jc w:val="both"/>
        <w:rPr>
          <w:rFonts w:ascii="Arial" w:hAnsi="Arial" w:cs="Arial"/>
          <w:color w:val="000000"/>
          <w:sz w:val="20"/>
        </w:rPr>
      </w:pPr>
      <w:r w:rsidRPr="00785E1A">
        <w:rPr>
          <w:rFonts w:ascii="Arial" w:hAnsi="Arial" w:cs="Arial"/>
          <w:color w:val="000000"/>
          <w:sz w:val="20"/>
        </w:rPr>
        <w:t xml:space="preserve">They also include – but only from the </w:t>
      </w:r>
      <w:r w:rsidR="00112373" w:rsidRPr="00785E1A">
        <w:rPr>
          <w:rFonts w:ascii="Arial" w:hAnsi="Arial" w:cs="Arial"/>
          <w:color w:val="000000"/>
          <w:sz w:val="20"/>
        </w:rPr>
        <w:t>“</w:t>
      </w:r>
      <w:r w:rsidRPr="00785E1A">
        <w:rPr>
          <w:rFonts w:ascii="Arial" w:hAnsi="Arial" w:cs="Arial"/>
          <w:color w:val="000000"/>
          <w:sz w:val="20"/>
        </w:rPr>
        <w:t>relevant date</w:t>
      </w:r>
      <w:r w:rsidR="00112373" w:rsidRPr="00785E1A">
        <w:rPr>
          <w:rFonts w:ascii="Arial" w:hAnsi="Arial" w:cs="Arial"/>
          <w:color w:val="000000"/>
          <w:sz w:val="20"/>
        </w:rPr>
        <w:t>”</w:t>
      </w:r>
      <w:r w:rsidRPr="00785E1A">
        <w:rPr>
          <w:rFonts w:ascii="Arial" w:hAnsi="Arial" w:cs="Arial"/>
          <w:color w:val="000000"/>
          <w:sz w:val="20"/>
        </w:rPr>
        <w:t xml:space="preserve"> which has not yet been prescribed–</w:t>
      </w:r>
    </w:p>
    <w:p w14:paraId="31D26446" w14:textId="77777777" w:rsidR="00E732EA" w:rsidRPr="00785E1A" w:rsidRDefault="00E732EA" w:rsidP="00E732EA">
      <w:pPr>
        <w:numPr>
          <w:ilvl w:val="0"/>
          <w:numId w:val="5"/>
        </w:numPr>
        <w:tabs>
          <w:tab w:val="clear" w:pos="360"/>
          <w:tab w:val="num" w:leader="none" w:pos="363"/>
          <w:tab w:val="num" w:pos="720"/>
        </w:tabs>
        <w:ind w:left="363" w:hanging="363"/>
        <w:jc w:val="both"/>
        <w:rPr>
          <w:rFonts w:ascii="Arial" w:hAnsi="Arial" w:cs="Arial"/>
          <w:color w:val="000000"/>
          <w:sz w:val="20"/>
        </w:rPr>
      </w:pPr>
      <w:r w:rsidRPr="00785E1A">
        <w:rPr>
          <w:rFonts w:ascii="Arial" w:hAnsi="Arial" w:cs="Arial"/>
          <w:color w:val="000000"/>
          <w:sz w:val="20"/>
        </w:rPr>
        <w:t>proprietors and persons with a post-secondary qualification in the care, education or minding of children employed by a children’s service to which the Children’s Services Act 1986 (Vic) applies;</w:t>
      </w:r>
    </w:p>
    <w:p w14:paraId="6F5D92EA" w14:textId="77777777" w:rsidR="00E732EA" w:rsidRPr="00785E1A" w:rsidRDefault="00E732EA" w:rsidP="00E732EA">
      <w:pPr>
        <w:numPr>
          <w:ilvl w:val="0"/>
          <w:numId w:val="5"/>
        </w:numPr>
        <w:tabs>
          <w:tab w:val="clear" w:pos="360"/>
          <w:tab w:val="num" w:leader="none" w:pos="363"/>
          <w:tab w:val="num" w:pos="720"/>
        </w:tabs>
        <w:ind w:left="363" w:hanging="363"/>
        <w:jc w:val="both"/>
        <w:rPr>
          <w:rFonts w:ascii="Arial" w:hAnsi="Arial" w:cs="Arial"/>
          <w:color w:val="000000"/>
          <w:sz w:val="20"/>
        </w:rPr>
      </w:pPr>
      <w:r w:rsidRPr="00785E1A">
        <w:rPr>
          <w:rFonts w:ascii="Arial" w:hAnsi="Arial" w:cs="Arial"/>
          <w:color w:val="000000"/>
          <w:sz w:val="20"/>
        </w:rPr>
        <w:t>post-secondary qualified youth, social or welfare workers who work in the health, education, or community or welfare services field;</w:t>
      </w:r>
    </w:p>
    <w:p w14:paraId="73DA11C4" w14:textId="77777777" w:rsidR="00E732EA" w:rsidRPr="00785E1A" w:rsidRDefault="00E732EA" w:rsidP="00E732EA">
      <w:pPr>
        <w:numPr>
          <w:ilvl w:val="0"/>
          <w:numId w:val="5"/>
        </w:numPr>
        <w:tabs>
          <w:tab w:val="clear" w:pos="360"/>
          <w:tab w:val="num" w:leader="none" w:pos="363"/>
          <w:tab w:val="num" w:pos="720"/>
        </w:tabs>
        <w:ind w:left="363" w:hanging="363"/>
        <w:jc w:val="both"/>
        <w:rPr>
          <w:rFonts w:ascii="Arial" w:hAnsi="Arial" w:cs="Arial"/>
          <w:color w:val="000000"/>
          <w:sz w:val="20"/>
        </w:rPr>
      </w:pPr>
      <w:r w:rsidRPr="00785E1A">
        <w:rPr>
          <w:rFonts w:ascii="Arial" w:hAnsi="Arial" w:cs="Arial"/>
          <w:color w:val="000000"/>
          <w:sz w:val="20"/>
        </w:rPr>
        <w:t>persons employed under the Public Administration Act 2004 (Vic) to perform the duties of youth and child welfare workers;</w:t>
      </w:r>
    </w:p>
    <w:p w14:paraId="0FE888AA" w14:textId="77777777" w:rsidR="00E732EA" w:rsidRPr="00785E1A" w:rsidRDefault="00E732EA" w:rsidP="00E732EA">
      <w:pPr>
        <w:numPr>
          <w:ilvl w:val="0"/>
          <w:numId w:val="5"/>
        </w:numPr>
        <w:tabs>
          <w:tab w:val="clear" w:pos="360"/>
          <w:tab w:val="num" w:leader="none" w:pos="363"/>
          <w:tab w:val="num" w:pos="720"/>
        </w:tabs>
        <w:jc w:val="both"/>
        <w:rPr>
          <w:rFonts w:ascii="Arial" w:hAnsi="Arial" w:cs="Arial"/>
          <w:color w:val="000000"/>
          <w:sz w:val="20"/>
        </w:rPr>
      </w:pPr>
      <w:r w:rsidRPr="00785E1A">
        <w:rPr>
          <w:rFonts w:ascii="Arial" w:hAnsi="Arial" w:cs="Arial"/>
          <w:color w:val="000000"/>
          <w:sz w:val="20"/>
        </w:rPr>
        <w:lastRenderedPageBreak/>
        <w:t>registered psychologists;</w:t>
      </w:r>
    </w:p>
    <w:p w14:paraId="66CF89FE" w14:textId="77777777" w:rsidR="00E732EA" w:rsidRPr="00785E1A" w:rsidRDefault="00E732EA" w:rsidP="00E732EA">
      <w:pPr>
        <w:numPr>
          <w:ilvl w:val="0"/>
          <w:numId w:val="5"/>
        </w:numPr>
        <w:tabs>
          <w:tab w:val="clear" w:pos="360"/>
          <w:tab w:val="num" w:leader="none" w:pos="363"/>
          <w:tab w:val="num" w:pos="720"/>
        </w:tabs>
        <w:jc w:val="both"/>
        <w:rPr>
          <w:rFonts w:ascii="Arial" w:hAnsi="Arial" w:cs="Arial"/>
          <w:color w:val="000000"/>
          <w:sz w:val="20"/>
        </w:rPr>
      </w:pPr>
      <w:r w:rsidRPr="00785E1A">
        <w:rPr>
          <w:rFonts w:ascii="Arial" w:hAnsi="Arial" w:cs="Arial"/>
          <w:color w:val="000000"/>
          <w:sz w:val="20"/>
        </w:rPr>
        <w:t>youth justice officers and youth parole officers; and</w:t>
      </w:r>
    </w:p>
    <w:p w14:paraId="42EDC3DE" w14:textId="77777777" w:rsidR="00E732EA" w:rsidRPr="00785E1A" w:rsidRDefault="00E732EA" w:rsidP="00E732EA">
      <w:pPr>
        <w:numPr>
          <w:ilvl w:val="0"/>
          <w:numId w:val="5"/>
        </w:numPr>
        <w:tabs>
          <w:tab w:val="clear" w:pos="360"/>
          <w:tab w:val="num" w:leader="none" w:pos="363"/>
          <w:tab w:val="num" w:pos="720"/>
        </w:tabs>
        <w:jc w:val="both"/>
        <w:rPr>
          <w:rFonts w:ascii="Arial" w:hAnsi="Arial" w:cs="Arial"/>
          <w:color w:val="000000"/>
          <w:sz w:val="20"/>
        </w:rPr>
      </w:pPr>
      <w:r w:rsidRPr="00785E1A">
        <w:rPr>
          <w:rFonts w:ascii="Arial" w:hAnsi="Arial" w:cs="Arial"/>
          <w:color w:val="000000"/>
          <w:sz w:val="20"/>
        </w:rPr>
        <w:t>members of prescribed classes of persons.</w:t>
      </w:r>
    </w:p>
    <w:p w14:paraId="367FF962" w14:textId="77777777" w:rsidR="00E732EA" w:rsidRPr="00785E1A" w:rsidRDefault="00E732EA">
      <w:pPr>
        <w:jc w:val="both"/>
        <w:rPr>
          <w:rFonts w:ascii="Arial" w:hAnsi="Arial" w:cs="Arial"/>
          <w:color w:val="000000"/>
          <w:sz w:val="20"/>
        </w:rPr>
      </w:pPr>
    </w:p>
    <w:p w14:paraId="668F075B" w14:textId="77777777" w:rsidR="00693223" w:rsidRPr="00785E1A" w:rsidRDefault="00693223" w:rsidP="00447CE9">
      <w:pPr>
        <w:pStyle w:val="Heading3"/>
        <w:spacing w:line="240" w:lineRule="auto"/>
        <w:rPr>
          <w:rFonts w:ascii="Arial" w:hAnsi="Arial" w:cs="Arial"/>
          <w:b/>
          <w:bCs/>
          <w:color w:val="000000"/>
          <w:sz w:val="20"/>
        </w:rPr>
      </w:pPr>
      <w:bookmarkStart w:id="721" w:name="_Toc30648174"/>
      <w:bookmarkStart w:id="722" w:name="_Toc30649072"/>
      <w:bookmarkStart w:id="723" w:name="_Toc30649148"/>
      <w:bookmarkStart w:id="724" w:name="_Toc30649409"/>
      <w:bookmarkStart w:id="725" w:name="_Toc30649734"/>
      <w:bookmarkStart w:id="726" w:name="_Toc30651674"/>
      <w:bookmarkStart w:id="727" w:name="_Toc30652664"/>
      <w:bookmarkStart w:id="728" w:name="_Toc30652760"/>
      <w:bookmarkStart w:id="729" w:name="_Toc30654105"/>
      <w:bookmarkStart w:id="730" w:name="_Toc30654456"/>
      <w:bookmarkStart w:id="731" w:name="_Toc30655075"/>
      <w:bookmarkStart w:id="732" w:name="_Toc30655332"/>
      <w:bookmarkStart w:id="733" w:name="_Toc30657010"/>
      <w:bookmarkStart w:id="734" w:name="_Toc30661759"/>
      <w:bookmarkStart w:id="735" w:name="_Toc30666447"/>
      <w:bookmarkStart w:id="736" w:name="_Toc30666677"/>
      <w:bookmarkStart w:id="737" w:name="_Toc30667852"/>
      <w:bookmarkStart w:id="738" w:name="_Toc30669230"/>
      <w:bookmarkStart w:id="739" w:name="_Toc30671446"/>
      <w:bookmarkStart w:id="740" w:name="_Toc30673973"/>
      <w:bookmarkStart w:id="741" w:name="_Toc30691195"/>
      <w:bookmarkStart w:id="742" w:name="_Toc30691568"/>
      <w:bookmarkStart w:id="743" w:name="_Toc30691948"/>
      <w:bookmarkStart w:id="744" w:name="_Toc30692707"/>
      <w:bookmarkStart w:id="745" w:name="_Toc30693086"/>
      <w:bookmarkStart w:id="746" w:name="_Toc30693464"/>
      <w:bookmarkStart w:id="747" w:name="_Toc30693842"/>
      <w:bookmarkStart w:id="748" w:name="_Toc30694223"/>
      <w:bookmarkStart w:id="749" w:name="_Toc30698812"/>
      <w:bookmarkStart w:id="750" w:name="_Toc30699190"/>
      <w:bookmarkStart w:id="751" w:name="_Toc30699575"/>
      <w:bookmarkStart w:id="752" w:name="_Toc30700730"/>
      <w:bookmarkStart w:id="753" w:name="_Toc30701117"/>
      <w:bookmarkStart w:id="754" w:name="_Toc30743726"/>
      <w:bookmarkStart w:id="755" w:name="_Toc30754549"/>
      <w:bookmarkStart w:id="756" w:name="_Toc30756989"/>
      <w:bookmarkStart w:id="757" w:name="_Toc30757538"/>
      <w:bookmarkStart w:id="758" w:name="_Toc30757938"/>
      <w:bookmarkStart w:id="759" w:name="_Toc30762699"/>
      <w:bookmarkStart w:id="760" w:name="_Toc30767353"/>
      <w:bookmarkStart w:id="761" w:name="_Toc34823369"/>
      <w:bookmarkStart w:id="762" w:name="_4.6.3_Child_protection"/>
      <w:bookmarkStart w:id="763" w:name="B463"/>
      <w:bookmarkEnd w:id="762"/>
      <w:bookmarkEnd w:id="763"/>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367C49" w:rsidRPr="00785E1A">
        <w:rPr>
          <w:rFonts w:ascii="Arial" w:hAnsi="Arial" w:cs="Arial"/>
          <w:b/>
          <w:bCs/>
          <w:color w:val="000000"/>
          <w:sz w:val="20"/>
        </w:rPr>
        <w:t>Child protection reports</w:t>
      </w:r>
      <w:r w:rsidRPr="00785E1A">
        <w:rPr>
          <w:rFonts w:ascii="Arial" w:hAnsi="Arial" w:cs="Arial"/>
          <w:b/>
          <w:bCs/>
          <w:color w:val="000000"/>
          <w:sz w:val="20"/>
        </w:rPr>
        <w:t xml:space="preserve"> by </w:t>
      </w:r>
      <w:r w:rsidR="00367C49" w:rsidRPr="00785E1A">
        <w:rPr>
          <w:rFonts w:ascii="Arial" w:hAnsi="Arial" w:cs="Arial"/>
          <w:b/>
          <w:bCs/>
          <w:color w:val="000000"/>
          <w:sz w:val="20"/>
        </w:rPr>
        <w:t>report</w:t>
      </w:r>
      <w:r w:rsidRPr="00785E1A">
        <w:rPr>
          <w:rFonts w:ascii="Arial" w:hAnsi="Arial" w:cs="Arial"/>
          <w:b/>
          <w:bCs/>
          <w:color w:val="000000"/>
          <w:sz w:val="20"/>
        </w:rPr>
        <w:t xml:space="preserve"> source </w:t>
      </w:r>
      <w:r w:rsidR="00E0794B" w:rsidRPr="00785E1A">
        <w:rPr>
          <w:rFonts w:ascii="Arial" w:hAnsi="Arial" w:cs="Arial"/>
          <w:b/>
          <w:bCs/>
          <w:color w:val="000000"/>
          <w:sz w:val="20"/>
        </w:rPr>
        <w:t>–</w:t>
      </w:r>
      <w:r w:rsidRPr="00785E1A">
        <w:rPr>
          <w:rFonts w:ascii="Arial" w:hAnsi="Arial" w:cs="Arial"/>
          <w:b/>
          <w:bCs/>
          <w:color w:val="000000"/>
          <w:sz w:val="20"/>
        </w:rPr>
        <w:t xml:space="preserve"> 1999</w:t>
      </w:r>
      <w:r w:rsidR="00E0794B" w:rsidRPr="00785E1A">
        <w:rPr>
          <w:rFonts w:ascii="Arial" w:hAnsi="Arial" w:cs="Arial"/>
          <w:b/>
          <w:bCs/>
          <w:color w:val="000000"/>
          <w:sz w:val="20"/>
        </w:rPr>
        <w:t>-</w:t>
      </w:r>
      <w:r w:rsidRPr="00785E1A">
        <w:rPr>
          <w:rFonts w:ascii="Arial" w:hAnsi="Arial" w:cs="Arial"/>
          <w:b/>
          <w:bCs/>
          <w:color w:val="000000"/>
          <w:sz w:val="20"/>
        </w:rPr>
        <w:t>2000</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sidR="00B51BBE" w:rsidRPr="00785E1A">
        <w:rPr>
          <w:rFonts w:ascii="Arial" w:hAnsi="Arial" w:cs="Arial"/>
          <w:b/>
          <w:bCs/>
          <w:color w:val="000000"/>
          <w:sz w:val="20"/>
        </w:rPr>
        <w:t xml:space="preserve"> &amp; 200</w:t>
      </w:r>
      <w:r w:rsidR="008B3B03" w:rsidRPr="00785E1A">
        <w:rPr>
          <w:rFonts w:ascii="Arial" w:hAnsi="Arial" w:cs="Arial"/>
          <w:b/>
          <w:bCs/>
          <w:color w:val="000000"/>
          <w:sz w:val="20"/>
        </w:rPr>
        <w:t>7</w:t>
      </w:r>
      <w:r w:rsidR="00B51BBE" w:rsidRPr="00785E1A">
        <w:rPr>
          <w:rFonts w:ascii="Arial" w:hAnsi="Arial" w:cs="Arial"/>
          <w:b/>
          <w:bCs/>
          <w:color w:val="000000"/>
          <w:sz w:val="20"/>
        </w:rPr>
        <w:t>-2010</w:t>
      </w:r>
    </w:p>
    <w:p w14:paraId="181A1756" w14:textId="77777777" w:rsidR="00693223" w:rsidRPr="00785E1A" w:rsidRDefault="00693223" w:rsidP="00447CE9">
      <w:pPr>
        <w:jc w:val="both"/>
        <w:rPr>
          <w:rFonts w:ascii="Arial" w:hAnsi="Arial" w:cs="Arial"/>
          <w:bCs/>
          <w:color w:val="000000"/>
          <w:sz w:val="20"/>
        </w:rPr>
      </w:pPr>
    </w:p>
    <w:p w14:paraId="3BFDF996" w14:textId="77777777" w:rsidR="00112373" w:rsidRPr="00785E1A" w:rsidRDefault="00112373" w:rsidP="00447CE9">
      <w:pPr>
        <w:jc w:val="both"/>
        <w:rPr>
          <w:rFonts w:ascii="Arial" w:hAnsi="Arial" w:cs="Arial"/>
          <w:bCs/>
          <w:color w:val="000000"/>
          <w:sz w:val="20"/>
        </w:rPr>
      </w:pPr>
      <w:r w:rsidRPr="00785E1A">
        <w:rPr>
          <w:rFonts w:ascii="Arial" w:hAnsi="Arial" w:cs="Arial"/>
          <w:bCs/>
          <w:color w:val="000000"/>
          <w:sz w:val="20"/>
        </w:rPr>
        <w:t xml:space="preserve">The following chart shows child protection notifications by notification sources in </w:t>
      </w:r>
      <w:smartTag w:uri="urn:schemas-microsoft-com:office:smarttags" w:element="place">
        <w:smartTag w:uri="urn:schemas-microsoft-com:office:smarttags" w:element="State">
          <w:r w:rsidRPr="00785E1A">
            <w:rPr>
              <w:rFonts w:ascii="Arial" w:hAnsi="Arial" w:cs="Arial"/>
              <w:bCs/>
              <w:color w:val="000000"/>
              <w:sz w:val="20"/>
            </w:rPr>
            <w:t>Victoria</w:t>
          </w:r>
        </w:smartTag>
      </w:smartTag>
      <w:r w:rsidRPr="00785E1A">
        <w:rPr>
          <w:rFonts w:ascii="Arial" w:hAnsi="Arial" w:cs="Arial"/>
          <w:bCs/>
          <w:color w:val="000000"/>
          <w:sz w:val="20"/>
        </w:rPr>
        <w:t xml:space="preserve"> in 1999-2000:</w:t>
      </w:r>
    </w:p>
    <w:p w14:paraId="195CC3F0" w14:textId="77777777" w:rsidR="00112373" w:rsidRPr="00C57C45" w:rsidRDefault="00112373" w:rsidP="00447CE9">
      <w:pPr>
        <w:jc w:val="both"/>
        <w:rPr>
          <w:rFonts w:ascii="Arial" w:hAnsi="Arial" w:cs="Arial"/>
          <w:bCs/>
          <w:sz w:val="20"/>
        </w:rPr>
      </w:pPr>
    </w:p>
    <w:p w14:paraId="16D59CDD" w14:textId="77777777" w:rsidR="00693223" w:rsidRDefault="00112373" w:rsidP="00112373">
      <w:pPr>
        <w:ind w:left="-567" w:right="-567"/>
        <w:jc w:val="center"/>
        <w:rPr>
          <w:rFonts w:ascii="Arial" w:hAnsi="Arial" w:cs="Arial"/>
          <w:sz w:val="20"/>
        </w:rPr>
      </w:pPr>
      <w:r>
        <w:object w:dxaOrig="17033" w:dyaOrig="10234" w14:anchorId="2DD56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7pt;height:254.25pt" o:ole="">
            <v:imagedata r:id="rId8" o:title="" cropbottom="6324f"/>
            <o:lock v:ext="edit" aspectratio="f"/>
            <w10:bordertop type="single" width="4"/>
            <w10:borderleft type="single" width="4"/>
            <w10:borderbottom type="single" width="4"/>
            <w10:borderright type="single" width="4"/>
          </v:shape>
          <o:OLEObject Type="Embed" ProgID="Excel.Sheet.8" ShapeID="_x0000_i1027" DrawAspect="Content" ObjectID="_1683027058" r:id="rId9"/>
        </w:object>
      </w:r>
    </w:p>
    <w:p w14:paraId="1BEF997D" w14:textId="77777777" w:rsidR="00112373" w:rsidRPr="00785E1A" w:rsidRDefault="00112373" w:rsidP="00112373">
      <w:pPr>
        <w:tabs>
          <w:tab w:val="num" w:pos="720"/>
        </w:tabs>
        <w:jc w:val="both"/>
        <w:rPr>
          <w:rFonts w:ascii="Arial" w:hAnsi="Arial" w:cs="Arial"/>
          <w:color w:val="000000"/>
          <w:sz w:val="20"/>
        </w:rPr>
      </w:pPr>
    </w:p>
    <w:p w14:paraId="51E003A9" w14:textId="77777777" w:rsidR="00267046" w:rsidRPr="00785E1A" w:rsidRDefault="00267046" w:rsidP="00367C49">
      <w:pPr>
        <w:spacing w:after="120"/>
        <w:jc w:val="both"/>
        <w:rPr>
          <w:rFonts w:ascii="Arial" w:hAnsi="Arial" w:cs="Arial"/>
          <w:color w:val="000000"/>
          <w:sz w:val="20"/>
        </w:rPr>
      </w:pPr>
      <w:r w:rsidRPr="00785E1A">
        <w:rPr>
          <w:rFonts w:ascii="Arial" w:hAnsi="Arial" w:cs="Arial"/>
          <w:color w:val="000000"/>
          <w:sz w:val="20"/>
        </w:rPr>
        <w:t xml:space="preserve">The following table – 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 xml:space="preserve">in the Child Welfare Series published by the Australian Institute of Health and Welfare, Canberra </w:t>
      </w:r>
      <w:r w:rsidRPr="00785E1A">
        <w:rPr>
          <w:rFonts w:ascii="Arial" w:hAnsi="Arial" w:cs="Arial"/>
          <w:color w:val="000000"/>
          <w:sz w:val="20"/>
        </w:rPr>
        <w:t xml:space="preserve">– shows the origin in percentage terms of investigated child protection reports </w:t>
      </w:r>
      <w:r w:rsidR="00926EE1" w:rsidRPr="00785E1A">
        <w:rPr>
          <w:rFonts w:ascii="Arial" w:hAnsi="Arial" w:cs="Arial"/>
          <w:color w:val="000000"/>
          <w:sz w:val="20"/>
        </w:rPr>
        <w:t>in Victoria</w:t>
      </w:r>
      <w:r w:rsidRPr="00785E1A">
        <w:rPr>
          <w:rFonts w:ascii="Arial" w:hAnsi="Arial" w:cs="Arial"/>
          <w:color w:val="000000"/>
          <w:sz w:val="20"/>
        </w:rPr>
        <w:t xml:space="preserve"> in </w:t>
      </w:r>
      <w:r w:rsidR="00926EE1" w:rsidRPr="00785E1A">
        <w:rPr>
          <w:rFonts w:ascii="Arial" w:hAnsi="Arial" w:cs="Arial"/>
          <w:color w:val="000000"/>
          <w:sz w:val="20"/>
        </w:rPr>
        <w:t xml:space="preserve">2007-2008, </w:t>
      </w:r>
      <w:r w:rsidRPr="00785E1A">
        <w:rPr>
          <w:rFonts w:ascii="Arial" w:hAnsi="Arial" w:cs="Arial"/>
          <w:color w:val="000000"/>
          <w:sz w:val="20"/>
        </w:rPr>
        <w:t>2008-2009 &amp; 2009</w:t>
      </w:r>
      <w:r w:rsidR="00BB0650" w:rsidRPr="00785E1A">
        <w:rPr>
          <w:rFonts w:ascii="Arial" w:hAnsi="Arial" w:cs="Arial"/>
          <w:color w:val="000000"/>
          <w:sz w:val="20"/>
        </w:rPr>
        <w:noBreakHyphen/>
      </w:r>
      <w:r w:rsidRPr="00785E1A">
        <w:rPr>
          <w:rFonts w:ascii="Arial" w:hAnsi="Arial" w:cs="Arial"/>
          <w:color w:val="000000"/>
          <w:sz w:val="20"/>
        </w:rPr>
        <w:t>2010:</w:t>
      </w:r>
    </w:p>
    <w:tbl>
      <w:tblPr>
        <w:tblW w:w="839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8"/>
        <w:gridCol w:w="1678"/>
        <w:gridCol w:w="1678"/>
        <w:gridCol w:w="1678"/>
      </w:tblGrid>
      <w:tr w:rsidR="00926EE1" w:rsidRPr="00DB31F5" w14:paraId="1AB17971" w14:textId="77777777" w:rsidTr="00DB31F5">
        <w:tc>
          <w:tcPr>
            <w:tcW w:w="2000" w:type="pct"/>
            <w:tcBorders>
              <w:top w:val="single" w:sz="18" w:space="0" w:color="auto"/>
              <w:bottom w:val="single" w:sz="18" w:space="0" w:color="auto"/>
            </w:tcBorders>
            <w:shd w:val="pct10" w:color="auto" w:fill="auto"/>
          </w:tcPr>
          <w:p w14:paraId="19F94D87"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0C1FF370"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2007-2008</w:t>
            </w:r>
          </w:p>
        </w:tc>
        <w:tc>
          <w:tcPr>
            <w:tcW w:w="1000" w:type="pct"/>
            <w:tcBorders>
              <w:top w:val="single" w:sz="18" w:space="0" w:color="auto"/>
              <w:bottom w:val="single" w:sz="18" w:space="0" w:color="auto"/>
            </w:tcBorders>
            <w:shd w:val="pct10" w:color="auto" w:fill="auto"/>
          </w:tcPr>
          <w:p w14:paraId="40CAB6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2008-2009</w:t>
            </w:r>
          </w:p>
        </w:tc>
        <w:tc>
          <w:tcPr>
            <w:tcW w:w="1000" w:type="pct"/>
            <w:tcBorders>
              <w:top w:val="single" w:sz="18" w:space="0" w:color="auto"/>
              <w:bottom w:val="single" w:sz="18" w:space="0" w:color="auto"/>
            </w:tcBorders>
            <w:shd w:val="pct10" w:color="auto" w:fill="auto"/>
          </w:tcPr>
          <w:p w14:paraId="3BC549EA"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2009-2010</w:t>
            </w:r>
          </w:p>
        </w:tc>
      </w:tr>
      <w:tr w:rsidR="00926EE1" w:rsidRPr="00DB31F5" w14:paraId="33635100" w14:textId="77777777" w:rsidTr="00DB31F5">
        <w:tc>
          <w:tcPr>
            <w:tcW w:w="2000" w:type="pct"/>
            <w:tcBorders>
              <w:top w:val="single" w:sz="18" w:space="0" w:color="auto"/>
              <w:bottom w:val="single" w:sz="4" w:space="0" w:color="auto"/>
            </w:tcBorders>
            <w:shd w:val="clear" w:color="auto" w:fill="auto"/>
          </w:tcPr>
          <w:p w14:paraId="258C98F4"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shd w:val="clear" w:color="auto" w:fill="auto"/>
          </w:tcPr>
          <w:p w14:paraId="1DD48543"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shd w:val="clear" w:color="auto" w:fill="auto"/>
          </w:tcPr>
          <w:p w14:paraId="7D090CCA"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shd w:val="clear" w:color="auto" w:fill="auto"/>
          </w:tcPr>
          <w:p w14:paraId="5F3C9D1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267FE989" w14:textId="77777777" w:rsidTr="00DB31F5">
        <w:tc>
          <w:tcPr>
            <w:tcW w:w="2000" w:type="pct"/>
            <w:tcBorders>
              <w:top w:val="single" w:sz="4" w:space="0" w:color="auto"/>
            </w:tcBorders>
            <w:shd w:val="clear" w:color="auto" w:fill="auto"/>
          </w:tcPr>
          <w:p w14:paraId="04273815"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shd w:val="clear" w:color="auto" w:fill="auto"/>
          </w:tcPr>
          <w:p w14:paraId="6F9F3140"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shd w:val="clear" w:color="auto" w:fill="auto"/>
          </w:tcPr>
          <w:p w14:paraId="49316A3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shd w:val="clear" w:color="auto" w:fill="auto"/>
          </w:tcPr>
          <w:p w14:paraId="07C4DDDC"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7AB439FF" w14:textId="77777777" w:rsidTr="00DB31F5">
        <w:tc>
          <w:tcPr>
            <w:tcW w:w="2000" w:type="pct"/>
            <w:shd w:val="clear" w:color="auto" w:fill="auto"/>
          </w:tcPr>
          <w:p w14:paraId="142EF17B"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shd w:val="clear" w:color="auto" w:fill="auto"/>
          </w:tcPr>
          <w:p w14:paraId="67F2C4D0"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shd w:val="clear" w:color="auto" w:fill="auto"/>
          </w:tcPr>
          <w:p w14:paraId="67754430"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18C5E378"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5CDC5AAC" w14:textId="77777777" w:rsidTr="00DB31F5">
        <w:tc>
          <w:tcPr>
            <w:tcW w:w="2000" w:type="pct"/>
            <w:shd w:val="clear" w:color="auto" w:fill="auto"/>
          </w:tcPr>
          <w:p w14:paraId="6F21EFCF"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shd w:val="clear" w:color="auto" w:fill="auto"/>
          </w:tcPr>
          <w:p w14:paraId="03F9C1ED"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shd w:val="clear" w:color="auto" w:fill="auto"/>
          </w:tcPr>
          <w:p w14:paraId="1F915F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71B496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2FC9E685" w14:textId="77777777" w:rsidTr="00DB31F5">
        <w:tc>
          <w:tcPr>
            <w:tcW w:w="2000" w:type="pct"/>
            <w:shd w:val="clear" w:color="auto" w:fill="auto"/>
          </w:tcPr>
          <w:p w14:paraId="0C8F594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shd w:val="clear" w:color="auto" w:fill="auto"/>
          </w:tcPr>
          <w:p w14:paraId="72615FCB"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shd w:val="clear" w:color="auto" w:fill="auto"/>
          </w:tcPr>
          <w:p w14:paraId="1CA4EEE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shd w:val="clear" w:color="auto" w:fill="auto"/>
          </w:tcPr>
          <w:p w14:paraId="7E6CD23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129FFA1E" w14:textId="77777777" w:rsidTr="00DB31F5">
        <w:tc>
          <w:tcPr>
            <w:tcW w:w="2000" w:type="pct"/>
            <w:shd w:val="clear" w:color="auto" w:fill="auto"/>
          </w:tcPr>
          <w:p w14:paraId="6F9D421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shd w:val="clear" w:color="auto" w:fill="auto"/>
          </w:tcPr>
          <w:p w14:paraId="7EFCB0D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shd w:val="clear" w:color="auto" w:fill="auto"/>
          </w:tcPr>
          <w:p w14:paraId="3F19DFB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shd w:val="clear" w:color="auto" w:fill="auto"/>
          </w:tcPr>
          <w:p w14:paraId="5EA8F3D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59EB30CC" w14:textId="77777777" w:rsidTr="00DB31F5">
        <w:tc>
          <w:tcPr>
            <w:tcW w:w="2000" w:type="pct"/>
            <w:shd w:val="clear" w:color="auto" w:fill="auto"/>
          </w:tcPr>
          <w:p w14:paraId="1E4B1769"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shd w:val="clear" w:color="auto" w:fill="auto"/>
          </w:tcPr>
          <w:p w14:paraId="41CDC7B3"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0E72EC7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69E6E4F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6F93180B" w14:textId="77777777" w:rsidTr="00DB31F5">
        <w:tc>
          <w:tcPr>
            <w:tcW w:w="2000" w:type="pct"/>
            <w:shd w:val="clear" w:color="auto" w:fill="auto"/>
          </w:tcPr>
          <w:p w14:paraId="2EBBE41E"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shd w:val="clear" w:color="auto" w:fill="auto"/>
          </w:tcPr>
          <w:p w14:paraId="792B1CD9"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shd w:val="clear" w:color="auto" w:fill="auto"/>
          </w:tcPr>
          <w:p w14:paraId="05FEBBC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shd w:val="clear" w:color="auto" w:fill="auto"/>
          </w:tcPr>
          <w:p w14:paraId="187585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3B744C8D" w14:textId="77777777" w:rsidTr="00DB31F5">
        <w:tc>
          <w:tcPr>
            <w:tcW w:w="2000" w:type="pct"/>
            <w:shd w:val="clear" w:color="auto" w:fill="auto"/>
          </w:tcPr>
          <w:p w14:paraId="790E598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shd w:val="clear" w:color="auto" w:fill="auto"/>
          </w:tcPr>
          <w:p w14:paraId="368E644B"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shd w:val="clear" w:color="auto" w:fill="auto"/>
          </w:tcPr>
          <w:p w14:paraId="0FAA64A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shd w:val="clear" w:color="auto" w:fill="auto"/>
          </w:tcPr>
          <w:p w14:paraId="16E3C7C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01F912B8" w14:textId="77777777" w:rsidTr="00DB31F5">
        <w:tc>
          <w:tcPr>
            <w:tcW w:w="2000" w:type="pct"/>
            <w:shd w:val="clear" w:color="auto" w:fill="auto"/>
          </w:tcPr>
          <w:p w14:paraId="77A9919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shd w:val="clear" w:color="auto" w:fill="auto"/>
          </w:tcPr>
          <w:p w14:paraId="3F433BED"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shd w:val="clear" w:color="auto" w:fill="auto"/>
          </w:tcPr>
          <w:p w14:paraId="115EC67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shd w:val="clear" w:color="auto" w:fill="auto"/>
          </w:tcPr>
          <w:p w14:paraId="7BF1AFF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7DC2C981" w14:textId="77777777" w:rsidTr="00DB31F5">
        <w:tc>
          <w:tcPr>
            <w:tcW w:w="2000" w:type="pct"/>
            <w:shd w:val="clear" w:color="auto" w:fill="auto"/>
          </w:tcPr>
          <w:p w14:paraId="4B4FCAE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shd w:val="clear" w:color="auto" w:fill="auto"/>
          </w:tcPr>
          <w:p w14:paraId="4F28B4C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shd w:val="clear" w:color="auto" w:fill="auto"/>
          </w:tcPr>
          <w:p w14:paraId="67ABF62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shd w:val="clear" w:color="auto" w:fill="auto"/>
          </w:tcPr>
          <w:p w14:paraId="4B0E46E6"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C14EA15" w14:textId="77777777" w:rsidTr="00DB31F5">
        <w:tc>
          <w:tcPr>
            <w:tcW w:w="2000" w:type="pct"/>
            <w:shd w:val="clear" w:color="auto" w:fill="auto"/>
          </w:tcPr>
          <w:p w14:paraId="34B965E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shd w:val="clear" w:color="auto" w:fill="auto"/>
          </w:tcPr>
          <w:p w14:paraId="47873B7D"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A020BD2"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2B8C2FD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68998B6D" w14:textId="77777777" w:rsidTr="00DB31F5">
        <w:tc>
          <w:tcPr>
            <w:tcW w:w="2000" w:type="pct"/>
            <w:shd w:val="clear" w:color="auto" w:fill="auto"/>
          </w:tcPr>
          <w:p w14:paraId="0964F55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shd w:val="clear" w:color="auto" w:fill="auto"/>
          </w:tcPr>
          <w:p w14:paraId="01247F3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703149C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2DE9421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7BE426D7" w14:textId="77777777" w:rsidTr="00DB31F5">
        <w:tc>
          <w:tcPr>
            <w:tcW w:w="2000" w:type="pct"/>
            <w:tcBorders>
              <w:bottom w:val="single" w:sz="4" w:space="0" w:color="auto"/>
            </w:tcBorders>
            <w:shd w:val="clear" w:color="auto" w:fill="auto"/>
          </w:tcPr>
          <w:p w14:paraId="6586C65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shd w:val="clear" w:color="auto" w:fill="auto"/>
          </w:tcPr>
          <w:p w14:paraId="7E73C71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3AAA25E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2C7E147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BBA871D" w14:textId="77777777" w:rsidTr="00DB31F5">
        <w:tc>
          <w:tcPr>
            <w:tcW w:w="2000" w:type="pct"/>
            <w:tcBorders>
              <w:top w:val="single" w:sz="4" w:space="0" w:color="auto"/>
              <w:bottom w:val="single" w:sz="18" w:space="0" w:color="auto"/>
            </w:tcBorders>
            <w:shd w:val="clear" w:color="auto" w:fill="auto"/>
          </w:tcPr>
          <w:p w14:paraId="7AB311D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shd w:val="clear" w:color="auto" w:fill="auto"/>
          </w:tcPr>
          <w:p w14:paraId="42C0828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shd w:val="clear" w:color="auto" w:fill="auto"/>
          </w:tcPr>
          <w:p w14:paraId="6E5C6702"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shd w:val="clear" w:color="auto" w:fill="auto"/>
          </w:tcPr>
          <w:p w14:paraId="69E89C2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7091E52E" w14:textId="77777777" w:rsidTr="00DB31F5">
        <w:tc>
          <w:tcPr>
            <w:tcW w:w="2000" w:type="pct"/>
            <w:tcBorders>
              <w:top w:val="single" w:sz="18" w:space="0" w:color="auto"/>
              <w:bottom w:val="single" w:sz="18" w:space="0" w:color="auto"/>
            </w:tcBorders>
            <w:shd w:val="clear" w:color="auto" w:fill="auto"/>
          </w:tcPr>
          <w:p w14:paraId="5DDE374E"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shd w:val="clear" w:color="auto" w:fill="auto"/>
          </w:tcPr>
          <w:p w14:paraId="30FC8806"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shd w:val="clear" w:color="auto" w:fill="auto"/>
          </w:tcPr>
          <w:p w14:paraId="62FB1C1A"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shd w:val="clear" w:color="auto" w:fill="auto"/>
          </w:tcPr>
          <w:p w14:paraId="56720E0D"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28121B76" w14:textId="77777777" w:rsidR="00267046" w:rsidRPr="00785E1A" w:rsidRDefault="00267046" w:rsidP="00267046">
      <w:pPr>
        <w:jc w:val="both"/>
        <w:rPr>
          <w:rFonts w:ascii="Arial" w:hAnsi="Arial" w:cs="Arial"/>
          <w:color w:val="000000"/>
          <w:sz w:val="20"/>
        </w:rPr>
      </w:pPr>
    </w:p>
    <w:p w14:paraId="59B43A2F" w14:textId="77777777" w:rsidR="001372BD" w:rsidRPr="00785E1A" w:rsidRDefault="008D3A55" w:rsidP="00267046">
      <w:pPr>
        <w:jc w:val="both"/>
        <w:rPr>
          <w:rFonts w:ascii="Arial" w:hAnsi="Arial" w:cs="Arial"/>
          <w:color w:val="000000"/>
          <w:sz w:val="20"/>
        </w:rPr>
      </w:pPr>
      <w:r w:rsidRPr="00785E1A">
        <w:rPr>
          <w:rFonts w:ascii="Arial" w:hAnsi="Arial" w:cs="Arial"/>
          <w:color w:val="000000"/>
          <w:sz w:val="20"/>
        </w:rPr>
        <w:t xml:space="preserve">As in </w:t>
      </w:r>
      <w:smartTag w:uri="urn:schemas-microsoft-com:office:smarttags" w:element="State">
        <w:r w:rsidRPr="00785E1A">
          <w:rPr>
            <w:rFonts w:ascii="Arial" w:hAnsi="Arial" w:cs="Arial"/>
            <w:color w:val="000000"/>
            <w:sz w:val="20"/>
          </w:rPr>
          <w:t>Victoria</w:t>
        </w:r>
      </w:smartTag>
      <w:r w:rsidRPr="00785E1A">
        <w:rPr>
          <w:rFonts w:ascii="Arial" w:hAnsi="Arial" w:cs="Arial"/>
          <w:color w:val="000000"/>
          <w:sz w:val="20"/>
        </w:rPr>
        <w:t xml:space="preserve">, </w:t>
      </w:r>
      <w:r w:rsidR="001372BD" w:rsidRPr="00785E1A">
        <w:rPr>
          <w:rFonts w:ascii="Arial" w:hAnsi="Arial" w:cs="Arial"/>
          <w:color w:val="000000"/>
          <w:sz w:val="20"/>
        </w:rPr>
        <w:t xml:space="preserve">the most common source of </w:t>
      </w:r>
      <w:r w:rsidRPr="00785E1A">
        <w:rPr>
          <w:rFonts w:ascii="Arial" w:hAnsi="Arial" w:cs="Arial"/>
          <w:color w:val="000000"/>
          <w:sz w:val="20"/>
        </w:rPr>
        <w:t>child protection reports</w:t>
      </w:r>
      <w:r w:rsidR="001372BD" w:rsidRPr="00785E1A">
        <w:rPr>
          <w:rFonts w:ascii="Arial" w:hAnsi="Arial" w:cs="Arial"/>
          <w:color w:val="000000"/>
          <w:sz w:val="20"/>
        </w:rPr>
        <w:t xml:space="preserve"> for finalised investigations </w:t>
      </w:r>
      <w:r w:rsidRPr="00785E1A">
        <w:rPr>
          <w:rFonts w:ascii="Arial" w:hAnsi="Arial" w:cs="Arial"/>
          <w:color w:val="000000"/>
          <w:sz w:val="20"/>
        </w:rPr>
        <w:t xml:space="preserve">throughout </w:t>
      </w:r>
      <w:smartTag w:uri="urn:schemas-microsoft-com:office:smarttags" w:element="country-region">
        <w:smartTag w:uri="urn:schemas-microsoft-com:office:smarttags" w:element="place">
          <w:r w:rsidRPr="00785E1A">
            <w:rPr>
              <w:rFonts w:ascii="Arial" w:hAnsi="Arial" w:cs="Arial"/>
              <w:color w:val="000000"/>
              <w:sz w:val="20"/>
            </w:rPr>
            <w:t>Australia</w:t>
          </w:r>
        </w:smartTag>
      </w:smartTag>
      <w:r w:rsidRPr="00785E1A">
        <w:rPr>
          <w:rFonts w:ascii="Arial" w:hAnsi="Arial" w:cs="Arial"/>
          <w:color w:val="000000"/>
          <w:sz w:val="20"/>
        </w:rPr>
        <w:t xml:space="preserve"> </w:t>
      </w:r>
      <w:r w:rsidR="001372BD" w:rsidRPr="00785E1A">
        <w:rPr>
          <w:rFonts w:ascii="Arial" w:hAnsi="Arial" w:cs="Arial"/>
          <w:color w:val="000000"/>
          <w:sz w:val="20"/>
        </w:rPr>
        <w:t xml:space="preserve">was police.  </w:t>
      </w:r>
      <w:r w:rsidRPr="00785E1A">
        <w:rPr>
          <w:rFonts w:ascii="Arial" w:hAnsi="Arial" w:cs="Arial"/>
          <w:color w:val="000000"/>
          <w:sz w:val="20"/>
        </w:rPr>
        <w:t xml:space="preserve">In 2009-2010 the national average was 26%.  Also as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xml:space="preserve">, the second most common source of investigated child protection reports was school personnel.  In 2009-2010 the national average was 20%, a significantly higher figure than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To some extent</w:t>
      </w:r>
      <w:r w:rsidR="00705FED" w:rsidRPr="00785E1A">
        <w:rPr>
          <w:rFonts w:ascii="Arial" w:hAnsi="Arial" w:cs="Arial"/>
          <w:color w:val="000000"/>
          <w:sz w:val="20"/>
        </w:rPr>
        <w:t>,</w:t>
      </w:r>
      <w:r w:rsidRPr="00785E1A">
        <w:rPr>
          <w:rFonts w:ascii="Arial" w:hAnsi="Arial" w:cs="Arial"/>
          <w:color w:val="000000"/>
          <w:sz w:val="20"/>
        </w:rPr>
        <w:t xml:space="preserve"> this may reflect differences across the states and territories in mandatory reporting requirements.</w:t>
      </w:r>
    </w:p>
    <w:p w14:paraId="7228FF61" w14:textId="77777777" w:rsidR="001372BD" w:rsidRPr="00705FED" w:rsidRDefault="001372BD" w:rsidP="00267046">
      <w:pPr>
        <w:jc w:val="both"/>
        <w:rPr>
          <w:rFonts w:ascii="Arial" w:hAnsi="Arial" w:cs="Arial"/>
          <w:color w:val="000000"/>
          <w:sz w:val="20"/>
        </w:rPr>
      </w:pPr>
    </w:p>
    <w:p w14:paraId="29DA1211" w14:textId="77777777" w:rsidR="00023781" w:rsidRPr="00785E1A" w:rsidRDefault="00023781" w:rsidP="00023781">
      <w:pPr>
        <w:pStyle w:val="Heading3"/>
        <w:spacing w:line="240" w:lineRule="auto"/>
        <w:rPr>
          <w:rFonts w:ascii="Arial" w:hAnsi="Arial" w:cs="Arial"/>
          <w:b/>
          <w:bCs/>
          <w:color w:val="000000"/>
          <w:sz w:val="20"/>
        </w:rPr>
      </w:pPr>
      <w:bookmarkStart w:id="764" w:name="_Toc30648175"/>
      <w:bookmarkStart w:id="765" w:name="_Toc30649073"/>
      <w:bookmarkStart w:id="766" w:name="_Toc30649149"/>
      <w:bookmarkStart w:id="767" w:name="_Toc30649410"/>
      <w:bookmarkStart w:id="768" w:name="_Toc30649735"/>
      <w:bookmarkStart w:id="769" w:name="_Toc30651675"/>
      <w:bookmarkStart w:id="770" w:name="_Toc30652665"/>
      <w:bookmarkStart w:id="771" w:name="_Toc30652761"/>
      <w:bookmarkStart w:id="772" w:name="_Toc30654106"/>
      <w:bookmarkStart w:id="773" w:name="_Toc30654457"/>
      <w:bookmarkStart w:id="774" w:name="_Toc30655076"/>
      <w:bookmarkStart w:id="775" w:name="_Toc30655333"/>
      <w:bookmarkStart w:id="776" w:name="_Toc30657011"/>
      <w:bookmarkStart w:id="777" w:name="_Toc30661760"/>
      <w:bookmarkStart w:id="778" w:name="_Toc30666448"/>
      <w:bookmarkStart w:id="779" w:name="_Toc30666678"/>
      <w:bookmarkStart w:id="780" w:name="_Toc30667853"/>
      <w:bookmarkStart w:id="781" w:name="_Toc30669231"/>
      <w:bookmarkStart w:id="782" w:name="_Toc30671447"/>
      <w:bookmarkStart w:id="783" w:name="_Toc30673974"/>
      <w:bookmarkStart w:id="784" w:name="_Toc30691196"/>
      <w:bookmarkStart w:id="785" w:name="_Toc30691569"/>
      <w:bookmarkStart w:id="786" w:name="_Toc30691949"/>
      <w:bookmarkStart w:id="787" w:name="_Toc30692708"/>
      <w:bookmarkStart w:id="788" w:name="_Toc30693087"/>
      <w:bookmarkStart w:id="789" w:name="_Toc30693465"/>
      <w:bookmarkStart w:id="790" w:name="_Toc30693843"/>
      <w:bookmarkStart w:id="791" w:name="_Toc30694224"/>
      <w:bookmarkStart w:id="792" w:name="_Toc30698813"/>
      <w:bookmarkStart w:id="793" w:name="_Toc30699191"/>
      <w:bookmarkStart w:id="794" w:name="_Toc30699576"/>
      <w:bookmarkStart w:id="795" w:name="_Toc30700731"/>
      <w:bookmarkStart w:id="796" w:name="_Toc30701118"/>
      <w:bookmarkStart w:id="797" w:name="_Toc30743727"/>
      <w:bookmarkStart w:id="798" w:name="_Toc30754550"/>
      <w:bookmarkStart w:id="799" w:name="_Toc30756990"/>
      <w:bookmarkStart w:id="800" w:name="_Toc30757539"/>
      <w:bookmarkStart w:id="801" w:name="_Toc30757939"/>
      <w:bookmarkStart w:id="802" w:name="_Toc30762700"/>
      <w:bookmarkStart w:id="803" w:name="_Toc30767354"/>
      <w:bookmarkStart w:id="804" w:name="_Toc34823370"/>
      <w:bookmarkStart w:id="805" w:name="_4.6.4_Trends_in"/>
      <w:bookmarkStart w:id="806" w:name="B464"/>
      <w:bookmarkEnd w:id="805"/>
      <w:bookmarkEnd w:id="806"/>
      <w:r>
        <w:rPr>
          <w:rFonts w:ascii="Arial" w:hAnsi="Arial" w:cs="Arial"/>
          <w:b/>
          <w:bCs/>
          <w:color w:val="000000"/>
          <w:sz w:val="20"/>
        </w:rPr>
        <w:t>4.6.4</w:t>
      </w:r>
      <w:r>
        <w:rPr>
          <w:rFonts w:ascii="Arial" w:hAnsi="Arial" w:cs="Arial"/>
          <w:b/>
          <w:bCs/>
          <w:color w:val="000000"/>
          <w:sz w:val="20"/>
        </w:rPr>
        <w:tab/>
      </w:r>
      <w:r w:rsidR="00693223" w:rsidRPr="003D5DFA">
        <w:rPr>
          <w:rFonts w:ascii="Arial" w:hAnsi="Arial" w:cs="Arial"/>
          <w:b/>
          <w:bCs/>
          <w:color w:val="000000"/>
          <w:sz w:val="20"/>
        </w:rPr>
        <w:t xml:space="preserve">Trends in </w:t>
      </w:r>
      <w:r w:rsidR="008D3A55" w:rsidRPr="003D5DFA">
        <w:rPr>
          <w:rFonts w:ascii="Arial" w:hAnsi="Arial" w:cs="Arial"/>
          <w:b/>
          <w:bCs/>
          <w:color w:val="000000"/>
          <w:sz w:val="20"/>
        </w:rPr>
        <w:t xml:space="preserve">child protection </w:t>
      </w:r>
      <w:r w:rsidR="001B04CC" w:rsidRPr="003D5DFA">
        <w:rPr>
          <w:rFonts w:ascii="Arial" w:hAnsi="Arial" w:cs="Arial"/>
          <w:b/>
          <w:bCs/>
          <w:color w:val="000000"/>
          <w:sz w:val="20"/>
        </w:rPr>
        <w:t>reports</w:t>
      </w:r>
      <w:r w:rsidR="00693223" w:rsidRPr="003D5DFA">
        <w:rPr>
          <w:rFonts w:ascii="Arial" w:hAnsi="Arial" w:cs="Arial"/>
          <w:b/>
          <w:bCs/>
          <w:color w:val="000000"/>
          <w:sz w:val="20"/>
        </w:rPr>
        <w:t xml:space="preserve"> 1989</w:t>
      </w:r>
      <w:r w:rsidR="00E732EA" w:rsidRPr="003D5DFA">
        <w:rPr>
          <w:rFonts w:ascii="Arial" w:hAnsi="Arial" w:cs="Arial"/>
          <w:b/>
          <w:bCs/>
          <w:color w:val="000000"/>
          <w:sz w:val="20"/>
        </w:rPr>
        <w:t>-1990</w:t>
      </w:r>
      <w:r w:rsidR="00693223" w:rsidRPr="003D5DFA">
        <w:rPr>
          <w:rFonts w:ascii="Arial" w:hAnsi="Arial" w:cs="Arial"/>
          <w:b/>
          <w:bCs/>
          <w:color w:val="000000"/>
          <w:sz w:val="20"/>
        </w:rPr>
        <w:t xml:space="preserve"> to </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sidR="00177067" w:rsidRPr="003D5DFA">
        <w:rPr>
          <w:rFonts w:ascii="Arial" w:hAnsi="Arial" w:cs="Arial"/>
          <w:b/>
          <w:bCs/>
          <w:color w:val="000000"/>
          <w:sz w:val="20"/>
        </w:rPr>
        <w:t>201</w:t>
      </w:r>
      <w:r w:rsidR="00A309B2">
        <w:rPr>
          <w:rFonts w:ascii="Arial" w:hAnsi="Arial" w:cs="Arial"/>
          <w:b/>
          <w:bCs/>
          <w:color w:val="000000"/>
          <w:sz w:val="20"/>
        </w:rPr>
        <w:t>2</w:t>
      </w:r>
      <w:r w:rsidR="00177067" w:rsidRPr="003D5DFA">
        <w:rPr>
          <w:rFonts w:ascii="Arial" w:hAnsi="Arial" w:cs="Arial"/>
          <w:b/>
          <w:bCs/>
          <w:color w:val="000000"/>
          <w:sz w:val="20"/>
        </w:rPr>
        <w:t>-201</w:t>
      </w:r>
      <w:r w:rsidR="00A309B2">
        <w:rPr>
          <w:rFonts w:ascii="Arial" w:hAnsi="Arial" w:cs="Arial"/>
          <w:b/>
          <w:bCs/>
          <w:color w:val="000000"/>
          <w:sz w:val="20"/>
        </w:rPr>
        <w:t>3</w:t>
      </w:r>
    </w:p>
    <w:p w14:paraId="2DF3EA52" w14:textId="77777777" w:rsidR="00E732EA" w:rsidRPr="00705FED" w:rsidRDefault="00E732EA" w:rsidP="00E732EA">
      <w:pPr>
        <w:pStyle w:val="Heading3"/>
        <w:spacing w:line="240" w:lineRule="auto"/>
        <w:rPr>
          <w:rFonts w:ascii="Arial" w:hAnsi="Arial" w:cs="Arial"/>
          <w:b/>
          <w:bCs/>
          <w:color w:val="000000"/>
          <w:sz w:val="20"/>
        </w:rPr>
      </w:pPr>
    </w:p>
    <w:p w14:paraId="017124F5" w14:textId="77777777" w:rsidR="00023781" w:rsidRPr="00785E1A" w:rsidRDefault="00705FED" w:rsidP="00023781">
      <w:pPr>
        <w:keepNext/>
        <w:keepLines/>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have </w:t>
      </w:r>
      <w:r w:rsidRPr="00785E1A">
        <w:rPr>
          <w:rFonts w:ascii="Arial" w:hAnsi="Arial" w:cs="Arial"/>
          <w:color w:val="000000"/>
          <w:sz w:val="20"/>
        </w:rPr>
        <w:t>been relatively stable although the proportion substantiated has fallen slightly.</w:t>
      </w:r>
    </w:p>
    <w:p w14:paraId="6CA38452" w14:textId="77777777" w:rsidR="00705FED" w:rsidRPr="00785E1A" w:rsidRDefault="00705FED" w:rsidP="00E732EA">
      <w:pPr>
        <w:pStyle w:val="Heading3"/>
        <w:spacing w:line="240" w:lineRule="auto"/>
        <w:rPr>
          <w:rFonts w:ascii="Arial" w:hAnsi="Arial" w:cs="Arial"/>
          <w:b/>
          <w:bCs/>
          <w:color w:val="000000"/>
          <w:sz w:val="16"/>
        </w:rPr>
      </w:pPr>
    </w:p>
    <w:p w14:paraId="58183C45" w14:textId="5A91A16E" w:rsidR="00E732EA" w:rsidRDefault="00200DEF" w:rsidP="00E732EA">
      <w:pPr>
        <w:jc w:val="both"/>
        <w:rPr>
          <w:rFonts w:ascii="Arial" w:hAnsi="Arial" w:cs="Arial"/>
          <w:sz w:val="20"/>
        </w:rPr>
      </w:pPr>
      <w:r>
        <w:rPr>
          <w:rFonts w:ascii="Arial" w:hAnsi="Arial" w:cs="Arial"/>
          <w:noProof/>
          <w:sz w:val="20"/>
        </w:rPr>
        <mc:AlternateContent>
          <mc:Choice Requires="wpg">
            <w:drawing>
              <wp:inline distT="0" distB="0" distL="0" distR="0" wp14:anchorId="226051E5" wp14:editId="3CCE8A04">
                <wp:extent cx="5255895" cy="2740660"/>
                <wp:effectExtent l="36195" t="34925" r="41910" b="34290"/>
                <wp:docPr id="4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740660"/>
                          <a:chOff x="1825" y="4516"/>
                          <a:chExt cx="8634" cy="4316"/>
                        </a:xfrm>
                      </wpg:grpSpPr>
                      <wpg:graphicFrame>
                        <wpg:cNvPr id="50" name="Object 141"/>
                        <wpg:cNvFrPr>
                          <a:graphicFrameLocks noChangeAspect="1"/>
                        </wpg:cNvFrPr>
                        <wpg:xfrm>
                          <a:off x="1825" y="4516"/>
                          <a:ext cx="8634" cy="4316"/>
                        </wpg:xfrm>
                        <a:graphic>
                          <a:graphicData uri="http://schemas.openxmlformats.org/drawingml/2006/chart">
                            <c:chart xmlns:c="http://schemas.openxmlformats.org/drawingml/2006/chart" xmlns:r="http://schemas.openxmlformats.org/officeDocument/2006/relationships" r:id="rId10"/>
                          </a:graphicData>
                        </a:graphic>
                      </wpg:graphicFrame>
                      <wpg:grpSp>
                        <wpg:cNvPr id="51" name="Group 142"/>
                        <wpg:cNvGrpSpPr>
                          <a:grpSpLocks/>
                        </wpg:cNvGrpSpPr>
                        <wpg:grpSpPr bwMode="auto">
                          <a:xfrm>
                            <a:off x="3728" y="4628"/>
                            <a:ext cx="1931" cy="1808"/>
                            <a:chOff x="3730" y="2456"/>
                            <a:chExt cx="1931" cy="1808"/>
                          </a:xfrm>
                        </wpg:grpSpPr>
                        <wps:wsp>
                          <wps:cNvPr id="52" name="Text Box 143"/>
                          <wps:cNvSpPr txBox="1">
                            <a:spLocks noChangeArrowheads="1"/>
                          </wps:cNvSpPr>
                          <wps:spPr bwMode="auto">
                            <a:xfrm>
                              <a:off x="3730" y="2456"/>
                              <a:ext cx="1931" cy="108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12EECCA"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wps:txbx>
                          <wps:bodyPr rot="0" vert="horz" wrap="square" lIns="91440" tIns="45720" rIns="91440" bIns="45720" anchor="t" anchorCtr="0" upright="1">
                            <a:noAutofit/>
                          </wps:bodyPr>
                        </wps:wsp>
                        <wps:wsp>
                          <wps:cNvPr id="53" name="Line 144"/>
                          <wps:cNvCnPr>
                            <a:cxnSpLocks noChangeShapeType="1"/>
                          </wps:cNvCnPr>
                          <wps:spPr bwMode="auto">
                            <a:xfrm>
                              <a:off x="4948" y="3483"/>
                              <a:ext cx="245" cy="781"/>
                            </a:xfrm>
                            <a:prstGeom prst="line">
                              <a:avLst/>
                            </a:prstGeom>
                            <a:noFill/>
                            <a:ln w="635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grpSp>
                      <wps:wsp>
                        <wps:cNvPr id="54" name="Text Box 145"/>
                        <wps:cNvSpPr txBox="1">
                          <a:spLocks noChangeArrowheads="1"/>
                        </wps:cNvSpPr>
                        <wps:spPr bwMode="auto">
                          <a:xfrm>
                            <a:off x="5779" y="6498"/>
                            <a:ext cx="1955" cy="125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9106D22"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wps:txbx>
                        <wps:bodyPr rot="0" vert="horz" wrap="square" lIns="91440" tIns="45720" rIns="91440" bIns="45720" anchor="t" anchorCtr="0" upright="1">
                          <a:noAutofit/>
                        </wps:bodyPr>
                      </wps:wsp>
                      <wps:wsp>
                        <wps:cNvPr id="55" name="Text Box 146"/>
                        <wps:cNvSpPr txBox="1">
                          <a:spLocks noChangeArrowheads="1"/>
                        </wps:cNvSpPr>
                        <wps:spPr bwMode="auto">
                          <a:xfrm>
                            <a:off x="8028" y="6500"/>
                            <a:ext cx="1951" cy="12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2417F4C"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5BD4B18" w14:textId="77777777" w:rsidR="00705FED" w:rsidRDefault="00705FED" w:rsidP="00705FED">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wps:txbx>
                        <wps:bodyPr rot="0" vert="horz" wrap="square" lIns="91440" tIns="45720" rIns="91440" bIns="45720" anchor="t" anchorCtr="0" upright="1">
                          <a:noAutofit/>
                        </wps:bodyPr>
                      </wps:wsp>
                      <wps:wsp>
                        <wps:cNvPr id="56" name="Line 147"/>
                        <wps:cNvCnPr>
                          <a:cxnSpLocks noChangeShapeType="1"/>
                        </wps:cNvCnPr>
                        <wps:spPr bwMode="auto">
                          <a:xfrm flipH="1" flipV="1">
                            <a:off x="5899" y="6076"/>
                            <a:ext cx="240" cy="48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148"/>
                        <wps:cNvCnPr>
                          <a:cxnSpLocks noChangeShapeType="1"/>
                        </wps:cNvCnPr>
                        <wps:spPr bwMode="auto">
                          <a:xfrm>
                            <a:off x="6139" y="5836"/>
                            <a:ext cx="2160" cy="60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6051E5" id="Group 140" o:spid="_x0000_s1026" style="width:413.85pt;height:215.8pt;mso-position-horizontal-relative:char;mso-position-vertical-relative:line" coordorigin="1825,4516" coordsize="8634,43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">
                <v:shape id="Object 141" o:spid="_x0000_s1027" type="#_x0000_t75" style="position:absolute;left:1795;top:4487;width:8692;height:43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">
                  <v:imagedata r:id="rId11" o:title=""/>
                </v:shape>
                <v:group id="Group 142" o:spid="_x0000_s1028"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202" coordsize="21600,21600" o:spt="202" path="m,l,21600r21600,l21600,xe">
                    <v:stroke joinstyle="miter"/>
                    <v:path gradientshapeok="t" o:connecttype="rect"/>
                  </v:shapetype>
                  <v:shape id="Text Box 143" o:spid="_x0000_s1029"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" stroked="f" strokeweight="0">
                    <v:textbox>
                      <w:txbxContent>
                        <w:p w14:paraId="712EECCA"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1030"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" strokeweight="5pt">
                    <v:stroke startarrowwidth="narrow" startarrowlength="short" endarrow="block"/>
                    <v:shadow color="#969696"/>
                  </v:line>
                </v:group>
                <v:shape id="Text Box 145" o:spid="_x0000_s1031"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" stroked="f" strokeweight="0">
                  <v:textbox>
                    <w:txbxContent>
                      <w:p w14:paraId="79106D22"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1032"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" stroked="f" strokeweight="0">
                  <v:textbox>
                    <w:txbxContent>
                      <w:p w14:paraId="22417F4C"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5BD4B18" w14:textId="77777777" w:rsidR="00705FED" w:rsidRDefault="00705FED" w:rsidP="00705FED">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1033"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" strokeweight="4.5pt">
                  <v:stroke endarrow="block"/>
                </v:line>
                <v:line id="Line 148" o:spid="_x0000_s1034"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" strokeweight="4.5pt">
                  <v:stroke startarrow="block"/>
                </v:line>
                <w10:anchorlock/>
              </v:group>
              <o:OLEObject Type="Embed" ProgID="Excel.Chart.8" ShapeID="Object 141" DrawAspect="Content" ObjectID="_1683027061" r:id="rId12">
                <o:FieldCodes>\s</o:FieldCodes>
              </o:OLEObject>
            </w:pict>
          </mc:Fallback>
        </mc:AlternateContent>
      </w:r>
    </w:p>
    <w:p w14:paraId="34CCF976" w14:textId="77777777" w:rsidR="00385B99" w:rsidRPr="00385B99" w:rsidRDefault="00385B99" w:rsidP="00385B99">
      <w:pPr>
        <w:jc w:val="center"/>
        <w:rPr>
          <w:rFonts w:ascii="Arial" w:hAnsi="Arial" w:cs="Arial"/>
          <w:b/>
          <w:color w:val="000000"/>
          <w:sz w:val="20"/>
        </w:rPr>
      </w:pPr>
    </w:p>
    <w:p w14:paraId="368AE7E7" w14:textId="77777777" w:rsidR="00385B99" w:rsidRPr="00785E1A" w:rsidRDefault="00385B99" w:rsidP="0094402D">
      <w:pPr>
        <w:keepNext/>
        <w:keepLines/>
        <w:jc w:val="both"/>
        <w:rPr>
          <w:rFonts w:ascii="Arial" w:hAnsi="Arial" w:cs="Arial"/>
          <w:color w:val="000000"/>
          <w:sz w:val="20"/>
        </w:rPr>
      </w:pPr>
      <w:r w:rsidRPr="00785E1A">
        <w:rPr>
          <w:rFonts w:ascii="Arial" w:hAnsi="Arial" w:cs="Arial"/>
          <w:color w:val="000000"/>
          <w:sz w:val="20"/>
        </w:rPr>
        <w:t>The proportion of non-mandated and mandated notifications in 1995-1996 and 2000-2001 and the changes in the respective reporting rates are shown in the following chart also provided in the afore-mentioned paper of Mr Peter Green, Manager DOHS Child Protection &amp; Care:</w:t>
      </w:r>
    </w:p>
    <w:p w14:paraId="09EF6010" w14:textId="77777777" w:rsidR="00385B99" w:rsidRPr="00785E1A" w:rsidRDefault="00385B99" w:rsidP="00385B99">
      <w:pPr>
        <w:jc w:val="both"/>
        <w:rPr>
          <w:rFonts w:ascii="Arial" w:hAnsi="Arial" w:cs="Arial"/>
          <w:color w:val="000000"/>
          <w:sz w:val="20"/>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2999"/>
        <w:gridCol w:w="953"/>
        <w:gridCol w:w="1086"/>
        <w:gridCol w:w="866"/>
        <w:gridCol w:w="1086"/>
        <w:gridCol w:w="1276"/>
      </w:tblGrid>
      <w:tr w:rsidR="00385B99" w:rsidRPr="00785E1A" w14:paraId="0FFB71FA" w14:textId="77777777" w:rsidTr="00193618">
        <w:tblPrEx>
          <w:tblCellMar>
            <w:top w:w="0" w:type="dxa"/>
            <w:bottom w:w="0" w:type="dxa"/>
          </w:tblCellMar>
        </w:tblPrEx>
        <w:trPr>
          <w:cantSplit/>
        </w:trPr>
        <w:tc>
          <w:tcPr>
            <w:tcW w:w="3349" w:type="dxa"/>
            <w:tcBorders>
              <w:bottom w:val="single" w:sz="18" w:space="0" w:color="auto"/>
            </w:tcBorders>
          </w:tcPr>
          <w:p w14:paraId="3F4502CE"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STATUS</w:t>
            </w:r>
          </w:p>
        </w:tc>
        <w:tc>
          <w:tcPr>
            <w:tcW w:w="2147" w:type="dxa"/>
            <w:gridSpan w:val="2"/>
            <w:tcBorders>
              <w:bottom w:val="single" w:sz="18" w:space="0" w:color="auto"/>
            </w:tcBorders>
          </w:tcPr>
          <w:p w14:paraId="55896D21"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1995-1996</w:t>
            </w:r>
          </w:p>
        </w:tc>
        <w:tc>
          <w:tcPr>
            <w:tcW w:w="2042" w:type="dxa"/>
            <w:gridSpan w:val="2"/>
            <w:tcBorders>
              <w:bottom w:val="single" w:sz="18" w:space="0" w:color="auto"/>
            </w:tcBorders>
          </w:tcPr>
          <w:p w14:paraId="142C7218"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2000-2001</w:t>
            </w:r>
          </w:p>
        </w:tc>
        <w:tc>
          <w:tcPr>
            <w:tcW w:w="1318" w:type="dxa"/>
            <w:tcBorders>
              <w:bottom w:val="single" w:sz="18" w:space="0" w:color="auto"/>
            </w:tcBorders>
          </w:tcPr>
          <w:p w14:paraId="0821B3CD"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 CHANGE</w:t>
            </w:r>
          </w:p>
        </w:tc>
      </w:tr>
      <w:tr w:rsidR="00385B99" w14:paraId="5A0A209E" w14:textId="77777777" w:rsidTr="00193618">
        <w:tblPrEx>
          <w:tblCellMar>
            <w:top w:w="0" w:type="dxa"/>
            <w:bottom w:w="0" w:type="dxa"/>
          </w:tblCellMar>
        </w:tblPrEx>
        <w:tc>
          <w:tcPr>
            <w:tcW w:w="3349" w:type="dxa"/>
            <w:tcBorders>
              <w:top w:val="single" w:sz="18" w:space="0" w:color="auto"/>
              <w:bottom w:val="single" w:sz="4" w:space="0" w:color="auto"/>
            </w:tcBorders>
          </w:tcPr>
          <w:p w14:paraId="3C5047A2" w14:textId="77777777" w:rsidR="00385B99" w:rsidRDefault="00385B99" w:rsidP="00385B99">
            <w:pPr>
              <w:jc w:val="both"/>
              <w:rPr>
                <w:rFonts w:ascii="Arial" w:hAnsi="Arial" w:cs="Arial"/>
                <w:sz w:val="20"/>
              </w:rPr>
            </w:pPr>
            <w:r>
              <w:rPr>
                <w:rFonts w:ascii="Arial" w:hAnsi="Arial" w:cs="Arial"/>
                <w:sz w:val="20"/>
              </w:rPr>
              <w:t>Non-mandated notifiers (including family, neighbours)</w:t>
            </w:r>
          </w:p>
        </w:tc>
        <w:tc>
          <w:tcPr>
            <w:tcW w:w="1004" w:type="dxa"/>
            <w:tcBorders>
              <w:top w:val="single" w:sz="18" w:space="0" w:color="auto"/>
              <w:bottom w:val="single" w:sz="4" w:space="0" w:color="auto"/>
            </w:tcBorders>
          </w:tcPr>
          <w:p w14:paraId="6ED8D416" w14:textId="77777777" w:rsidR="00385B99" w:rsidRDefault="00385B99" w:rsidP="00385B99">
            <w:pPr>
              <w:jc w:val="center"/>
              <w:rPr>
                <w:rFonts w:ascii="Arial" w:hAnsi="Arial" w:cs="Arial"/>
                <w:sz w:val="20"/>
              </w:rPr>
            </w:pPr>
          </w:p>
        </w:tc>
        <w:tc>
          <w:tcPr>
            <w:tcW w:w="1143" w:type="dxa"/>
            <w:tcBorders>
              <w:top w:val="single" w:sz="18" w:space="0" w:color="auto"/>
              <w:bottom w:val="single" w:sz="4" w:space="0" w:color="auto"/>
            </w:tcBorders>
          </w:tcPr>
          <w:p w14:paraId="0F4D3FB7" w14:textId="77777777" w:rsidR="00385B99" w:rsidRDefault="00385B99" w:rsidP="00385B99">
            <w:pPr>
              <w:jc w:val="center"/>
              <w:rPr>
                <w:rFonts w:ascii="Arial" w:hAnsi="Arial" w:cs="Arial"/>
                <w:sz w:val="20"/>
              </w:rPr>
            </w:pPr>
            <w:r>
              <w:rPr>
                <w:rFonts w:ascii="Arial" w:hAnsi="Arial" w:cs="Arial"/>
                <w:sz w:val="20"/>
              </w:rPr>
              <w:t>20,993</w:t>
            </w:r>
          </w:p>
        </w:tc>
        <w:tc>
          <w:tcPr>
            <w:tcW w:w="899" w:type="dxa"/>
            <w:tcBorders>
              <w:top w:val="single" w:sz="18" w:space="0" w:color="auto"/>
              <w:bottom w:val="single" w:sz="4" w:space="0" w:color="auto"/>
            </w:tcBorders>
          </w:tcPr>
          <w:p w14:paraId="2191FC5D" w14:textId="77777777" w:rsidR="00385B99" w:rsidRDefault="00385B99" w:rsidP="00385B99">
            <w:pPr>
              <w:jc w:val="center"/>
              <w:rPr>
                <w:rFonts w:ascii="Arial" w:hAnsi="Arial" w:cs="Arial"/>
                <w:sz w:val="20"/>
              </w:rPr>
            </w:pPr>
          </w:p>
        </w:tc>
        <w:tc>
          <w:tcPr>
            <w:tcW w:w="1143" w:type="dxa"/>
            <w:tcBorders>
              <w:top w:val="single" w:sz="18" w:space="0" w:color="auto"/>
              <w:bottom w:val="single" w:sz="4" w:space="0" w:color="auto"/>
            </w:tcBorders>
          </w:tcPr>
          <w:p w14:paraId="788B4E0E" w14:textId="77777777" w:rsidR="00385B99" w:rsidRDefault="00385B99" w:rsidP="00385B99">
            <w:pPr>
              <w:jc w:val="center"/>
              <w:rPr>
                <w:rFonts w:ascii="Arial" w:hAnsi="Arial" w:cs="Arial"/>
                <w:sz w:val="20"/>
              </w:rPr>
            </w:pPr>
            <w:r>
              <w:rPr>
                <w:rFonts w:ascii="Arial" w:hAnsi="Arial" w:cs="Arial"/>
                <w:sz w:val="20"/>
              </w:rPr>
              <w:t>23,146</w:t>
            </w:r>
          </w:p>
        </w:tc>
        <w:tc>
          <w:tcPr>
            <w:tcW w:w="1318" w:type="dxa"/>
            <w:tcBorders>
              <w:top w:val="single" w:sz="18" w:space="0" w:color="auto"/>
              <w:bottom w:val="single" w:sz="4" w:space="0" w:color="auto"/>
            </w:tcBorders>
          </w:tcPr>
          <w:p w14:paraId="133E59DD" w14:textId="77777777" w:rsidR="00385B99" w:rsidRDefault="00385B99" w:rsidP="00385B99">
            <w:pPr>
              <w:jc w:val="center"/>
              <w:rPr>
                <w:rFonts w:ascii="Arial" w:hAnsi="Arial" w:cs="Arial"/>
                <w:sz w:val="20"/>
              </w:rPr>
            </w:pPr>
            <w:r>
              <w:rPr>
                <w:rFonts w:ascii="Arial" w:hAnsi="Arial" w:cs="Arial"/>
                <w:sz w:val="20"/>
              </w:rPr>
              <w:t>+10%</w:t>
            </w:r>
          </w:p>
        </w:tc>
      </w:tr>
      <w:tr w:rsidR="00385B99" w14:paraId="76CEC51C" w14:textId="77777777" w:rsidTr="00193618">
        <w:tblPrEx>
          <w:tblCellMar>
            <w:top w:w="0" w:type="dxa"/>
            <w:bottom w:w="0" w:type="dxa"/>
          </w:tblCellMar>
        </w:tblPrEx>
        <w:tc>
          <w:tcPr>
            <w:tcW w:w="3349" w:type="dxa"/>
            <w:tcBorders>
              <w:top w:val="single" w:sz="4" w:space="0" w:color="auto"/>
            </w:tcBorders>
          </w:tcPr>
          <w:p w14:paraId="5192231E" w14:textId="77777777" w:rsidR="00385B99" w:rsidRDefault="00385B99" w:rsidP="00385B99">
            <w:pPr>
              <w:jc w:val="both"/>
              <w:rPr>
                <w:rFonts w:ascii="Arial" w:hAnsi="Arial" w:cs="Arial"/>
                <w:sz w:val="20"/>
              </w:rPr>
            </w:pPr>
            <w:r>
              <w:rPr>
                <w:rFonts w:ascii="Arial" w:hAnsi="Arial" w:cs="Arial"/>
                <w:sz w:val="20"/>
              </w:rPr>
              <w:t>All mandated professionals</w:t>
            </w:r>
          </w:p>
        </w:tc>
        <w:tc>
          <w:tcPr>
            <w:tcW w:w="1004" w:type="dxa"/>
            <w:tcBorders>
              <w:top w:val="single" w:sz="4" w:space="0" w:color="auto"/>
            </w:tcBorders>
          </w:tcPr>
          <w:p w14:paraId="6E5A07F1" w14:textId="77777777" w:rsidR="00385B99" w:rsidRDefault="00385B99" w:rsidP="00385B99">
            <w:pPr>
              <w:jc w:val="center"/>
              <w:rPr>
                <w:rFonts w:ascii="Arial" w:hAnsi="Arial" w:cs="Arial"/>
                <w:sz w:val="20"/>
              </w:rPr>
            </w:pPr>
          </w:p>
        </w:tc>
        <w:tc>
          <w:tcPr>
            <w:tcW w:w="1143" w:type="dxa"/>
            <w:tcBorders>
              <w:top w:val="single" w:sz="4" w:space="0" w:color="auto"/>
            </w:tcBorders>
          </w:tcPr>
          <w:p w14:paraId="0EEFA4C9" w14:textId="77777777" w:rsidR="00385B99" w:rsidRDefault="00385B99" w:rsidP="00385B99">
            <w:pPr>
              <w:jc w:val="center"/>
              <w:rPr>
                <w:rFonts w:ascii="Arial" w:hAnsi="Arial" w:cs="Arial"/>
                <w:sz w:val="20"/>
              </w:rPr>
            </w:pPr>
            <w:r>
              <w:rPr>
                <w:rFonts w:ascii="Arial" w:hAnsi="Arial" w:cs="Arial"/>
                <w:sz w:val="20"/>
              </w:rPr>
              <w:t>8,887</w:t>
            </w:r>
          </w:p>
        </w:tc>
        <w:tc>
          <w:tcPr>
            <w:tcW w:w="899" w:type="dxa"/>
            <w:tcBorders>
              <w:top w:val="single" w:sz="4" w:space="0" w:color="auto"/>
            </w:tcBorders>
          </w:tcPr>
          <w:p w14:paraId="1A916CCB" w14:textId="77777777" w:rsidR="00385B99" w:rsidRDefault="00385B99" w:rsidP="00385B99">
            <w:pPr>
              <w:jc w:val="center"/>
              <w:rPr>
                <w:rFonts w:ascii="Arial" w:hAnsi="Arial" w:cs="Arial"/>
                <w:sz w:val="20"/>
              </w:rPr>
            </w:pPr>
          </w:p>
        </w:tc>
        <w:tc>
          <w:tcPr>
            <w:tcW w:w="1143" w:type="dxa"/>
            <w:tcBorders>
              <w:top w:val="single" w:sz="4" w:space="0" w:color="auto"/>
            </w:tcBorders>
          </w:tcPr>
          <w:p w14:paraId="58075CF2" w14:textId="77777777" w:rsidR="00385B99" w:rsidRDefault="00385B99" w:rsidP="00385B99">
            <w:pPr>
              <w:jc w:val="center"/>
              <w:rPr>
                <w:rFonts w:ascii="Arial" w:hAnsi="Arial" w:cs="Arial"/>
                <w:sz w:val="20"/>
              </w:rPr>
            </w:pPr>
            <w:r>
              <w:rPr>
                <w:rFonts w:ascii="Arial" w:hAnsi="Arial" w:cs="Arial"/>
                <w:sz w:val="20"/>
              </w:rPr>
              <w:t>13,850</w:t>
            </w:r>
          </w:p>
        </w:tc>
        <w:tc>
          <w:tcPr>
            <w:tcW w:w="1318" w:type="dxa"/>
            <w:tcBorders>
              <w:top w:val="single" w:sz="4" w:space="0" w:color="auto"/>
            </w:tcBorders>
          </w:tcPr>
          <w:p w14:paraId="2D858868" w14:textId="77777777" w:rsidR="00385B99" w:rsidRDefault="00385B99" w:rsidP="00385B99">
            <w:pPr>
              <w:jc w:val="center"/>
              <w:rPr>
                <w:rFonts w:ascii="Arial" w:hAnsi="Arial" w:cs="Arial"/>
                <w:sz w:val="20"/>
              </w:rPr>
            </w:pPr>
            <w:r>
              <w:rPr>
                <w:rFonts w:ascii="Arial" w:hAnsi="Arial" w:cs="Arial"/>
                <w:sz w:val="20"/>
              </w:rPr>
              <w:t>+56%</w:t>
            </w:r>
          </w:p>
        </w:tc>
      </w:tr>
      <w:tr w:rsidR="00385B99" w14:paraId="16D930B8" w14:textId="77777777" w:rsidTr="00193618">
        <w:tblPrEx>
          <w:tblCellMar>
            <w:top w:w="0" w:type="dxa"/>
            <w:bottom w:w="0" w:type="dxa"/>
          </w:tblCellMar>
        </w:tblPrEx>
        <w:tc>
          <w:tcPr>
            <w:tcW w:w="3349" w:type="dxa"/>
          </w:tcPr>
          <w:p w14:paraId="756CC060" w14:textId="77777777" w:rsidR="00385B99" w:rsidRDefault="00385B99" w:rsidP="00385B99">
            <w:pPr>
              <w:jc w:val="right"/>
              <w:rPr>
                <w:rFonts w:ascii="Arial" w:hAnsi="Arial" w:cs="Arial"/>
                <w:sz w:val="20"/>
              </w:rPr>
            </w:pPr>
            <w:r>
              <w:rPr>
                <w:rFonts w:ascii="Arial" w:hAnsi="Arial" w:cs="Arial"/>
                <w:sz w:val="20"/>
              </w:rPr>
              <w:t>Police</w:t>
            </w:r>
          </w:p>
        </w:tc>
        <w:tc>
          <w:tcPr>
            <w:tcW w:w="1004" w:type="dxa"/>
          </w:tcPr>
          <w:p w14:paraId="681D10CB" w14:textId="77777777" w:rsidR="00385B99" w:rsidRDefault="00385B99" w:rsidP="00385B99">
            <w:pPr>
              <w:jc w:val="center"/>
              <w:rPr>
                <w:rFonts w:ascii="Arial" w:hAnsi="Arial" w:cs="Arial"/>
                <w:sz w:val="20"/>
              </w:rPr>
            </w:pPr>
            <w:r>
              <w:rPr>
                <w:rFonts w:ascii="Arial" w:hAnsi="Arial" w:cs="Arial"/>
                <w:sz w:val="20"/>
              </w:rPr>
              <w:t>4,492</w:t>
            </w:r>
          </w:p>
        </w:tc>
        <w:tc>
          <w:tcPr>
            <w:tcW w:w="1143" w:type="dxa"/>
          </w:tcPr>
          <w:p w14:paraId="3E1A2791" w14:textId="77777777" w:rsidR="00385B99" w:rsidRDefault="00385B99" w:rsidP="00385B99">
            <w:pPr>
              <w:jc w:val="center"/>
              <w:rPr>
                <w:rFonts w:ascii="Arial" w:hAnsi="Arial" w:cs="Arial"/>
                <w:sz w:val="20"/>
              </w:rPr>
            </w:pPr>
          </w:p>
        </w:tc>
        <w:tc>
          <w:tcPr>
            <w:tcW w:w="899" w:type="dxa"/>
          </w:tcPr>
          <w:p w14:paraId="0C6CCE21" w14:textId="77777777" w:rsidR="00385B99" w:rsidRDefault="00385B99" w:rsidP="00385B99">
            <w:pPr>
              <w:jc w:val="center"/>
              <w:rPr>
                <w:rFonts w:ascii="Arial" w:hAnsi="Arial" w:cs="Arial"/>
                <w:sz w:val="20"/>
              </w:rPr>
            </w:pPr>
            <w:r>
              <w:rPr>
                <w:rFonts w:ascii="Arial" w:hAnsi="Arial" w:cs="Arial"/>
                <w:sz w:val="20"/>
              </w:rPr>
              <w:t>6,707</w:t>
            </w:r>
          </w:p>
        </w:tc>
        <w:tc>
          <w:tcPr>
            <w:tcW w:w="1143" w:type="dxa"/>
          </w:tcPr>
          <w:p w14:paraId="452C8368" w14:textId="77777777" w:rsidR="00385B99" w:rsidRDefault="00385B99" w:rsidP="00385B99">
            <w:pPr>
              <w:jc w:val="center"/>
              <w:rPr>
                <w:rFonts w:ascii="Arial" w:hAnsi="Arial" w:cs="Arial"/>
                <w:sz w:val="20"/>
              </w:rPr>
            </w:pPr>
          </w:p>
        </w:tc>
        <w:tc>
          <w:tcPr>
            <w:tcW w:w="1318" w:type="dxa"/>
          </w:tcPr>
          <w:p w14:paraId="57BA0831" w14:textId="77777777" w:rsidR="00385B99" w:rsidRDefault="00385B99" w:rsidP="00385B99">
            <w:pPr>
              <w:jc w:val="center"/>
              <w:rPr>
                <w:rFonts w:ascii="Arial" w:hAnsi="Arial" w:cs="Arial"/>
                <w:sz w:val="20"/>
              </w:rPr>
            </w:pPr>
            <w:r>
              <w:rPr>
                <w:rFonts w:ascii="Arial" w:hAnsi="Arial" w:cs="Arial"/>
                <w:sz w:val="20"/>
              </w:rPr>
              <w:t>+49%</w:t>
            </w:r>
          </w:p>
        </w:tc>
      </w:tr>
      <w:tr w:rsidR="00385B99" w14:paraId="1D84FBAE" w14:textId="77777777" w:rsidTr="00193618">
        <w:tblPrEx>
          <w:tblCellMar>
            <w:top w:w="0" w:type="dxa"/>
            <w:bottom w:w="0" w:type="dxa"/>
          </w:tblCellMar>
        </w:tblPrEx>
        <w:tc>
          <w:tcPr>
            <w:tcW w:w="3349" w:type="dxa"/>
          </w:tcPr>
          <w:p w14:paraId="252ED26B" w14:textId="77777777" w:rsidR="00385B99" w:rsidRDefault="00385B99" w:rsidP="00385B99">
            <w:pPr>
              <w:jc w:val="right"/>
              <w:rPr>
                <w:rFonts w:ascii="Arial" w:hAnsi="Arial" w:cs="Arial"/>
                <w:sz w:val="20"/>
              </w:rPr>
            </w:pPr>
            <w:r>
              <w:rPr>
                <w:rFonts w:ascii="Arial" w:hAnsi="Arial" w:cs="Arial"/>
                <w:sz w:val="20"/>
              </w:rPr>
              <w:t>Teachers</w:t>
            </w:r>
          </w:p>
        </w:tc>
        <w:tc>
          <w:tcPr>
            <w:tcW w:w="1004" w:type="dxa"/>
          </w:tcPr>
          <w:p w14:paraId="104B28F8" w14:textId="77777777" w:rsidR="00385B99" w:rsidRDefault="00385B99" w:rsidP="00385B99">
            <w:pPr>
              <w:jc w:val="center"/>
              <w:rPr>
                <w:rFonts w:ascii="Arial" w:hAnsi="Arial" w:cs="Arial"/>
                <w:sz w:val="20"/>
              </w:rPr>
            </w:pPr>
            <w:r>
              <w:rPr>
                <w:rFonts w:ascii="Arial" w:hAnsi="Arial" w:cs="Arial"/>
                <w:sz w:val="20"/>
              </w:rPr>
              <w:t>2,798</w:t>
            </w:r>
          </w:p>
        </w:tc>
        <w:tc>
          <w:tcPr>
            <w:tcW w:w="1143" w:type="dxa"/>
          </w:tcPr>
          <w:p w14:paraId="2E6F5A42" w14:textId="77777777" w:rsidR="00385B99" w:rsidRDefault="00385B99" w:rsidP="00385B99">
            <w:pPr>
              <w:jc w:val="center"/>
              <w:rPr>
                <w:rFonts w:ascii="Arial" w:hAnsi="Arial" w:cs="Arial"/>
                <w:sz w:val="20"/>
              </w:rPr>
            </w:pPr>
          </w:p>
        </w:tc>
        <w:tc>
          <w:tcPr>
            <w:tcW w:w="899" w:type="dxa"/>
          </w:tcPr>
          <w:p w14:paraId="00E6573E" w14:textId="77777777" w:rsidR="00385B99" w:rsidRDefault="00385B99" w:rsidP="00385B99">
            <w:pPr>
              <w:jc w:val="center"/>
              <w:rPr>
                <w:rFonts w:ascii="Arial" w:hAnsi="Arial" w:cs="Arial"/>
                <w:sz w:val="20"/>
              </w:rPr>
            </w:pPr>
            <w:r>
              <w:rPr>
                <w:rFonts w:ascii="Arial" w:hAnsi="Arial" w:cs="Arial"/>
                <w:sz w:val="20"/>
              </w:rPr>
              <w:t>4,945</w:t>
            </w:r>
          </w:p>
        </w:tc>
        <w:tc>
          <w:tcPr>
            <w:tcW w:w="1143" w:type="dxa"/>
          </w:tcPr>
          <w:p w14:paraId="1FADA105" w14:textId="77777777" w:rsidR="00385B99" w:rsidRDefault="00385B99" w:rsidP="00385B99">
            <w:pPr>
              <w:jc w:val="center"/>
              <w:rPr>
                <w:rFonts w:ascii="Arial" w:hAnsi="Arial" w:cs="Arial"/>
                <w:sz w:val="20"/>
              </w:rPr>
            </w:pPr>
          </w:p>
        </w:tc>
        <w:tc>
          <w:tcPr>
            <w:tcW w:w="1318" w:type="dxa"/>
          </w:tcPr>
          <w:p w14:paraId="6306F8D5" w14:textId="77777777" w:rsidR="00385B99" w:rsidRDefault="00385B99" w:rsidP="00385B99">
            <w:pPr>
              <w:jc w:val="center"/>
              <w:rPr>
                <w:rFonts w:ascii="Arial" w:hAnsi="Arial" w:cs="Arial"/>
                <w:sz w:val="20"/>
              </w:rPr>
            </w:pPr>
            <w:r>
              <w:rPr>
                <w:rFonts w:ascii="Arial" w:hAnsi="Arial" w:cs="Arial"/>
                <w:sz w:val="20"/>
              </w:rPr>
              <w:t>+77%</w:t>
            </w:r>
          </w:p>
        </w:tc>
      </w:tr>
      <w:tr w:rsidR="00385B99" w14:paraId="7B3D99EC" w14:textId="77777777" w:rsidTr="00193618">
        <w:tblPrEx>
          <w:tblCellMar>
            <w:top w:w="0" w:type="dxa"/>
            <w:bottom w:w="0" w:type="dxa"/>
          </w:tblCellMar>
        </w:tblPrEx>
        <w:tc>
          <w:tcPr>
            <w:tcW w:w="3349" w:type="dxa"/>
          </w:tcPr>
          <w:p w14:paraId="11B7FA69" w14:textId="77777777" w:rsidR="00385B99" w:rsidRDefault="00385B99" w:rsidP="00385B99">
            <w:pPr>
              <w:jc w:val="right"/>
              <w:rPr>
                <w:rFonts w:ascii="Arial" w:hAnsi="Arial" w:cs="Arial"/>
                <w:sz w:val="20"/>
              </w:rPr>
            </w:pPr>
            <w:r>
              <w:rPr>
                <w:rFonts w:ascii="Arial" w:hAnsi="Arial" w:cs="Arial"/>
                <w:sz w:val="20"/>
              </w:rPr>
              <w:t>Nurses</w:t>
            </w:r>
          </w:p>
        </w:tc>
        <w:tc>
          <w:tcPr>
            <w:tcW w:w="1004" w:type="dxa"/>
          </w:tcPr>
          <w:p w14:paraId="5A0E4A76" w14:textId="77777777" w:rsidR="00385B99" w:rsidRDefault="00385B99" w:rsidP="00385B99">
            <w:pPr>
              <w:jc w:val="center"/>
              <w:rPr>
                <w:rFonts w:ascii="Arial" w:hAnsi="Arial" w:cs="Arial"/>
                <w:sz w:val="20"/>
              </w:rPr>
            </w:pPr>
            <w:r>
              <w:rPr>
                <w:rFonts w:ascii="Arial" w:hAnsi="Arial" w:cs="Arial"/>
                <w:sz w:val="20"/>
              </w:rPr>
              <w:t>538</w:t>
            </w:r>
          </w:p>
        </w:tc>
        <w:tc>
          <w:tcPr>
            <w:tcW w:w="1143" w:type="dxa"/>
          </w:tcPr>
          <w:p w14:paraId="714B732C" w14:textId="77777777" w:rsidR="00385B99" w:rsidRDefault="00385B99" w:rsidP="00385B99">
            <w:pPr>
              <w:jc w:val="center"/>
              <w:rPr>
                <w:rFonts w:ascii="Arial" w:hAnsi="Arial" w:cs="Arial"/>
                <w:sz w:val="20"/>
              </w:rPr>
            </w:pPr>
          </w:p>
        </w:tc>
        <w:tc>
          <w:tcPr>
            <w:tcW w:w="899" w:type="dxa"/>
          </w:tcPr>
          <w:p w14:paraId="768E44CF" w14:textId="77777777" w:rsidR="00385B99" w:rsidRDefault="00385B99" w:rsidP="00385B99">
            <w:pPr>
              <w:jc w:val="center"/>
              <w:rPr>
                <w:rFonts w:ascii="Arial" w:hAnsi="Arial" w:cs="Arial"/>
                <w:sz w:val="20"/>
              </w:rPr>
            </w:pPr>
            <w:r>
              <w:rPr>
                <w:rFonts w:ascii="Arial" w:hAnsi="Arial" w:cs="Arial"/>
                <w:sz w:val="20"/>
              </w:rPr>
              <w:t>1,119</w:t>
            </w:r>
          </w:p>
        </w:tc>
        <w:tc>
          <w:tcPr>
            <w:tcW w:w="1143" w:type="dxa"/>
          </w:tcPr>
          <w:p w14:paraId="4AF2B3B5" w14:textId="77777777" w:rsidR="00385B99" w:rsidRDefault="00385B99" w:rsidP="00385B99">
            <w:pPr>
              <w:jc w:val="center"/>
              <w:rPr>
                <w:rFonts w:ascii="Arial" w:hAnsi="Arial" w:cs="Arial"/>
                <w:sz w:val="20"/>
              </w:rPr>
            </w:pPr>
          </w:p>
        </w:tc>
        <w:tc>
          <w:tcPr>
            <w:tcW w:w="1318" w:type="dxa"/>
          </w:tcPr>
          <w:p w14:paraId="5BE4FFFE" w14:textId="77777777" w:rsidR="00385B99" w:rsidRDefault="00385B99" w:rsidP="00385B99">
            <w:pPr>
              <w:jc w:val="center"/>
              <w:rPr>
                <w:rFonts w:ascii="Arial" w:hAnsi="Arial" w:cs="Arial"/>
                <w:sz w:val="20"/>
              </w:rPr>
            </w:pPr>
            <w:r>
              <w:rPr>
                <w:rFonts w:ascii="Arial" w:hAnsi="Arial" w:cs="Arial"/>
                <w:sz w:val="20"/>
              </w:rPr>
              <w:t>+108%</w:t>
            </w:r>
          </w:p>
        </w:tc>
      </w:tr>
      <w:tr w:rsidR="00385B99" w14:paraId="13E7788B" w14:textId="77777777" w:rsidTr="00193618">
        <w:tblPrEx>
          <w:tblCellMar>
            <w:top w:w="0" w:type="dxa"/>
            <w:bottom w:w="0" w:type="dxa"/>
          </w:tblCellMar>
        </w:tblPrEx>
        <w:tc>
          <w:tcPr>
            <w:tcW w:w="3349" w:type="dxa"/>
            <w:tcBorders>
              <w:bottom w:val="single" w:sz="18" w:space="0" w:color="auto"/>
            </w:tcBorders>
          </w:tcPr>
          <w:p w14:paraId="0546ED19" w14:textId="77777777" w:rsidR="00385B99" w:rsidRDefault="00385B99" w:rsidP="00385B99">
            <w:pPr>
              <w:jc w:val="right"/>
              <w:rPr>
                <w:rFonts w:ascii="Arial" w:hAnsi="Arial" w:cs="Arial"/>
                <w:sz w:val="20"/>
              </w:rPr>
            </w:pPr>
            <w:r>
              <w:rPr>
                <w:rFonts w:ascii="Arial" w:hAnsi="Arial" w:cs="Arial"/>
                <w:sz w:val="20"/>
              </w:rPr>
              <w:t>Medical practitioners</w:t>
            </w:r>
          </w:p>
        </w:tc>
        <w:tc>
          <w:tcPr>
            <w:tcW w:w="1004" w:type="dxa"/>
            <w:tcBorders>
              <w:bottom w:val="single" w:sz="18" w:space="0" w:color="auto"/>
            </w:tcBorders>
          </w:tcPr>
          <w:p w14:paraId="0D027D06" w14:textId="77777777" w:rsidR="00385B99" w:rsidRDefault="00385B99" w:rsidP="00385B99">
            <w:pPr>
              <w:jc w:val="center"/>
              <w:rPr>
                <w:rFonts w:ascii="Arial" w:hAnsi="Arial" w:cs="Arial"/>
                <w:sz w:val="20"/>
              </w:rPr>
            </w:pPr>
            <w:r>
              <w:rPr>
                <w:rFonts w:ascii="Arial" w:hAnsi="Arial" w:cs="Arial"/>
                <w:sz w:val="20"/>
              </w:rPr>
              <w:t>1,049</w:t>
            </w:r>
          </w:p>
        </w:tc>
        <w:tc>
          <w:tcPr>
            <w:tcW w:w="1143" w:type="dxa"/>
            <w:tcBorders>
              <w:bottom w:val="single" w:sz="18" w:space="0" w:color="auto"/>
            </w:tcBorders>
          </w:tcPr>
          <w:p w14:paraId="338317B6" w14:textId="77777777" w:rsidR="00385B99" w:rsidRDefault="00385B99" w:rsidP="00385B99">
            <w:pPr>
              <w:jc w:val="center"/>
              <w:rPr>
                <w:rFonts w:ascii="Arial" w:hAnsi="Arial" w:cs="Arial"/>
                <w:sz w:val="20"/>
              </w:rPr>
            </w:pPr>
          </w:p>
        </w:tc>
        <w:tc>
          <w:tcPr>
            <w:tcW w:w="899" w:type="dxa"/>
            <w:tcBorders>
              <w:bottom w:val="single" w:sz="18" w:space="0" w:color="auto"/>
            </w:tcBorders>
          </w:tcPr>
          <w:p w14:paraId="4731745D" w14:textId="77777777" w:rsidR="00385B99" w:rsidRDefault="00385B99" w:rsidP="00385B99">
            <w:pPr>
              <w:jc w:val="center"/>
              <w:rPr>
                <w:rFonts w:ascii="Arial" w:hAnsi="Arial" w:cs="Arial"/>
                <w:sz w:val="20"/>
              </w:rPr>
            </w:pPr>
            <w:r>
              <w:rPr>
                <w:rFonts w:ascii="Arial" w:hAnsi="Arial" w:cs="Arial"/>
                <w:sz w:val="20"/>
              </w:rPr>
              <w:t>1,079</w:t>
            </w:r>
          </w:p>
        </w:tc>
        <w:tc>
          <w:tcPr>
            <w:tcW w:w="1143" w:type="dxa"/>
            <w:tcBorders>
              <w:bottom w:val="single" w:sz="18" w:space="0" w:color="auto"/>
            </w:tcBorders>
          </w:tcPr>
          <w:p w14:paraId="4F49E60E" w14:textId="77777777" w:rsidR="00385B99" w:rsidRDefault="00385B99" w:rsidP="00385B99">
            <w:pPr>
              <w:jc w:val="center"/>
              <w:rPr>
                <w:rFonts w:ascii="Arial" w:hAnsi="Arial" w:cs="Arial"/>
                <w:sz w:val="20"/>
              </w:rPr>
            </w:pPr>
          </w:p>
        </w:tc>
        <w:tc>
          <w:tcPr>
            <w:tcW w:w="1318" w:type="dxa"/>
            <w:tcBorders>
              <w:bottom w:val="single" w:sz="18" w:space="0" w:color="auto"/>
            </w:tcBorders>
          </w:tcPr>
          <w:p w14:paraId="610B91DB" w14:textId="77777777" w:rsidR="00385B99" w:rsidRDefault="00385B99" w:rsidP="00385B99">
            <w:pPr>
              <w:jc w:val="center"/>
              <w:rPr>
                <w:rFonts w:ascii="Arial" w:hAnsi="Arial" w:cs="Arial"/>
                <w:sz w:val="20"/>
              </w:rPr>
            </w:pPr>
            <w:r>
              <w:rPr>
                <w:rFonts w:ascii="Arial" w:hAnsi="Arial" w:cs="Arial"/>
                <w:sz w:val="20"/>
              </w:rPr>
              <w:t>+3%</w:t>
            </w:r>
          </w:p>
        </w:tc>
      </w:tr>
      <w:tr w:rsidR="00385B99" w14:paraId="51B09E16" w14:textId="77777777" w:rsidTr="00193618">
        <w:tblPrEx>
          <w:tblCellMar>
            <w:top w:w="0" w:type="dxa"/>
            <w:bottom w:w="0" w:type="dxa"/>
          </w:tblCellMar>
        </w:tblPrEx>
        <w:tc>
          <w:tcPr>
            <w:tcW w:w="3349" w:type="dxa"/>
            <w:tcBorders>
              <w:top w:val="single" w:sz="18" w:space="0" w:color="auto"/>
              <w:bottom w:val="single" w:sz="18" w:space="0" w:color="auto"/>
            </w:tcBorders>
          </w:tcPr>
          <w:p w14:paraId="32083B3F" w14:textId="77777777" w:rsidR="00385B99" w:rsidRDefault="00385B99" w:rsidP="00385B99">
            <w:pPr>
              <w:jc w:val="center"/>
              <w:rPr>
                <w:rFonts w:ascii="Arial" w:hAnsi="Arial" w:cs="Arial"/>
                <w:b/>
                <w:bCs/>
                <w:sz w:val="20"/>
              </w:rPr>
            </w:pPr>
            <w:r>
              <w:rPr>
                <w:rFonts w:ascii="Arial" w:hAnsi="Arial" w:cs="Arial"/>
                <w:b/>
                <w:bCs/>
                <w:sz w:val="20"/>
              </w:rPr>
              <w:t>TOTAL</w:t>
            </w:r>
          </w:p>
        </w:tc>
        <w:tc>
          <w:tcPr>
            <w:tcW w:w="1004" w:type="dxa"/>
            <w:tcBorders>
              <w:top w:val="single" w:sz="18" w:space="0" w:color="auto"/>
              <w:bottom w:val="single" w:sz="18" w:space="0" w:color="auto"/>
            </w:tcBorders>
          </w:tcPr>
          <w:p w14:paraId="00D5B60F" w14:textId="77777777" w:rsidR="00385B99" w:rsidRDefault="00385B99" w:rsidP="00385B99">
            <w:pPr>
              <w:jc w:val="center"/>
              <w:rPr>
                <w:rFonts w:ascii="Arial" w:hAnsi="Arial" w:cs="Arial"/>
                <w:sz w:val="20"/>
              </w:rPr>
            </w:pPr>
          </w:p>
        </w:tc>
        <w:tc>
          <w:tcPr>
            <w:tcW w:w="1143" w:type="dxa"/>
            <w:tcBorders>
              <w:top w:val="single" w:sz="18" w:space="0" w:color="auto"/>
              <w:bottom w:val="single" w:sz="18" w:space="0" w:color="auto"/>
            </w:tcBorders>
          </w:tcPr>
          <w:p w14:paraId="21B60C95" w14:textId="77777777" w:rsidR="00385B99" w:rsidRDefault="00385B99" w:rsidP="00385B99">
            <w:pPr>
              <w:jc w:val="center"/>
              <w:rPr>
                <w:rFonts w:ascii="Arial" w:hAnsi="Arial" w:cs="Arial"/>
                <w:sz w:val="20"/>
              </w:rPr>
            </w:pPr>
            <w:r>
              <w:rPr>
                <w:rFonts w:ascii="Arial" w:hAnsi="Arial" w:cs="Arial"/>
                <w:sz w:val="20"/>
              </w:rPr>
              <w:t>29,870</w:t>
            </w:r>
          </w:p>
        </w:tc>
        <w:tc>
          <w:tcPr>
            <w:tcW w:w="899" w:type="dxa"/>
            <w:tcBorders>
              <w:top w:val="single" w:sz="18" w:space="0" w:color="auto"/>
              <w:bottom w:val="single" w:sz="18" w:space="0" w:color="auto"/>
            </w:tcBorders>
          </w:tcPr>
          <w:p w14:paraId="600D6D45" w14:textId="77777777" w:rsidR="00385B99" w:rsidRDefault="00385B99" w:rsidP="00385B99">
            <w:pPr>
              <w:jc w:val="center"/>
              <w:rPr>
                <w:rFonts w:ascii="Arial" w:hAnsi="Arial" w:cs="Arial"/>
                <w:sz w:val="20"/>
              </w:rPr>
            </w:pPr>
          </w:p>
        </w:tc>
        <w:tc>
          <w:tcPr>
            <w:tcW w:w="1143" w:type="dxa"/>
            <w:tcBorders>
              <w:top w:val="single" w:sz="18" w:space="0" w:color="auto"/>
              <w:bottom w:val="single" w:sz="18" w:space="0" w:color="auto"/>
            </w:tcBorders>
          </w:tcPr>
          <w:p w14:paraId="7E25DDCC" w14:textId="77777777" w:rsidR="00385B99" w:rsidRDefault="00385B99" w:rsidP="00385B99">
            <w:pPr>
              <w:jc w:val="center"/>
              <w:rPr>
                <w:rFonts w:ascii="Arial" w:hAnsi="Arial" w:cs="Arial"/>
                <w:sz w:val="20"/>
              </w:rPr>
            </w:pPr>
            <w:r>
              <w:rPr>
                <w:rFonts w:ascii="Arial" w:hAnsi="Arial" w:cs="Arial"/>
                <w:sz w:val="20"/>
              </w:rPr>
              <w:t>36,966</w:t>
            </w:r>
          </w:p>
        </w:tc>
        <w:tc>
          <w:tcPr>
            <w:tcW w:w="1318" w:type="dxa"/>
            <w:tcBorders>
              <w:top w:val="single" w:sz="18" w:space="0" w:color="auto"/>
              <w:bottom w:val="single" w:sz="18" w:space="0" w:color="auto"/>
            </w:tcBorders>
          </w:tcPr>
          <w:p w14:paraId="0DBAC8A8" w14:textId="77777777" w:rsidR="00385B99" w:rsidRDefault="00385B99" w:rsidP="00385B99">
            <w:pPr>
              <w:jc w:val="center"/>
              <w:rPr>
                <w:rFonts w:ascii="Arial" w:hAnsi="Arial" w:cs="Arial"/>
                <w:sz w:val="20"/>
              </w:rPr>
            </w:pPr>
            <w:r>
              <w:rPr>
                <w:rFonts w:ascii="Arial" w:hAnsi="Arial" w:cs="Arial"/>
                <w:sz w:val="20"/>
              </w:rPr>
              <w:t>+24%</w:t>
            </w:r>
          </w:p>
        </w:tc>
      </w:tr>
    </w:tbl>
    <w:p w14:paraId="7FAD8FA6" w14:textId="77777777" w:rsidR="00385B99" w:rsidRDefault="00385B99" w:rsidP="00385B99">
      <w:pPr>
        <w:jc w:val="both"/>
        <w:rPr>
          <w:rFonts w:ascii="Arial" w:hAnsi="Arial" w:cs="Arial"/>
          <w:sz w:val="20"/>
        </w:rPr>
      </w:pPr>
    </w:p>
    <w:p w14:paraId="406CD575" w14:textId="77777777" w:rsidR="00385B99" w:rsidRDefault="00385B99" w:rsidP="00385B99">
      <w:pPr>
        <w:keepNext/>
        <w:keepLines/>
        <w:jc w:val="both"/>
        <w:rPr>
          <w:rFonts w:ascii="Arial" w:hAnsi="Arial" w:cs="Arial"/>
          <w:sz w:val="20"/>
        </w:rPr>
      </w:pPr>
      <w:r>
        <w:rPr>
          <w:rFonts w:ascii="Arial" w:hAnsi="Arial" w:cs="Arial"/>
          <w:sz w:val="20"/>
        </w:rPr>
        <w:t>Some general characteristics of notifications in 2002 were summarised by Mr Green as follows:</w:t>
      </w:r>
    </w:p>
    <w:p w14:paraId="2A45B09D" w14:textId="77777777" w:rsidR="00385B99" w:rsidRDefault="00385B99" w:rsidP="00385B99">
      <w:pPr>
        <w:numPr>
          <w:ilvl w:val="0"/>
          <w:numId w:val="12"/>
        </w:numPr>
        <w:jc w:val="both"/>
        <w:rPr>
          <w:rFonts w:ascii="Arial" w:hAnsi="Arial" w:cs="Arial"/>
          <w:sz w:val="20"/>
        </w:rPr>
      </w:pPr>
      <w:r>
        <w:rPr>
          <w:rFonts w:ascii="Arial" w:hAnsi="Arial" w:cs="Arial"/>
          <w:color w:val="000000"/>
          <w:sz w:val="20"/>
          <w:szCs w:val="12"/>
        </w:rPr>
        <w:t>very young children are over represented</w:t>
      </w:r>
    </w:p>
    <w:p w14:paraId="4E9538F9" w14:textId="77777777" w:rsidR="00385B99" w:rsidRDefault="00385B99" w:rsidP="00385B99">
      <w:pPr>
        <w:numPr>
          <w:ilvl w:val="0"/>
          <w:numId w:val="12"/>
        </w:numPr>
        <w:jc w:val="both"/>
        <w:rPr>
          <w:rFonts w:ascii="Arial" w:hAnsi="Arial" w:cs="Arial"/>
          <w:sz w:val="20"/>
        </w:rPr>
      </w:pPr>
      <w:r>
        <w:rPr>
          <w:rFonts w:ascii="Arial" w:hAnsi="Arial" w:cs="Arial"/>
          <w:color w:val="000000"/>
          <w:sz w:val="20"/>
          <w:szCs w:val="16"/>
          <w:lang w:val="en-US"/>
        </w:rPr>
        <w:t>k</w:t>
      </w:r>
      <w:r>
        <w:rPr>
          <w:rFonts w:ascii="Arial" w:hAnsi="Arial" w:cs="Arial"/>
          <w:color w:val="000000"/>
          <w:sz w:val="20"/>
          <w:szCs w:val="16"/>
        </w:rPr>
        <w:t>ey parental characteristics of investigated families: family violence, alcohol abuse, substance abuse, psychiatric, intellectual and physical disability</w:t>
      </w:r>
    </w:p>
    <w:p w14:paraId="4DB77C4D" w14:textId="77777777" w:rsidR="00385B99" w:rsidRDefault="00385B99" w:rsidP="00385B99">
      <w:pPr>
        <w:numPr>
          <w:ilvl w:val="0"/>
          <w:numId w:val="12"/>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132879A1" w14:textId="77777777" w:rsidR="00385B99" w:rsidRDefault="00385B99" w:rsidP="00385B99">
      <w:pPr>
        <w:numPr>
          <w:ilvl w:val="0"/>
          <w:numId w:val="12"/>
        </w:numPr>
        <w:jc w:val="both"/>
        <w:rPr>
          <w:rFonts w:ascii="Arial" w:hAnsi="Arial" w:cs="Arial"/>
          <w:sz w:val="20"/>
        </w:rPr>
      </w:pPr>
      <w:r>
        <w:rPr>
          <w:rFonts w:ascii="Arial" w:hAnsi="Arial" w:cs="Arial"/>
          <w:color w:val="000000"/>
          <w:sz w:val="20"/>
          <w:szCs w:val="12"/>
        </w:rPr>
        <w:t>77% of families investigated are low income</w:t>
      </w:r>
    </w:p>
    <w:p w14:paraId="12CEDF4C" w14:textId="77777777" w:rsidR="00385B99" w:rsidRDefault="00385B99" w:rsidP="00385B99">
      <w:pPr>
        <w:widowControl w:val="0"/>
        <w:numPr>
          <w:ilvl w:val="0"/>
          <w:numId w:val="11"/>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violence</w:t>
      </w:r>
    </w:p>
    <w:p w14:paraId="255916DD" w14:textId="77777777" w:rsidR="00385B99" w:rsidRDefault="00385B99" w:rsidP="00385B99">
      <w:pPr>
        <w:widowControl w:val="0"/>
        <w:numPr>
          <w:ilvl w:val="0"/>
          <w:numId w:val="11"/>
        </w:numPr>
        <w:jc w:val="both"/>
        <w:rPr>
          <w:rFonts w:ascii="Arial" w:hAnsi="Arial" w:cs="Arial"/>
          <w:color w:val="000000"/>
          <w:sz w:val="20"/>
          <w:szCs w:val="12"/>
        </w:rPr>
      </w:pPr>
      <w:r>
        <w:rPr>
          <w:rFonts w:ascii="Arial" w:hAnsi="Arial" w:cs="Arial"/>
          <w:color w:val="000000"/>
          <w:sz w:val="20"/>
          <w:szCs w:val="12"/>
        </w:rPr>
        <w:t>33% of parents investigated have substance abuse problems</w:t>
      </w:r>
    </w:p>
    <w:p w14:paraId="65CEF539" w14:textId="77777777" w:rsidR="00385B99" w:rsidRDefault="00385B99" w:rsidP="00385B99">
      <w:pPr>
        <w:widowControl w:val="0"/>
        <w:numPr>
          <w:ilvl w:val="0"/>
          <w:numId w:val="11"/>
        </w:numPr>
        <w:jc w:val="both"/>
        <w:rPr>
          <w:rFonts w:ascii="Arial" w:hAnsi="Arial" w:cs="Arial"/>
          <w:color w:val="000000"/>
          <w:sz w:val="20"/>
          <w:szCs w:val="12"/>
        </w:rPr>
      </w:pPr>
      <w:r>
        <w:rPr>
          <w:rFonts w:ascii="Arial" w:hAnsi="Arial" w:cs="Arial"/>
          <w:color w:val="000000"/>
          <w:sz w:val="20"/>
          <w:szCs w:val="12"/>
        </w:rPr>
        <w:t>31% of parents investigated have alcohol abuse problems</w:t>
      </w:r>
    </w:p>
    <w:p w14:paraId="4FA27CD9" w14:textId="77777777" w:rsidR="00385B99" w:rsidRDefault="00385B99" w:rsidP="00385B99">
      <w:pPr>
        <w:widowControl w:val="0"/>
        <w:numPr>
          <w:ilvl w:val="0"/>
          <w:numId w:val="11"/>
        </w:numPr>
        <w:jc w:val="both"/>
        <w:rPr>
          <w:rFonts w:ascii="Arial" w:hAnsi="Arial" w:cs="Arial"/>
          <w:color w:val="000000"/>
          <w:sz w:val="20"/>
          <w:szCs w:val="12"/>
        </w:rPr>
      </w:pPr>
      <w:r>
        <w:rPr>
          <w:rFonts w:ascii="Arial" w:hAnsi="Arial" w:cs="Arial"/>
          <w:color w:val="000000"/>
          <w:sz w:val="20"/>
          <w:szCs w:val="12"/>
        </w:rPr>
        <w:t>19% of parents investigated have a psychiatric disability</w:t>
      </w:r>
    </w:p>
    <w:p w14:paraId="279C7550" w14:textId="77777777" w:rsidR="00385B99" w:rsidRDefault="00385B99" w:rsidP="00385B99">
      <w:pPr>
        <w:widowControl w:val="0"/>
        <w:numPr>
          <w:ilvl w:val="0"/>
          <w:numId w:val="11"/>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384D47CB" w14:textId="77777777" w:rsidR="00385B99" w:rsidRDefault="00385B99" w:rsidP="00385B99">
      <w:pPr>
        <w:jc w:val="both"/>
        <w:rPr>
          <w:rFonts w:ascii="Arial" w:hAnsi="Arial" w:cs="Arial"/>
          <w:sz w:val="20"/>
        </w:rPr>
      </w:pPr>
    </w:p>
    <w:p w14:paraId="07C80666" w14:textId="77777777"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lastRenderedPageBreak/>
        <w:t xml:space="preserve">The following snapshots </w:t>
      </w:r>
      <w:r w:rsidR="00137C50" w:rsidRPr="00785E1A">
        <w:rPr>
          <w:rFonts w:ascii="Arial" w:hAnsi="Arial" w:cs="Arial"/>
          <w:color w:val="000000"/>
          <w:sz w:val="20"/>
        </w:rPr>
        <w:t xml:space="preserve">show that only a comparatively small percentage of Victorian child protection reports are investigated by </w:t>
      </w:r>
      <w:r w:rsidR="00785D2D">
        <w:rPr>
          <w:rFonts w:ascii="Arial" w:hAnsi="Arial" w:cs="Arial"/>
          <w:color w:val="000000"/>
          <w:sz w:val="20"/>
        </w:rPr>
        <w:t>DFFH</w:t>
      </w:r>
      <w:r w:rsidR="00A309B2">
        <w:rPr>
          <w:rFonts w:ascii="Arial" w:hAnsi="Arial" w:cs="Arial"/>
          <w:color w:val="000000"/>
          <w:sz w:val="20"/>
        </w:rPr>
        <w:t xml:space="preserve"> and of those investigated </w:t>
      </w:r>
      <w:r w:rsidR="00842179" w:rsidRPr="00785E1A">
        <w:rPr>
          <w:rFonts w:ascii="Arial" w:hAnsi="Arial" w:cs="Arial"/>
          <w:color w:val="000000"/>
          <w:sz w:val="20"/>
        </w:rPr>
        <w:t xml:space="preserve">between a half and two thirds </w:t>
      </w:r>
      <w:r w:rsidR="00137C50" w:rsidRPr="00785E1A">
        <w:rPr>
          <w:rFonts w:ascii="Arial" w:hAnsi="Arial" w:cs="Arial"/>
          <w:color w:val="000000"/>
          <w:sz w:val="20"/>
        </w:rPr>
        <w:t>are substantiated:</w:t>
      </w:r>
    </w:p>
    <w:tbl>
      <w:tblPr>
        <w:tblW w:w="8278"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E42774" w:rsidRPr="00785E1A" w14:paraId="5EAA0F84" w14:textId="77777777" w:rsidTr="00193618">
        <w:tblPrEx>
          <w:tblCellMar>
            <w:top w:w="0" w:type="dxa"/>
            <w:bottom w:w="0" w:type="dxa"/>
          </w:tblCellMar>
        </w:tblPrEx>
        <w:tc>
          <w:tcPr>
            <w:tcW w:w="5000" w:type="pct"/>
            <w:gridSpan w:val="5"/>
            <w:tcBorders>
              <w:top w:val="single" w:sz="12" w:space="0" w:color="auto"/>
              <w:left w:val="single" w:sz="12" w:space="0" w:color="auto"/>
              <w:bottom w:val="single" w:sz="4" w:space="0" w:color="auto"/>
            </w:tcBorders>
            <w:shd w:val="pct10" w:color="auto" w:fill="auto"/>
          </w:tcPr>
          <w:p w14:paraId="1FAA2DC1"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VICTORIAN NOTIFICATIONS/REPORTS</w:t>
            </w:r>
          </w:p>
        </w:tc>
      </w:tr>
      <w:tr w:rsidR="00E42774" w:rsidRPr="00785E1A" w14:paraId="1DA7AE42" w14:textId="77777777" w:rsidTr="001726EF">
        <w:tblPrEx>
          <w:tblCellMar>
            <w:top w:w="0" w:type="dxa"/>
            <w:bottom w:w="0" w:type="dxa"/>
          </w:tblCellMar>
        </w:tblPrEx>
        <w:trPr>
          <w:trHeight w:val="600"/>
        </w:trPr>
        <w:tc>
          <w:tcPr>
            <w:tcW w:w="942" w:type="pct"/>
            <w:tcBorders>
              <w:top w:val="single" w:sz="12" w:space="0" w:color="auto"/>
              <w:left w:val="single" w:sz="12" w:space="0" w:color="auto"/>
            </w:tcBorders>
            <w:shd w:val="pct10" w:color="auto" w:fill="auto"/>
          </w:tcPr>
          <w:p w14:paraId="3D2222F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1A3C8F9"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6361EC9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EBE71E3"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2B23F62C"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22635E9A" w14:textId="77777777" w:rsidTr="001726EF">
        <w:tblPrEx>
          <w:tblCellMar>
            <w:top w:w="0" w:type="dxa"/>
            <w:bottom w:w="0" w:type="dxa"/>
          </w:tblCellMar>
        </w:tblPrEx>
        <w:tc>
          <w:tcPr>
            <w:tcW w:w="942" w:type="pct"/>
            <w:tcBorders>
              <w:top w:val="single" w:sz="12" w:space="0" w:color="000000"/>
              <w:left w:val="single" w:sz="12" w:space="0" w:color="auto"/>
              <w:bottom w:val="single" w:sz="4" w:space="0" w:color="auto"/>
            </w:tcBorders>
          </w:tcPr>
          <w:p w14:paraId="44D4DD43"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1997-1998</w:t>
            </w:r>
          </w:p>
        </w:tc>
        <w:tc>
          <w:tcPr>
            <w:tcW w:w="942" w:type="pct"/>
            <w:tcBorders>
              <w:top w:val="single" w:sz="12" w:space="0" w:color="000000"/>
              <w:left w:val="single" w:sz="12" w:space="0" w:color="auto"/>
              <w:bottom w:val="single" w:sz="4" w:space="0" w:color="auto"/>
            </w:tcBorders>
          </w:tcPr>
          <w:p w14:paraId="35393187"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6E2DC7E1"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6D59F9A6"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FCB3956"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C943C5" w:rsidRPr="00785E1A" w14:paraId="54101423" w14:textId="77777777" w:rsidTr="001726EF">
        <w:tblPrEx>
          <w:tblCellMar>
            <w:top w:w="0" w:type="dxa"/>
            <w:bottom w:w="0" w:type="dxa"/>
          </w:tblCellMar>
        </w:tblPrEx>
        <w:tc>
          <w:tcPr>
            <w:tcW w:w="942" w:type="pct"/>
            <w:tcBorders>
              <w:top w:val="single" w:sz="4" w:space="0" w:color="auto"/>
              <w:left w:val="single" w:sz="12" w:space="0" w:color="auto"/>
              <w:bottom w:val="single" w:sz="4" w:space="0" w:color="auto"/>
            </w:tcBorders>
          </w:tcPr>
          <w:p w14:paraId="593102ED"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1998-1999</w:t>
            </w:r>
          </w:p>
        </w:tc>
        <w:tc>
          <w:tcPr>
            <w:tcW w:w="942" w:type="pct"/>
            <w:tcBorders>
              <w:top w:val="single" w:sz="4" w:space="0" w:color="auto"/>
              <w:left w:val="single" w:sz="12" w:space="0" w:color="auto"/>
              <w:bottom w:val="single" w:sz="4" w:space="0" w:color="auto"/>
            </w:tcBorders>
          </w:tcPr>
          <w:p w14:paraId="484A14CA"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023" w:type="pct"/>
            <w:tcBorders>
              <w:top w:val="single" w:sz="4" w:space="0" w:color="auto"/>
              <w:left w:val="single" w:sz="12" w:space="0" w:color="auto"/>
              <w:bottom w:val="single" w:sz="4" w:space="0" w:color="auto"/>
            </w:tcBorders>
          </w:tcPr>
          <w:p w14:paraId="5D0C694A"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403028E7"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942" w:type="pct"/>
            <w:tcBorders>
              <w:top w:val="single" w:sz="4" w:space="0" w:color="auto"/>
              <w:left w:val="single" w:sz="12" w:space="0" w:color="auto"/>
              <w:bottom w:val="single" w:sz="4" w:space="0" w:color="auto"/>
            </w:tcBorders>
          </w:tcPr>
          <w:p w14:paraId="129E0AC6"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E42774" w:rsidRPr="00785E1A" w14:paraId="0C6025CD" w14:textId="77777777" w:rsidTr="001726EF">
        <w:tblPrEx>
          <w:tblCellMar>
            <w:top w:w="0" w:type="dxa"/>
            <w:bottom w:w="0" w:type="dxa"/>
          </w:tblCellMar>
        </w:tblPrEx>
        <w:tc>
          <w:tcPr>
            <w:tcW w:w="942" w:type="pct"/>
            <w:tcBorders>
              <w:top w:val="single" w:sz="4" w:space="0" w:color="auto"/>
              <w:left w:val="single" w:sz="12" w:space="0" w:color="auto"/>
              <w:bottom w:val="single" w:sz="4" w:space="0" w:color="auto"/>
            </w:tcBorders>
          </w:tcPr>
          <w:p w14:paraId="07E16420" w14:textId="77777777" w:rsidR="00E42774" w:rsidRPr="00785E1A" w:rsidRDefault="00E42774" w:rsidP="00193618">
            <w:pPr>
              <w:jc w:val="center"/>
              <w:rPr>
                <w:rFonts w:ascii="Arial" w:hAnsi="Arial" w:cs="Arial"/>
                <w:color w:val="000000"/>
                <w:sz w:val="20"/>
              </w:rPr>
            </w:pPr>
            <w:r w:rsidRPr="00785E1A">
              <w:rPr>
                <w:rFonts w:ascii="Arial" w:hAnsi="Arial" w:cs="Arial"/>
                <w:color w:val="000000"/>
                <w:sz w:val="20"/>
              </w:rPr>
              <w:t>1999-2000</w:t>
            </w:r>
          </w:p>
        </w:tc>
        <w:tc>
          <w:tcPr>
            <w:tcW w:w="942" w:type="pct"/>
            <w:tcBorders>
              <w:top w:val="single" w:sz="4" w:space="0" w:color="auto"/>
              <w:left w:val="single" w:sz="12" w:space="0" w:color="auto"/>
              <w:bottom w:val="single" w:sz="4" w:space="0" w:color="auto"/>
            </w:tcBorders>
          </w:tcPr>
          <w:p w14:paraId="6CCAD832" w14:textId="77777777" w:rsidR="00E42774" w:rsidRPr="00785E1A" w:rsidRDefault="00E42774" w:rsidP="00193618">
            <w:pPr>
              <w:jc w:val="center"/>
              <w:rPr>
                <w:rFonts w:ascii="Arial" w:hAnsi="Arial" w:cs="Arial"/>
                <w:color w:val="000000"/>
                <w:sz w:val="20"/>
              </w:rPr>
            </w:pPr>
            <w:r w:rsidRPr="00785E1A">
              <w:rPr>
                <w:rFonts w:ascii="Arial" w:hAnsi="Arial" w:cs="Arial"/>
                <w:color w:val="000000"/>
                <w:sz w:val="20"/>
              </w:rPr>
              <w:t>36,805</w:t>
            </w:r>
          </w:p>
        </w:tc>
        <w:tc>
          <w:tcPr>
            <w:tcW w:w="1023" w:type="pct"/>
            <w:tcBorders>
              <w:top w:val="single" w:sz="4" w:space="0" w:color="auto"/>
              <w:left w:val="single" w:sz="12" w:space="0" w:color="auto"/>
              <w:bottom w:val="single" w:sz="4" w:space="0" w:color="auto"/>
            </w:tcBorders>
          </w:tcPr>
          <w:p w14:paraId="3CD4D553" w14:textId="77777777" w:rsidR="00E42774"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4C089F01" w14:textId="77777777" w:rsidR="00E42774" w:rsidRPr="00785E1A" w:rsidRDefault="009B3EF9" w:rsidP="00193618">
            <w:pPr>
              <w:jc w:val="center"/>
              <w:rPr>
                <w:rFonts w:ascii="Arial" w:hAnsi="Arial" w:cs="Arial"/>
                <w:color w:val="000000"/>
                <w:sz w:val="20"/>
              </w:rPr>
            </w:pPr>
            <w:r w:rsidRPr="00785E1A">
              <w:rPr>
                <w:rFonts w:ascii="Arial" w:hAnsi="Arial" w:cs="Arial"/>
                <w:color w:val="000000"/>
                <w:sz w:val="20"/>
              </w:rPr>
              <w:t>7,359</w:t>
            </w:r>
          </w:p>
        </w:tc>
        <w:tc>
          <w:tcPr>
            <w:tcW w:w="942" w:type="pct"/>
            <w:tcBorders>
              <w:top w:val="single" w:sz="4" w:space="0" w:color="auto"/>
              <w:left w:val="single" w:sz="12" w:space="0" w:color="auto"/>
              <w:bottom w:val="single" w:sz="4" w:space="0" w:color="auto"/>
            </w:tcBorders>
          </w:tcPr>
          <w:p w14:paraId="01C8B8A4" w14:textId="77777777" w:rsidR="00E42774"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2AD48BCD" w14:textId="77777777" w:rsidTr="001726EF">
        <w:tblPrEx>
          <w:tblCellMar>
            <w:top w:w="0" w:type="dxa"/>
            <w:bottom w:w="0" w:type="dxa"/>
          </w:tblCellMar>
        </w:tblPrEx>
        <w:tc>
          <w:tcPr>
            <w:tcW w:w="942" w:type="pct"/>
            <w:tcBorders>
              <w:top w:val="single" w:sz="4" w:space="0" w:color="auto"/>
              <w:left w:val="single" w:sz="12" w:space="0" w:color="auto"/>
              <w:bottom w:val="single" w:sz="4" w:space="0" w:color="auto"/>
            </w:tcBorders>
          </w:tcPr>
          <w:p w14:paraId="5F96E21F"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2000-2001</w:t>
            </w:r>
          </w:p>
        </w:tc>
        <w:tc>
          <w:tcPr>
            <w:tcW w:w="942" w:type="pct"/>
            <w:tcBorders>
              <w:top w:val="single" w:sz="4" w:space="0" w:color="auto"/>
              <w:left w:val="single" w:sz="12" w:space="0" w:color="auto"/>
              <w:bottom w:val="single" w:sz="4" w:space="0" w:color="auto"/>
            </w:tcBorders>
          </w:tcPr>
          <w:p w14:paraId="3A6D9605"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36,966</w:t>
            </w:r>
          </w:p>
        </w:tc>
        <w:tc>
          <w:tcPr>
            <w:tcW w:w="1023" w:type="pct"/>
            <w:tcBorders>
              <w:top w:val="single" w:sz="4" w:space="0" w:color="auto"/>
              <w:left w:val="single" w:sz="12" w:space="0" w:color="auto"/>
              <w:bottom w:val="single" w:sz="4" w:space="0" w:color="auto"/>
            </w:tcBorders>
          </w:tcPr>
          <w:p w14:paraId="19211569"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253F1D96"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7,608</w:t>
            </w:r>
          </w:p>
        </w:tc>
        <w:tc>
          <w:tcPr>
            <w:tcW w:w="942" w:type="pct"/>
            <w:tcBorders>
              <w:top w:val="single" w:sz="4" w:space="0" w:color="auto"/>
              <w:left w:val="single" w:sz="12" w:space="0" w:color="auto"/>
              <w:bottom w:val="single" w:sz="4" w:space="0" w:color="auto"/>
            </w:tcBorders>
          </w:tcPr>
          <w:p w14:paraId="015EBF10"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4793A67C" w14:textId="77777777" w:rsidTr="001726EF">
        <w:tblPrEx>
          <w:tblCellMar>
            <w:top w:w="0" w:type="dxa"/>
            <w:bottom w:w="0" w:type="dxa"/>
          </w:tblCellMar>
        </w:tblPrEx>
        <w:tc>
          <w:tcPr>
            <w:tcW w:w="942" w:type="pct"/>
            <w:tcBorders>
              <w:top w:val="single" w:sz="4" w:space="0" w:color="auto"/>
              <w:left w:val="single" w:sz="12" w:space="0" w:color="auto"/>
              <w:bottom w:val="single" w:sz="4" w:space="0" w:color="auto"/>
            </w:tcBorders>
          </w:tcPr>
          <w:p w14:paraId="3703F9C9"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2001-2002</w:t>
            </w:r>
          </w:p>
        </w:tc>
        <w:tc>
          <w:tcPr>
            <w:tcW w:w="942" w:type="pct"/>
            <w:tcBorders>
              <w:top w:val="single" w:sz="4" w:space="0" w:color="auto"/>
              <w:left w:val="single" w:sz="12" w:space="0" w:color="auto"/>
              <w:bottom w:val="single" w:sz="4" w:space="0" w:color="auto"/>
            </w:tcBorders>
          </w:tcPr>
          <w:p w14:paraId="2E926FD8"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37,976</w:t>
            </w:r>
          </w:p>
        </w:tc>
        <w:tc>
          <w:tcPr>
            <w:tcW w:w="1023" w:type="pct"/>
            <w:tcBorders>
              <w:top w:val="single" w:sz="4" w:space="0" w:color="auto"/>
              <w:left w:val="single" w:sz="12" w:space="0" w:color="auto"/>
              <w:bottom w:val="single" w:sz="4" w:space="0" w:color="auto"/>
            </w:tcBorders>
          </w:tcPr>
          <w:p w14:paraId="42D98F21"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2F54C0C7"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7,687</w:t>
            </w:r>
          </w:p>
        </w:tc>
        <w:tc>
          <w:tcPr>
            <w:tcW w:w="942" w:type="pct"/>
            <w:tcBorders>
              <w:top w:val="single" w:sz="4" w:space="0" w:color="auto"/>
              <w:left w:val="single" w:sz="12" w:space="0" w:color="auto"/>
              <w:bottom w:val="single" w:sz="4" w:space="0" w:color="auto"/>
            </w:tcBorders>
          </w:tcPr>
          <w:p w14:paraId="61745953"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307CFE7F" w14:textId="77777777" w:rsidTr="001726EF">
        <w:tblPrEx>
          <w:tblCellMar>
            <w:top w:w="0" w:type="dxa"/>
            <w:bottom w:w="0" w:type="dxa"/>
          </w:tblCellMar>
        </w:tblPrEx>
        <w:tc>
          <w:tcPr>
            <w:tcW w:w="942" w:type="pct"/>
            <w:tcBorders>
              <w:top w:val="single" w:sz="4" w:space="0" w:color="auto"/>
              <w:left w:val="single" w:sz="12" w:space="0" w:color="auto"/>
              <w:bottom w:val="single" w:sz="4" w:space="0" w:color="auto"/>
            </w:tcBorders>
          </w:tcPr>
          <w:p w14:paraId="0666BB04"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2002-2003</w:t>
            </w:r>
          </w:p>
        </w:tc>
        <w:tc>
          <w:tcPr>
            <w:tcW w:w="942" w:type="pct"/>
            <w:tcBorders>
              <w:top w:val="single" w:sz="4" w:space="0" w:color="auto"/>
              <w:left w:val="single" w:sz="12" w:space="0" w:color="auto"/>
              <w:bottom w:val="single" w:sz="4" w:space="0" w:color="auto"/>
            </w:tcBorders>
          </w:tcPr>
          <w:p w14:paraId="2E21455F"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37,635</w:t>
            </w:r>
          </w:p>
        </w:tc>
        <w:tc>
          <w:tcPr>
            <w:tcW w:w="1023" w:type="pct"/>
            <w:tcBorders>
              <w:top w:val="single" w:sz="4" w:space="0" w:color="auto"/>
              <w:left w:val="single" w:sz="12" w:space="0" w:color="auto"/>
              <w:bottom w:val="single" w:sz="4" w:space="0" w:color="auto"/>
            </w:tcBorders>
          </w:tcPr>
          <w:p w14:paraId="4D6F1AD6"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3A656EF7"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7,287</w:t>
            </w:r>
          </w:p>
        </w:tc>
        <w:tc>
          <w:tcPr>
            <w:tcW w:w="942" w:type="pct"/>
            <w:tcBorders>
              <w:top w:val="single" w:sz="4" w:space="0" w:color="auto"/>
              <w:left w:val="single" w:sz="12" w:space="0" w:color="auto"/>
              <w:bottom w:val="single" w:sz="4" w:space="0" w:color="auto"/>
            </w:tcBorders>
          </w:tcPr>
          <w:p w14:paraId="605ED0CC"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2,319</w:t>
            </w:r>
          </w:p>
        </w:tc>
      </w:tr>
      <w:tr w:rsidR="001726EF" w:rsidRPr="00785E1A" w14:paraId="56C07819" w14:textId="77777777" w:rsidTr="001726EF">
        <w:tblPrEx>
          <w:tblCellMar>
            <w:top w:w="0" w:type="dxa"/>
            <w:bottom w:w="0" w:type="dxa"/>
          </w:tblCellMar>
        </w:tblPrEx>
        <w:tc>
          <w:tcPr>
            <w:tcW w:w="942" w:type="pct"/>
            <w:tcBorders>
              <w:top w:val="single" w:sz="4" w:space="0" w:color="auto"/>
              <w:left w:val="single" w:sz="12" w:space="0" w:color="auto"/>
              <w:bottom w:val="single" w:sz="4" w:space="0" w:color="auto"/>
            </w:tcBorders>
          </w:tcPr>
          <w:p w14:paraId="463C268D"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2003-2004</w:t>
            </w:r>
          </w:p>
        </w:tc>
        <w:tc>
          <w:tcPr>
            <w:tcW w:w="942" w:type="pct"/>
            <w:tcBorders>
              <w:top w:val="single" w:sz="4" w:space="0" w:color="auto"/>
              <w:left w:val="single" w:sz="12" w:space="0" w:color="auto"/>
              <w:bottom w:val="single" w:sz="4" w:space="0" w:color="auto"/>
            </w:tcBorders>
          </w:tcPr>
          <w:p w14:paraId="0C9FD5F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36,956</w:t>
            </w:r>
          </w:p>
        </w:tc>
        <w:tc>
          <w:tcPr>
            <w:tcW w:w="1023" w:type="pct"/>
            <w:tcBorders>
              <w:top w:val="single" w:sz="4" w:space="0" w:color="auto"/>
              <w:left w:val="single" w:sz="12" w:space="0" w:color="auto"/>
              <w:bottom w:val="single" w:sz="4" w:space="0" w:color="auto"/>
            </w:tcBorders>
          </w:tcPr>
          <w:p w14:paraId="6ADFA63D"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20F95FA2"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4" w:space="0" w:color="auto"/>
              <w:left w:val="single" w:sz="12" w:space="0" w:color="auto"/>
              <w:bottom w:val="single" w:sz="4" w:space="0" w:color="auto"/>
            </w:tcBorders>
          </w:tcPr>
          <w:p w14:paraId="19D68BDE"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2,399</w:t>
            </w:r>
          </w:p>
        </w:tc>
      </w:tr>
      <w:tr w:rsidR="001726EF" w:rsidRPr="00785E1A" w14:paraId="29166C61" w14:textId="77777777" w:rsidTr="001726EF">
        <w:tblPrEx>
          <w:tblCellMar>
            <w:top w:w="0" w:type="dxa"/>
            <w:bottom w:w="0" w:type="dxa"/>
          </w:tblCellMar>
        </w:tblPrEx>
        <w:tc>
          <w:tcPr>
            <w:tcW w:w="942" w:type="pct"/>
            <w:tcBorders>
              <w:top w:val="single" w:sz="4" w:space="0" w:color="auto"/>
              <w:left w:val="single" w:sz="12" w:space="0" w:color="auto"/>
              <w:bottom w:val="single" w:sz="4" w:space="0" w:color="auto"/>
            </w:tcBorders>
          </w:tcPr>
          <w:p w14:paraId="30CC369E"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2004-2005</w:t>
            </w:r>
          </w:p>
        </w:tc>
        <w:tc>
          <w:tcPr>
            <w:tcW w:w="942" w:type="pct"/>
            <w:tcBorders>
              <w:top w:val="single" w:sz="4" w:space="0" w:color="auto"/>
              <w:left w:val="single" w:sz="12" w:space="0" w:color="auto"/>
              <w:bottom w:val="single" w:sz="4" w:space="0" w:color="auto"/>
            </w:tcBorders>
          </w:tcPr>
          <w:p w14:paraId="2558159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3F40A1DD"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2D8E5F9F"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49F7236A"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0F6FCD93" w14:textId="77777777" w:rsidTr="001726EF">
        <w:tblPrEx>
          <w:tblCellMar>
            <w:top w:w="0" w:type="dxa"/>
            <w:bottom w:w="0" w:type="dxa"/>
          </w:tblCellMar>
        </w:tblPrEx>
        <w:tc>
          <w:tcPr>
            <w:tcW w:w="942" w:type="pct"/>
            <w:tcBorders>
              <w:top w:val="single" w:sz="4" w:space="0" w:color="auto"/>
              <w:left w:val="single" w:sz="12" w:space="0" w:color="auto"/>
              <w:bottom w:val="single" w:sz="4" w:space="0" w:color="auto"/>
            </w:tcBorders>
          </w:tcPr>
          <w:p w14:paraId="5C489B0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2005-2006</w:t>
            </w:r>
          </w:p>
        </w:tc>
        <w:tc>
          <w:tcPr>
            <w:tcW w:w="942" w:type="pct"/>
            <w:tcBorders>
              <w:top w:val="single" w:sz="4" w:space="0" w:color="auto"/>
              <w:left w:val="single" w:sz="12" w:space="0" w:color="auto"/>
              <w:bottom w:val="single" w:sz="4" w:space="0" w:color="auto"/>
            </w:tcBorders>
          </w:tcPr>
          <w:p w14:paraId="68705AEB"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395CE17B"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3B430C0B"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1631CC1A"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2D02661C" w14:textId="77777777" w:rsidTr="001726EF">
        <w:tblPrEx>
          <w:tblCellMar>
            <w:top w:w="0" w:type="dxa"/>
            <w:bottom w:w="0" w:type="dxa"/>
          </w:tblCellMar>
        </w:tblPrEx>
        <w:tc>
          <w:tcPr>
            <w:tcW w:w="942" w:type="pct"/>
            <w:tcBorders>
              <w:top w:val="single" w:sz="4" w:space="0" w:color="auto"/>
              <w:left w:val="single" w:sz="12" w:space="0" w:color="auto"/>
              <w:bottom w:val="single" w:sz="4" w:space="0" w:color="auto"/>
            </w:tcBorders>
          </w:tcPr>
          <w:p w14:paraId="4F2E48DB"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2006-2007</w:t>
            </w:r>
          </w:p>
        </w:tc>
        <w:tc>
          <w:tcPr>
            <w:tcW w:w="942" w:type="pct"/>
            <w:tcBorders>
              <w:top w:val="single" w:sz="4" w:space="0" w:color="auto"/>
              <w:left w:val="single" w:sz="12" w:space="0" w:color="auto"/>
              <w:bottom w:val="single" w:sz="4" w:space="0" w:color="auto"/>
            </w:tcBorders>
          </w:tcPr>
          <w:p w14:paraId="3DADEC33"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544B36EB"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6486BFC4"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2077BFB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468CE6B5" w14:textId="77777777" w:rsidTr="001726EF">
        <w:tblPrEx>
          <w:tblCellMar>
            <w:top w:w="0" w:type="dxa"/>
            <w:bottom w:w="0" w:type="dxa"/>
          </w:tblCellMar>
        </w:tblPrEx>
        <w:tc>
          <w:tcPr>
            <w:tcW w:w="942" w:type="pct"/>
            <w:tcBorders>
              <w:top w:val="single" w:sz="4" w:space="0" w:color="auto"/>
              <w:left w:val="single" w:sz="12" w:space="0" w:color="auto"/>
              <w:bottom w:val="single" w:sz="4" w:space="0" w:color="auto"/>
            </w:tcBorders>
          </w:tcPr>
          <w:p w14:paraId="50141477"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2007-2008</w:t>
            </w:r>
          </w:p>
        </w:tc>
        <w:tc>
          <w:tcPr>
            <w:tcW w:w="942" w:type="pct"/>
            <w:tcBorders>
              <w:top w:val="single" w:sz="4" w:space="0" w:color="auto"/>
              <w:left w:val="single" w:sz="12" w:space="0" w:color="auto"/>
              <w:bottom w:val="single" w:sz="4" w:space="0" w:color="auto"/>
            </w:tcBorders>
          </w:tcPr>
          <w:p w14:paraId="2D620055"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23B39453"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3B4DE6A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36967ED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3EBA9D4F" w14:textId="77777777" w:rsidTr="001726EF">
        <w:tblPrEx>
          <w:tblCellMar>
            <w:top w:w="0" w:type="dxa"/>
            <w:bottom w:w="0" w:type="dxa"/>
          </w:tblCellMar>
        </w:tblPrEx>
        <w:tc>
          <w:tcPr>
            <w:tcW w:w="942" w:type="pct"/>
            <w:tcBorders>
              <w:top w:val="single" w:sz="4" w:space="0" w:color="auto"/>
              <w:left w:val="single" w:sz="12" w:space="0" w:color="auto"/>
              <w:bottom w:val="single" w:sz="4" w:space="0" w:color="auto"/>
            </w:tcBorders>
          </w:tcPr>
          <w:p w14:paraId="267B771C"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2008-2009</w:t>
            </w:r>
          </w:p>
        </w:tc>
        <w:tc>
          <w:tcPr>
            <w:tcW w:w="942" w:type="pct"/>
            <w:tcBorders>
              <w:top w:val="single" w:sz="4" w:space="0" w:color="auto"/>
              <w:left w:val="single" w:sz="12" w:space="0" w:color="auto"/>
              <w:bottom w:val="single" w:sz="4" w:space="0" w:color="auto"/>
            </w:tcBorders>
          </w:tcPr>
          <w:p w14:paraId="69954057"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1DD23B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2538B4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0B83149E"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0B391244" w14:textId="77777777" w:rsidTr="00E76E28">
        <w:tblPrEx>
          <w:tblCellMar>
            <w:top w:w="0" w:type="dxa"/>
            <w:bottom w:w="0" w:type="dxa"/>
          </w:tblCellMar>
        </w:tblPrEx>
        <w:tc>
          <w:tcPr>
            <w:tcW w:w="942" w:type="pct"/>
            <w:tcBorders>
              <w:top w:val="single" w:sz="4" w:space="0" w:color="auto"/>
              <w:left w:val="single" w:sz="12" w:space="0" w:color="auto"/>
              <w:bottom w:val="single" w:sz="4" w:space="0" w:color="auto"/>
            </w:tcBorders>
          </w:tcPr>
          <w:p w14:paraId="1831A41D"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2009-2010</w:t>
            </w:r>
          </w:p>
        </w:tc>
        <w:tc>
          <w:tcPr>
            <w:tcW w:w="942" w:type="pct"/>
            <w:tcBorders>
              <w:top w:val="single" w:sz="4" w:space="0" w:color="auto"/>
              <w:left w:val="single" w:sz="12" w:space="0" w:color="auto"/>
              <w:bottom w:val="single" w:sz="4" w:space="0" w:color="auto"/>
            </w:tcBorders>
          </w:tcPr>
          <w:p w14:paraId="437199CB"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7825CF7E"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5D96114E"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6122B2FA"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68624367" w14:textId="77777777" w:rsidTr="00177067">
        <w:tblPrEx>
          <w:tblCellMar>
            <w:top w:w="0" w:type="dxa"/>
            <w:bottom w:w="0" w:type="dxa"/>
          </w:tblCellMar>
        </w:tblPrEx>
        <w:tc>
          <w:tcPr>
            <w:tcW w:w="942" w:type="pct"/>
            <w:tcBorders>
              <w:top w:val="single" w:sz="4" w:space="0" w:color="auto"/>
              <w:left w:val="single" w:sz="12" w:space="0" w:color="auto"/>
              <w:bottom w:val="single" w:sz="4" w:space="0" w:color="auto"/>
            </w:tcBorders>
          </w:tcPr>
          <w:p w14:paraId="277E6E55" w14:textId="77777777"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2010-2011</w:t>
            </w:r>
          </w:p>
        </w:tc>
        <w:tc>
          <w:tcPr>
            <w:tcW w:w="942" w:type="pct"/>
            <w:tcBorders>
              <w:top w:val="single" w:sz="4" w:space="0" w:color="auto"/>
              <w:left w:val="single" w:sz="12" w:space="0" w:color="auto"/>
              <w:bottom w:val="single" w:sz="4" w:space="0" w:color="auto"/>
            </w:tcBorders>
          </w:tcPr>
          <w:p w14:paraId="385B6C20"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64FD8C6"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603BF2E7"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76E272FD"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9C283A3" w14:textId="77777777" w:rsidTr="00492F82">
        <w:tblPrEx>
          <w:tblCellMar>
            <w:top w:w="0" w:type="dxa"/>
            <w:bottom w:w="0" w:type="dxa"/>
          </w:tblCellMar>
        </w:tblPrEx>
        <w:tc>
          <w:tcPr>
            <w:tcW w:w="942" w:type="pct"/>
            <w:tcBorders>
              <w:top w:val="single" w:sz="4" w:space="0" w:color="auto"/>
              <w:left w:val="single" w:sz="12" w:space="0" w:color="auto"/>
              <w:bottom w:val="single" w:sz="4" w:space="0" w:color="auto"/>
            </w:tcBorders>
          </w:tcPr>
          <w:p w14:paraId="1CC0AB0D" w14:textId="77777777"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2011-2012</w:t>
            </w:r>
          </w:p>
        </w:tc>
        <w:tc>
          <w:tcPr>
            <w:tcW w:w="942" w:type="pct"/>
            <w:tcBorders>
              <w:top w:val="single" w:sz="4" w:space="0" w:color="auto"/>
              <w:left w:val="single" w:sz="12" w:space="0" w:color="auto"/>
              <w:bottom w:val="single" w:sz="4" w:space="0" w:color="auto"/>
            </w:tcBorders>
          </w:tcPr>
          <w:p w14:paraId="266EC307"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023CAAF4"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6C770A16"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2DCAD7B8"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799AEFFE" w14:textId="77777777" w:rsidTr="00453F5C">
        <w:tblPrEx>
          <w:tblCellMar>
            <w:top w:w="0" w:type="dxa"/>
            <w:bottom w:w="0" w:type="dxa"/>
          </w:tblCellMar>
        </w:tblPrEx>
        <w:tc>
          <w:tcPr>
            <w:tcW w:w="942" w:type="pct"/>
            <w:tcBorders>
              <w:top w:val="single" w:sz="4" w:space="0" w:color="auto"/>
              <w:left w:val="single" w:sz="12" w:space="0" w:color="auto"/>
              <w:bottom w:val="single" w:sz="4" w:space="0" w:color="auto"/>
              <w:right w:val="single" w:sz="4" w:space="0" w:color="auto"/>
            </w:tcBorders>
          </w:tcPr>
          <w:p w14:paraId="1640DD3C" w14:textId="77777777"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5173F22E"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681EAF11"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7C2F0FA4"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3477F912"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02ED9121" w14:textId="77777777" w:rsidTr="00492F82">
        <w:tblPrEx>
          <w:tblCellMar>
            <w:top w:w="0" w:type="dxa"/>
            <w:bottom w:w="0" w:type="dxa"/>
          </w:tblCellMar>
        </w:tblPrEx>
        <w:tc>
          <w:tcPr>
            <w:tcW w:w="942" w:type="pct"/>
            <w:tcBorders>
              <w:top w:val="single" w:sz="4" w:space="0" w:color="auto"/>
              <w:left w:val="single" w:sz="12" w:space="0" w:color="auto"/>
              <w:bottom w:val="single" w:sz="18" w:space="0" w:color="auto"/>
              <w:right w:val="single" w:sz="4" w:space="0" w:color="auto"/>
            </w:tcBorders>
          </w:tcPr>
          <w:p w14:paraId="47F5D5EA" w14:textId="77777777" w:rsidR="00453F5C" w:rsidRPr="003D5DFA" w:rsidRDefault="00453F5C" w:rsidP="00796A19">
            <w:pPr>
              <w:jc w:val="center"/>
              <w:rPr>
                <w:rFonts w:ascii="Arial" w:hAnsi="Arial" w:cs="Arial"/>
                <w:color w:val="000000"/>
                <w:sz w:val="20"/>
              </w:rPr>
            </w:pPr>
            <w:r>
              <w:rPr>
                <w:rFonts w:ascii="Arial" w:hAnsi="Arial" w:cs="Arial"/>
                <w:color w:val="000000"/>
                <w:sz w:val="20"/>
              </w:rPr>
              <w:t>2013-2014</w:t>
            </w:r>
          </w:p>
        </w:tc>
        <w:tc>
          <w:tcPr>
            <w:tcW w:w="942" w:type="pct"/>
            <w:tcBorders>
              <w:top w:val="single" w:sz="4" w:space="0" w:color="auto"/>
              <w:left w:val="single" w:sz="12" w:space="0" w:color="auto"/>
              <w:bottom w:val="single" w:sz="18" w:space="0" w:color="auto"/>
              <w:right w:val="single" w:sz="4" w:space="0" w:color="auto"/>
            </w:tcBorders>
          </w:tcPr>
          <w:p w14:paraId="3D1C488D"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18" w:space="0" w:color="auto"/>
              <w:right w:val="single" w:sz="4" w:space="0" w:color="auto"/>
            </w:tcBorders>
          </w:tcPr>
          <w:p w14:paraId="01181B33"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18" w:space="0" w:color="auto"/>
              <w:right w:val="single" w:sz="4" w:space="0" w:color="auto"/>
            </w:tcBorders>
          </w:tcPr>
          <w:p w14:paraId="14D81C11"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18" w:space="0" w:color="auto"/>
              <w:right w:val="single" w:sz="18" w:space="0" w:color="auto"/>
            </w:tcBorders>
          </w:tcPr>
          <w:p w14:paraId="41B975EB" w14:textId="77777777" w:rsidR="00453F5C" w:rsidRDefault="00625B1E" w:rsidP="00796A19">
            <w:pPr>
              <w:jc w:val="center"/>
              <w:rPr>
                <w:rFonts w:ascii="Arial" w:hAnsi="Arial" w:cs="Arial"/>
                <w:color w:val="000000"/>
                <w:sz w:val="20"/>
              </w:rPr>
            </w:pPr>
            <w:r>
              <w:rPr>
                <w:rFonts w:ascii="Arial" w:hAnsi="Arial" w:cs="Arial"/>
                <w:color w:val="000000"/>
                <w:sz w:val="20"/>
              </w:rPr>
              <w:t>Approx 4,200</w:t>
            </w:r>
          </w:p>
        </w:tc>
      </w:tr>
    </w:tbl>
    <w:p w14:paraId="6EE54533" w14:textId="77777777" w:rsidR="00A309B2" w:rsidRDefault="00A309B2" w:rsidP="00A309B2">
      <w:pPr>
        <w:jc w:val="both"/>
        <w:rPr>
          <w:rFonts w:ascii="Arial" w:hAnsi="Arial" w:cs="Arial"/>
          <w:color w:val="000000"/>
          <w:sz w:val="20"/>
        </w:rPr>
      </w:pPr>
    </w:p>
    <w:p w14:paraId="6C9CA7CB" w14:textId="77777777" w:rsidR="00842179" w:rsidRPr="003D5DFA" w:rsidRDefault="00453F5C" w:rsidP="00842179">
      <w:pPr>
        <w:jc w:val="both"/>
        <w:rPr>
          <w:rFonts w:ascii="Arial" w:hAnsi="Arial" w:cs="Arial"/>
          <w:color w:val="000000"/>
          <w:sz w:val="20"/>
        </w:rPr>
      </w:pPr>
      <w:r>
        <w:rPr>
          <w:rFonts w:ascii="Arial" w:hAnsi="Arial" w:cs="Arial"/>
          <w:color w:val="000000"/>
          <w:sz w:val="20"/>
        </w:rPr>
        <w:t xml:space="preserve">The writer does not know why only a comparatively small percentage of child protection reports are ultimately investigated.  </w:t>
      </w:r>
      <w:r w:rsidR="0094402D" w:rsidRPr="00D00CAA">
        <w:rPr>
          <w:rFonts w:ascii="Arial" w:hAnsi="Arial" w:cs="Arial"/>
          <w:color w:val="000000"/>
          <w:sz w:val="20"/>
        </w:rPr>
        <w:t xml:space="preserve">It is noteworthy </w:t>
      </w:r>
      <w:r w:rsidR="00C943C5" w:rsidRPr="00D00CAA">
        <w:rPr>
          <w:rFonts w:ascii="Arial" w:hAnsi="Arial" w:cs="Arial"/>
          <w:color w:val="000000"/>
          <w:sz w:val="20"/>
        </w:rPr>
        <w:t xml:space="preserve">– and potentially alarming – </w:t>
      </w:r>
      <w:r w:rsidR="008C13DE" w:rsidRPr="00D00CAA">
        <w:rPr>
          <w:rFonts w:ascii="Arial" w:hAnsi="Arial" w:cs="Arial"/>
          <w:color w:val="000000"/>
          <w:sz w:val="20"/>
        </w:rPr>
        <w:t>that</w:t>
      </w:r>
      <w:r w:rsidR="00C943C5" w:rsidRPr="00D00CAA">
        <w:rPr>
          <w:rFonts w:ascii="Arial" w:hAnsi="Arial" w:cs="Arial"/>
          <w:color w:val="000000"/>
          <w:sz w:val="20"/>
        </w:rPr>
        <w:t xml:space="preserve"> </w:t>
      </w:r>
      <w:r w:rsidR="0094402D" w:rsidRPr="00D00CAA">
        <w:rPr>
          <w:rFonts w:ascii="Arial" w:hAnsi="Arial" w:cs="Arial"/>
          <w:color w:val="000000"/>
          <w:sz w:val="20"/>
        </w:rPr>
        <w:t xml:space="preserve">the increase in the number of protective intervention reports received by the Department in Victoria </w:t>
      </w:r>
      <w:r w:rsidR="008C13DE" w:rsidRPr="00D00CAA">
        <w:rPr>
          <w:rFonts w:ascii="Arial" w:hAnsi="Arial" w:cs="Arial"/>
          <w:color w:val="000000"/>
          <w:sz w:val="20"/>
        </w:rPr>
        <w:t xml:space="preserve">in 2009-2010 </w:t>
      </w:r>
      <w:r w:rsidR="0094402D" w:rsidRPr="00D00CAA">
        <w:rPr>
          <w:rFonts w:ascii="Arial" w:hAnsi="Arial" w:cs="Arial"/>
          <w:color w:val="000000"/>
          <w:sz w:val="20"/>
        </w:rPr>
        <w:t xml:space="preserve">was </w:t>
      </w:r>
      <w:r w:rsidR="000B5FAA" w:rsidRPr="00D00CAA">
        <w:rPr>
          <w:rFonts w:ascii="Arial" w:hAnsi="Arial" w:cs="Arial"/>
          <w:color w:val="000000"/>
          <w:sz w:val="20"/>
        </w:rPr>
        <w:t>almost as great as</w:t>
      </w:r>
      <w:r w:rsidR="0094402D" w:rsidRPr="00D00CAA">
        <w:rPr>
          <w:rFonts w:ascii="Arial" w:hAnsi="Arial" w:cs="Arial"/>
          <w:color w:val="000000"/>
          <w:sz w:val="20"/>
        </w:rPr>
        <w:t xml:space="preserve"> the </w:t>
      </w:r>
      <w:r w:rsidR="00C943C5" w:rsidRPr="00D00CAA">
        <w:rPr>
          <w:rFonts w:ascii="Arial" w:hAnsi="Arial" w:cs="Arial"/>
          <w:color w:val="000000"/>
          <w:sz w:val="20"/>
        </w:rPr>
        <w:t xml:space="preserve">total </w:t>
      </w:r>
      <w:r w:rsidR="0094402D" w:rsidRPr="00D00CAA">
        <w:rPr>
          <w:rFonts w:ascii="Arial" w:hAnsi="Arial" w:cs="Arial"/>
          <w:color w:val="000000"/>
          <w:sz w:val="20"/>
        </w:rPr>
        <w:t>incre</w:t>
      </w:r>
      <w:r w:rsidR="00C650FB" w:rsidRPr="00D00CAA">
        <w:rPr>
          <w:rFonts w:ascii="Arial" w:hAnsi="Arial" w:cs="Arial"/>
          <w:color w:val="000000"/>
          <w:sz w:val="20"/>
        </w:rPr>
        <w:t xml:space="preserve">ase over the previous ten years and that there has been such a large </w:t>
      </w:r>
      <w:r w:rsidR="00C650FB" w:rsidRPr="003D5DFA">
        <w:rPr>
          <w:rFonts w:ascii="Arial" w:hAnsi="Arial" w:cs="Arial"/>
          <w:color w:val="000000"/>
          <w:sz w:val="20"/>
        </w:rPr>
        <w:t xml:space="preserve">increase in </w:t>
      </w:r>
      <w:r w:rsidR="00C6523B" w:rsidRPr="003D5DFA">
        <w:rPr>
          <w:rFonts w:ascii="Arial" w:hAnsi="Arial" w:cs="Arial"/>
          <w:color w:val="000000"/>
          <w:sz w:val="20"/>
        </w:rPr>
        <w:t xml:space="preserve">reports </w:t>
      </w:r>
      <w:r w:rsidR="00240B5E" w:rsidRPr="003D5DFA">
        <w:rPr>
          <w:rFonts w:ascii="Arial" w:hAnsi="Arial" w:cs="Arial"/>
          <w:color w:val="000000"/>
          <w:sz w:val="20"/>
        </w:rPr>
        <w:t xml:space="preserve">and substantiations </w:t>
      </w:r>
      <w:r>
        <w:rPr>
          <w:rFonts w:ascii="Arial" w:hAnsi="Arial" w:cs="Arial"/>
          <w:color w:val="000000"/>
          <w:sz w:val="20"/>
        </w:rPr>
        <w:t>in each year since 2008-2009.</w:t>
      </w:r>
    </w:p>
    <w:p w14:paraId="50DE07AA" w14:textId="77777777" w:rsidR="0094402D" w:rsidRPr="00785E1A" w:rsidRDefault="0094402D" w:rsidP="0094402D">
      <w:pPr>
        <w:jc w:val="both"/>
        <w:rPr>
          <w:rFonts w:ascii="Arial" w:hAnsi="Arial" w:cs="Arial"/>
          <w:color w:val="000000"/>
          <w:sz w:val="20"/>
        </w:rPr>
      </w:pPr>
    </w:p>
    <w:p w14:paraId="70D8D467" w14:textId="77777777" w:rsidR="00E732EA" w:rsidRDefault="00E732EA" w:rsidP="00E732EA">
      <w:pPr>
        <w:ind w:left="-567" w:right="-567"/>
        <w:jc w:val="center"/>
        <w:rPr>
          <w:rFonts w:ascii="Arial" w:hAnsi="Arial" w:cs="Arial"/>
          <w:sz w:val="20"/>
        </w:rPr>
      </w:pPr>
      <w:r w:rsidRPr="00F13CFD">
        <w:rPr>
          <w:rFonts w:ascii="Arial" w:hAnsi="Arial" w:cs="Arial"/>
          <w:sz w:val="16"/>
        </w:rPr>
        <w:object w:dxaOrig="12631" w:dyaOrig="8926" w14:anchorId="6E18C881">
          <v:shape id="_x0000_i1028" type="#_x0000_t75" style="width:428.25pt;height:281.25pt" o:ole="" o:bordertopcolor="this" o:borderleftcolor="this" o:borderbottomcolor="this" o:borderrightcolor="this">
            <v:imagedata r:id="rId13" o:title="" croptop="4163f" cropbottom="2498f" cropleft="1177f" cropright="1177f"/>
            <w10:bordertop type="single" width="4"/>
            <w10:borderleft type="single" width="4"/>
            <w10:borderbottom type="single" width="4"/>
            <w10:borderright type="single" width="4"/>
          </v:shape>
          <o:OLEObject Type="Embed" ProgID="Acrobat.Document.DC" ShapeID="_x0000_i1028" DrawAspect="Content" ObjectID="_1683027059" r:id="rId14"/>
        </w:object>
      </w:r>
    </w:p>
    <w:p w14:paraId="495976D8" w14:textId="77777777" w:rsidR="0094402D" w:rsidRPr="00785E1A" w:rsidRDefault="0094402D" w:rsidP="0094402D">
      <w:pPr>
        <w:jc w:val="both"/>
        <w:rPr>
          <w:rFonts w:ascii="Arial" w:hAnsi="Arial" w:cs="Arial"/>
          <w:color w:val="000000"/>
          <w:sz w:val="20"/>
        </w:rPr>
      </w:pPr>
    </w:p>
    <w:p w14:paraId="08310707" w14:textId="77777777" w:rsidR="00E732EA" w:rsidRPr="00785E1A" w:rsidRDefault="00E732EA" w:rsidP="00E732EA">
      <w:pPr>
        <w:jc w:val="both"/>
        <w:rPr>
          <w:rFonts w:ascii="Arial" w:hAnsi="Arial" w:cs="Arial"/>
          <w:color w:val="000000"/>
          <w:sz w:val="20"/>
        </w:rPr>
      </w:pPr>
      <w:r w:rsidRPr="00785E1A">
        <w:rPr>
          <w:rFonts w:ascii="Arial" w:hAnsi="Arial" w:cs="Arial"/>
          <w:color w:val="000000"/>
          <w:sz w:val="20"/>
        </w:rPr>
        <w:t xml:space="preserve">But it is important to keep in perspective the fact – as the above </w:t>
      </w:r>
      <w:r w:rsidR="0094402D" w:rsidRPr="00785E1A">
        <w:rPr>
          <w:rFonts w:ascii="Arial" w:hAnsi="Arial" w:cs="Arial"/>
          <w:color w:val="000000"/>
          <w:sz w:val="20"/>
        </w:rPr>
        <w:t>diagram</w:t>
      </w:r>
      <w:r w:rsidRPr="00785E1A">
        <w:rPr>
          <w:rFonts w:ascii="Arial" w:hAnsi="Arial" w:cs="Arial"/>
          <w:color w:val="000000"/>
          <w:sz w:val="20"/>
        </w:rPr>
        <w:t xml:space="preserve"> shows – that only a very small percentage of Victorian children are the subject of reports – whether substantiated or unsubstantiated – to the Department.  However, the percentage of indigenous children who </w:t>
      </w:r>
      <w:r w:rsidRPr="00785E1A">
        <w:rPr>
          <w:rFonts w:ascii="Arial" w:hAnsi="Arial" w:cs="Arial"/>
          <w:color w:val="000000"/>
          <w:sz w:val="20"/>
        </w:rPr>
        <w:lastRenderedPageBreak/>
        <w:t xml:space="preserve">are the subject of protective intervention reports is grossly out of proportion to the percentage of indigenous children in the Victorian child population.  An indigenous child in Victoria is about </w:t>
      </w:r>
      <w:r w:rsidR="00B00042">
        <w:rPr>
          <w:rFonts w:ascii="Arial" w:hAnsi="Arial" w:cs="Arial"/>
          <w:color w:val="000000"/>
          <w:sz w:val="20"/>
        </w:rPr>
        <w:t xml:space="preserve">7½ </w:t>
      </w:r>
      <w:r w:rsidRPr="00785E1A">
        <w:rPr>
          <w:rFonts w:ascii="Arial" w:hAnsi="Arial" w:cs="Arial"/>
          <w:color w:val="000000"/>
          <w:sz w:val="20"/>
        </w:rPr>
        <w:t>times as likely to be the subject of a substantiated r</w:t>
      </w:r>
      <w:r w:rsidR="0094402D" w:rsidRPr="00785E1A">
        <w:rPr>
          <w:rFonts w:ascii="Arial" w:hAnsi="Arial" w:cs="Arial"/>
          <w:color w:val="000000"/>
          <w:sz w:val="20"/>
        </w:rPr>
        <w:t>eport as a non-indigenous child, as the following chart shows:</w:t>
      </w:r>
    </w:p>
    <w:p w14:paraId="5BE740C1" w14:textId="77777777" w:rsidR="0094402D" w:rsidRPr="00785E1A" w:rsidRDefault="0094402D" w:rsidP="0094402D">
      <w:pPr>
        <w:jc w:val="both"/>
        <w:rPr>
          <w:rFonts w:ascii="Arial" w:hAnsi="Arial" w:cs="Arial"/>
          <w:color w:val="000000"/>
          <w:sz w:val="20"/>
        </w:rPr>
      </w:pPr>
    </w:p>
    <w:tbl>
      <w:tblPr>
        <w:tblW w:w="8278"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55"/>
        <w:gridCol w:w="1655"/>
        <w:gridCol w:w="1656"/>
        <w:gridCol w:w="1656"/>
        <w:gridCol w:w="1656"/>
      </w:tblGrid>
      <w:tr w:rsidR="00C117DE" w:rsidRPr="00785E1A" w14:paraId="4EDD79C7" w14:textId="77777777" w:rsidTr="001152F2">
        <w:tblPrEx>
          <w:tblCellMar>
            <w:top w:w="0" w:type="dxa"/>
            <w:bottom w:w="0" w:type="dxa"/>
          </w:tblCellMar>
        </w:tblPrEx>
        <w:tc>
          <w:tcPr>
            <w:tcW w:w="5000" w:type="pct"/>
            <w:gridSpan w:val="5"/>
            <w:tcBorders>
              <w:top w:val="single" w:sz="12" w:space="0" w:color="auto"/>
              <w:left w:val="single" w:sz="12" w:space="0" w:color="auto"/>
              <w:bottom w:val="single" w:sz="4" w:space="0" w:color="auto"/>
            </w:tcBorders>
            <w:shd w:val="pct10" w:color="auto" w:fill="auto"/>
          </w:tcPr>
          <w:p w14:paraId="51AC0235" w14:textId="77777777" w:rsidR="00C117DE" w:rsidRPr="00785E1A" w:rsidRDefault="00C117DE" w:rsidP="00447CE9">
            <w:pPr>
              <w:keepNext/>
              <w:jc w:val="center"/>
              <w:rPr>
                <w:rFonts w:ascii="Arial" w:hAnsi="Arial" w:cs="Arial"/>
                <w:b/>
                <w:color w:val="000000"/>
                <w:sz w:val="20"/>
              </w:rPr>
            </w:pPr>
            <w:r w:rsidRPr="00785E1A">
              <w:rPr>
                <w:rFonts w:ascii="Arial" w:hAnsi="Arial" w:cs="Arial"/>
                <w:b/>
                <w:color w:val="000000"/>
                <w:sz w:val="20"/>
              </w:rPr>
              <w:t>VICTORIAN NOTIFICATIONS/REPORTS</w:t>
            </w:r>
          </w:p>
        </w:tc>
      </w:tr>
      <w:tr w:rsidR="00510E44" w:rsidRPr="00785E1A" w14:paraId="29DB9693" w14:textId="77777777" w:rsidTr="0094402D">
        <w:tblPrEx>
          <w:tblCellMar>
            <w:top w:w="0" w:type="dxa"/>
            <w:bottom w:w="0" w:type="dxa"/>
          </w:tblCellMar>
        </w:tblPrEx>
        <w:tc>
          <w:tcPr>
            <w:tcW w:w="1000" w:type="pct"/>
            <w:vMerge w:val="restart"/>
            <w:tcBorders>
              <w:top w:val="single" w:sz="12" w:space="0" w:color="auto"/>
              <w:left w:val="single" w:sz="12" w:space="0" w:color="auto"/>
            </w:tcBorders>
            <w:shd w:val="pct10" w:color="auto" w:fill="auto"/>
          </w:tcPr>
          <w:p w14:paraId="2195AEEC" w14:textId="77777777" w:rsidR="00510E44" w:rsidRPr="00785E1A" w:rsidRDefault="00510E44" w:rsidP="00447CE9">
            <w:pPr>
              <w:keepNext/>
              <w:spacing w:before="120"/>
              <w:jc w:val="center"/>
              <w:rPr>
                <w:rFonts w:ascii="Arial" w:hAnsi="Arial" w:cs="Arial"/>
                <w:b/>
                <w:color w:val="000000"/>
                <w:sz w:val="20"/>
              </w:rPr>
            </w:pPr>
            <w:r w:rsidRPr="00785E1A">
              <w:rPr>
                <w:rFonts w:ascii="Arial" w:hAnsi="Arial" w:cs="Arial"/>
                <w:b/>
                <w:color w:val="000000"/>
                <w:sz w:val="20"/>
              </w:rPr>
              <w:t>YEAR</w:t>
            </w:r>
          </w:p>
        </w:tc>
        <w:tc>
          <w:tcPr>
            <w:tcW w:w="1000" w:type="pct"/>
            <w:vMerge w:val="restart"/>
            <w:tcBorders>
              <w:top w:val="single" w:sz="12" w:space="0" w:color="auto"/>
              <w:left w:val="single" w:sz="12" w:space="0" w:color="auto"/>
            </w:tcBorders>
            <w:shd w:val="pct10" w:color="auto" w:fill="auto"/>
          </w:tcPr>
          <w:p w14:paraId="06644F3B" w14:textId="77777777" w:rsidR="00510E44" w:rsidRPr="00785E1A" w:rsidRDefault="00510E44" w:rsidP="00447CE9">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3001" w:type="pct"/>
            <w:gridSpan w:val="3"/>
            <w:tcBorders>
              <w:top w:val="single" w:sz="12" w:space="0" w:color="auto"/>
              <w:left w:val="single" w:sz="12" w:space="0" w:color="auto"/>
              <w:bottom w:val="single" w:sz="12" w:space="0" w:color="auto"/>
            </w:tcBorders>
            <w:shd w:val="pct10" w:color="auto" w:fill="auto"/>
          </w:tcPr>
          <w:p w14:paraId="51404673" w14:textId="77777777" w:rsidR="00510E44" w:rsidRPr="00785E1A" w:rsidRDefault="00510E44" w:rsidP="00447CE9">
            <w:pPr>
              <w:keepNext/>
              <w:jc w:val="center"/>
              <w:rPr>
                <w:rFonts w:ascii="Arial" w:hAnsi="Arial" w:cs="Arial"/>
                <w:b/>
                <w:color w:val="000000"/>
                <w:sz w:val="20"/>
              </w:rPr>
            </w:pPr>
            <w:r w:rsidRPr="00785E1A">
              <w:rPr>
                <w:rFonts w:ascii="Arial" w:hAnsi="Arial" w:cs="Arial"/>
                <w:b/>
                <w:color w:val="000000"/>
                <w:sz w:val="20"/>
              </w:rPr>
              <w:t>SUBSTANTIATED REPORTS</w:t>
            </w:r>
          </w:p>
        </w:tc>
      </w:tr>
      <w:tr w:rsidR="00B51BBE" w:rsidRPr="00785E1A" w14:paraId="09CB29C2" w14:textId="77777777" w:rsidTr="001152F2">
        <w:tblPrEx>
          <w:tblCellMar>
            <w:top w:w="0" w:type="dxa"/>
            <w:bottom w:w="0" w:type="dxa"/>
          </w:tblCellMar>
        </w:tblPrEx>
        <w:tc>
          <w:tcPr>
            <w:tcW w:w="1000" w:type="pct"/>
            <w:vMerge/>
            <w:tcBorders>
              <w:left w:val="single" w:sz="12" w:space="0" w:color="auto"/>
              <w:bottom w:val="single" w:sz="12" w:space="0" w:color="auto"/>
            </w:tcBorders>
            <w:shd w:val="pct10" w:color="auto" w:fill="auto"/>
          </w:tcPr>
          <w:p w14:paraId="682C5559" w14:textId="77777777" w:rsidR="00B51BBE" w:rsidRPr="00785E1A" w:rsidRDefault="00B51BBE" w:rsidP="0028753C">
            <w:pPr>
              <w:jc w:val="center"/>
              <w:rPr>
                <w:rFonts w:ascii="Arial" w:hAnsi="Arial" w:cs="Arial"/>
                <w:b/>
                <w:color w:val="000000"/>
                <w:sz w:val="20"/>
              </w:rPr>
            </w:pPr>
          </w:p>
        </w:tc>
        <w:tc>
          <w:tcPr>
            <w:tcW w:w="1000" w:type="pct"/>
            <w:vMerge/>
            <w:tcBorders>
              <w:left w:val="single" w:sz="12" w:space="0" w:color="auto"/>
              <w:bottom w:val="single" w:sz="12" w:space="0" w:color="auto"/>
            </w:tcBorders>
            <w:shd w:val="pct10" w:color="auto" w:fill="auto"/>
          </w:tcPr>
          <w:p w14:paraId="07D33045" w14:textId="77777777" w:rsidR="00B51BBE" w:rsidRPr="00785E1A" w:rsidRDefault="00B51BBE" w:rsidP="0028753C">
            <w:pPr>
              <w:jc w:val="center"/>
              <w:rPr>
                <w:rFonts w:ascii="Arial" w:hAnsi="Arial" w:cs="Arial"/>
                <w:b/>
                <w:color w:val="000000"/>
                <w:sz w:val="20"/>
              </w:rPr>
            </w:pPr>
          </w:p>
        </w:tc>
        <w:tc>
          <w:tcPr>
            <w:tcW w:w="1000" w:type="pct"/>
            <w:tcBorders>
              <w:top w:val="single" w:sz="12" w:space="0" w:color="auto"/>
              <w:left w:val="single" w:sz="12" w:space="0" w:color="auto"/>
              <w:bottom w:val="single" w:sz="12" w:space="0" w:color="auto"/>
            </w:tcBorders>
            <w:shd w:val="pct10" w:color="auto" w:fill="auto"/>
          </w:tcPr>
          <w:p w14:paraId="4BEF80FC" w14:textId="77777777" w:rsidR="00B51BBE" w:rsidRPr="00785E1A" w:rsidRDefault="00B51BBE" w:rsidP="0028753C">
            <w:pPr>
              <w:jc w:val="center"/>
              <w:rPr>
                <w:rFonts w:ascii="Arial" w:hAnsi="Arial" w:cs="Arial"/>
                <w:b/>
                <w:color w:val="000000"/>
                <w:sz w:val="20"/>
              </w:rPr>
            </w:pPr>
            <w:r w:rsidRPr="00785E1A">
              <w:rPr>
                <w:rFonts w:ascii="Arial" w:hAnsi="Arial" w:cs="Arial"/>
                <w:b/>
                <w:color w:val="000000"/>
                <w:sz w:val="20"/>
              </w:rPr>
              <w:t>TOTAL NUMBER</w:t>
            </w:r>
          </w:p>
        </w:tc>
        <w:tc>
          <w:tcPr>
            <w:tcW w:w="1000" w:type="pct"/>
            <w:tcBorders>
              <w:top w:val="single" w:sz="12" w:space="0" w:color="auto"/>
              <w:left w:val="single" w:sz="12" w:space="0" w:color="auto"/>
              <w:bottom w:val="single" w:sz="12" w:space="0" w:color="auto"/>
            </w:tcBorders>
            <w:shd w:val="pct10" w:color="auto" w:fill="auto"/>
          </w:tcPr>
          <w:p w14:paraId="3E342D0C" w14:textId="77777777" w:rsidR="00B51BBE" w:rsidRPr="00785E1A" w:rsidRDefault="00B51BBE" w:rsidP="00B51BBE">
            <w:pPr>
              <w:spacing w:before="120"/>
              <w:jc w:val="center"/>
              <w:rPr>
                <w:rFonts w:ascii="Arial" w:hAnsi="Arial" w:cs="Arial"/>
                <w:b/>
                <w:color w:val="000000"/>
                <w:sz w:val="20"/>
              </w:rPr>
            </w:pPr>
            <w:r w:rsidRPr="00785E1A">
              <w:rPr>
                <w:rFonts w:ascii="Arial" w:hAnsi="Arial" w:cs="Arial"/>
                <w:b/>
                <w:color w:val="000000"/>
                <w:sz w:val="20"/>
              </w:rPr>
              <w:t>INDIGENOUS</w:t>
            </w:r>
          </w:p>
        </w:tc>
        <w:tc>
          <w:tcPr>
            <w:tcW w:w="1000" w:type="pct"/>
            <w:tcBorders>
              <w:top w:val="single" w:sz="12" w:space="0" w:color="auto"/>
              <w:left w:val="single" w:sz="12" w:space="0" w:color="auto"/>
              <w:bottom w:val="single" w:sz="12" w:space="0" w:color="auto"/>
            </w:tcBorders>
            <w:shd w:val="pct10" w:color="auto" w:fill="auto"/>
          </w:tcPr>
          <w:p w14:paraId="72B0F59B" w14:textId="77777777" w:rsidR="00B51BBE" w:rsidRPr="00785E1A" w:rsidRDefault="00B51BBE" w:rsidP="0028753C">
            <w:pPr>
              <w:jc w:val="center"/>
              <w:rPr>
                <w:rFonts w:ascii="Arial" w:hAnsi="Arial" w:cs="Arial"/>
                <w:b/>
                <w:color w:val="000000"/>
                <w:sz w:val="20"/>
              </w:rPr>
            </w:pPr>
            <w:r w:rsidRPr="00785E1A">
              <w:rPr>
                <w:rFonts w:ascii="Arial" w:hAnsi="Arial" w:cs="Arial"/>
                <w:b/>
                <w:color w:val="000000"/>
                <w:sz w:val="20"/>
              </w:rPr>
              <w:t>NON-INDIGENOUS</w:t>
            </w:r>
          </w:p>
        </w:tc>
      </w:tr>
      <w:tr w:rsidR="00B51BBE" w:rsidRPr="00785E1A" w14:paraId="1CF25323" w14:textId="77777777" w:rsidTr="001152F2">
        <w:tblPrEx>
          <w:tblCellMar>
            <w:top w:w="0" w:type="dxa"/>
            <w:bottom w:w="0" w:type="dxa"/>
          </w:tblCellMar>
        </w:tblPrEx>
        <w:tc>
          <w:tcPr>
            <w:tcW w:w="1000" w:type="pct"/>
            <w:tcBorders>
              <w:top w:val="single" w:sz="4" w:space="0" w:color="auto"/>
              <w:left w:val="single" w:sz="12" w:space="0" w:color="auto"/>
              <w:bottom w:val="single" w:sz="4" w:space="0" w:color="auto"/>
            </w:tcBorders>
          </w:tcPr>
          <w:p w14:paraId="520DA11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2006-2007</w:t>
            </w:r>
          </w:p>
        </w:tc>
        <w:tc>
          <w:tcPr>
            <w:tcW w:w="1000" w:type="pct"/>
            <w:tcBorders>
              <w:top w:val="single" w:sz="4" w:space="0" w:color="auto"/>
              <w:left w:val="single" w:sz="12" w:space="0" w:color="auto"/>
              <w:bottom w:val="single" w:sz="4" w:space="0" w:color="auto"/>
            </w:tcBorders>
          </w:tcPr>
          <w:p w14:paraId="6FE8B562"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38,675</w:t>
            </w:r>
          </w:p>
        </w:tc>
        <w:tc>
          <w:tcPr>
            <w:tcW w:w="1000" w:type="pct"/>
            <w:tcBorders>
              <w:top w:val="single" w:sz="4" w:space="0" w:color="auto"/>
              <w:left w:val="single" w:sz="12" w:space="0" w:color="auto"/>
              <w:bottom w:val="single" w:sz="4" w:space="0" w:color="auto"/>
            </w:tcBorders>
          </w:tcPr>
          <w:p w14:paraId="4D8350E2"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6,828</w:t>
            </w:r>
          </w:p>
        </w:tc>
        <w:tc>
          <w:tcPr>
            <w:tcW w:w="1000" w:type="pct"/>
            <w:tcBorders>
              <w:top w:val="single" w:sz="4" w:space="0" w:color="auto"/>
              <w:left w:val="single" w:sz="12" w:space="0" w:color="auto"/>
              <w:bottom w:val="single" w:sz="4" w:space="0" w:color="auto"/>
            </w:tcBorders>
          </w:tcPr>
          <w:p w14:paraId="41C2D7AD"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697 [5.66%]</w:t>
            </w:r>
          </w:p>
        </w:tc>
        <w:tc>
          <w:tcPr>
            <w:tcW w:w="1000" w:type="pct"/>
            <w:tcBorders>
              <w:top w:val="single" w:sz="4" w:space="0" w:color="auto"/>
              <w:left w:val="single" w:sz="12" w:space="0" w:color="auto"/>
              <w:bottom w:val="single" w:sz="4" w:space="0" w:color="auto"/>
            </w:tcBorders>
          </w:tcPr>
          <w:p w14:paraId="6AD8DF10"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5,891 [0.53%]</w:t>
            </w:r>
          </w:p>
        </w:tc>
      </w:tr>
      <w:tr w:rsidR="00B51BBE" w:rsidRPr="00785E1A" w14:paraId="18A19F72" w14:textId="77777777" w:rsidTr="001152F2">
        <w:tblPrEx>
          <w:tblCellMar>
            <w:top w:w="0" w:type="dxa"/>
            <w:bottom w:w="0" w:type="dxa"/>
          </w:tblCellMar>
        </w:tblPrEx>
        <w:tc>
          <w:tcPr>
            <w:tcW w:w="1000" w:type="pct"/>
            <w:tcBorders>
              <w:top w:val="single" w:sz="4" w:space="0" w:color="auto"/>
              <w:left w:val="single" w:sz="12" w:space="0" w:color="auto"/>
              <w:bottom w:val="single" w:sz="4" w:space="0" w:color="auto"/>
            </w:tcBorders>
          </w:tcPr>
          <w:p w14:paraId="176C35F7"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2007-2008</w:t>
            </w:r>
          </w:p>
        </w:tc>
        <w:tc>
          <w:tcPr>
            <w:tcW w:w="1000" w:type="pct"/>
            <w:tcBorders>
              <w:top w:val="single" w:sz="4" w:space="0" w:color="auto"/>
              <w:left w:val="single" w:sz="12" w:space="0" w:color="auto"/>
              <w:bottom w:val="single" w:sz="4" w:space="0" w:color="auto"/>
            </w:tcBorders>
          </w:tcPr>
          <w:p w14:paraId="2D5F0CD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41,607</w:t>
            </w:r>
          </w:p>
        </w:tc>
        <w:tc>
          <w:tcPr>
            <w:tcW w:w="1000" w:type="pct"/>
            <w:tcBorders>
              <w:top w:val="single" w:sz="4" w:space="0" w:color="auto"/>
              <w:left w:val="single" w:sz="12" w:space="0" w:color="auto"/>
              <w:bottom w:val="single" w:sz="4" w:space="0" w:color="auto"/>
            </w:tcBorders>
          </w:tcPr>
          <w:p w14:paraId="327B575D" w14:textId="77777777" w:rsidR="00B51BBE" w:rsidRPr="00785E1A" w:rsidRDefault="00B51BBE" w:rsidP="00760C81">
            <w:pPr>
              <w:jc w:val="center"/>
              <w:rPr>
                <w:rFonts w:ascii="Arial" w:hAnsi="Arial" w:cs="Arial"/>
                <w:color w:val="000000"/>
                <w:sz w:val="20"/>
              </w:rPr>
            </w:pPr>
            <w:r w:rsidRPr="00785E1A">
              <w:rPr>
                <w:rFonts w:ascii="Arial" w:hAnsi="Arial" w:cs="Arial"/>
                <w:bCs/>
                <w:color w:val="000000"/>
                <w:sz w:val="20"/>
              </w:rPr>
              <w:t>6,365</w:t>
            </w:r>
          </w:p>
        </w:tc>
        <w:tc>
          <w:tcPr>
            <w:tcW w:w="1000" w:type="pct"/>
            <w:tcBorders>
              <w:top w:val="single" w:sz="4" w:space="0" w:color="auto"/>
              <w:left w:val="single" w:sz="12" w:space="0" w:color="auto"/>
              <w:bottom w:val="single" w:sz="4" w:space="0" w:color="auto"/>
            </w:tcBorders>
          </w:tcPr>
          <w:p w14:paraId="40D34F6B"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681 [5.50%]</w:t>
            </w:r>
          </w:p>
        </w:tc>
        <w:tc>
          <w:tcPr>
            <w:tcW w:w="1000" w:type="pct"/>
            <w:tcBorders>
              <w:top w:val="single" w:sz="4" w:space="0" w:color="auto"/>
              <w:left w:val="single" w:sz="12" w:space="0" w:color="auto"/>
              <w:bottom w:val="single" w:sz="4" w:space="0" w:color="auto"/>
            </w:tcBorders>
          </w:tcPr>
          <w:p w14:paraId="059AA466"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5,461 [0.49%]</w:t>
            </w:r>
          </w:p>
        </w:tc>
      </w:tr>
      <w:tr w:rsidR="00B51BBE" w:rsidRPr="00785E1A" w14:paraId="7CD20456" w14:textId="77777777" w:rsidTr="001152F2">
        <w:tblPrEx>
          <w:tblCellMar>
            <w:top w:w="0" w:type="dxa"/>
            <w:bottom w:w="0" w:type="dxa"/>
          </w:tblCellMar>
        </w:tblPrEx>
        <w:tc>
          <w:tcPr>
            <w:tcW w:w="1000" w:type="pct"/>
            <w:tcBorders>
              <w:top w:val="single" w:sz="4" w:space="0" w:color="auto"/>
              <w:left w:val="single" w:sz="12" w:space="0" w:color="auto"/>
              <w:bottom w:val="single" w:sz="4" w:space="0" w:color="auto"/>
            </w:tcBorders>
          </w:tcPr>
          <w:p w14:paraId="0B6E8959"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2008-2009</w:t>
            </w:r>
          </w:p>
        </w:tc>
        <w:tc>
          <w:tcPr>
            <w:tcW w:w="1000" w:type="pct"/>
            <w:tcBorders>
              <w:top w:val="single" w:sz="4" w:space="0" w:color="auto"/>
              <w:left w:val="single" w:sz="12" w:space="0" w:color="auto"/>
              <w:bottom w:val="single" w:sz="4" w:space="0" w:color="auto"/>
            </w:tcBorders>
          </w:tcPr>
          <w:p w14:paraId="2A97BFE6"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42,851</w:t>
            </w:r>
          </w:p>
        </w:tc>
        <w:tc>
          <w:tcPr>
            <w:tcW w:w="1000" w:type="pct"/>
            <w:tcBorders>
              <w:top w:val="single" w:sz="4" w:space="0" w:color="auto"/>
              <w:left w:val="single" w:sz="12" w:space="0" w:color="auto"/>
              <w:bottom w:val="single" w:sz="4" w:space="0" w:color="auto"/>
            </w:tcBorders>
          </w:tcPr>
          <w:p w14:paraId="1AA9A69C"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6,344</w:t>
            </w:r>
          </w:p>
        </w:tc>
        <w:tc>
          <w:tcPr>
            <w:tcW w:w="1000" w:type="pct"/>
            <w:tcBorders>
              <w:top w:val="single" w:sz="4" w:space="0" w:color="auto"/>
              <w:left w:val="single" w:sz="12" w:space="0" w:color="auto"/>
              <w:bottom w:val="single" w:sz="4" w:space="0" w:color="auto"/>
            </w:tcBorders>
          </w:tcPr>
          <w:p w14:paraId="79697028"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684</w:t>
            </w:r>
            <w:r w:rsidR="00706650" w:rsidRPr="00785E1A">
              <w:rPr>
                <w:rFonts w:ascii="Arial" w:hAnsi="Arial" w:cs="Arial"/>
                <w:color w:val="000000"/>
                <w:sz w:val="20"/>
              </w:rPr>
              <w:t xml:space="preserve"> [</w:t>
            </w:r>
            <w:r w:rsidR="00F364C1" w:rsidRPr="00785E1A">
              <w:rPr>
                <w:rFonts w:ascii="Arial" w:hAnsi="Arial" w:cs="Arial"/>
                <w:color w:val="000000"/>
                <w:sz w:val="20"/>
              </w:rPr>
              <w:t>4.50</w:t>
            </w:r>
            <w:r w:rsidR="00706650" w:rsidRPr="00785E1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5D00A54B"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5,441</w:t>
            </w:r>
            <w:r w:rsidR="00706650" w:rsidRPr="00785E1A">
              <w:rPr>
                <w:rFonts w:ascii="Arial" w:hAnsi="Arial" w:cs="Arial"/>
                <w:color w:val="000000"/>
                <w:sz w:val="20"/>
              </w:rPr>
              <w:t xml:space="preserve"> [</w:t>
            </w:r>
            <w:r w:rsidR="00F364C1" w:rsidRPr="00785E1A">
              <w:rPr>
                <w:rFonts w:ascii="Arial" w:hAnsi="Arial" w:cs="Arial"/>
                <w:color w:val="000000"/>
                <w:sz w:val="20"/>
              </w:rPr>
              <w:t>0.45</w:t>
            </w:r>
            <w:r w:rsidR="00706650" w:rsidRPr="00785E1A">
              <w:rPr>
                <w:rFonts w:ascii="Arial" w:hAnsi="Arial" w:cs="Arial"/>
                <w:color w:val="000000"/>
                <w:sz w:val="20"/>
              </w:rPr>
              <w:t>%]</w:t>
            </w:r>
          </w:p>
        </w:tc>
      </w:tr>
      <w:tr w:rsidR="00B51BBE" w:rsidRPr="00785E1A" w14:paraId="34482AAC" w14:textId="77777777" w:rsidTr="00AA2A81">
        <w:tblPrEx>
          <w:tblCellMar>
            <w:top w:w="0" w:type="dxa"/>
            <w:bottom w:w="0" w:type="dxa"/>
          </w:tblCellMar>
        </w:tblPrEx>
        <w:tc>
          <w:tcPr>
            <w:tcW w:w="1000" w:type="pct"/>
            <w:tcBorders>
              <w:top w:val="single" w:sz="4" w:space="0" w:color="auto"/>
              <w:left w:val="single" w:sz="12" w:space="0" w:color="auto"/>
              <w:bottom w:val="single" w:sz="4" w:space="0" w:color="auto"/>
            </w:tcBorders>
          </w:tcPr>
          <w:p w14:paraId="1FFD4C22"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2009-2010</w:t>
            </w:r>
          </w:p>
        </w:tc>
        <w:tc>
          <w:tcPr>
            <w:tcW w:w="1000" w:type="pct"/>
            <w:tcBorders>
              <w:top w:val="single" w:sz="4" w:space="0" w:color="auto"/>
              <w:left w:val="single" w:sz="12" w:space="0" w:color="auto"/>
              <w:bottom w:val="single" w:sz="4" w:space="0" w:color="auto"/>
            </w:tcBorders>
          </w:tcPr>
          <w:p w14:paraId="535E759D"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48,369</w:t>
            </w:r>
          </w:p>
        </w:tc>
        <w:tc>
          <w:tcPr>
            <w:tcW w:w="1000" w:type="pct"/>
            <w:tcBorders>
              <w:top w:val="single" w:sz="4" w:space="0" w:color="auto"/>
              <w:left w:val="single" w:sz="12" w:space="0" w:color="auto"/>
              <w:bottom w:val="single" w:sz="4" w:space="0" w:color="auto"/>
            </w:tcBorders>
          </w:tcPr>
          <w:p w14:paraId="69D2E9E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6,603</w:t>
            </w:r>
          </w:p>
        </w:tc>
        <w:tc>
          <w:tcPr>
            <w:tcW w:w="1000" w:type="pct"/>
            <w:tcBorders>
              <w:top w:val="single" w:sz="4" w:space="0" w:color="auto"/>
              <w:left w:val="single" w:sz="12" w:space="0" w:color="auto"/>
              <w:bottom w:val="single" w:sz="4" w:space="0" w:color="auto"/>
            </w:tcBorders>
          </w:tcPr>
          <w:p w14:paraId="5B63B235"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710</w:t>
            </w:r>
            <w:r w:rsidR="00706650" w:rsidRPr="00785E1A">
              <w:rPr>
                <w:rFonts w:ascii="Arial" w:hAnsi="Arial" w:cs="Arial"/>
                <w:color w:val="000000"/>
                <w:sz w:val="20"/>
              </w:rPr>
              <w:t xml:space="preserve"> [</w:t>
            </w:r>
            <w:r w:rsidR="00F364C1" w:rsidRPr="00785E1A">
              <w:rPr>
                <w:rFonts w:ascii="Arial" w:hAnsi="Arial" w:cs="Arial"/>
                <w:color w:val="000000"/>
                <w:sz w:val="20"/>
              </w:rPr>
              <w:t>4.67</w:t>
            </w:r>
            <w:r w:rsidR="00706650" w:rsidRPr="00785E1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1AB8880D"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5,690</w:t>
            </w:r>
            <w:r w:rsidR="00706650" w:rsidRPr="00785E1A">
              <w:rPr>
                <w:rFonts w:ascii="Arial" w:hAnsi="Arial" w:cs="Arial"/>
                <w:color w:val="000000"/>
                <w:sz w:val="20"/>
              </w:rPr>
              <w:t xml:space="preserve"> [</w:t>
            </w:r>
            <w:r w:rsidR="00F364C1" w:rsidRPr="00785E1A">
              <w:rPr>
                <w:rFonts w:ascii="Arial" w:hAnsi="Arial" w:cs="Arial"/>
                <w:color w:val="000000"/>
                <w:sz w:val="20"/>
              </w:rPr>
              <w:t>0.47</w:t>
            </w:r>
            <w:r w:rsidR="00706650" w:rsidRPr="00785E1A">
              <w:rPr>
                <w:rFonts w:ascii="Arial" w:hAnsi="Arial" w:cs="Arial"/>
                <w:color w:val="000000"/>
                <w:sz w:val="20"/>
              </w:rPr>
              <w:t>%]</w:t>
            </w:r>
          </w:p>
        </w:tc>
      </w:tr>
      <w:tr w:rsidR="005D4FF3" w:rsidRPr="00D00CAA" w14:paraId="09B215EC" w14:textId="77777777" w:rsidTr="00177067">
        <w:tblPrEx>
          <w:tblCellMar>
            <w:top w:w="0" w:type="dxa"/>
            <w:bottom w:w="0" w:type="dxa"/>
          </w:tblCellMar>
        </w:tblPrEx>
        <w:tc>
          <w:tcPr>
            <w:tcW w:w="1000" w:type="pct"/>
            <w:tcBorders>
              <w:top w:val="single" w:sz="4" w:space="0" w:color="auto"/>
              <w:left w:val="single" w:sz="12" w:space="0" w:color="auto"/>
              <w:bottom w:val="single" w:sz="4" w:space="0" w:color="auto"/>
            </w:tcBorders>
          </w:tcPr>
          <w:p w14:paraId="4F99DB0E" w14:textId="77777777" w:rsidR="005D4FF3" w:rsidRPr="00D00CAA" w:rsidRDefault="005D4FF3" w:rsidP="00760C81">
            <w:pPr>
              <w:jc w:val="center"/>
              <w:rPr>
                <w:rFonts w:ascii="Arial" w:hAnsi="Arial" w:cs="Arial"/>
                <w:color w:val="000000"/>
                <w:sz w:val="20"/>
              </w:rPr>
            </w:pPr>
            <w:r w:rsidRPr="00D00CAA">
              <w:rPr>
                <w:rFonts w:ascii="Arial" w:hAnsi="Arial" w:cs="Arial"/>
                <w:color w:val="000000"/>
                <w:sz w:val="20"/>
              </w:rPr>
              <w:t>2010-2011</w:t>
            </w:r>
          </w:p>
        </w:tc>
        <w:tc>
          <w:tcPr>
            <w:tcW w:w="1000" w:type="pct"/>
            <w:tcBorders>
              <w:top w:val="single" w:sz="4" w:space="0" w:color="auto"/>
              <w:left w:val="single" w:sz="12" w:space="0" w:color="auto"/>
              <w:bottom w:val="single" w:sz="4" w:space="0" w:color="auto"/>
            </w:tcBorders>
          </w:tcPr>
          <w:p w14:paraId="5C75885E" w14:textId="77777777" w:rsidR="005D4FF3" w:rsidRPr="00D00CAA" w:rsidRDefault="00607134" w:rsidP="00760C81">
            <w:pPr>
              <w:jc w:val="center"/>
              <w:rPr>
                <w:rFonts w:ascii="Arial" w:hAnsi="Arial" w:cs="Arial"/>
                <w:color w:val="000000"/>
                <w:sz w:val="20"/>
              </w:rPr>
            </w:pPr>
            <w:r w:rsidRPr="00D00CAA">
              <w:rPr>
                <w:rFonts w:ascii="Arial" w:hAnsi="Arial" w:cs="Arial"/>
                <w:color w:val="000000"/>
                <w:sz w:val="20"/>
              </w:rPr>
              <w:t>55,718</w:t>
            </w:r>
          </w:p>
        </w:tc>
        <w:tc>
          <w:tcPr>
            <w:tcW w:w="1000" w:type="pct"/>
            <w:tcBorders>
              <w:top w:val="single" w:sz="4" w:space="0" w:color="auto"/>
              <w:left w:val="single" w:sz="12" w:space="0" w:color="auto"/>
              <w:bottom w:val="single" w:sz="4" w:space="0" w:color="auto"/>
            </w:tcBorders>
          </w:tcPr>
          <w:p w14:paraId="23FD67A6"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7,643</w:t>
            </w:r>
          </w:p>
        </w:tc>
        <w:tc>
          <w:tcPr>
            <w:tcW w:w="1000" w:type="pct"/>
            <w:tcBorders>
              <w:top w:val="single" w:sz="4" w:space="0" w:color="auto"/>
              <w:left w:val="single" w:sz="12" w:space="0" w:color="auto"/>
              <w:bottom w:val="single" w:sz="4" w:space="0" w:color="auto"/>
            </w:tcBorders>
          </w:tcPr>
          <w:p w14:paraId="4B7E1B8D"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768</w:t>
            </w:r>
            <w:r w:rsidR="005829E6" w:rsidRPr="00D00CAA">
              <w:rPr>
                <w:rFonts w:ascii="Arial" w:hAnsi="Arial" w:cs="Arial"/>
                <w:color w:val="000000"/>
                <w:sz w:val="20"/>
              </w:rPr>
              <w:t xml:space="preserve"> [</w:t>
            </w:r>
            <w:r w:rsidR="00A976E1" w:rsidRPr="00D00CAA">
              <w:rPr>
                <w:rFonts w:ascii="Arial" w:hAnsi="Arial" w:cs="Arial"/>
                <w:color w:val="000000"/>
                <w:sz w:val="20"/>
              </w:rPr>
              <w:t>5.02</w:t>
            </w:r>
            <w:r w:rsidR="005829E6" w:rsidRPr="00D00CA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3FF3DEAB"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6,557</w:t>
            </w:r>
            <w:r w:rsidR="005829E6" w:rsidRPr="00D00CAA">
              <w:rPr>
                <w:rFonts w:ascii="Arial" w:hAnsi="Arial" w:cs="Arial"/>
                <w:color w:val="000000"/>
                <w:sz w:val="20"/>
              </w:rPr>
              <w:t xml:space="preserve"> [</w:t>
            </w:r>
            <w:r w:rsidR="00A976E1" w:rsidRPr="00D00CAA">
              <w:rPr>
                <w:rFonts w:ascii="Arial" w:hAnsi="Arial" w:cs="Arial"/>
                <w:color w:val="000000"/>
                <w:sz w:val="20"/>
              </w:rPr>
              <w:t>0.54</w:t>
            </w:r>
            <w:r w:rsidR="005829E6" w:rsidRPr="00D00CAA">
              <w:rPr>
                <w:rFonts w:ascii="Arial" w:hAnsi="Arial" w:cs="Arial"/>
                <w:color w:val="000000"/>
                <w:sz w:val="20"/>
              </w:rPr>
              <w:t>%]</w:t>
            </w:r>
          </w:p>
        </w:tc>
      </w:tr>
      <w:tr w:rsidR="00177067" w:rsidRPr="003D5DFA" w14:paraId="0E217293" w14:textId="77777777" w:rsidTr="00492F82">
        <w:tblPrEx>
          <w:tblCellMar>
            <w:top w:w="0" w:type="dxa"/>
            <w:bottom w:w="0" w:type="dxa"/>
          </w:tblCellMar>
        </w:tblPrEx>
        <w:tc>
          <w:tcPr>
            <w:tcW w:w="1000" w:type="pct"/>
            <w:tcBorders>
              <w:top w:val="single" w:sz="4" w:space="0" w:color="auto"/>
              <w:left w:val="single" w:sz="12" w:space="0" w:color="auto"/>
              <w:bottom w:val="single" w:sz="4" w:space="0" w:color="auto"/>
            </w:tcBorders>
          </w:tcPr>
          <w:p w14:paraId="0FFFC35F"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2011-2012</w:t>
            </w:r>
          </w:p>
        </w:tc>
        <w:tc>
          <w:tcPr>
            <w:tcW w:w="1000" w:type="pct"/>
            <w:tcBorders>
              <w:top w:val="single" w:sz="4" w:space="0" w:color="auto"/>
              <w:left w:val="single" w:sz="12" w:space="0" w:color="auto"/>
              <w:bottom w:val="single" w:sz="4" w:space="0" w:color="auto"/>
            </w:tcBorders>
          </w:tcPr>
          <w:p w14:paraId="61F6D5AC"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63,830</w:t>
            </w:r>
          </w:p>
        </w:tc>
        <w:tc>
          <w:tcPr>
            <w:tcW w:w="1000" w:type="pct"/>
            <w:tcBorders>
              <w:top w:val="single" w:sz="4" w:space="0" w:color="auto"/>
              <w:left w:val="single" w:sz="12" w:space="0" w:color="auto"/>
              <w:bottom w:val="single" w:sz="4" w:space="0" w:color="auto"/>
            </w:tcBorders>
          </w:tcPr>
          <w:p w14:paraId="5570103C"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9,075</w:t>
            </w:r>
          </w:p>
        </w:tc>
        <w:tc>
          <w:tcPr>
            <w:tcW w:w="1000" w:type="pct"/>
            <w:tcBorders>
              <w:top w:val="single" w:sz="4" w:space="0" w:color="auto"/>
              <w:left w:val="single" w:sz="12" w:space="0" w:color="auto"/>
              <w:bottom w:val="single" w:sz="4" w:space="0" w:color="auto"/>
            </w:tcBorders>
          </w:tcPr>
          <w:p w14:paraId="472BA517" w14:textId="77777777" w:rsidR="00177067" w:rsidRPr="003D5DFA" w:rsidRDefault="00655A55" w:rsidP="00760C81">
            <w:pPr>
              <w:jc w:val="center"/>
              <w:rPr>
                <w:rFonts w:ascii="Arial" w:hAnsi="Arial" w:cs="Arial"/>
                <w:color w:val="000000"/>
                <w:sz w:val="20"/>
              </w:rPr>
            </w:pPr>
            <w:r w:rsidRPr="003D5DFA">
              <w:rPr>
                <w:rFonts w:ascii="Arial" w:hAnsi="Arial" w:cs="Arial"/>
                <w:color w:val="000000"/>
                <w:sz w:val="20"/>
              </w:rPr>
              <w:t>963</w:t>
            </w:r>
          </w:p>
        </w:tc>
        <w:tc>
          <w:tcPr>
            <w:tcW w:w="1000" w:type="pct"/>
            <w:tcBorders>
              <w:top w:val="single" w:sz="4" w:space="0" w:color="auto"/>
              <w:left w:val="single" w:sz="12" w:space="0" w:color="auto"/>
              <w:bottom w:val="single" w:sz="4" w:space="0" w:color="auto"/>
            </w:tcBorders>
          </w:tcPr>
          <w:p w14:paraId="70692E48" w14:textId="77777777" w:rsidR="00177067" w:rsidRPr="003D5DFA" w:rsidRDefault="00655A55" w:rsidP="00760C81">
            <w:pPr>
              <w:jc w:val="center"/>
              <w:rPr>
                <w:rFonts w:ascii="Arial" w:hAnsi="Arial" w:cs="Arial"/>
                <w:color w:val="000000"/>
                <w:sz w:val="20"/>
              </w:rPr>
            </w:pPr>
            <w:r w:rsidRPr="003D5DFA">
              <w:rPr>
                <w:rFonts w:ascii="Arial" w:hAnsi="Arial" w:cs="Arial"/>
                <w:color w:val="000000"/>
                <w:sz w:val="20"/>
              </w:rPr>
              <w:t>7,778</w:t>
            </w:r>
          </w:p>
        </w:tc>
      </w:tr>
      <w:tr w:rsidR="00492F82" w:rsidRPr="003D5DFA" w14:paraId="04F4C17B" w14:textId="77777777" w:rsidTr="00453F5C">
        <w:tblPrEx>
          <w:tblCellMar>
            <w:top w:w="0" w:type="dxa"/>
            <w:bottom w:w="0" w:type="dxa"/>
          </w:tblCellMar>
        </w:tblPrEx>
        <w:tc>
          <w:tcPr>
            <w:tcW w:w="1000" w:type="pct"/>
            <w:tcBorders>
              <w:top w:val="single" w:sz="4" w:space="0" w:color="auto"/>
              <w:left w:val="single" w:sz="12" w:space="0" w:color="auto"/>
              <w:bottom w:val="single" w:sz="4" w:space="0" w:color="auto"/>
            </w:tcBorders>
          </w:tcPr>
          <w:p w14:paraId="343532F7" w14:textId="77777777" w:rsidR="00492F82" w:rsidRPr="003D5DFA" w:rsidRDefault="00492F82" w:rsidP="00760C81">
            <w:pPr>
              <w:jc w:val="center"/>
              <w:rPr>
                <w:rFonts w:ascii="Arial" w:hAnsi="Arial" w:cs="Arial"/>
                <w:color w:val="000000"/>
                <w:sz w:val="20"/>
              </w:rPr>
            </w:pPr>
            <w:r>
              <w:rPr>
                <w:rFonts w:ascii="Arial" w:hAnsi="Arial" w:cs="Arial"/>
                <w:color w:val="000000"/>
                <w:sz w:val="20"/>
              </w:rPr>
              <w:t>2012-2013</w:t>
            </w:r>
          </w:p>
        </w:tc>
        <w:tc>
          <w:tcPr>
            <w:tcW w:w="1000" w:type="pct"/>
            <w:tcBorders>
              <w:top w:val="single" w:sz="4" w:space="0" w:color="auto"/>
              <w:left w:val="single" w:sz="12" w:space="0" w:color="auto"/>
              <w:bottom w:val="single" w:sz="4" w:space="0" w:color="auto"/>
            </w:tcBorders>
          </w:tcPr>
          <w:p w14:paraId="77F10518" w14:textId="77777777" w:rsidR="00492F82" w:rsidRPr="003D5DFA" w:rsidRDefault="00A309B2" w:rsidP="00760C81">
            <w:pPr>
              <w:jc w:val="center"/>
              <w:rPr>
                <w:rFonts w:ascii="Arial" w:hAnsi="Arial" w:cs="Arial"/>
                <w:color w:val="000000"/>
                <w:sz w:val="20"/>
              </w:rPr>
            </w:pPr>
            <w:r>
              <w:rPr>
                <w:rFonts w:ascii="Arial" w:hAnsi="Arial" w:cs="Arial"/>
                <w:color w:val="000000"/>
                <w:sz w:val="20"/>
              </w:rPr>
              <w:t>73,265</w:t>
            </w:r>
          </w:p>
        </w:tc>
        <w:tc>
          <w:tcPr>
            <w:tcW w:w="1000" w:type="pct"/>
            <w:tcBorders>
              <w:top w:val="single" w:sz="4" w:space="0" w:color="auto"/>
              <w:left w:val="single" w:sz="12" w:space="0" w:color="auto"/>
              <w:bottom w:val="single" w:sz="4" w:space="0" w:color="auto"/>
            </w:tcBorders>
          </w:tcPr>
          <w:p w14:paraId="745D61FA" w14:textId="77777777" w:rsidR="00492F82" w:rsidRPr="003D5DFA" w:rsidRDefault="00A309B2" w:rsidP="00760C81">
            <w:pPr>
              <w:jc w:val="center"/>
              <w:rPr>
                <w:rFonts w:ascii="Arial" w:hAnsi="Arial" w:cs="Arial"/>
                <w:color w:val="000000"/>
                <w:sz w:val="20"/>
              </w:rPr>
            </w:pPr>
            <w:r>
              <w:rPr>
                <w:rFonts w:ascii="Arial" w:hAnsi="Arial" w:cs="Arial"/>
                <w:color w:val="000000"/>
                <w:sz w:val="20"/>
              </w:rPr>
              <w:t>10,489</w:t>
            </w:r>
          </w:p>
        </w:tc>
        <w:tc>
          <w:tcPr>
            <w:tcW w:w="1000" w:type="pct"/>
            <w:tcBorders>
              <w:top w:val="single" w:sz="4" w:space="0" w:color="auto"/>
              <w:left w:val="single" w:sz="12" w:space="0" w:color="auto"/>
              <w:bottom w:val="single" w:sz="4" w:space="0" w:color="auto"/>
            </w:tcBorders>
          </w:tcPr>
          <w:p w14:paraId="3D84A231" w14:textId="77777777" w:rsidR="00492F82" w:rsidRPr="003D5DFA" w:rsidRDefault="000B4173" w:rsidP="00760C81">
            <w:pPr>
              <w:jc w:val="center"/>
              <w:rPr>
                <w:rFonts w:ascii="Arial" w:hAnsi="Arial" w:cs="Arial"/>
                <w:color w:val="000000"/>
                <w:sz w:val="20"/>
              </w:rPr>
            </w:pPr>
            <w:r>
              <w:rPr>
                <w:rFonts w:ascii="Arial" w:hAnsi="Arial" w:cs="Arial"/>
                <w:color w:val="000000"/>
                <w:sz w:val="20"/>
              </w:rPr>
              <w:t>1,067</w:t>
            </w:r>
          </w:p>
        </w:tc>
        <w:tc>
          <w:tcPr>
            <w:tcW w:w="1000" w:type="pct"/>
            <w:tcBorders>
              <w:top w:val="single" w:sz="4" w:space="0" w:color="auto"/>
              <w:left w:val="single" w:sz="12" w:space="0" w:color="auto"/>
              <w:bottom w:val="single" w:sz="4" w:space="0" w:color="auto"/>
            </w:tcBorders>
          </w:tcPr>
          <w:p w14:paraId="244EFAB5" w14:textId="77777777" w:rsidR="00492F82" w:rsidRPr="003D5DFA" w:rsidRDefault="000B4173" w:rsidP="00760C81">
            <w:pPr>
              <w:jc w:val="center"/>
              <w:rPr>
                <w:rFonts w:ascii="Arial" w:hAnsi="Arial" w:cs="Arial"/>
                <w:color w:val="000000"/>
                <w:sz w:val="20"/>
              </w:rPr>
            </w:pPr>
            <w:r>
              <w:rPr>
                <w:rFonts w:ascii="Arial" w:hAnsi="Arial" w:cs="Arial"/>
                <w:color w:val="000000"/>
                <w:sz w:val="20"/>
              </w:rPr>
              <w:t>8,977</w:t>
            </w:r>
          </w:p>
        </w:tc>
      </w:tr>
      <w:tr w:rsidR="00453F5C" w:rsidRPr="003D5DFA" w14:paraId="0B2D153E" w14:textId="77777777" w:rsidTr="00AA2A81">
        <w:tblPrEx>
          <w:tblCellMar>
            <w:top w:w="0" w:type="dxa"/>
            <w:bottom w:w="0" w:type="dxa"/>
          </w:tblCellMar>
        </w:tblPrEx>
        <w:tc>
          <w:tcPr>
            <w:tcW w:w="1000" w:type="pct"/>
            <w:tcBorders>
              <w:top w:val="single" w:sz="4" w:space="0" w:color="auto"/>
              <w:left w:val="single" w:sz="12" w:space="0" w:color="auto"/>
              <w:bottom w:val="single" w:sz="18" w:space="0" w:color="auto"/>
            </w:tcBorders>
          </w:tcPr>
          <w:p w14:paraId="3CAF495A" w14:textId="77777777" w:rsidR="00453F5C" w:rsidRDefault="00453F5C" w:rsidP="00760C81">
            <w:pPr>
              <w:jc w:val="center"/>
              <w:rPr>
                <w:rFonts w:ascii="Arial" w:hAnsi="Arial" w:cs="Arial"/>
                <w:color w:val="000000"/>
                <w:sz w:val="20"/>
              </w:rPr>
            </w:pPr>
            <w:r>
              <w:rPr>
                <w:rFonts w:ascii="Arial" w:hAnsi="Arial" w:cs="Arial"/>
                <w:color w:val="000000"/>
                <w:sz w:val="20"/>
              </w:rPr>
              <w:t>2013-2014</w:t>
            </w:r>
          </w:p>
        </w:tc>
        <w:tc>
          <w:tcPr>
            <w:tcW w:w="1000" w:type="pct"/>
            <w:tcBorders>
              <w:top w:val="single" w:sz="4" w:space="0" w:color="auto"/>
              <w:left w:val="single" w:sz="12" w:space="0" w:color="auto"/>
              <w:bottom w:val="single" w:sz="18" w:space="0" w:color="auto"/>
            </w:tcBorders>
          </w:tcPr>
          <w:p w14:paraId="2B9DC7FB" w14:textId="77777777" w:rsidR="00453F5C" w:rsidRDefault="00453F5C" w:rsidP="00760C81">
            <w:pPr>
              <w:jc w:val="center"/>
              <w:rPr>
                <w:rFonts w:ascii="Arial" w:hAnsi="Arial" w:cs="Arial"/>
                <w:color w:val="000000"/>
                <w:sz w:val="20"/>
              </w:rPr>
            </w:pPr>
            <w:r>
              <w:rPr>
                <w:rFonts w:ascii="Arial" w:hAnsi="Arial" w:cs="Arial"/>
                <w:color w:val="000000"/>
                <w:sz w:val="20"/>
              </w:rPr>
              <w:t>82,056</w:t>
            </w:r>
          </w:p>
        </w:tc>
        <w:tc>
          <w:tcPr>
            <w:tcW w:w="1000" w:type="pct"/>
            <w:tcBorders>
              <w:top w:val="single" w:sz="4" w:space="0" w:color="auto"/>
              <w:left w:val="single" w:sz="12" w:space="0" w:color="auto"/>
              <w:bottom w:val="single" w:sz="18" w:space="0" w:color="auto"/>
            </w:tcBorders>
          </w:tcPr>
          <w:p w14:paraId="5F0DAA32" w14:textId="77777777" w:rsidR="00453F5C" w:rsidRDefault="00453F5C" w:rsidP="00760C81">
            <w:pPr>
              <w:jc w:val="center"/>
              <w:rPr>
                <w:rFonts w:ascii="Arial" w:hAnsi="Arial" w:cs="Arial"/>
                <w:color w:val="000000"/>
                <w:sz w:val="20"/>
              </w:rPr>
            </w:pPr>
            <w:r>
              <w:rPr>
                <w:rFonts w:ascii="Arial" w:hAnsi="Arial" w:cs="Arial"/>
                <w:color w:val="000000"/>
                <w:sz w:val="20"/>
              </w:rPr>
              <w:t>11,395</w:t>
            </w:r>
          </w:p>
        </w:tc>
        <w:tc>
          <w:tcPr>
            <w:tcW w:w="1000" w:type="pct"/>
            <w:tcBorders>
              <w:top w:val="single" w:sz="4" w:space="0" w:color="auto"/>
              <w:left w:val="single" w:sz="12" w:space="0" w:color="auto"/>
              <w:bottom w:val="single" w:sz="18" w:space="0" w:color="auto"/>
            </w:tcBorders>
          </w:tcPr>
          <w:p w14:paraId="2A471AFB" w14:textId="77777777" w:rsidR="00453F5C" w:rsidRDefault="00453F5C" w:rsidP="00760C81">
            <w:pPr>
              <w:jc w:val="center"/>
              <w:rPr>
                <w:rFonts w:ascii="Arial" w:hAnsi="Arial" w:cs="Arial"/>
                <w:color w:val="000000"/>
                <w:sz w:val="20"/>
              </w:rPr>
            </w:pPr>
            <w:r>
              <w:rPr>
                <w:rFonts w:ascii="Arial" w:hAnsi="Arial" w:cs="Arial"/>
                <w:color w:val="000000"/>
                <w:sz w:val="20"/>
              </w:rPr>
              <w:t>1,249</w:t>
            </w:r>
          </w:p>
        </w:tc>
        <w:tc>
          <w:tcPr>
            <w:tcW w:w="1000" w:type="pct"/>
            <w:tcBorders>
              <w:top w:val="single" w:sz="4" w:space="0" w:color="auto"/>
              <w:left w:val="single" w:sz="12" w:space="0" w:color="auto"/>
              <w:bottom w:val="single" w:sz="18" w:space="0" w:color="auto"/>
            </w:tcBorders>
          </w:tcPr>
          <w:p w14:paraId="04E2C85C" w14:textId="77777777" w:rsidR="00453F5C" w:rsidRDefault="00453F5C" w:rsidP="00760C81">
            <w:pPr>
              <w:jc w:val="center"/>
              <w:rPr>
                <w:rFonts w:ascii="Arial" w:hAnsi="Arial" w:cs="Arial"/>
                <w:color w:val="000000"/>
                <w:sz w:val="20"/>
              </w:rPr>
            </w:pPr>
            <w:r>
              <w:rPr>
                <w:rFonts w:ascii="Arial" w:hAnsi="Arial" w:cs="Arial"/>
                <w:color w:val="000000"/>
                <w:sz w:val="20"/>
              </w:rPr>
              <w:t>10,145</w:t>
            </w:r>
          </w:p>
        </w:tc>
      </w:tr>
    </w:tbl>
    <w:p w14:paraId="5B949841" w14:textId="77777777" w:rsidR="00F364C1" w:rsidRPr="00D00CAA" w:rsidRDefault="00F364C1" w:rsidP="00F364C1">
      <w:pPr>
        <w:jc w:val="both"/>
        <w:rPr>
          <w:rFonts w:ascii="Arial" w:hAnsi="Arial" w:cs="Arial"/>
          <w:color w:val="000000"/>
          <w:sz w:val="20"/>
        </w:rPr>
      </w:pPr>
    </w:p>
    <w:p w14:paraId="6EA1E04F" w14:textId="77777777" w:rsidR="005C4B22" w:rsidRPr="00D00CAA" w:rsidRDefault="00B00042" w:rsidP="00F364C1">
      <w:pPr>
        <w:jc w:val="both"/>
        <w:rPr>
          <w:rFonts w:ascii="Arial" w:hAnsi="Arial" w:cs="Arial"/>
          <w:color w:val="000000"/>
          <w:sz w:val="20"/>
        </w:rPr>
      </w:pPr>
      <w:r>
        <w:rPr>
          <w:rFonts w:ascii="Arial" w:hAnsi="Arial" w:cs="Arial"/>
          <w:color w:val="000000"/>
          <w:sz w:val="20"/>
        </w:rPr>
        <w:t>As the following chart shows, t</w:t>
      </w:r>
      <w:r w:rsidR="001C536D" w:rsidRPr="00D00CAA">
        <w:rPr>
          <w:rFonts w:ascii="Arial" w:hAnsi="Arial" w:cs="Arial"/>
          <w:color w:val="000000"/>
          <w:sz w:val="20"/>
        </w:rPr>
        <w:t xml:space="preserve">he </w:t>
      </w:r>
      <w:r>
        <w:rPr>
          <w:rFonts w:ascii="Arial" w:hAnsi="Arial" w:cs="Arial"/>
          <w:color w:val="000000"/>
          <w:sz w:val="20"/>
        </w:rPr>
        <w:t>proportion</w:t>
      </w:r>
      <w:r w:rsidR="001C536D" w:rsidRPr="00D00CAA">
        <w:rPr>
          <w:rFonts w:ascii="Arial" w:hAnsi="Arial" w:cs="Arial"/>
          <w:color w:val="000000"/>
          <w:sz w:val="20"/>
        </w:rPr>
        <w:t xml:space="preserve"> of indigenous children the subject of substantiated child protection reports in </w:t>
      </w:r>
      <w:r w:rsidR="005C4B22" w:rsidRPr="00D00CAA">
        <w:rPr>
          <w:rFonts w:ascii="Arial" w:hAnsi="Arial" w:cs="Arial"/>
          <w:color w:val="000000"/>
          <w:sz w:val="20"/>
        </w:rPr>
        <w:t>Victoria</w:t>
      </w:r>
      <w:r w:rsidR="001C536D" w:rsidRPr="00D00CAA">
        <w:rPr>
          <w:rFonts w:ascii="Arial" w:hAnsi="Arial" w:cs="Arial"/>
          <w:color w:val="000000"/>
          <w:sz w:val="20"/>
        </w:rPr>
        <w:t xml:space="preserve"> is significantly more than in </w:t>
      </w:r>
      <w:r w:rsidR="000B4173">
        <w:rPr>
          <w:rFonts w:ascii="Arial" w:hAnsi="Arial" w:cs="Arial"/>
          <w:color w:val="000000"/>
          <w:sz w:val="20"/>
        </w:rPr>
        <w:t>Queensland and Tasmania</w:t>
      </w:r>
      <w:r w:rsidR="001C536D" w:rsidRPr="00D00CAA">
        <w:rPr>
          <w:rFonts w:ascii="Arial" w:hAnsi="Arial" w:cs="Arial"/>
          <w:color w:val="000000"/>
          <w:sz w:val="20"/>
        </w:rPr>
        <w:t xml:space="preserve"> </w:t>
      </w:r>
      <w:r>
        <w:rPr>
          <w:rFonts w:ascii="Arial" w:hAnsi="Arial" w:cs="Arial"/>
          <w:color w:val="000000"/>
          <w:sz w:val="20"/>
        </w:rPr>
        <w:t>but less than in the other States &amp; Territories.</w:t>
      </w:r>
    </w:p>
    <w:p w14:paraId="532729B7" w14:textId="77777777" w:rsidR="005C4B22" w:rsidRPr="00D00CAA" w:rsidRDefault="005C4B22" w:rsidP="00F364C1">
      <w:pPr>
        <w:jc w:val="both"/>
        <w:rPr>
          <w:rFonts w:ascii="Arial" w:hAnsi="Arial" w:cs="Arial"/>
          <w:color w:val="000000"/>
          <w:sz w:val="20"/>
        </w:rPr>
      </w:pPr>
    </w:p>
    <w:tbl>
      <w:tblPr>
        <w:tblW w:w="827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90"/>
        <w:gridCol w:w="894"/>
        <w:gridCol w:w="802"/>
        <w:gridCol w:w="810"/>
        <w:gridCol w:w="768"/>
        <w:gridCol w:w="802"/>
        <w:gridCol w:w="791"/>
        <w:gridCol w:w="706"/>
        <w:gridCol w:w="676"/>
        <w:gridCol w:w="939"/>
      </w:tblGrid>
      <w:tr w:rsidR="006E6DAE" w:rsidRPr="00D00CAA" w14:paraId="3C1A465C" w14:textId="77777777" w:rsidTr="00AA2A81">
        <w:tblPrEx>
          <w:tblCellMar>
            <w:top w:w="0" w:type="dxa"/>
            <w:bottom w:w="0" w:type="dxa"/>
          </w:tblCellMar>
        </w:tblPrEx>
        <w:trPr>
          <w:jc w:val="center"/>
        </w:trPr>
        <w:tc>
          <w:tcPr>
            <w:tcW w:w="8278" w:type="dxa"/>
            <w:gridSpan w:val="10"/>
            <w:tcBorders>
              <w:top w:val="single" w:sz="12" w:space="0" w:color="auto"/>
              <w:left w:val="single" w:sz="12" w:space="0" w:color="auto"/>
              <w:bottom w:val="single" w:sz="4" w:space="0" w:color="auto"/>
            </w:tcBorders>
            <w:shd w:val="pct10" w:color="auto" w:fill="auto"/>
          </w:tcPr>
          <w:p w14:paraId="2078246E"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RATIO OF INDIGENOUS/NON-INDIGENOUS SUBSTANTIATED REPORTS</w:t>
            </w:r>
          </w:p>
        </w:tc>
      </w:tr>
      <w:tr w:rsidR="006E6DAE" w:rsidRPr="00D00CAA" w14:paraId="5E5EB2B6" w14:textId="77777777" w:rsidTr="00AA2A81">
        <w:tblPrEx>
          <w:tblCellMar>
            <w:top w:w="0" w:type="dxa"/>
            <w:bottom w:w="0" w:type="dxa"/>
          </w:tblCellMar>
        </w:tblPrEx>
        <w:trPr>
          <w:jc w:val="center"/>
        </w:trPr>
        <w:tc>
          <w:tcPr>
            <w:tcW w:w="1090" w:type="dxa"/>
            <w:tcBorders>
              <w:top w:val="single" w:sz="12" w:space="0" w:color="auto"/>
              <w:left w:val="single" w:sz="12" w:space="0" w:color="auto"/>
              <w:bottom w:val="single" w:sz="12" w:space="0" w:color="auto"/>
              <w:right w:val="single" w:sz="12" w:space="0" w:color="auto"/>
            </w:tcBorders>
            <w:shd w:val="pct10" w:color="auto" w:fill="auto"/>
          </w:tcPr>
          <w:p w14:paraId="570A0C51"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YEAR</w:t>
            </w:r>
          </w:p>
        </w:tc>
        <w:tc>
          <w:tcPr>
            <w:tcW w:w="894" w:type="dxa"/>
            <w:tcBorders>
              <w:top w:val="single" w:sz="12" w:space="0" w:color="auto"/>
              <w:left w:val="single" w:sz="12" w:space="0" w:color="auto"/>
              <w:bottom w:val="single" w:sz="12" w:space="0" w:color="auto"/>
              <w:right w:val="single" w:sz="12" w:space="0" w:color="auto"/>
            </w:tcBorders>
            <w:shd w:val="pct10" w:color="auto" w:fill="auto"/>
          </w:tcPr>
          <w:p w14:paraId="3787518C"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NSW</w:t>
            </w:r>
          </w:p>
        </w:tc>
        <w:tc>
          <w:tcPr>
            <w:tcW w:w="802" w:type="dxa"/>
            <w:tcBorders>
              <w:top w:val="single" w:sz="12" w:space="0" w:color="auto"/>
              <w:left w:val="single" w:sz="12" w:space="0" w:color="auto"/>
              <w:bottom w:val="single" w:sz="12" w:space="0" w:color="auto"/>
              <w:right w:val="single" w:sz="12" w:space="0" w:color="auto"/>
            </w:tcBorders>
            <w:shd w:val="pct10" w:color="auto" w:fill="auto"/>
          </w:tcPr>
          <w:p w14:paraId="5D5044B2"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VIC</w:t>
            </w:r>
          </w:p>
        </w:tc>
        <w:tc>
          <w:tcPr>
            <w:tcW w:w="810" w:type="dxa"/>
            <w:tcBorders>
              <w:top w:val="single" w:sz="12" w:space="0" w:color="auto"/>
              <w:left w:val="single" w:sz="12" w:space="0" w:color="auto"/>
              <w:bottom w:val="single" w:sz="12" w:space="0" w:color="auto"/>
              <w:right w:val="single" w:sz="12" w:space="0" w:color="auto"/>
            </w:tcBorders>
            <w:shd w:val="pct10" w:color="auto" w:fill="auto"/>
          </w:tcPr>
          <w:p w14:paraId="6B683C86"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QLD</w:t>
            </w:r>
          </w:p>
        </w:tc>
        <w:tc>
          <w:tcPr>
            <w:tcW w:w="768" w:type="dxa"/>
            <w:tcBorders>
              <w:top w:val="single" w:sz="12" w:space="0" w:color="auto"/>
              <w:left w:val="single" w:sz="12" w:space="0" w:color="auto"/>
              <w:bottom w:val="single" w:sz="12" w:space="0" w:color="auto"/>
              <w:right w:val="single" w:sz="12" w:space="0" w:color="auto"/>
            </w:tcBorders>
            <w:shd w:val="pct10" w:color="auto" w:fill="auto"/>
          </w:tcPr>
          <w:p w14:paraId="18E6D50C"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WA</w:t>
            </w:r>
          </w:p>
        </w:tc>
        <w:tc>
          <w:tcPr>
            <w:tcW w:w="802" w:type="dxa"/>
            <w:tcBorders>
              <w:top w:val="single" w:sz="12" w:space="0" w:color="auto"/>
              <w:left w:val="single" w:sz="12" w:space="0" w:color="auto"/>
              <w:bottom w:val="single" w:sz="12" w:space="0" w:color="auto"/>
              <w:right w:val="single" w:sz="12" w:space="0" w:color="auto"/>
            </w:tcBorders>
            <w:shd w:val="pct10" w:color="auto" w:fill="auto"/>
          </w:tcPr>
          <w:p w14:paraId="6A87E448"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SA</w:t>
            </w:r>
          </w:p>
        </w:tc>
        <w:tc>
          <w:tcPr>
            <w:tcW w:w="791" w:type="dxa"/>
            <w:tcBorders>
              <w:top w:val="single" w:sz="12" w:space="0" w:color="auto"/>
              <w:left w:val="single" w:sz="12" w:space="0" w:color="auto"/>
              <w:bottom w:val="single" w:sz="12" w:space="0" w:color="auto"/>
              <w:right w:val="single" w:sz="12" w:space="0" w:color="auto"/>
            </w:tcBorders>
            <w:shd w:val="pct10" w:color="auto" w:fill="auto"/>
          </w:tcPr>
          <w:p w14:paraId="7A4D7D76"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TAS</w:t>
            </w:r>
          </w:p>
        </w:tc>
        <w:tc>
          <w:tcPr>
            <w:tcW w:w="706" w:type="dxa"/>
            <w:tcBorders>
              <w:top w:val="single" w:sz="12" w:space="0" w:color="auto"/>
              <w:left w:val="single" w:sz="12" w:space="0" w:color="auto"/>
              <w:bottom w:val="single" w:sz="12" w:space="0" w:color="auto"/>
              <w:right w:val="single" w:sz="12" w:space="0" w:color="auto"/>
            </w:tcBorders>
            <w:shd w:val="pct10" w:color="auto" w:fill="auto"/>
          </w:tcPr>
          <w:p w14:paraId="09D319DF"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ACT</w:t>
            </w:r>
          </w:p>
        </w:tc>
        <w:tc>
          <w:tcPr>
            <w:tcW w:w="676" w:type="dxa"/>
            <w:tcBorders>
              <w:top w:val="single" w:sz="12" w:space="0" w:color="auto"/>
              <w:left w:val="single" w:sz="12" w:space="0" w:color="auto"/>
              <w:bottom w:val="single" w:sz="12" w:space="0" w:color="auto"/>
              <w:right w:val="single" w:sz="12" w:space="0" w:color="auto"/>
            </w:tcBorders>
            <w:shd w:val="pct10" w:color="auto" w:fill="auto"/>
          </w:tcPr>
          <w:p w14:paraId="02943930"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NT</w:t>
            </w:r>
          </w:p>
        </w:tc>
        <w:tc>
          <w:tcPr>
            <w:tcW w:w="939" w:type="dxa"/>
            <w:tcBorders>
              <w:top w:val="single" w:sz="12" w:space="0" w:color="auto"/>
              <w:left w:val="single" w:sz="12" w:space="0" w:color="auto"/>
              <w:bottom w:val="single" w:sz="12" w:space="0" w:color="auto"/>
            </w:tcBorders>
            <w:shd w:val="pct10" w:color="auto" w:fill="auto"/>
          </w:tcPr>
          <w:p w14:paraId="0B628A42"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TOTAL</w:t>
            </w:r>
          </w:p>
        </w:tc>
      </w:tr>
      <w:tr w:rsidR="006E6DAE" w:rsidRPr="00D00CAA" w14:paraId="3A2D93ED" w14:textId="77777777" w:rsidTr="00AA2A81">
        <w:tblPrEx>
          <w:tblCellMar>
            <w:top w:w="0" w:type="dxa"/>
            <w:bottom w:w="0" w:type="dxa"/>
          </w:tblCellMar>
        </w:tblPrEx>
        <w:trPr>
          <w:jc w:val="center"/>
        </w:trPr>
        <w:tc>
          <w:tcPr>
            <w:tcW w:w="1090" w:type="dxa"/>
            <w:tcBorders>
              <w:top w:val="single" w:sz="4" w:space="0" w:color="auto"/>
              <w:left w:val="single" w:sz="12" w:space="0" w:color="auto"/>
              <w:bottom w:val="single" w:sz="4" w:space="0" w:color="auto"/>
              <w:right w:val="single" w:sz="12" w:space="0" w:color="auto"/>
            </w:tcBorders>
          </w:tcPr>
          <w:p w14:paraId="71FACB71"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2008-09</w:t>
            </w:r>
          </w:p>
        </w:tc>
        <w:tc>
          <w:tcPr>
            <w:tcW w:w="894" w:type="dxa"/>
            <w:tcBorders>
              <w:left w:val="single" w:sz="12" w:space="0" w:color="auto"/>
              <w:right w:val="single" w:sz="12" w:space="0" w:color="auto"/>
            </w:tcBorders>
          </w:tcPr>
          <w:p w14:paraId="3D5BAF14"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8.2</w:t>
            </w:r>
          </w:p>
        </w:tc>
        <w:tc>
          <w:tcPr>
            <w:tcW w:w="802" w:type="dxa"/>
            <w:tcBorders>
              <w:left w:val="single" w:sz="12" w:space="0" w:color="auto"/>
              <w:right w:val="single" w:sz="12" w:space="0" w:color="auto"/>
            </w:tcBorders>
            <w:shd w:val="pct10" w:color="auto" w:fill="auto"/>
          </w:tcPr>
          <w:p w14:paraId="01586404"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10.0</w:t>
            </w:r>
          </w:p>
        </w:tc>
        <w:tc>
          <w:tcPr>
            <w:tcW w:w="810" w:type="dxa"/>
            <w:tcBorders>
              <w:left w:val="single" w:sz="12" w:space="0" w:color="auto"/>
              <w:right w:val="single" w:sz="12" w:space="0" w:color="auto"/>
            </w:tcBorders>
          </w:tcPr>
          <w:p w14:paraId="3701A773"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6.5</w:t>
            </w:r>
          </w:p>
        </w:tc>
        <w:tc>
          <w:tcPr>
            <w:tcW w:w="768" w:type="dxa"/>
            <w:tcBorders>
              <w:left w:val="single" w:sz="12" w:space="0" w:color="auto"/>
              <w:right w:val="single" w:sz="12" w:space="0" w:color="auto"/>
            </w:tcBorders>
          </w:tcPr>
          <w:p w14:paraId="5581B0E2"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10.7</w:t>
            </w:r>
          </w:p>
        </w:tc>
        <w:tc>
          <w:tcPr>
            <w:tcW w:w="802" w:type="dxa"/>
            <w:tcBorders>
              <w:left w:val="single" w:sz="12" w:space="0" w:color="auto"/>
              <w:right w:val="single" w:sz="12" w:space="0" w:color="auto"/>
            </w:tcBorders>
          </w:tcPr>
          <w:p w14:paraId="6B6BA5B1"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13.4</w:t>
            </w:r>
          </w:p>
        </w:tc>
        <w:tc>
          <w:tcPr>
            <w:tcW w:w="791" w:type="dxa"/>
            <w:tcBorders>
              <w:left w:val="single" w:sz="12" w:space="0" w:color="auto"/>
              <w:right w:val="single" w:sz="12" w:space="0" w:color="auto"/>
            </w:tcBorders>
          </w:tcPr>
          <w:p w14:paraId="1BC05E1B"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n/a</w:t>
            </w:r>
          </w:p>
        </w:tc>
        <w:tc>
          <w:tcPr>
            <w:tcW w:w="706" w:type="dxa"/>
            <w:tcBorders>
              <w:left w:val="single" w:sz="12" w:space="0" w:color="auto"/>
              <w:right w:val="single" w:sz="12" w:space="0" w:color="auto"/>
            </w:tcBorders>
          </w:tcPr>
          <w:p w14:paraId="3DE6ED61"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8.1</w:t>
            </w:r>
          </w:p>
        </w:tc>
        <w:tc>
          <w:tcPr>
            <w:tcW w:w="676" w:type="dxa"/>
            <w:tcBorders>
              <w:left w:val="single" w:sz="12" w:space="0" w:color="auto"/>
              <w:right w:val="single" w:sz="12" w:space="0" w:color="auto"/>
            </w:tcBorders>
          </w:tcPr>
          <w:p w14:paraId="5F2D6539"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6.1</w:t>
            </w:r>
          </w:p>
        </w:tc>
        <w:tc>
          <w:tcPr>
            <w:tcW w:w="939" w:type="dxa"/>
            <w:tcBorders>
              <w:left w:val="single" w:sz="12" w:space="0" w:color="auto"/>
            </w:tcBorders>
          </w:tcPr>
          <w:p w14:paraId="6B912461"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7.5</w:t>
            </w:r>
          </w:p>
        </w:tc>
      </w:tr>
      <w:tr w:rsidR="006E6DAE" w:rsidRPr="00D00CAA" w14:paraId="6490A07C" w14:textId="77777777" w:rsidTr="00AA2A81">
        <w:tblPrEx>
          <w:tblCellMar>
            <w:top w:w="0" w:type="dxa"/>
            <w:bottom w:w="0" w:type="dxa"/>
          </w:tblCellMar>
        </w:tblPrEx>
        <w:trPr>
          <w:jc w:val="center"/>
        </w:trPr>
        <w:tc>
          <w:tcPr>
            <w:tcW w:w="1090" w:type="dxa"/>
            <w:tcBorders>
              <w:top w:val="single" w:sz="4" w:space="0" w:color="auto"/>
              <w:left w:val="single" w:sz="12" w:space="0" w:color="auto"/>
              <w:bottom w:val="single" w:sz="4" w:space="0" w:color="auto"/>
              <w:right w:val="single" w:sz="12" w:space="0" w:color="auto"/>
            </w:tcBorders>
          </w:tcPr>
          <w:p w14:paraId="0190BA27"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2009-10</w:t>
            </w:r>
          </w:p>
        </w:tc>
        <w:tc>
          <w:tcPr>
            <w:tcW w:w="894" w:type="dxa"/>
            <w:tcBorders>
              <w:left w:val="single" w:sz="12" w:space="0" w:color="auto"/>
              <w:bottom w:val="single" w:sz="4" w:space="0" w:color="auto"/>
              <w:right w:val="single" w:sz="12" w:space="0" w:color="auto"/>
            </w:tcBorders>
          </w:tcPr>
          <w:p w14:paraId="28420F7C"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8.7</w:t>
            </w:r>
          </w:p>
        </w:tc>
        <w:tc>
          <w:tcPr>
            <w:tcW w:w="802" w:type="dxa"/>
            <w:tcBorders>
              <w:left w:val="single" w:sz="12" w:space="0" w:color="auto"/>
              <w:bottom w:val="single" w:sz="4" w:space="0" w:color="auto"/>
              <w:right w:val="single" w:sz="12" w:space="0" w:color="auto"/>
            </w:tcBorders>
            <w:shd w:val="pct10" w:color="auto" w:fill="auto"/>
          </w:tcPr>
          <w:p w14:paraId="0958CD10"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10.0</w:t>
            </w:r>
          </w:p>
        </w:tc>
        <w:tc>
          <w:tcPr>
            <w:tcW w:w="810" w:type="dxa"/>
            <w:tcBorders>
              <w:left w:val="single" w:sz="12" w:space="0" w:color="auto"/>
              <w:bottom w:val="single" w:sz="4" w:space="0" w:color="auto"/>
              <w:right w:val="single" w:sz="12" w:space="0" w:color="auto"/>
            </w:tcBorders>
          </w:tcPr>
          <w:p w14:paraId="2EBF8298" w14:textId="77777777" w:rsidR="006E6DAE" w:rsidRPr="00D00CAA" w:rsidRDefault="006E6DAE" w:rsidP="006E6DAE">
            <w:pPr>
              <w:jc w:val="center"/>
              <w:rPr>
                <w:rFonts w:ascii="Arial" w:hAnsi="Arial" w:cs="Arial"/>
                <w:color w:val="000000"/>
                <w:sz w:val="20"/>
              </w:rPr>
            </w:pPr>
            <w:r w:rsidRPr="00D00CAA">
              <w:rPr>
                <w:rFonts w:ascii="Arial" w:hAnsi="Arial" w:cs="Arial"/>
                <w:color w:val="000000"/>
                <w:sz w:val="20"/>
              </w:rPr>
              <w:t>6.1</w:t>
            </w:r>
          </w:p>
        </w:tc>
        <w:tc>
          <w:tcPr>
            <w:tcW w:w="768" w:type="dxa"/>
            <w:tcBorders>
              <w:left w:val="single" w:sz="12" w:space="0" w:color="auto"/>
              <w:bottom w:val="single" w:sz="4" w:space="0" w:color="auto"/>
              <w:right w:val="single" w:sz="12" w:space="0" w:color="auto"/>
            </w:tcBorders>
          </w:tcPr>
          <w:p w14:paraId="0401BDA7"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12.7</w:t>
            </w:r>
          </w:p>
        </w:tc>
        <w:tc>
          <w:tcPr>
            <w:tcW w:w="802" w:type="dxa"/>
            <w:tcBorders>
              <w:left w:val="single" w:sz="12" w:space="0" w:color="auto"/>
              <w:bottom w:val="single" w:sz="4" w:space="0" w:color="auto"/>
              <w:right w:val="single" w:sz="12" w:space="0" w:color="auto"/>
            </w:tcBorders>
          </w:tcPr>
          <w:p w14:paraId="51D562E1"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10.1</w:t>
            </w:r>
          </w:p>
        </w:tc>
        <w:tc>
          <w:tcPr>
            <w:tcW w:w="791" w:type="dxa"/>
            <w:tcBorders>
              <w:left w:val="single" w:sz="12" w:space="0" w:color="auto"/>
              <w:bottom w:val="single" w:sz="4" w:space="0" w:color="auto"/>
              <w:right w:val="single" w:sz="12" w:space="0" w:color="auto"/>
            </w:tcBorders>
          </w:tcPr>
          <w:p w14:paraId="023F4492"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2.8</w:t>
            </w:r>
          </w:p>
        </w:tc>
        <w:tc>
          <w:tcPr>
            <w:tcW w:w="706" w:type="dxa"/>
            <w:tcBorders>
              <w:left w:val="single" w:sz="12" w:space="0" w:color="auto"/>
              <w:bottom w:val="single" w:sz="4" w:space="0" w:color="auto"/>
              <w:right w:val="single" w:sz="12" w:space="0" w:color="auto"/>
            </w:tcBorders>
          </w:tcPr>
          <w:p w14:paraId="50364358"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12.5</w:t>
            </w:r>
          </w:p>
        </w:tc>
        <w:tc>
          <w:tcPr>
            <w:tcW w:w="676" w:type="dxa"/>
            <w:tcBorders>
              <w:left w:val="single" w:sz="12" w:space="0" w:color="auto"/>
              <w:bottom w:val="single" w:sz="4" w:space="0" w:color="auto"/>
              <w:right w:val="single" w:sz="12" w:space="0" w:color="auto"/>
            </w:tcBorders>
          </w:tcPr>
          <w:p w14:paraId="4CC26A8D" w14:textId="77777777" w:rsidR="006E6DAE" w:rsidRPr="00D00CAA" w:rsidRDefault="001C536D" w:rsidP="004D46D2">
            <w:pPr>
              <w:jc w:val="center"/>
              <w:rPr>
                <w:rFonts w:ascii="Arial" w:hAnsi="Arial" w:cs="Arial"/>
                <w:color w:val="000000"/>
                <w:sz w:val="20"/>
              </w:rPr>
            </w:pPr>
            <w:r w:rsidRPr="00D00CAA">
              <w:rPr>
                <w:rFonts w:ascii="Arial" w:hAnsi="Arial" w:cs="Arial"/>
                <w:color w:val="000000"/>
                <w:sz w:val="20"/>
              </w:rPr>
              <w:t>6.7</w:t>
            </w:r>
          </w:p>
        </w:tc>
        <w:tc>
          <w:tcPr>
            <w:tcW w:w="939" w:type="dxa"/>
            <w:tcBorders>
              <w:left w:val="single" w:sz="12" w:space="0" w:color="auto"/>
              <w:bottom w:val="single" w:sz="4" w:space="0" w:color="auto"/>
            </w:tcBorders>
          </w:tcPr>
          <w:p w14:paraId="597E7D0F" w14:textId="77777777" w:rsidR="006E6DAE" w:rsidRPr="00D00CAA" w:rsidRDefault="001C536D" w:rsidP="004D46D2">
            <w:pPr>
              <w:jc w:val="center"/>
              <w:rPr>
                <w:rFonts w:ascii="Arial" w:hAnsi="Arial" w:cs="Arial"/>
                <w:color w:val="000000"/>
                <w:sz w:val="20"/>
              </w:rPr>
            </w:pPr>
            <w:r w:rsidRPr="00D00CAA">
              <w:rPr>
                <w:rFonts w:ascii="Arial" w:hAnsi="Arial" w:cs="Arial"/>
                <w:color w:val="000000"/>
                <w:sz w:val="20"/>
              </w:rPr>
              <w:t>7.7</w:t>
            </w:r>
          </w:p>
        </w:tc>
      </w:tr>
      <w:tr w:rsidR="00ED4D32" w:rsidRPr="00D00CAA" w14:paraId="7E2448E7" w14:textId="77777777" w:rsidTr="00177067">
        <w:tblPrEx>
          <w:tblCellMar>
            <w:top w:w="0" w:type="dxa"/>
            <w:bottom w:w="0" w:type="dxa"/>
          </w:tblCellMar>
        </w:tblPrEx>
        <w:trPr>
          <w:jc w:val="center"/>
        </w:trPr>
        <w:tc>
          <w:tcPr>
            <w:tcW w:w="1090" w:type="dxa"/>
            <w:tcBorders>
              <w:top w:val="single" w:sz="4" w:space="0" w:color="auto"/>
              <w:left w:val="single" w:sz="12" w:space="0" w:color="auto"/>
              <w:bottom w:val="single" w:sz="4" w:space="0" w:color="auto"/>
              <w:right w:val="single" w:sz="12" w:space="0" w:color="auto"/>
            </w:tcBorders>
          </w:tcPr>
          <w:p w14:paraId="1B698E70" w14:textId="77777777" w:rsidR="00ED4D32" w:rsidRPr="00D00CAA" w:rsidRDefault="00ED4D32" w:rsidP="004D46D2">
            <w:pPr>
              <w:jc w:val="center"/>
              <w:rPr>
                <w:rFonts w:ascii="Arial" w:hAnsi="Arial" w:cs="Arial"/>
                <w:color w:val="000000"/>
                <w:sz w:val="20"/>
              </w:rPr>
            </w:pPr>
            <w:r w:rsidRPr="00D00CAA">
              <w:rPr>
                <w:rFonts w:ascii="Arial" w:hAnsi="Arial" w:cs="Arial"/>
                <w:color w:val="000000"/>
                <w:sz w:val="20"/>
              </w:rPr>
              <w:t>2010-11</w:t>
            </w:r>
          </w:p>
        </w:tc>
        <w:tc>
          <w:tcPr>
            <w:tcW w:w="894" w:type="dxa"/>
            <w:tcBorders>
              <w:top w:val="single" w:sz="4" w:space="0" w:color="auto"/>
              <w:left w:val="single" w:sz="12" w:space="0" w:color="auto"/>
              <w:bottom w:val="single" w:sz="4" w:space="0" w:color="auto"/>
              <w:right w:val="single" w:sz="12" w:space="0" w:color="auto"/>
            </w:tcBorders>
          </w:tcPr>
          <w:p w14:paraId="3B8A2CEA"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8.9</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3EE9D8C3"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9.3</w:t>
            </w:r>
          </w:p>
        </w:tc>
        <w:tc>
          <w:tcPr>
            <w:tcW w:w="810" w:type="dxa"/>
            <w:tcBorders>
              <w:top w:val="single" w:sz="4" w:space="0" w:color="auto"/>
              <w:left w:val="single" w:sz="12" w:space="0" w:color="auto"/>
              <w:bottom w:val="single" w:sz="4" w:space="0" w:color="auto"/>
              <w:right w:val="single" w:sz="12" w:space="0" w:color="auto"/>
            </w:tcBorders>
          </w:tcPr>
          <w:p w14:paraId="2C2D7CD2" w14:textId="77777777" w:rsidR="00ED4D32" w:rsidRPr="00D00CAA" w:rsidRDefault="00AA2A81" w:rsidP="006E6DAE">
            <w:pPr>
              <w:jc w:val="center"/>
              <w:rPr>
                <w:rFonts w:ascii="Arial" w:hAnsi="Arial" w:cs="Arial"/>
                <w:color w:val="000000"/>
                <w:sz w:val="20"/>
              </w:rPr>
            </w:pPr>
            <w:r w:rsidRPr="00D00CAA">
              <w:rPr>
                <w:rFonts w:ascii="Arial" w:hAnsi="Arial" w:cs="Arial"/>
                <w:color w:val="000000"/>
                <w:sz w:val="20"/>
              </w:rPr>
              <w:t>6.3</w:t>
            </w:r>
          </w:p>
        </w:tc>
        <w:tc>
          <w:tcPr>
            <w:tcW w:w="768" w:type="dxa"/>
            <w:tcBorders>
              <w:top w:val="single" w:sz="4" w:space="0" w:color="auto"/>
              <w:left w:val="single" w:sz="12" w:space="0" w:color="auto"/>
              <w:bottom w:val="single" w:sz="4" w:space="0" w:color="auto"/>
              <w:right w:val="single" w:sz="12" w:space="0" w:color="auto"/>
            </w:tcBorders>
          </w:tcPr>
          <w:p w14:paraId="681A3ECE"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12.4</w:t>
            </w:r>
          </w:p>
        </w:tc>
        <w:tc>
          <w:tcPr>
            <w:tcW w:w="802" w:type="dxa"/>
            <w:tcBorders>
              <w:top w:val="single" w:sz="4" w:space="0" w:color="auto"/>
              <w:left w:val="single" w:sz="12" w:space="0" w:color="auto"/>
              <w:bottom w:val="single" w:sz="4" w:space="0" w:color="auto"/>
              <w:right w:val="single" w:sz="12" w:space="0" w:color="auto"/>
            </w:tcBorders>
          </w:tcPr>
          <w:p w14:paraId="51E85FB8"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9.2</w:t>
            </w:r>
          </w:p>
        </w:tc>
        <w:tc>
          <w:tcPr>
            <w:tcW w:w="791" w:type="dxa"/>
            <w:tcBorders>
              <w:top w:val="single" w:sz="4" w:space="0" w:color="auto"/>
              <w:left w:val="single" w:sz="12" w:space="0" w:color="auto"/>
              <w:bottom w:val="single" w:sz="4" w:space="0" w:color="auto"/>
              <w:right w:val="single" w:sz="12" w:space="0" w:color="auto"/>
            </w:tcBorders>
          </w:tcPr>
          <w:p w14:paraId="5AACEB7C"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2.5</w:t>
            </w:r>
          </w:p>
        </w:tc>
        <w:tc>
          <w:tcPr>
            <w:tcW w:w="706" w:type="dxa"/>
            <w:tcBorders>
              <w:top w:val="single" w:sz="4" w:space="0" w:color="auto"/>
              <w:left w:val="single" w:sz="12" w:space="0" w:color="auto"/>
              <w:bottom w:val="single" w:sz="4" w:space="0" w:color="auto"/>
              <w:right w:val="single" w:sz="12" w:space="0" w:color="auto"/>
            </w:tcBorders>
          </w:tcPr>
          <w:p w14:paraId="36D2E57D"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13.0</w:t>
            </w:r>
          </w:p>
        </w:tc>
        <w:tc>
          <w:tcPr>
            <w:tcW w:w="676" w:type="dxa"/>
            <w:tcBorders>
              <w:top w:val="single" w:sz="4" w:space="0" w:color="auto"/>
              <w:left w:val="single" w:sz="12" w:space="0" w:color="auto"/>
              <w:bottom w:val="single" w:sz="4" w:space="0" w:color="auto"/>
              <w:right w:val="single" w:sz="12" w:space="0" w:color="auto"/>
            </w:tcBorders>
          </w:tcPr>
          <w:p w14:paraId="53BAC666"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6.6</w:t>
            </w:r>
          </w:p>
        </w:tc>
        <w:tc>
          <w:tcPr>
            <w:tcW w:w="939" w:type="dxa"/>
            <w:tcBorders>
              <w:top w:val="single" w:sz="4" w:space="0" w:color="auto"/>
              <w:left w:val="single" w:sz="12" w:space="0" w:color="auto"/>
              <w:bottom w:val="single" w:sz="4" w:space="0" w:color="auto"/>
            </w:tcBorders>
          </w:tcPr>
          <w:p w14:paraId="3F5A16AA"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7.7</w:t>
            </w:r>
          </w:p>
        </w:tc>
      </w:tr>
      <w:tr w:rsidR="00177067" w:rsidRPr="003D5DFA" w14:paraId="0D6329B1" w14:textId="77777777" w:rsidTr="00492F82">
        <w:tblPrEx>
          <w:tblCellMar>
            <w:top w:w="0" w:type="dxa"/>
            <w:bottom w:w="0" w:type="dxa"/>
          </w:tblCellMar>
        </w:tblPrEx>
        <w:trPr>
          <w:jc w:val="center"/>
        </w:trPr>
        <w:tc>
          <w:tcPr>
            <w:tcW w:w="1090" w:type="dxa"/>
            <w:tcBorders>
              <w:top w:val="single" w:sz="4" w:space="0" w:color="auto"/>
              <w:left w:val="single" w:sz="12" w:space="0" w:color="auto"/>
              <w:bottom w:val="single" w:sz="4" w:space="0" w:color="auto"/>
              <w:right w:val="single" w:sz="12" w:space="0" w:color="auto"/>
            </w:tcBorders>
          </w:tcPr>
          <w:p w14:paraId="510DBB41"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2011-12</w:t>
            </w:r>
          </w:p>
        </w:tc>
        <w:tc>
          <w:tcPr>
            <w:tcW w:w="894" w:type="dxa"/>
            <w:tcBorders>
              <w:top w:val="single" w:sz="4" w:space="0" w:color="auto"/>
              <w:left w:val="single" w:sz="12" w:space="0" w:color="auto"/>
              <w:bottom w:val="single" w:sz="4" w:space="0" w:color="auto"/>
              <w:right w:val="single" w:sz="12" w:space="0" w:color="auto"/>
            </w:tcBorders>
          </w:tcPr>
          <w:p w14:paraId="16D597D7"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9.0</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1B2EC3D0"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9.7</w:t>
            </w:r>
          </w:p>
        </w:tc>
        <w:tc>
          <w:tcPr>
            <w:tcW w:w="810" w:type="dxa"/>
            <w:tcBorders>
              <w:top w:val="single" w:sz="4" w:space="0" w:color="auto"/>
              <w:left w:val="single" w:sz="12" w:space="0" w:color="auto"/>
              <w:bottom w:val="single" w:sz="4" w:space="0" w:color="auto"/>
              <w:right w:val="single" w:sz="12" w:space="0" w:color="auto"/>
            </w:tcBorders>
          </w:tcPr>
          <w:p w14:paraId="6C1AB895" w14:textId="77777777" w:rsidR="00177067" w:rsidRPr="003D5DFA" w:rsidRDefault="00655A55" w:rsidP="006E6DAE">
            <w:pPr>
              <w:jc w:val="center"/>
              <w:rPr>
                <w:rFonts w:ascii="Arial" w:hAnsi="Arial" w:cs="Arial"/>
                <w:color w:val="000000"/>
                <w:sz w:val="20"/>
              </w:rPr>
            </w:pPr>
            <w:r w:rsidRPr="003D5DFA">
              <w:rPr>
                <w:rFonts w:ascii="Arial" w:hAnsi="Arial" w:cs="Arial"/>
                <w:color w:val="000000"/>
                <w:sz w:val="20"/>
              </w:rPr>
              <w:t>6.0</w:t>
            </w:r>
          </w:p>
        </w:tc>
        <w:tc>
          <w:tcPr>
            <w:tcW w:w="768" w:type="dxa"/>
            <w:tcBorders>
              <w:top w:val="single" w:sz="4" w:space="0" w:color="auto"/>
              <w:left w:val="single" w:sz="12" w:space="0" w:color="auto"/>
              <w:bottom w:val="single" w:sz="4" w:space="0" w:color="auto"/>
              <w:right w:val="single" w:sz="12" w:space="0" w:color="auto"/>
            </w:tcBorders>
          </w:tcPr>
          <w:p w14:paraId="58282AE8"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13.4</w:t>
            </w:r>
          </w:p>
        </w:tc>
        <w:tc>
          <w:tcPr>
            <w:tcW w:w="802" w:type="dxa"/>
            <w:tcBorders>
              <w:top w:val="single" w:sz="4" w:space="0" w:color="auto"/>
              <w:left w:val="single" w:sz="12" w:space="0" w:color="auto"/>
              <w:bottom w:val="single" w:sz="4" w:space="0" w:color="auto"/>
              <w:right w:val="single" w:sz="12" w:space="0" w:color="auto"/>
            </w:tcBorders>
          </w:tcPr>
          <w:p w14:paraId="1802ED03"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11.6</w:t>
            </w:r>
          </w:p>
        </w:tc>
        <w:tc>
          <w:tcPr>
            <w:tcW w:w="791" w:type="dxa"/>
            <w:tcBorders>
              <w:top w:val="single" w:sz="4" w:space="0" w:color="auto"/>
              <w:left w:val="single" w:sz="12" w:space="0" w:color="auto"/>
              <w:bottom w:val="single" w:sz="4" w:space="0" w:color="auto"/>
              <w:right w:val="single" w:sz="12" w:space="0" w:color="auto"/>
            </w:tcBorders>
          </w:tcPr>
          <w:p w14:paraId="434B40B1"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2.7</w:t>
            </w:r>
          </w:p>
        </w:tc>
        <w:tc>
          <w:tcPr>
            <w:tcW w:w="706" w:type="dxa"/>
            <w:tcBorders>
              <w:top w:val="single" w:sz="4" w:space="0" w:color="auto"/>
              <w:left w:val="single" w:sz="12" w:space="0" w:color="auto"/>
              <w:bottom w:val="single" w:sz="4" w:space="0" w:color="auto"/>
              <w:right w:val="single" w:sz="12" w:space="0" w:color="auto"/>
            </w:tcBorders>
          </w:tcPr>
          <w:p w14:paraId="38FD8D69"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13.8</w:t>
            </w:r>
          </w:p>
        </w:tc>
        <w:tc>
          <w:tcPr>
            <w:tcW w:w="676" w:type="dxa"/>
            <w:tcBorders>
              <w:top w:val="single" w:sz="4" w:space="0" w:color="auto"/>
              <w:left w:val="single" w:sz="12" w:space="0" w:color="auto"/>
              <w:bottom w:val="single" w:sz="4" w:space="0" w:color="auto"/>
              <w:right w:val="single" w:sz="12" w:space="0" w:color="auto"/>
            </w:tcBorders>
          </w:tcPr>
          <w:p w14:paraId="7226B714"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7.8</w:t>
            </w:r>
          </w:p>
        </w:tc>
        <w:tc>
          <w:tcPr>
            <w:tcW w:w="939" w:type="dxa"/>
            <w:tcBorders>
              <w:top w:val="single" w:sz="4" w:space="0" w:color="auto"/>
              <w:left w:val="single" w:sz="12" w:space="0" w:color="auto"/>
              <w:bottom w:val="single" w:sz="4" w:space="0" w:color="auto"/>
            </w:tcBorders>
          </w:tcPr>
          <w:p w14:paraId="524A7479"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7.8</w:t>
            </w:r>
          </w:p>
        </w:tc>
      </w:tr>
      <w:tr w:rsidR="00492F82" w:rsidRPr="003D5DFA" w14:paraId="30E6F9FE" w14:textId="77777777" w:rsidTr="00453F5C">
        <w:tblPrEx>
          <w:tblCellMar>
            <w:top w:w="0" w:type="dxa"/>
            <w:bottom w:w="0" w:type="dxa"/>
          </w:tblCellMar>
        </w:tblPrEx>
        <w:trPr>
          <w:jc w:val="center"/>
        </w:trPr>
        <w:tc>
          <w:tcPr>
            <w:tcW w:w="1090" w:type="dxa"/>
            <w:tcBorders>
              <w:top w:val="single" w:sz="4" w:space="0" w:color="auto"/>
              <w:left w:val="single" w:sz="12" w:space="0" w:color="auto"/>
              <w:bottom w:val="single" w:sz="4" w:space="0" w:color="auto"/>
              <w:right w:val="single" w:sz="12" w:space="0" w:color="auto"/>
            </w:tcBorders>
          </w:tcPr>
          <w:p w14:paraId="304315B6" w14:textId="77777777" w:rsidR="00492F82" w:rsidRPr="003D5DFA" w:rsidRDefault="00492F82" w:rsidP="004D46D2">
            <w:pPr>
              <w:jc w:val="center"/>
              <w:rPr>
                <w:rFonts w:ascii="Arial" w:hAnsi="Arial" w:cs="Arial"/>
                <w:color w:val="000000"/>
                <w:sz w:val="20"/>
              </w:rPr>
            </w:pPr>
            <w:r>
              <w:rPr>
                <w:rFonts w:ascii="Arial" w:hAnsi="Arial" w:cs="Arial"/>
                <w:color w:val="000000"/>
                <w:sz w:val="20"/>
              </w:rPr>
              <w:t>2012-13</w:t>
            </w:r>
          </w:p>
        </w:tc>
        <w:tc>
          <w:tcPr>
            <w:tcW w:w="894" w:type="dxa"/>
            <w:tcBorders>
              <w:top w:val="single" w:sz="4" w:space="0" w:color="auto"/>
              <w:left w:val="single" w:sz="12" w:space="0" w:color="auto"/>
              <w:bottom w:val="single" w:sz="4" w:space="0" w:color="auto"/>
              <w:right w:val="single" w:sz="12" w:space="0" w:color="auto"/>
            </w:tcBorders>
          </w:tcPr>
          <w:p w14:paraId="18A4B99E" w14:textId="77777777" w:rsidR="00492F82" w:rsidRPr="003D5DFA" w:rsidRDefault="00921BCD" w:rsidP="004D46D2">
            <w:pPr>
              <w:jc w:val="center"/>
              <w:rPr>
                <w:rFonts w:ascii="Arial" w:hAnsi="Arial" w:cs="Arial"/>
                <w:color w:val="000000"/>
                <w:sz w:val="20"/>
              </w:rPr>
            </w:pPr>
            <w:r>
              <w:rPr>
                <w:rFonts w:ascii="Arial" w:hAnsi="Arial" w:cs="Arial"/>
                <w:color w:val="000000"/>
                <w:sz w:val="20"/>
              </w:rPr>
              <w:t>9.5</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0271955B" w14:textId="77777777" w:rsidR="00492F82" w:rsidRPr="003D5DFA" w:rsidRDefault="00921BCD" w:rsidP="004D46D2">
            <w:pPr>
              <w:jc w:val="center"/>
              <w:rPr>
                <w:rFonts w:ascii="Arial" w:hAnsi="Arial" w:cs="Arial"/>
                <w:color w:val="000000"/>
                <w:sz w:val="20"/>
              </w:rPr>
            </w:pPr>
            <w:r>
              <w:rPr>
                <w:rFonts w:ascii="Arial" w:hAnsi="Arial" w:cs="Arial"/>
                <w:color w:val="000000"/>
                <w:sz w:val="20"/>
              </w:rPr>
              <w:t>9.4</w:t>
            </w:r>
          </w:p>
        </w:tc>
        <w:tc>
          <w:tcPr>
            <w:tcW w:w="810" w:type="dxa"/>
            <w:tcBorders>
              <w:top w:val="single" w:sz="4" w:space="0" w:color="auto"/>
              <w:left w:val="single" w:sz="12" w:space="0" w:color="auto"/>
              <w:bottom w:val="single" w:sz="4" w:space="0" w:color="auto"/>
              <w:right w:val="single" w:sz="12" w:space="0" w:color="auto"/>
            </w:tcBorders>
          </w:tcPr>
          <w:p w14:paraId="5A7B64F3" w14:textId="77777777" w:rsidR="00492F82" w:rsidRPr="003D5DFA" w:rsidRDefault="00921BCD" w:rsidP="006E6DAE">
            <w:pPr>
              <w:jc w:val="center"/>
              <w:rPr>
                <w:rFonts w:ascii="Arial" w:hAnsi="Arial" w:cs="Arial"/>
                <w:color w:val="000000"/>
                <w:sz w:val="20"/>
              </w:rPr>
            </w:pPr>
            <w:r>
              <w:rPr>
                <w:rFonts w:ascii="Arial" w:hAnsi="Arial" w:cs="Arial"/>
                <w:color w:val="000000"/>
                <w:sz w:val="20"/>
              </w:rPr>
              <w:t>6.7</w:t>
            </w:r>
          </w:p>
        </w:tc>
        <w:tc>
          <w:tcPr>
            <w:tcW w:w="768" w:type="dxa"/>
            <w:tcBorders>
              <w:top w:val="single" w:sz="4" w:space="0" w:color="auto"/>
              <w:left w:val="single" w:sz="12" w:space="0" w:color="auto"/>
              <w:bottom w:val="single" w:sz="4" w:space="0" w:color="auto"/>
              <w:right w:val="single" w:sz="12" w:space="0" w:color="auto"/>
            </w:tcBorders>
          </w:tcPr>
          <w:p w14:paraId="4ADCB484" w14:textId="77777777" w:rsidR="00492F82" w:rsidRPr="003D5DFA" w:rsidRDefault="00921BCD" w:rsidP="004D46D2">
            <w:pPr>
              <w:jc w:val="center"/>
              <w:rPr>
                <w:rFonts w:ascii="Arial" w:hAnsi="Arial" w:cs="Arial"/>
                <w:color w:val="000000"/>
                <w:sz w:val="20"/>
              </w:rPr>
            </w:pPr>
            <w:r>
              <w:rPr>
                <w:rFonts w:ascii="Arial" w:hAnsi="Arial" w:cs="Arial"/>
                <w:color w:val="000000"/>
                <w:sz w:val="20"/>
              </w:rPr>
              <w:t>15.0</w:t>
            </w:r>
          </w:p>
        </w:tc>
        <w:tc>
          <w:tcPr>
            <w:tcW w:w="802" w:type="dxa"/>
            <w:tcBorders>
              <w:top w:val="single" w:sz="4" w:space="0" w:color="auto"/>
              <w:left w:val="single" w:sz="12" w:space="0" w:color="auto"/>
              <w:bottom w:val="single" w:sz="4" w:space="0" w:color="auto"/>
              <w:right w:val="single" w:sz="12" w:space="0" w:color="auto"/>
            </w:tcBorders>
          </w:tcPr>
          <w:p w14:paraId="10060E90" w14:textId="77777777" w:rsidR="00492F82" w:rsidRPr="003D5DFA" w:rsidRDefault="00921BCD" w:rsidP="004D46D2">
            <w:pPr>
              <w:jc w:val="center"/>
              <w:rPr>
                <w:rFonts w:ascii="Arial" w:hAnsi="Arial" w:cs="Arial"/>
                <w:color w:val="000000"/>
                <w:sz w:val="20"/>
              </w:rPr>
            </w:pPr>
            <w:r>
              <w:rPr>
                <w:rFonts w:ascii="Arial" w:hAnsi="Arial" w:cs="Arial"/>
                <w:color w:val="000000"/>
                <w:sz w:val="20"/>
              </w:rPr>
              <w:t>13.0</w:t>
            </w:r>
          </w:p>
        </w:tc>
        <w:tc>
          <w:tcPr>
            <w:tcW w:w="791" w:type="dxa"/>
            <w:tcBorders>
              <w:top w:val="single" w:sz="4" w:space="0" w:color="auto"/>
              <w:left w:val="single" w:sz="12" w:space="0" w:color="auto"/>
              <w:bottom w:val="single" w:sz="4" w:space="0" w:color="auto"/>
              <w:right w:val="single" w:sz="12" w:space="0" w:color="auto"/>
            </w:tcBorders>
          </w:tcPr>
          <w:p w14:paraId="53695F49" w14:textId="77777777" w:rsidR="00492F82" w:rsidRPr="003D5DFA" w:rsidRDefault="00921BCD" w:rsidP="004D46D2">
            <w:pPr>
              <w:jc w:val="center"/>
              <w:rPr>
                <w:rFonts w:ascii="Arial" w:hAnsi="Arial" w:cs="Arial"/>
                <w:color w:val="000000"/>
                <w:sz w:val="20"/>
              </w:rPr>
            </w:pPr>
            <w:r>
              <w:rPr>
                <w:rFonts w:ascii="Arial" w:hAnsi="Arial" w:cs="Arial"/>
                <w:color w:val="000000"/>
                <w:sz w:val="20"/>
              </w:rPr>
              <w:t>3.3</w:t>
            </w:r>
          </w:p>
        </w:tc>
        <w:tc>
          <w:tcPr>
            <w:tcW w:w="706" w:type="dxa"/>
            <w:tcBorders>
              <w:top w:val="single" w:sz="4" w:space="0" w:color="auto"/>
              <w:left w:val="single" w:sz="12" w:space="0" w:color="auto"/>
              <w:bottom w:val="single" w:sz="4" w:space="0" w:color="auto"/>
              <w:right w:val="single" w:sz="12" w:space="0" w:color="auto"/>
            </w:tcBorders>
          </w:tcPr>
          <w:p w14:paraId="0C795D79" w14:textId="77777777" w:rsidR="00492F82" w:rsidRPr="003D5DFA" w:rsidRDefault="00921BCD" w:rsidP="004D46D2">
            <w:pPr>
              <w:jc w:val="center"/>
              <w:rPr>
                <w:rFonts w:ascii="Arial" w:hAnsi="Arial" w:cs="Arial"/>
                <w:color w:val="000000"/>
                <w:sz w:val="20"/>
              </w:rPr>
            </w:pPr>
            <w:r>
              <w:rPr>
                <w:rFonts w:ascii="Arial" w:hAnsi="Arial" w:cs="Arial"/>
                <w:color w:val="000000"/>
                <w:sz w:val="20"/>
              </w:rPr>
              <w:t>10.8</w:t>
            </w:r>
          </w:p>
        </w:tc>
        <w:tc>
          <w:tcPr>
            <w:tcW w:w="676" w:type="dxa"/>
            <w:tcBorders>
              <w:top w:val="single" w:sz="4" w:space="0" w:color="auto"/>
              <w:left w:val="single" w:sz="12" w:space="0" w:color="auto"/>
              <w:bottom w:val="single" w:sz="4" w:space="0" w:color="auto"/>
              <w:right w:val="single" w:sz="12" w:space="0" w:color="auto"/>
            </w:tcBorders>
          </w:tcPr>
          <w:p w14:paraId="2703984A" w14:textId="77777777" w:rsidR="00492F82" w:rsidRPr="003D5DFA" w:rsidRDefault="000B4173" w:rsidP="004D46D2">
            <w:pPr>
              <w:jc w:val="center"/>
              <w:rPr>
                <w:rFonts w:ascii="Arial" w:hAnsi="Arial" w:cs="Arial"/>
                <w:color w:val="000000"/>
                <w:sz w:val="20"/>
              </w:rPr>
            </w:pPr>
            <w:r>
              <w:rPr>
                <w:rFonts w:ascii="Arial" w:hAnsi="Arial" w:cs="Arial"/>
                <w:color w:val="000000"/>
                <w:sz w:val="20"/>
              </w:rPr>
              <w:t>9.3</w:t>
            </w:r>
          </w:p>
        </w:tc>
        <w:tc>
          <w:tcPr>
            <w:tcW w:w="939" w:type="dxa"/>
            <w:tcBorders>
              <w:top w:val="single" w:sz="4" w:space="0" w:color="auto"/>
              <w:left w:val="single" w:sz="12" w:space="0" w:color="auto"/>
              <w:bottom w:val="single" w:sz="4" w:space="0" w:color="auto"/>
            </w:tcBorders>
          </w:tcPr>
          <w:p w14:paraId="4FF6249A" w14:textId="77777777" w:rsidR="00492F82" w:rsidRPr="003D5DFA" w:rsidRDefault="000B4173" w:rsidP="004D46D2">
            <w:pPr>
              <w:jc w:val="center"/>
              <w:rPr>
                <w:rFonts w:ascii="Arial" w:hAnsi="Arial" w:cs="Arial"/>
                <w:color w:val="000000"/>
                <w:sz w:val="20"/>
              </w:rPr>
            </w:pPr>
            <w:r>
              <w:rPr>
                <w:rFonts w:ascii="Arial" w:hAnsi="Arial" w:cs="Arial"/>
                <w:color w:val="000000"/>
                <w:sz w:val="20"/>
              </w:rPr>
              <w:t>7.9</w:t>
            </w:r>
          </w:p>
        </w:tc>
      </w:tr>
      <w:tr w:rsidR="00453F5C" w:rsidRPr="003D5DFA" w14:paraId="5FA26767" w14:textId="77777777" w:rsidTr="00AA2A81">
        <w:tblPrEx>
          <w:tblCellMar>
            <w:top w:w="0" w:type="dxa"/>
            <w:bottom w:w="0" w:type="dxa"/>
          </w:tblCellMar>
        </w:tblPrEx>
        <w:trPr>
          <w:jc w:val="center"/>
        </w:trPr>
        <w:tc>
          <w:tcPr>
            <w:tcW w:w="1090" w:type="dxa"/>
            <w:tcBorders>
              <w:top w:val="single" w:sz="4" w:space="0" w:color="auto"/>
              <w:left w:val="single" w:sz="12" w:space="0" w:color="auto"/>
              <w:bottom w:val="single" w:sz="18" w:space="0" w:color="auto"/>
              <w:right w:val="single" w:sz="12" w:space="0" w:color="auto"/>
            </w:tcBorders>
          </w:tcPr>
          <w:p w14:paraId="28115B25" w14:textId="77777777" w:rsidR="00453F5C" w:rsidRDefault="00453F5C" w:rsidP="004D46D2">
            <w:pPr>
              <w:jc w:val="center"/>
              <w:rPr>
                <w:rFonts w:ascii="Arial" w:hAnsi="Arial" w:cs="Arial"/>
                <w:color w:val="000000"/>
                <w:sz w:val="20"/>
              </w:rPr>
            </w:pPr>
            <w:r>
              <w:rPr>
                <w:rFonts w:ascii="Arial" w:hAnsi="Arial" w:cs="Arial"/>
                <w:color w:val="000000"/>
                <w:sz w:val="20"/>
              </w:rPr>
              <w:t>2013-14</w:t>
            </w:r>
          </w:p>
        </w:tc>
        <w:tc>
          <w:tcPr>
            <w:tcW w:w="894" w:type="dxa"/>
            <w:tcBorders>
              <w:top w:val="single" w:sz="4" w:space="0" w:color="auto"/>
              <w:left w:val="single" w:sz="12" w:space="0" w:color="auto"/>
              <w:bottom w:val="single" w:sz="18" w:space="0" w:color="auto"/>
              <w:right w:val="single" w:sz="12" w:space="0" w:color="auto"/>
            </w:tcBorders>
          </w:tcPr>
          <w:p w14:paraId="3CE25410" w14:textId="77777777" w:rsidR="00453F5C" w:rsidRDefault="00453F5C" w:rsidP="004D46D2">
            <w:pPr>
              <w:jc w:val="center"/>
              <w:rPr>
                <w:rFonts w:ascii="Arial" w:hAnsi="Arial" w:cs="Arial"/>
                <w:color w:val="000000"/>
                <w:sz w:val="20"/>
              </w:rPr>
            </w:pPr>
            <w:r>
              <w:rPr>
                <w:rFonts w:ascii="Arial" w:hAnsi="Arial" w:cs="Arial"/>
                <w:color w:val="000000"/>
                <w:sz w:val="20"/>
              </w:rPr>
              <w:t>7.9</w:t>
            </w:r>
          </w:p>
        </w:tc>
        <w:tc>
          <w:tcPr>
            <w:tcW w:w="802" w:type="dxa"/>
            <w:tcBorders>
              <w:top w:val="single" w:sz="4" w:space="0" w:color="auto"/>
              <w:left w:val="single" w:sz="12" w:space="0" w:color="auto"/>
              <w:bottom w:val="single" w:sz="18" w:space="0" w:color="auto"/>
              <w:right w:val="single" w:sz="12" w:space="0" w:color="auto"/>
            </w:tcBorders>
            <w:shd w:val="pct10" w:color="auto" w:fill="auto"/>
          </w:tcPr>
          <w:p w14:paraId="51BFB770" w14:textId="77777777" w:rsidR="00453F5C" w:rsidRDefault="00453F5C" w:rsidP="004D46D2">
            <w:pPr>
              <w:jc w:val="center"/>
              <w:rPr>
                <w:rFonts w:ascii="Arial" w:hAnsi="Arial" w:cs="Arial"/>
                <w:color w:val="000000"/>
                <w:sz w:val="20"/>
              </w:rPr>
            </w:pPr>
            <w:r>
              <w:rPr>
                <w:rFonts w:ascii="Arial" w:hAnsi="Arial" w:cs="Arial"/>
                <w:color w:val="000000"/>
                <w:sz w:val="20"/>
              </w:rPr>
              <w:t>7.4</w:t>
            </w:r>
          </w:p>
        </w:tc>
        <w:tc>
          <w:tcPr>
            <w:tcW w:w="810" w:type="dxa"/>
            <w:tcBorders>
              <w:top w:val="single" w:sz="4" w:space="0" w:color="auto"/>
              <w:left w:val="single" w:sz="12" w:space="0" w:color="auto"/>
              <w:bottom w:val="single" w:sz="18" w:space="0" w:color="auto"/>
              <w:right w:val="single" w:sz="12" w:space="0" w:color="auto"/>
            </w:tcBorders>
          </w:tcPr>
          <w:p w14:paraId="42ED246C" w14:textId="77777777" w:rsidR="00453F5C" w:rsidRDefault="00453F5C" w:rsidP="006E6DAE">
            <w:pPr>
              <w:jc w:val="center"/>
              <w:rPr>
                <w:rFonts w:ascii="Arial" w:hAnsi="Arial" w:cs="Arial"/>
                <w:color w:val="000000"/>
                <w:sz w:val="20"/>
              </w:rPr>
            </w:pPr>
            <w:r>
              <w:rPr>
                <w:rFonts w:ascii="Arial" w:hAnsi="Arial" w:cs="Arial"/>
                <w:color w:val="000000"/>
                <w:sz w:val="20"/>
              </w:rPr>
              <w:t>6.2</w:t>
            </w:r>
          </w:p>
        </w:tc>
        <w:tc>
          <w:tcPr>
            <w:tcW w:w="768" w:type="dxa"/>
            <w:tcBorders>
              <w:top w:val="single" w:sz="4" w:space="0" w:color="auto"/>
              <w:left w:val="single" w:sz="12" w:space="0" w:color="auto"/>
              <w:bottom w:val="single" w:sz="18" w:space="0" w:color="auto"/>
              <w:right w:val="single" w:sz="12" w:space="0" w:color="auto"/>
            </w:tcBorders>
          </w:tcPr>
          <w:p w14:paraId="1E9B09D2" w14:textId="77777777" w:rsidR="00453F5C" w:rsidRDefault="00453F5C" w:rsidP="004D46D2">
            <w:pPr>
              <w:jc w:val="center"/>
              <w:rPr>
                <w:rFonts w:ascii="Arial" w:hAnsi="Arial" w:cs="Arial"/>
                <w:color w:val="000000"/>
                <w:sz w:val="20"/>
              </w:rPr>
            </w:pPr>
            <w:r>
              <w:rPr>
                <w:rFonts w:ascii="Arial" w:hAnsi="Arial" w:cs="Arial"/>
                <w:color w:val="000000"/>
                <w:sz w:val="20"/>
              </w:rPr>
              <w:t>13.3</w:t>
            </w:r>
          </w:p>
        </w:tc>
        <w:tc>
          <w:tcPr>
            <w:tcW w:w="802" w:type="dxa"/>
            <w:tcBorders>
              <w:top w:val="single" w:sz="4" w:space="0" w:color="auto"/>
              <w:left w:val="single" w:sz="12" w:space="0" w:color="auto"/>
              <w:bottom w:val="single" w:sz="18" w:space="0" w:color="auto"/>
              <w:right w:val="single" w:sz="12" w:space="0" w:color="auto"/>
            </w:tcBorders>
          </w:tcPr>
          <w:p w14:paraId="3CD474D0" w14:textId="77777777" w:rsidR="00453F5C" w:rsidRDefault="00453F5C" w:rsidP="004D46D2">
            <w:pPr>
              <w:jc w:val="center"/>
              <w:rPr>
                <w:rFonts w:ascii="Arial" w:hAnsi="Arial" w:cs="Arial"/>
                <w:color w:val="000000"/>
                <w:sz w:val="20"/>
              </w:rPr>
            </w:pPr>
            <w:r>
              <w:rPr>
                <w:rFonts w:ascii="Arial" w:hAnsi="Arial" w:cs="Arial"/>
                <w:color w:val="000000"/>
                <w:sz w:val="20"/>
              </w:rPr>
              <w:t>10.6</w:t>
            </w:r>
          </w:p>
        </w:tc>
        <w:tc>
          <w:tcPr>
            <w:tcW w:w="791" w:type="dxa"/>
            <w:tcBorders>
              <w:top w:val="single" w:sz="4" w:space="0" w:color="auto"/>
              <w:left w:val="single" w:sz="12" w:space="0" w:color="auto"/>
              <w:bottom w:val="single" w:sz="18" w:space="0" w:color="auto"/>
              <w:right w:val="single" w:sz="12" w:space="0" w:color="auto"/>
            </w:tcBorders>
          </w:tcPr>
          <w:p w14:paraId="3D9219E4" w14:textId="77777777" w:rsidR="00453F5C" w:rsidRDefault="00453F5C" w:rsidP="004D46D2">
            <w:pPr>
              <w:jc w:val="center"/>
              <w:rPr>
                <w:rFonts w:ascii="Arial" w:hAnsi="Arial" w:cs="Arial"/>
                <w:color w:val="000000"/>
                <w:sz w:val="20"/>
              </w:rPr>
            </w:pPr>
            <w:r>
              <w:rPr>
                <w:rFonts w:ascii="Arial" w:hAnsi="Arial" w:cs="Arial"/>
                <w:color w:val="000000"/>
                <w:sz w:val="20"/>
              </w:rPr>
              <w:t>2.0</w:t>
            </w:r>
          </w:p>
        </w:tc>
        <w:tc>
          <w:tcPr>
            <w:tcW w:w="706" w:type="dxa"/>
            <w:tcBorders>
              <w:top w:val="single" w:sz="4" w:space="0" w:color="auto"/>
              <w:left w:val="single" w:sz="12" w:space="0" w:color="auto"/>
              <w:bottom w:val="single" w:sz="18" w:space="0" w:color="auto"/>
              <w:right w:val="single" w:sz="12" w:space="0" w:color="auto"/>
            </w:tcBorders>
          </w:tcPr>
          <w:p w14:paraId="28F820DD" w14:textId="77777777" w:rsidR="00453F5C" w:rsidRDefault="00453F5C" w:rsidP="004D46D2">
            <w:pPr>
              <w:jc w:val="center"/>
              <w:rPr>
                <w:rFonts w:ascii="Arial" w:hAnsi="Arial" w:cs="Arial"/>
                <w:color w:val="000000"/>
                <w:sz w:val="20"/>
              </w:rPr>
            </w:pPr>
            <w:r>
              <w:rPr>
                <w:rFonts w:ascii="Arial" w:hAnsi="Arial" w:cs="Arial"/>
                <w:color w:val="000000"/>
                <w:sz w:val="20"/>
              </w:rPr>
              <w:t>8.2</w:t>
            </w:r>
          </w:p>
        </w:tc>
        <w:tc>
          <w:tcPr>
            <w:tcW w:w="676" w:type="dxa"/>
            <w:tcBorders>
              <w:top w:val="single" w:sz="4" w:space="0" w:color="auto"/>
              <w:left w:val="single" w:sz="12" w:space="0" w:color="auto"/>
              <w:bottom w:val="single" w:sz="18" w:space="0" w:color="auto"/>
              <w:right w:val="single" w:sz="12" w:space="0" w:color="auto"/>
            </w:tcBorders>
          </w:tcPr>
          <w:p w14:paraId="52117A60" w14:textId="77777777" w:rsidR="00453F5C" w:rsidRDefault="00453F5C" w:rsidP="004D46D2">
            <w:pPr>
              <w:jc w:val="center"/>
              <w:rPr>
                <w:rFonts w:ascii="Arial" w:hAnsi="Arial" w:cs="Arial"/>
                <w:color w:val="000000"/>
                <w:sz w:val="20"/>
              </w:rPr>
            </w:pPr>
            <w:r>
              <w:rPr>
                <w:rFonts w:ascii="Arial" w:hAnsi="Arial" w:cs="Arial"/>
                <w:color w:val="000000"/>
                <w:sz w:val="20"/>
              </w:rPr>
              <w:t>10.5</w:t>
            </w:r>
          </w:p>
        </w:tc>
        <w:tc>
          <w:tcPr>
            <w:tcW w:w="939" w:type="dxa"/>
            <w:tcBorders>
              <w:top w:val="single" w:sz="4" w:space="0" w:color="auto"/>
              <w:left w:val="single" w:sz="12" w:space="0" w:color="auto"/>
              <w:bottom w:val="single" w:sz="18" w:space="0" w:color="auto"/>
            </w:tcBorders>
          </w:tcPr>
          <w:p w14:paraId="0390A8A5" w14:textId="77777777" w:rsidR="00453F5C" w:rsidRDefault="00453F5C" w:rsidP="004D46D2">
            <w:pPr>
              <w:jc w:val="center"/>
              <w:rPr>
                <w:rFonts w:ascii="Arial" w:hAnsi="Arial" w:cs="Arial"/>
                <w:color w:val="000000"/>
                <w:sz w:val="20"/>
              </w:rPr>
            </w:pPr>
            <w:r>
              <w:rPr>
                <w:rFonts w:ascii="Arial" w:hAnsi="Arial" w:cs="Arial"/>
                <w:color w:val="000000"/>
                <w:sz w:val="20"/>
              </w:rPr>
              <w:t>6.8</w:t>
            </w:r>
          </w:p>
        </w:tc>
      </w:tr>
    </w:tbl>
    <w:p w14:paraId="7465D3B9" w14:textId="77777777" w:rsidR="005C4B22" w:rsidRPr="00D00CAA" w:rsidRDefault="005C4B22" w:rsidP="00F364C1">
      <w:pPr>
        <w:jc w:val="both"/>
        <w:rPr>
          <w:rFonts w:ascii="Arial" w:hAnsi="Arial" w:cs="Arial"/>
          <w:color w:val="000000"/>
          <w:sz w:val="20"/>
        </w:rPr>
      </w:pPr>
    </w:p>
    <w:p w14:paraId="01786356" w14:textId="77777777" w:rsidR="00F364C1" w:rsidRPr="00785E1A" w:rsidRDefault="00F364C1" w:rsidP="00F364C1">
      <w:pPr>
        <w:jc w:val="both"/>
        <w:rPr>
          <w:rFonts w:ascii="Arial" w:hAnsi="Arial" w:cs="Arial"/>
          <w:color w:val="000000"/>
          <w:sz w:val="20"/>
        </w:rPr>
      </w:pPr>
      <w:r w:rsidRPr="00785E1A">
        <w:rPr>
          <w:rFonts w:ascii="Arial" w:hAnsi="Arial" w:cs="Arial"/>
          <w:color w:val="000000"/>
          <w:sz w:val="20"/>
        </w:rPr>
        <w:t>Further, in 20</w:t>
      </w:r>
      <w:r w:rsidR="00B00042">
        <w:rPr>
          <w:rFonts w:ascii="Arial" w:hAnsi="Arial" w:cs="Arial"/>
          <w:color w:val="000000"/>
          <w:sz w:val="20"/>
        </w:rPr>
        <w:t>13</w:t>
      </w:r>
      <w:r w:rsidRPr="00785E1A">
        <w:rPr>
          <w:rFonts w:ascii="Arial" w:hAnsi="Arial" w:cs="Arial"/>
          <w:color w:val="000000"/>
          <w:sz w:val="20"/>
        </w:rPr>
        <w:t>-201</w:t>
      </w:r>
      <w:r w:rsidR="00B00042">
        <w:rPr>
          <w:rFonts w:ascii="Arial" w:hAnsi="Arial" w:cs="Arial"/>
          <w:color w:val="000000"/>
          <w:sz w:val="20"/>
        </w:rPr>
        <w:t>4</w:t>
      </w:r>
      <w:r w:rsidRPr="00785E1A">
        <w:rPr>
          <w:rFonts w:ascii="Arial" w:hAnsi="Arial" w:cs="Arial"/>
          <w:color w:val="000000"/>
          <w:sz w:val="20"/>
        </w:rPr>
        <w:t xml:space="preserve"> an indigenous child in Victoria was </w:t>
      </w:r>
      <w:r w:rsidR="00B00042">
        <w:rPr>
          <w:rFonts w:ascii="Arial" w:hAnsi="Arial" w:cs="Arial"/>
          <w:color w:val="000000"/>
          <w:sz w:val="20"/>
        </w:rPr>
        <w:t>nearly 12</w:t>
      </w:r>
      <w:r w:rsidR="005C4B22" w:rsidRPr="00785E1A">
        <w:rPr>
          <w:rFonts w:ascii="Arial" w:hAnsi="Arial" w:cs="Arial"/>
          <w:color w:val="000000"/>
          <w:sz w:val="20"/>
        </w:rPr>
        <w:t xml:space="preserve"> </w:t>
      </w:r>
      <w:r w:rsidRPr="00785E1A">
        <w:rPr>
          <w:rFonts w:ascii="Arial" w:hAnsi="Arial" w:cs="Arial"/>
          <w:color w:val="000000"/>
          <w:sz w:val="20"/>
        </w:rPr>
        <w:t>times as like</w:t>
      </w:r>
      <w:r w:rsidR="00B00042">
        <w:rPr>
          <w:rFonts w:ascii="Arial" w:hAnsi="Arial" w:cs="Arial"/>
          <w:color w:val="000000"/>
          <w:sz w:val="20"/>
        </w:rPr>
        <w:t>ly to be on a protection order than a non-indigenous child</w:t>
      </w:r>
      <w:r w:rsidR="005C4B22" w:rsidRPr="00785E1A">
        <w:rPr>
          <w:rFonts w:ascii="Arial" w:hAnsi="Arial" w:cs="Arial"/>
          <w:color w:val="000000"/>
          <w:sz w:val="20"/>
        </w:rPr>
        <w:t>.</w:t>
      </w:r>
    </w:p>
    <w:p w14:paraId="028788ED" w14:textId="77777777" w:rsidR="00531EA8" w:rsidRPr="00785E1A" w:rsidRDefault="00531EA8">
      <w:pPr>
        <w:jc w:val="both"/>
        <w:rPr>
          <w:rFonts w:ascii="Arial" w:hAnsi="Arial" w:cs="Arial"/>
          <w:b/>
          <w:bCs/>
          <w:color w:val="000000"/>
          <w:sz w:val="20"/>
          <w:szCs w:val="20"/>
        </w:rPr>
      </w:pPr>
    </w:p>
    <w:p w14:paraId="249CA5CC" w14:textId="77777777" w:rsidR="00C57C45" w:rsidRPr="00A007C5" w:rsidRDefault="00C57C45" w:rsidP="001C536D">
      <w:pPr>
        <w:pStyle w:val="Heading3"/>
        <w:keepNext/>
        <w:keepLines/>
        <w:spacing w:after="120" w:line="240" w:lineRule="auto"/>
        <w:rPr>
          <w:rFonts w:ascii="Arial" w:hAnsi="Arial" w:cs="Arial"/>
          <w:b/>
          <w:bCs/>
          <w:color w:val="000000"/>
          <w:sz w:val="20"/>
          <w:lang w:val="en-AU"/>
        </w:rPr>
      </w:pPr>
      <w:bookmarkStart w:id="807" w:name="_Toc30648176"/>
      <w:bookmarkStart w:id="808" w:name="_Toc30649074"/>
      <w:bookmarkStart w:id="809" w:name="_Toc30649150"/>
      <w:bookmarkStart w:id="810" w:name="_Toc30649411"/>
      <w:bookmarkStart w:id="811" w:name="_Toc30649736"/>
      <w:bookmarkStart w:id="812" w:name="_Toc30651676"/>
      <w:bookmarkStart w:id="813" w:name="_Toc30652666"/>
      <w:bookmarkStart w:id="814" w:name="_Toc30652762"/>
      <w:bookmarkStart w:id="815" w:name="_Toc30654107"/>
      <w:bookmarkStart w:id="816" w:name="_Toc30654458"/>
      <w:bookmarkStart w:id="817" w:name="_Toc30655077"/>
      <w:bookmarkStart w:id="818" w:name="_Toc30655334"/>
      <w:bookmarkStart w:id="819" w:name="_Toc30657012"/>
      <w:bookmarkStart w:id="820" w:name="_Toc30661761"/>
      <w:bookmarkStart w:id="821" w:name="_Toc30666449"/>
      <w:bookmarkStart w:id="822" w:name="_Toc30666679"/>
      <w:bookmarkStart w:id="823" w:name="_Toc30667854"/>
      <w:bookmarkStart w:id="824" w:name="_Toc30669232"/>
      <w:bookmarkStart w:id="825" w:name="_Toc30671448"/>
      <w:bookmarkStart w:id="826" w:name="_Toc30673975"/>
      <w:bookmarkStart w:id="827" w:name="_Toc30691197"/>
      <w:bookmarkStart w:id="828" w:name="_Toc30691570"/>
      <w:bookmarkStart w:id="829" w:name="_Toc30691950"/>
      <w:bookmarkStart w:id="830" w:name="_Toc30692709"/>
      <w:bookmarkStart w:id="831" w:name="_Toc30693088"/>
      <w:bookmarkStart w:id="832" w:name="_Toc30693466"/>
      <w:bookmarkStart w:id="833" w:name="_Toc30693844"/>
      <w:bookmarkStart w:id="834" w:name="_Toc30694225"/>
      <w:bookmarkStart w:id="835" w:name="_Toc30698814"/>
      <w:bookmarkStart w:id="836" w:name="_Toc30699192"/>
      <w:bookmarkStart w:id="837" w:name="_Toc30699577"/>
      <w:bookmarkStart w:id="838" w:name="_Toc30700732"/>
      <w:bookmarkStart w:id="839" w:name="_Toc30701119"/>
      <w:bookmarkStart w:id="840" w:name="_Toc30743728"/>
      <w:bookmarkStart w:id="841" w:name="_Toc30754551"/>
      <w:bookmarkStart w:id="842" w:name="_Toc30756991"/>
      <w:bookmarkStart w:id="843" w:name="_Toc30757540"/>
      <w:bookmarkStart w:id="844" w:name="_Toc30757940"/>
      <w:bookmarkStart w:id="845" w:name="_Toc30762701"/>
      <w:bookmarkStart w:id="846" w:name="_Toc30767355"/>
      <w:bookmarkStart w:id="847" w:name="_Toc34823371"/>
      <w:bookmarkStart w:id="848" w:name="_4.6.5_Australian_rate"/>
      <w:bookmarkStart w:id="849" w:name="B465"/>
      <w:bookmarkEnd w:id="848"/>
      <w:bookmarkEnd w:id="849"/>
      <w:r w:rsidRPr="00785E1A">
        <w:rPr>
          <w:rFonts w:ascii="Arial" w:hAnsi="Arial" w:cs="Arial"/>
          <w:b/>
          <w:bCs/>
          <w:color w:val="000000"/>
          <w:sz w:val="20"/>
        </w:rPr>
        <w:t>4.6.</w:t>
      </w:r>
      <w:r w:rsidR="001C536D" w:rsidRPr="00785E1A">
        <w:rPr>
          <w:rFonts w:ascii="Arial" w:hAnsi="Arial" w:cs="Arial"/>
          <w:b/>
          <w:bCs/>
          <w:color w:val="000000"/>
          <w:sz w:val="20"/>
        </w:rPr>
        <w:t>5</w:t>
      </w:r>
      <w:r w:rsidRPr="00785E1A">
        <w:rPr>
          <w:rFonts w:ascii="Arial" w:hAnsi="Arial" w:cs="Arial"/>
          <w:b/>
          <w:bCs/>
          <w:color w:val="000000"/>
          <w:sz w:val="20"/>
        </w:rPr>
        <w:tab/>
      </w:r>
      <w:r w:rsidR="009855F0" w:rsidRPr="00785E1A">
        <w:rPr>
          <w:rFonts w:ascii="Arial" w:hAnsi="Arial" w:cs="Arial"/>
          <w:b/>
          <w:bCs/>
          <w:color w:val="000000"/>
          <w:sz w:val="20"/>
        </w:rPr>
        <w:t>Australian rate of reports of alleged child abuse</w:t>
      </w:r>
    </w:p>
    <w:p w14:paraId="28913CD7" w14:textId="77777777" w:rsidR="009855F0" w:rsidRPr="00785E1A" w:rsidRDefault="009855F0" w:rsidP="00273AB2">
      <w:pPr>
        <w:jc w:val="both"/>
        <w:rPr>
          <w:rFonts w:ascii="Arial" w:hAnsi="Arial" w:cs="Arial"/>
          <w:color w:val="000000"/>
          <w:sz w:val="20"/>
        </w:rPr>
      </w:pPr>
      <w:r w:rsidRPr="00785E1A">
        <w:rPr>
          <w:rFonts w:ascii="Arial" w:hAnsi="Arial" w:cs="Arial"/>
          <w:bCs/>
          <w:color w:val="000000"/>
          <w:sz w:val="20"/>
        </w:rPr>
        <w:t>In an address to Parliamentarians Against Child Abuse given at Parliament House, Canberra on 05/09/2006, Professor Dorothy Scott (Director of the Australian Centre for Child Protection, University of South Australia), asserting that some Australian child protection systems are imploding under a flood of reports of alleged child abuse, commented that Australia has the second highest rate of such reports in the world:</w:t>
      </w:r>
    </w:p>
    <w:p w14:paraId="66D7D85C" w14:textId="77777777" w:rsidR="009855F0" w:rsidRPr="00785E1A" w:rsidRDefault="009855F0" w:rsidP="00A44656">
      <w:pPr>
        <w:spacing w:before="80"/>
        <w:ind w:left="567" w:right="567"/>
        <w:jc w:val="both"/>
        <w:rPr>
          <w:rFonts w:ascii="Arial" w:hAnsi="Arial" w:cs="Arial"/>
          <w:bCs/>
          <w:color w:val="000000"/>
          <w:sz w:val="20"/>
        </w:rPr>
      </w:pPr>
      <w:r w:rsidRPr="00785E1A">
        <w:rPr>
          <w:rFonts w:ascii="Arial" w:hAnsi="Arial" w:cs="Arial"/>
          <w:bCs/>
          <w:color w:val="000000"/>
          <w:sz w:val="20"/>
        </w:rPr>
        <w:t xml:space="preserve">“Most of the statutory child protection services in </w:t>
      </w: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are in crisis.  They are potentially harmful to the children and families they are designed to serve.  The dedicated</w:t>
      </w:r>
      <w:r w:rsidR="00FA7C17" w:rsidRPr="00785E1A">
        <w:rPr>
          <w:rFonts w:ascii="Arial" w:hAnsi="Arial" w:cs="Arial"/>
          <w:bCs/>
          <w:color w:val="000000"/>
          <w:sz w:val="20"/>
        </w:rPr>
        <w:t xml:space="preserve"> people doing this excruciatingly difficult work operate under hazardous conditions.  Media moral outrage which erupts when children die or are hurt, and which politicises that which should be above politics, further weakens fragile services and exacerbates staff vacancies.  In some States child protection systems are imploding.  They have become like huge Casualty Departments unable to cope with a flood of referrals.</w:t>
      </w:r>
    </w:p>
    <w:p w14:paraId="0194383A" w14:textId="77777777" w:rsidR="00FA7C17" w:rsidRPr="00785E1A" w:rsidRDefault="00FA7C17" w:rsidP="00A44656">
      <w:pPr>
        <w:spacing w:before="80"/>
        <w:ind w:left="567" w:right="567"/>
        <w:jc w:val="both"/>
        <w:rPr>
          <w:rFonts w:ascii="Arial" w:hAnsi="Arial" w:cs="Arial"/>
          <w:bCs/>
          <w:color w:val="000000"/>
          <w:sz w:val="20"/>
        </w:rPr>
      </w:pP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has the second highest rate of reports of alleged child abuse in the world (52.4 notifications per 1000 children each year).  In </w:t>
      </w:r>
      <w:smartTag w:uri="urn:schemas-microsoft-com:office:smarttags" w:element="country-region">
        <w:r w:rsidRPr="00785E1A">
          <w:rPr>
            <w:rFonts w:ascii="Arial" w:hAnsi="Arial" w:cs="Arial"/>
            <w:bCs/>
            <w:color w:val="000000"/>
            <w:sz w:val="20"/>
          </w:rPr>
          <w:t>England</w:t>
        </w:r>
      </w:smartTag>
      <w:r w:rsidRPr="00785E1A">
        <w:rPr>
          <w:rFonts w:ascii="Arial" w:hAnsi="Arial" w:cs="Arial"/>
          <w:bCs/>
          <w:color w:val="000000"/>
          <w:sz w:val="20"/>
        </w:rPr>
        <w:t xml:space="preserve"> the figure is 6.2 reports per 1000 children and in </w:t>
      </w:r>
      <w:smartTag w:uri="urn:schemas-microsoft-com:office:smarttags" w:element="country-region">
        <w:smartTag w:uri="urn:schemas-microsoft-com:office:smarttags" w:element="place">
          <w:r w:rsidRPr="00785E1A">
            <w:rPr>
              <w:rFonts w:ascii="Arial" w:hAnsi="Arial" w:cs="Arial"/>
              <w:bCs/>
              <w:color w:val="000000"/>
              <w:sz w:val="20"/>
            </w:rPr>
            <w:t>Scotland</w:t>
          </w:r>
        </w:smartTag>
      </w:smartTag>
      <w:r w:rsidRPr="00785E1A">
        <w:rPr>
          <w:rFonts w:ascii="Arial" w:hAnsi="Arial" w:cs="Arial"/>
          <w:bCs/>
          <w:color w:val="000000"/>
          <w:sz w:val="20"/>
        </w:rPr>
        <w:t xml:space="preserve"> it is 8.6.  Child Protection notifications in </w:t>
      </w: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increased from 107,134 in 1999-2000 to 252,831 in 2004-2005.  One in five was substantiated as child abuse.  There is no evidence that child abuse is a more serious problem in </w:t>
      </w:r>
      <w:smartTag w:uri="urn:schemas-microsoft-com:office:smarttags" w:element="country-region">
        <w:r w:rsidRPr="00785E1A">
          <w:rPr>
            <w:rFonts w:ascii="Arial" w:hAnsi="Arial" w:cs="Arial"/>
            <w:bCs/>
            <w:color w:val="000000"/>
            <w:sz w:val="20"/>
          </w:rPr>
          <w:t>Australia</w:t>
        </w:r>
      </w:smartTag>
      <w:r w:rsidRPr="00785E1A">
        <w:rPr>
          <w:rFonts w:ascii="Arial" w:hAnsi="Arial" w:cs="Arial"/>
          <w:bCs/>
          <w:color w:val="000000"/>
          <w:sz w:val="20"/>
        </w:rPr>
        <w:t xml:space="preserve"> than in the </w:t>
      </w:r>
      <w:smartTag w:uri="urn:schemas-microsoft-com:office:smarttags" w:element="country-region">
        <w:r w:rsidRPr="00785E1A">
          <w:rPr>
            <w:rFonts w:ascii="Arial" w:hAnsi="Arial" w:cs="Arial"/>
            <w:bCs/>
            <w:color w:val="000000"/>
            <w:sz w:val="20"/>
          </w:rPr>
          <w:t>UK</w:t>
        </w:r>
      </w:smartTag>
      <w:r w:rsidRPr="00785E1A">
        <w:rPr>
          <w:rFonts w:ascii="Arial" w:hAnsi="Arial" w:cs="Arial"/>
          <w:bCs/>
          <w:color w:val="000000"/>
          <w:sz w:val="20"/>
        </w:rPr>
        <w:t xml:space="preserve">, and the number of children in State care is not markedly different from other English speaking countries, with </w:t>
      </w:r>
      <w:smartTag w:uri="urn:schemas-microsoft-com:office:smarttags" w:element="country-region">
        <w:r w:rsidRPr="00785E1A">
          <w:rPr>
            <w:rFonts w:ascii="Arial" w:hAnsi="Arial" w:cs="Arial"/>
            <w:bCs/>
            <w:color w:val="000000"/>
            <w:sz w:val="20"/>
          </w:rPr>
          <w:t>Australia</w:t>
        </w:r>
      </w:smartTag>
      <w:r w:rsidRPr="00785E1A">
        <w:rPr>
          <w:rFonts w:ascii="Arial" w:hAnsi="Arial" w:cs="Arial"/>
          <w:bCs/>
          <w:color w:val="000000"/>
          <w:sz w:val="20"/>
        </w:rPr>
        <w:t xml:space="preserve"> having 4.9 children in care per 1000 children, </w:t>
      </w:r>
      <w:smartTag w:uri="urn:schemas-microsoft-com:office:smarttags" w:element="country-region">
        <w:r w:rsidRPr="00785E1A">
          <w:rPr>
            <w:rFonts w:ascii="Arial" w:hAnsi="Arial" w:cs="Arial"/>
            <w:bCs/>
            <w:color w:val="000000"/>
            <w:sz w:val="20"/>
          </w:rPr>
          <w:t>England</w:t>
        </w:r>
      </w:smartTag>
      <w:r w:rsidRPr="00785E1A">
        <w:rPr>
          <w:rFonts w:ascii="Arial" w:hAnsi="Arial" w:cs="Arial"/>
          <w:bCs/>
          <w:color w:val="000000"/>
          <w:sz w:val="20"/>
        </w:rPr>
        <w:t xml:space="preserve"> 5.0, </w:t>
      </w:r>
      <w:smartTag w:uri="urn:schemas-microsoft-com:office:smarttags" w:element="place">
        <w:smartTag w:uri="urn:schemas-microsoft-com:office:smarttags" w:element="country-region">
          <w:r w:rsidRPr="00785E1A">
            <w:rPr>
              <w:rFonts w:ascii="Arial" w:hAnsi="Arial" w:cs="Arial"/>
              <w:bCs/>
              <w:color w:val="000000"/>
              <w:sz w:val="20"/>
            </w:rPr>
            <w:t>Scotland</w:t>
          </w:r>
        </w:smartTag>
      </w:smartTag>
      <w:r w:rsidRPr="00785E1A">
        <w:rPr>
          <w:rFonts w:ascii="Arial" w:hAnsi="Arial" w:cs="Arial"/>
          <w:bCs/>
          <w:color w:val="000000"/>
          <w:sz w:val="20"/>
        </w:rPr>
        <w:t xml:space="preserve"> 6.6 and the U.S.A. 7.1.  So is part of the problem that too many Australian children are caught unnecessarily in the net of our child protection systems and could this be making them unworkable?  I believe so… </w:t>
      </w:r>
      <w:r w:rsidRPr="00785E1A">
        <w:rPr>
          <w:rFonts w:ascii="Arial" w:hAnsi="Arial" w:cs="Arial"/>
          <w:bCs/>
          <w:color w:val="000000"/>
          <w:sz w:val="20"/>
        </w:rPr>
        <w:lastRenderedPageBreak/>
        <w:t xml:space="preserve">In some Australian jurisdictions it is now estimated that one in five children will be the subject of a child protection notification. </w:t>
      </w:r>
      <w:r w:rsidR="00C777FC" w:rsidRPr="00785E1A">
        <w:rPr>
          <w:rFonts w:ascii="Arial" w:hAnsi="Arial" w:cs="Arial"/>
          <w:bCs/>
          <w:color w:val="000000"/>
          <w:sz w:val="20"/>
        </w:rPr>
        <w:t>This is completely unsustainable.”</w:t>
      </w:r>
    </w:p>
    <w:p w14:paraId="2E3DA8FE" w14:textId="77777777" w:rsidR="009855F0" w:rsidRPr="00785E1A" w:rsidRDefault="009855F0" w:rsidP="009855F0">
      <w:pPr>
        <w:pStyle w:val="Heading3"/>
        <w:spacing w:line="240" w:lineRule="auto"/>
        <w:rPr>
          <w:rFonts w:ascii="Arial" w:hAnsi="Arial" w:cs="Arial"/>
          <w:bCs/>
          <w:color w:val="000000"/>
          <w:sz w:val="20"/>
          <w:lang w:val="en-US"/>
        </w:rPr>
      </w:pPr>
    </w:p>
    <w:p w14:paraId="0E88DA4A" w14:textId="77777777" w:rsidR="00023781" w:rsidRPr="00785E1A" w:rsidRDefault="00BF7A03" w:rsidP="00023781">
      <w:pPr>
        <w:jc w:val="both"/>
        <w:rPr>
          <w:rFonts w:ascii="Arial" w:hAnsi="Arial" w:cs="Arial"/>
          <w:color w:val="000000"/>
          <w:sz w:val="20"/>
        </w:rPr>
      </w:pPr>
      <w:r w:rsidRPr="00785E1A">
        <w:rPr>
          <w:rFonts w:ascii="Arial" w:hAnsi="Arial" w:cs="Arial"/>
          <w:bCs/>
          <w:color w:val="000000"/>
          <w:sz w:val="20"/>
          <w:lang w:val="en-US"/>
        </w:rPr>
        <w:t xml:space="preserve">Professor Scott’s view that most of the Australian child protection services are in crisis </w:t>
      </w:r>
      <w:r w:rsidR="00F93DE4" w:rsidRPr="00785E1A">
        <w:rPr>
          <w:rFonts w:ascii="Arial" w:hAnsi="Arial" w:cs="Arial"/>
          <w:bCs/>
          <w:color w:val="000000"/>
          <w:sz w:val="20"/>
          <w:lang w:val="en-US"/>
        </w:rPr>
        <w:t xml:space="preserve">is shared by many other professionals.  For example, writing in 2009 in CIS Policy Monograph 97 entitled “Fatally Flawed: The Child Protection Crisis in </w:t>
      </w:r>
      <w:smartTag w:uri="urn:schemas-microsoft-com:office:smarttags" w:element="place">
        <w:smartTag w:uri="urn:schemas-microsoft-com:office:smarttags" w:element="country-region">
          <w:r w:rsidR="00F93DE4" w:rsidRPr="00785E1A">
            <w:rPr>
              <w:rFonts w:ascii="Arial" w:hAnsi="Arial" w:cs="Arial"/>
              <w:bCs/>
              <w:color w:val="000000"/>
              <w:sz w:val="20"/>
              <w:lang w:val="en-US"/>
            </w:rPr>
            <w:t>Australia</w:t>
          </w:r>
        </w:smartTag>
      </w:smartTag>
      <w:r w:rsidR="00F93DE4" w:rsidRPr="00785E1A">
        <w:rPr>
          <w:rFonts w:ascii="Arial" w:hAnsi="Arial" w:cs="Arial"/>
          <w:bCs/>
          <w:color w:val="000000"/>
          <w:sz w:val="20"/>
          <w:lang w:val="en-US"/>
        </w:rPr>
        <w:t>”, Jeremy Sammut &amp; Toby O’Brien say</w:t>
      </w:r>
      <w:r w:rsidR="001B4618" w:rsidRPr="00785E1A">
        <w:rPr>
          <w:rFonts w:ascii="Arial" w:hAnsi="Arial" w:cs="Arial"/>
          <w:bCs/>
          <w:color w:val="000000"/>
          <w:sz w:val="20"/>
          <w:lang w:val="en-US"/>
        </w:rPr>
        <w:t xml:space="preserve"> at p.vii</w:t>
      </w:r>
      <w:r w:rsidR="00F93DE4" w:rsidRPr="00785E1A">
        <w:rPr>
          <w:rFonts w:ascii="Arial" w:hAnsi="Arial" w:cs="Arial"/>
          <w:bCs/>
          <w:color w:val="000000"/>
          <w:sz w:val="20"/>
          <w:lang w:val="en-US"/>
        </w:rPr>
        <w:t>:</w:t>
      </w:r>
    </w:p>
    <w:p w14:paraId="332B08D6" w14:textId="77777777" w:rsidR="00F93DE4" w:rsidRPr="00785E1A" w:rsidRDefault="00F93DE4" w:rsidP="005D4FF3">
      <w:pPr>
        <w:keepNext/>
        <w:keepLines/>
        <w:spacing w:before="80"/>
        <w:ind w:left="567" w:right="567"/>
        <w:jc w:val="both"/>
        <w:rPr>
          <w:rFonts w:ascii="Arial" w:hAnsi="Arial" w:cs="Arial"/>
          <w:bCs/>
          <w:color w:val="000000"/>
          <w:sz w:val="20"/>
        </w:rPr>
      </w:pPr>
      <w:r w:rsidRPr="00785E1A">
        <w:rPr>
          <w:rFonts w:ascii="Arial" w:hAnsi="Arial" w:cs="Arial"/>
          <w:bCs/>
          <w:color w:val="000000"/>
          <w:sz w:val="20"/>
        </w:rPr>
        <w:t xml:space="preserve">“Despite record government spending on child welfare services in this country, the child protection system is in crisis – most markedly in </w:t>
      </w:r>
      <w:smartTag w:uri="urn:schemas-microsoft-com:office:smarttags" w:element="place">
        <w:smartTag w:uri="urn:schemas-microsoft-com:office:smarttags" w:element="State">
          <w:r w:rsidRPr="00785E1A">
            <w:rPr>
              <w:rFonts w:ascii="Arial" w:hAnsi="Arial" w:cs="Arial"/>
              <w:bCs/>
              <w:color w:val="000000"/>
              <w:sz w:val="20"/>
            </w:rPr>
            <w:t>New South Wales</w:t>
          </w:r>
        </w:smartTag>
      </w:smartTag>
      <w:r w:rsidRPr="00785E1A">
        <w:rPr>
          <w:rFonts w:ascii="Arial" w:hAnsi="Arial" w:cs="Arial"/>
          <w:bCs/>
          <w:color w:val="000000"/>
          <w:sz w:val="20"/>
        </w:rPr>
        <w:t>.  Australian child protection authorities are failing to fulfil their core responsibility of protecting and rescuing vulnerable children.  Reports of suspected child abuse and neglect are not being fully in</w:t>
      </w:r>
      <w:r w:rsidR="001B4618" w:rsidRPr="00785E1A">
        <w:rPr>
          <w:rFonts w:ascii="Arial" w:hAnsi="Arial" w:cs="Arial"/>
          <w:bCs/>
          <w:color w:val="000000"/>
          <w:sz w:val="20"/>
        </w:rPr>
        <w:t xml:space="preserve">vestigated, and the ‘Starved Girls’ of </w:t>
      </w:r>
      <w:smartTag w:uri="urn:schemas-microsoft-com:office:smarttags" w:element="country-region">
        <w:smartTag w:uri="urn:schemas-microsoft-com:office:smarttags" w:element="place">
          <w:r w:rsidR="001B4618" w:rsidRPr="00785E1A">
            <w:rPr>
              <w:rFonts w:ascii="Arial" w:hAnsi="Arial" w:cs="Arial"/>
              <w:bCs/>
              <w:color w:val="000000"/>
              <w:sz w:val="20"/>
            </w:rPr>
            <w:t>Australia</w:t>
          </w:r>
        </w:smartTag>
      </w:smartTag>
      <w:r w:rsidR="001B4618" w:rsidRPr="00785E1A">
        <w:rPr>
          <w:rFonts w:ascii="Arial" w:hAnsi="Arial" w:cs="Arial"/>
          <w:bCs/>
          <w:color w:val="000000"/>
          <w:sz w:val="20"/>
        </w:rPr>
        <w:t xml:space="preserve"> are falling through the cracks in increasing numbers.</w:t>
      </w:r>
      <w:r w:rsidR="005E2785" w:rsidRPr="00785E1A">
        <w:rPr>
          <w:rFonts w:ascii="Arial" w:hAnsi="Arial" w:cs="Arial"/>
          <w:bCs/>
          <w:color w:val="000000"/>
          <w:sz w:val="20"/>
        </w:rPr>
        <w:t>”</w:t>
      </w:r>
    </w:p>
    <w:p w14:paraId="14FEC190" w14:textId="77777777" w:rsidR="00BF7A03" w:rsidRPr="00785E1A" w:rsidRDefault="00BF7A03" w:rsidP="009855F0">
      <w:pPr>
        <w:pStyle w:val="Heading3"/>
        <w:spacing w:line="240" w:lineRule="auto"/>
        <w:rPr>
          <w:rFonts w:ascii="Arial" w:hAnsi="Arial" w:cs="Arial"/>
          <w:bCs/>
          <w:color w:val="000000"/>
          <w:sz w:val="20"/>
          <w:lang w:val="en-US"/>
        </w:rPr>
      </w:pPr>
    </w:p>
    <w:p w14:paraId="0C547BE8" w14:textId="77777777" w:rsidR="00023781" w:rsidRPr="00785E1A" w:rsidRDefault="005E2785" w:rsidP="00023781">
      <w:pPr>
        <w:keepNext/>
        <w:keepLines/>
        <w:jc w:val="both"/>
        <w:rPr>
          <w:rFonts w:ascii="Arial" w:hAnsi="Arial" w:cs="Arial"/>
          <w:color w:val="000000"/>
          <w:sz w:val="20"/>
        </w:rPr>
      </w:pPr>
      <w:r w:rsidRPr="00785E1A">
        <w:rPr>
          <w:rFonts w:ascii="Arial" w:hAnsi="Arial" w:cs="Arial"/>
          <w:bCs/>
          <w:color w:val="000000"/>
          <w:sz w:val="20"/>
          <w:lang w:val="en-US"/>
        </w:rPr>
        <w:t>However, unlike Professor Scott and most policy advisors Messrs Sammut &amp; O’Brien do not blame mandatory reporting</w:t>
      </w:r>
      <w:r w:rsidR="003E0D54" w:rsidRPr="00785E1A">
        <w:rPr>
          <w:rFonts w:ascii="Arial" w:hAnsi="Arial" w:cs="Arial"/>
          <w:bCs/>
          <w:color w:val="000000"/>
          <w:sz w:val="20"/>
          <w:lang w:val="en-US"/>
        </w:rPr>
        <w:t xml:space="preserve">.  Nor do they </w:t>
      </w:r>
      <w:r w:rsidRPr="00785E1A">
        <w:rPr>
          <w:rFonts w:ascii="Arial" w:hAnsi="Arial" w:cs="Arial"/>
          <w:bCs/>
          <w:color w:val="000000"/>
          <w:sz w:val="20"/>
          <w:lang w:val="en-US"/>
        </w:rPr>
        <w:t xml:space="preserve">consider that </w:t>
      </w:r>
      <w:r w:rsidR="00A44656" w:rsidRPr="00785E1A">
        <w:rPr>
          <w:rFonts w:ascii="Arial" w:hAnsi="Arial" w:cs="Arial"/>
          <w:bCs/>
          <w:color w:val="000000"/>
          <w:sz w:val="20"/>
          <w:lang w:val="en-US"/>
        </w:rPr>
        <w:t>the growth in reports has been concentrated in less serious types of abuse and neglect.  On the contrary, they postulate that in NSW at least the “real cause of the child protection is the large number of ‘hard core’ obviously dysfunctional parents” about whom a disproportionate number of reports are made.</w:t>
      </w:r>
    </w:p>
    <w:p w14:paraId="20223329" w14:textId="77777777" w:rsidR="005E2785" w:rsidRPr="00785E1A" w:rsidRDefault="005E2785" w:rsidP="009855F0">
      <w:pPr>
        <w:pStyle w:val="Heading3"/>
        <w:spacing w:line="240" w:lineRule="auto"/>
        <w:rPr>
          <w:rFonts w:ascii="Arial" w:hAnsi="Arial" w:cs="Arial"/>
          <w:bCs/>
          <w:color w:val="000000"/>
          <w:sz w:val="20"/>
          <w:lang w:val="en-US"/>
        </w:rPr>
      </w:pPr>
    </w:p>
    <w:p w14:paraId="5B116CBE" w14:textId="77777777" w:rsidR="00023781" w:rsidRPr="00785E1A" w:rsidRDefault="00013EC4" w:rsidP="00023781">
      <w:pPr>
        <w:keepNext/>
        <w:keepLines/>
        <w:jc w:val="both"/>
        <w:rPr>
          <w:rFonts w:ascii="Arial" w:hAnsi="Arial" w:cs="Arial"/>
          <w:color w:val="000000"/>
          <w:sz w:val="20"/>
        </w:rPr>
      </w:pPr>
      <w:r w:rsidRPr="003D5DFA">
        <w:rPr>
          <w:rFonts w:ascii="Arial" w:hAnsi="Arial" w:cs="Arial"/>
          <w:bCs/>
          <w:color w:val="000000"/>
          <w:sz w:val="20"/>
        </w:rPr>
        <w:t xml:space="preserve">It appears, however, that </w:t>
      </w:r>
      <w:r w:rsidR="009676A3" w:rsidRPr="003D5DFA">
        <w:rPr>
          <w:rFonts w:ascii="Arial" w:hAnsi="Arial" w:cs="Arial"/>
          <w:bCs/>
          <w:color w:val="000000"/>
          <w:sz w:val="20"/>
        </w:rPr>
        <w:t xml:space="preserve">until 2009-2010 </w:t>
      </w:r>
      <w:r w:rsidRPr="003D5DFA">
        <w:rPr>
          <w:rFonts w:ascii="Arial" w:hAnsi="Arial" w:cs="Arial"/>
          <w:bCs/>
          <w:color w:val="000000"/>
          <w:sz w:val="20"/>
        </w:rPr>
        <w:t>Victoria</w:t>
      </w:r>
      <w:r w:rsidR="00A60FC0" w:rsidRPr="003D5DFA">
        <w:rPr>
          <w:rFonts w:ascii="Arial" w:hAnsi="Arial" w:cs="Arial"/>
          <w:bCs/>
          <w:color w:val="000000"/>
          <w:sz w:val="20"/>
        </w:rPr>
        <w:t xml:space="preserve"> </w:t>
      </w:r>
      <w:r w:rsidR="009676A3" w:rsidRPr="003D5DFA">
        <w:rPr>
          <w:rFonts w:ascii="Arial" w:hAnsi="Arial" w:cs="Arial"/>
          <w:bCs/>
          <w:color w:val="000000"/>
          <w:sz w:val="20"/>
        </w:rPr>
        <w:t>wa</w:t>
      </w:r>
      <w:r w:rsidR="00A60FC0" w:rsidRPr="003D5DFA">
        <w:rPr>
          <w:rFonts w:ascii="Arial" w:hAnsi="Arial" w:cs="Arial"/>
          <w:bCs/>
          <w:color w:val="000000"/>
          <w:sz w:val="20"/>
        </w:rPr>
        <w:t xml:space="preserve">s the </w:t>
      </w:r>
      <w:r w:rsidRPr="003D5DFA">
        <w:rPr>
          <w:rFonts w:ascii="Arial" w:hAnsi="Arial" w:cs="Arial"/>
          <w:bCs/>
          <w:color w:val="000000"/>
          <w:sz w:val="20"/>
        </w:rPr>
        <w:t>one state in which the number of notifications</w:t>
      </w:r>
      <w:r w:rsidR="00461A78" w:rsidRPr="003D5DFA">
        <w:rPr>
          <w:rFonts w:ascii="Arial" w:hAnsi="Arial" w:cs="Arial"/>
          <w:bCs/>
          <w:color w:val="000000"/>
          <w:sz w:val="20"/>
        </w:rPr>
        <w:t>/reports</w:t>
      </w:r>
      <w:r w:rsidRPr="003D5DFA">
        <w:rPr>
          <w:rFonts w:ascii="Arial" w:hAnsi="Arial" w:cs="Arial"/>
          <w:bCs/>
          <w:color w:val="000000"/>
          <w:sz w:val="20"/>
        </w:rPr>
        <w:t xml:space="preserve"> ha</w:t>
      </w:r>
      <w:r w:rsidR="001152F2" w:rsidRPr="003D5DFA">
        <w:rPr>
          <w:rFonts w:ascii="Arial" w:hAnsi="Arial" w:cs="Arial"/>
          <w:bCs/>
          <w:color w:val="000000"/>
          <w:sz w:val="20"/>
        </w:rPr>
        <w:t>d</w:t>
      </w:r>
      <w:r w:rsidRPr="003D5DFA">
        <w:rPr>
          <w:rFonts w:ascii="Arial" w:hAnsi="Arial" w:cs="Arial"/>
          <w:bCs/>
          <w:color w:val="000000"/>
          <w:sz w:val="20"/>
        </w:rPr>
        <w:t xml:space="preserve"> not increased significantly</w:t>
      </w:r>
      <w:r w:rsidR="009676A3" w:rsidRPr="003D5DFA">
        <w:rPr>
          <w:rFonts w:ascii="Arial" w:hAnsi="Arial" w:cs="Arial"/>
          <w:bCs/>
          <w:color w:val="000000"/>
          <w:sz w:val="20"/>
        </w:rPr>
        <w:t xml:space="preserve">. </w:t>
      </w:r>
      <w:r w:rsidRPr="003D5DFA">
        <w:rPr>
          <w:rFonts w:ascii="Arial" w:hAnsi="Arial" w:cs="Arial"/>
          <w:bCs/>
          <w:color w:val="000000"/>
          <w:sz w:val="20"/>
        </w:rPr>
        <w:t xml:space="preserve"> </w:t>
      </w:r>
      <w:r w:rsidR="00C478CF" w:rsidRPr="003D5DFA">
        <w:rPr>
          <w:rFonts w:ascii="Arial" w:hAnsi="Arial" w:cs="Arial"/>
          <w:bCs/>
          <w:color w:val="000000"/>
          <w:sz w:val="20"/>
        </w:rPr>
        <w:t xml:space="preserve">[The figures for SA in 1999-00, in </w:t>
      </w:r>
      <w:smartTag w:uri="urn:schemas-microsoft-com:office:smarttags" w:element="State">
        <w:smartTag w:uri="urn:schemas-microsoft-com:office:smarttags" w:element="place">
          <w:r w:rsidR="00C478CF" w:rsidRPr="003D5DFA">
            <w:rPr>
              <w:rFonts w:ascii="Arial" w:hAnsi="Arial" w:cs="Arial"/>
              <w:bCs/>
              <w:color w:val="000000"/>
              <w:sz w:val="20"/>
            </w:rPr>
            <w:t>Tasmania</w:t>
          </w:r>
        </w:smartTag>
      </w:smartTag>
      <w:r w:rsidR="00C478CF" w:rsidRPr="003D5DFA">
        <w:rPr>
          <w:rFonts w:ascii="Arial" w:hAnsi="Arial" w:cs="Arial"/>
          <w:bCs/>
          <w:color w:val="000000"/>
          <w:sz w:val="20"/>
        </w:rPr>
        <w:t xml:space="preserve"> until 2002-2003 and in ACT until 2001-2002 </w:t>
      </w:r>
      <w:r w:rsidRPr="003D5DFA">
        <w:rPr>
          <w:rFonts w:ascii="Arial" w:hAnsi="Arial" w:cs="Arial"/>
          <w:bCs/>
          <w:color w:val="000000"/>
          <w:sz w:val="20"/>
        </w:rPr>
        <w:t xml:space="preserve">are calculated on a different basis from those in subsequent years].  </w:t>
      </w:r>
      <w:r w:rsidR="00C478CF" w:rsidRPr="003D5DFA">
        <w:rPr>
          <w:rFonts w:ascii="Arial" w:hAnsi="Arial" w:cs="Arial"/>
          <w:bCs/>
          <w:color w:val="000000"/>
          <w:sz w:val="20"/>
        </w:rPr>
        <w:t xml:space="preserve">The number of notifications in each Australian state and territory from 1999-2000 to </w:t>
      </w:r>
      <w:r w:rsidR="00BE411C" w:rsidRPr="003D5DFA">
        <w:rPr>
          <w:rFonts w:ascii="Arial" w:hAnsi="Arial" w:cs="Arial"/>
          <w:bCs/>
          <w:color w:val="000000"/>
          <w:sz w:val="20"/>
        </w:rPr>
        <w:t>20</w:t>
      </w:r>
      <w:r w:rsidR="00EC234F" w:rsidRPr="003D5DFA">
        <w:rPr>
          <w:rFonts w:ascii="Arial" w:hAnsi="Arial" w:cs="Arial"/>
          <w:bCs/>
          <w:color w:val="000000"/>
          <w:sz w:val="20"/>
        </w:rPr>
        <w:t>1</w:t>
      </w:r>
      <w:r w:rsidR="00B00042">
        <w:rPr>
          <w:rFonts w:ascii="Arial" w:hAnsi="Arial" w:cs="Arial"/>
          <w:bCs/>
          <w:color w:val="000000"/>
          <w:sz w:val="20"/>
        </w:rPr>
        <w:t>3</w:t>
      </w:r>
      <w:r w:rsidR="00BE411C" w:rsidRPr="003D5DFA">
        <w:rPr>
          <w:rFonts w:ascii="Arial" w:hAnsi="Arial" w:cs="Arial"/>
          <w:bCs/>
          <w:color w:val="000000"/>
          <w:sz w:val="20"/>
        </w:rPr>
        <w:t>-201</w:t>
      </w:r>
      <w:r w:rsidR="00B00042">
        <w:rPr>
          <w:rFonts w:ascii="Arial" w:hAnsi="Arial" w:cs="Arial"/>
          <w:bCs/>
          <w:color w:val="000000"/>
          <w:sz w:val="20"/>
        </w:rPr>
        <w:t>4</w:t>
      </w:r>
      <w:r w:rsidR="00C478CF" w:rsidRPr="003D5DFA">
        <w:rPr>
          <w:rFonts w:ascii="Arial" w:hAnsi="Arial" w:cs="Arial"/>
          <w:bCs/>
          <w:color w:val="000000"/>
          <w:sz w:val="20"/>
        </w:rPr>
        <w:t xml:space="preserve"> </w:t>
      </w:r>
      <w:r w:rsidR="00281D46" w:rsidRPr="003D5DFA">
        <w:rPr>
          <w:rFonts w:ascii="Arial" w:hAnsi="Arial" w:cs="Arial"/>
          <w:bCs/>
          <w:color w:val="000000"/>
          <w:sz w:val="20"/>
        </w:rPr>
        <w:t xml:space="preserve">and the number of substantiated notifications from 2004-2005 to </w:t>
      </w:r>
      <w:r w:rsidR="00BE411C" w:rsidRPr="003D5DFA">
        <w:rPr>
          <w:rFonts w:ascii="Arial" w:hAnsi="Arial" w:cs="Arial"/>
          <w:bCs/>
          <w:color w:val="000000"/>
          <w:sz w:val="20"/>
        </w:rPr>
        <w:t>20</w:t>
      </w:r>
      <w:r w:rsidR="00EC234F" w:rsidRPr="003D5DFA">
        <w:rPr>
          <w:rFonts w:ascii="Arial" w:hAnsi="Arial" w:cs="Arial"/>
          <w:bCs/>
          <w:color w:val="000000"/>
          <w:sz w:val="20"/>
        </w:rPr>
        <w:t>1</w:t>
      </w:r>
      <w:r w:rsidR="00B00042">
        <w:rPr>
          <w:rFonts w:ascii="Arial" w:hAnsi="Arial" w:cs="Arial"/>
          <w:bCs/>
          <w:color w:val="000000"/>
          <w:sz w:val="20"/>
        </w:rPr>
        <w:t>3</w:t>
      </w:r>
      <w:r w:rsidR="00BE411C" w:rsidRPr="003D5DFA">
        <w:rPr>
          <w:rFonts w:ascii="Arial" w:hAnsi="Arial" w:cs="Arial"/>
          <w:bCs/>
          <w:color w:val="000000"/>
          <w:sz w:val="20"/>
        </w:rPr>
        <w:t>-201</w:t>
      </w:r>
      <w:r w:rsidR="00B00042">
        <w:rPr>
          <w:rFonts w:ascii="Arial" w:hAnsi="Arial" w:cs="Arial"/>
          <w:bCs/>
          <w:color w:val="000000"/>
          <w:sz w:val="20"/>
        </w:rPr>
        <w:t>4</w:t>
      </w:r>
      <w:r w:rsidR="00281D46" w:rsidRPr="003D5DFA">
        <w:rPr>
          <w:rFonts w:ascii="Arial" w:hAnsi="Arial" w:cs="Arial"/>
          <w:bCs/>
          <w:color w:val="000000"/>
          <w:sz w:val="20"/>
        </w:rPr>
        <w:t xml:space="preserve"> which are </w:t>
      </w:r>
      <w:r w:rsidR="00883816" w:rsidRPr="003D5DFA">
        <w:rPr>
          <w:rFonts w:ascii="Arial" w:hAnsi="Arial" w:cs="Arial"/>
          <w:bCs/>
          <w:color w:val="000000"/>
          <w:sz w:val="20"/>
        </w:rPr>
        <w:t xml:space="preserve">detailed </w:t>
      </w:r>
      <w:r w:rsidR="00281D46" w:rsidRPr="003D5DFA">
        <w:rPr>
          <w:rFonts w:ascii="Arial" w:hAnsi="Arial" w:cs="Arial"/>
          <w:bCs/>
          <w:color w:val="000000"/>
          <w:sz w:val="20"/>
        </w:rPr>
        <w:t xml:space="preserve">in the charts </w:t>
      </w:r>
      <w:r w:rsidR="00883816" w:rsidRPr="003D5DFA">
        <w:rPr>
          <w:rFonts w:ascii="Arial" w:hAnsi="Arial" w:cs="Arial"/>
          <w:bCs/>
          <w:color w:val="000000"/>
          <w:sz w:val="20"/>
        </w:rPr>
        <w:t xml:space="preserve">below </w:t>
      </w:r>
      <w:r w:rsidR="007D4416" w:rsidRPr="003D5DFA">
        <w:rPr>
          <w:rFonts w:ascii="Arial" w:hAnsi="Arial" w:cs="Arial"/>
          <w:bCs/>
          <w:color w:val="000000"/>
          <w:sz w:val="20"/>
        </w:rPr>
        <w:t>are</w:t>
      </w:r>
      <w:r w:rsidR="00C478CF" w:rsidRPr="003D5DFA">
        <w:rPr>
          <w:rFonts w:ascii="Arial" w:hAnsi="Arial" w:cs="Arial"/>
          <w:bCs/>
          <w:color w:val="000000"/>
          <w:sz w:val="20"/>
        </w:rPr>
        <w:t xml:space="preserve"> </w:t>
      </w:r>
      <w:r w:rsidR="00A22080" w:rsidRPr="003D5DFA">
        <w:rPr>
          <w:rFonts w:ascii="Arial" w:hAnsi="Arial" w:cs="Arial"/>
          <w:bCs/>
          <w:color w:val="000000"/>
          <w:sz w:val="20"/>
        </w:rPr>
        <w:t xml:space="preserve">taken </w:t>
      </w:r>
      <w:r w:rsidR="00C478CF" w:rsidRPr="003D5DFA">
        <w:rPr>
          <w:rFonts w:ascii="Arial" w:hAnsi="Arial" w:cs="Arial"/>
          <w:bCs/>
          <w:color w:val="000000"/>
          <w:sz w:val="20"/>
        </w:rPr>
        <w:t xml:space="preserve">from </w:t>
      </w:r>
      <w:r w:rsidR="00BA78EA" w:rsidRPr="003D5DFA">
        <w:rPr>
          <w:rFonts w:ascii="Arial" w:hAnsi="Arial" w:cs="Arial"/>
          <w:bCs/>
          <w:color w:val="000000"/>
          <w:sz w:val="20"/>
        </w:rPr>
        <w:t xml:space="preserve">tables in various editions of </w:t>
      </w:r>
      <w:r w:rsidR="00C478CF" w:rsidRPr="003D5DFA">
        <w:rPr>
          <w:rFonts w:ascii="Arial" w:hAnsi="Arial" w:cs="Arial"/>
          <w:bCs/>
          <w:color w:val="000000"/>
          <w:sz w:val="20"/>
        </w:rPr>
        <w:t>“Child protection Australia” in the Child Welfare Series published by the Australian Institute of Health and Welfare, Canberra.</w:t>
      </w:r>
    </w:p>
    <w:p w14:paraId="4685AA19" w14:textId="77777777" w:rsidR="00013EC4" w:rsidRPr="003D5DFA" w:rsidRDefault="00013EC4" w:rsidP="009855F0">
      <w:pPr>
        <w:pStyle w:val="Heading3"/>
        <w:spacing w:line="240" w:lineRule="auto"/>
        <w:rPr>
          <w:rFonts w:ascii="Arial" w:hAnsi="Arial" w:cs="Arial"/>
          <w:bCs/>
          <w:color w:val="000000"/>
          <w:sz w:val="20"/>
          <w:lang w:val="en-US"/>
        </w:rPr>
      </w:pPr>
    </w:p>
    <w:tbl>
      <w:tblPr>
        <w:tblW w:w="878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950"/>
        <w:gridCol w:w="848"/>
        <w:gridCol w:w="848"/>
        <w:gridCol w:w="828"/>
        <w:gridCol w:w="848"/>
        <w:gridCol w:w="836"/>
        <w:gridCol w:w="828"/>
        <w:gridCol w:w="828"/>
        <w:gridCol w:w="949"/>
      </w:tblGrid>
      <w:tr w:rsidR="00A23E26" w:rsidRPr="00785E1A" w14:paraId="4C0AAC96" w14:textId="77777777" w:rsidTr="00281D46">
        <w:tblPrEx>
          <w:tblCellMar>
            <w:top w:w="0" w:type="dxa"/>
            <w:bottom w:w="0" w:type="dxa"/>
          </w:tblCellMar>
        </w:tblPrEx>
        <w:trPr>
          <w:jc w:val="center"/>
        </w:trPr>
        <w:tc>
          <w:tcPr>
            <w:tcW w:w="8789" w:type="dxa"/>
            <w:gridSpan w:val="10"/>
            <w:tcBorders>
              <w:top w:val="single" w:sz="12" w:space="0" w:color="auto"/>
              <w:left w:val="single" w:sz="12" w:space="0" w:color="auto"/>
              <w:bottom w:val="single" w:sz="4" w:space="0" w:color="auto"/>
            </w:tcBorders>
            <w:shd w:val="pct10" w:color="auto" w:fill="auto"/>
          </w:tcPr>
          <w:p w14:paraId="10DB66FD" w14:textId="77777777" w:rsidR="00A23E26" w:rsidRPr="00785E1A" w:rsidRDefault="00A23E26" w:rsidP="00D4369A">
            <w:pPr>
              <w:keepNext/>
              <w:jc w:val="center"/>
              <w:rPr>
                <w:rFonts w:ascii="Arial" w:hAnsi="Arial" w:cs="Arial"/>
                <w:b/>
                <w:color w:val="000000"/>
                <w:sz w:val="20"/>
              </w:rPr>
            </w:pPr>
            <w:r w:rsidRPr="00785E1A">
              <w:rPr>
                <w:rFonts w:ascii="Arial" w:hAnsi="Arial" w:cs="Arial"/>
                <w:b/>
                <w:color w:val="000000"/>
                <w:sz w:val="20"/>
              </w:rPr>
              <w:t>NOTIFICATIONS/REPORTS</w:t>
            </w:r>
          </w:p>
        </w:tc>
      </w:tr>
      <w:tr w:rsidR="00166488" w:rsidRPr="00785E1A" w14:paraId="07B6D6BD" w14:textId="77777777" w:rsidTr="005D4FF3">
        <w:tblPrEx>
          <w:tblCellMar>
            <w:top w:w="0" w:type="dxa"/>
            <w:bottom w:w="0" w:type="dxa"/>
          </w:tblCellMar>
        </w:tblPrEx>
        <w:trPr>
          <w:jc w:val="center"/>
        </w:trPr>
        <w:tc>
          <w:tcPr>
            <w:tcW w:w="1100" w:type="dxa"/>
            <w:tcBorders>
              <w:top w:val="single" w:sz="12" w:space="0" w:color="auto"/>
              <w:left w:val="single" w:sz="12" w:space="0" w:color="auto"/>
              <w:bottom w:val="single" w:sz="12" w:space="0" w:color="auto"/>
              <w:right w:val="single" w:sz="12" w:space="0" w:color="auto"/>
            </w:tcBorders>
            <w:shd w:val="pct10" w:color="auto" w:fill="auto"/>
          </w:tcPr>
          <w:p w14:paraId="508BC491"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YEAR</w:t>
            </w:r>
          </w:p>
        </w:tc>
        <w:tc>
          <w:tcPr>
            <w:tcW w:w="953" w:type="dxa"/>
            <w:tcBorders>
              <w:top w:val="single" w:sz="12" w:space="0" w:color="auto"/>
              <w:left w:val="single" w:sz="12" w:space="0" w:color="auto"/>
              <w:bottom w:val="single" w:sz="12" w:space="0" w:color="auto"/>
              <w:right w:val="single" w:sz="12" w:space="0" w:color="auto"/>
            </w:tcBorders>
            <w:shd w:val="pct10" w:color="auto" w:fill="auto"/>
          </w:tcPr>
          <w:p w14:paraId="1D00D2DB"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NSW</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43A5EFC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VIC</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4FEC856D"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QLD</w:t>
            </w:r>
          </w:p>
        </w:tc>
        <w:tc>
          <w:tcPr>
            <w:tcW w:w="828" w:type="dxa"/>
            <w:tcBorders>
              <w:top w:val="single" w:sz="12" w:space="0" w:color="auto"/>
              <w:left w:val="single" w:sz="12" w:space="0" w:color="auto"/>
              <w:bottom w:val="single" w:sz="12" w:space="0" w:color="auto"/>
              <w:right w:val="single" w:sz="12" w:space="0" w:color="auto"/>
            </w:tcBorders>
            <w:shd w:val="pct10" w:color="auto" w:fill="auto"/>
          </w:tcPr>
          <w:p w14:paraId="3FC78229"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WA</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63D93762"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SA</w:t>
            </w:r>
          </w:p>
        </w:tc>
        <w:tc>
          <w:tcPr>
            <w:tcW w:w="839" w:type="dxa"/>
            <w:tcBorders>
              <w:top w:val="single" w:sz="12" w:space="0" w:color="auto"/>
              <w:left w:val="single" w:sz="12" w:space="0" w:color="auto"/>
              <w:bottom w:val="single" w:sz="12" w:space="0" w:color="auto"/>
              <w:right w:val="single" w:sz="12" w:space="0" w:color="auto"/>
            </w:tcBorders>
            <w:shd w:val="pct10" w:color="auto" w:fill="auto"/>
          </w:tcPr>
          <w:p w14:paraId="1F2E984D"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TAS</w:t>
            </w:r>
          </w:p>
        </w:tc>
        <w:tc>
          <w:tcPr>
            <w:tcW w:w="828" w:type="dxa"/>
            <w:tcBorders>
              <w:top w:val="single" w:sz="12" w:space="0" w:color="auto"/>
              <w:left w:val="single" w:sz="12" w:space="0" w:color="auto"/>
              <w:bottom w:val="single" w:sz="12" w:space="0" w:color="auto"/>
              <w:right w:val="single" w:sz="12" w:space="0" w:color="auto"/>
            </w:tcBorders>
            <w:shd w:val="pct10" w:color="auto" w:fill="auto"/>
          </w:tcPr>
          <w:p w14:paraId="59957273"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ACT</w:t>
            </w:r>
          </w:p>
        </w:tc>
        <w:tc>
          <w:tcPr>
            <w:tcW w:w="727" w:type="dxa"/>
            <w:tcBorders>
              <w:top w:val="single" w:sz="12" w:space="0" w:color="auto"/>
              <w:left w:val="single" w:sz="12" w:space="0" w:color="auto"/>
              <w:bottom w:val="single" w:sz="12" w:space="0" w:color="auto"/>
              <w:right w:val="single" w:sz="12" w:space="0" w:color="auto"/>
            </w:tcBorders>
            <w:shd w:val="pct10" w:color="auto" w:fill="auto"/>
          </w:tcPr>
          <w:p w14:paraId="5554939F"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NT</w:t>
            </w:r>
          </w:p>
        </w:tc>
        <w:tc>
          <w:tcPr>
            <w:tcW w:w="952" w:type="dxa"/>
            <w:tcBorders>
              <w:top w:val="single" w:sz="12" w:space="0" w:color="auto"/>
              <w:left w:val="single" w:sz="12" w:space="0" w:color="auto"/>
              <w:bottom w:val="single" w:sz="12" w:space="0" w:color="auto"/>
            </w:tcBorders>
            <w:shd w:val="pct10" w:color="auto" w:fill="auto"/>
          </w:tcPr>
          <w:p w14:paraId="28B01F8B"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TOTAL</w:t>
            </w:r>
          </w:p>
        </w:tc>
      </w:tr>
      <w:tr w:rsidR="00166488" w:rsidRPr="00785E1A" w14:paraId="0C4B3327" w14:textId="77777777" w:rsidTr="005D4FF3">
        <w:tblPrEx>
          <w:tblCellMar>
            <w:top w:w="0" w:type="dxa"/>
            <w:bottom w:w="0" w:type="dxa"/>
          </w:tblCellMar>
        </w:tblPrEx>
        <w:trPr>
          <w:jc w:val="center"/>
        </w:trPr>
        <w:tc>
          <w:tcPr>
            <w:tcW w:w="1100" w:type="dxa"/>
            <w:tcBorders>
              <w:top w:val="single" w:sz="12" w:space="0" w:color="auto"/>
              <w:left w:val="single" w:sz="12" w:space="0" w:color="auto"/>
              <w:bottom w:val="single" w:sz="4" w:space="0" w:color="auto"/>
              <w:right w:val="single" w:sz="12" w:space="0" w:color="auto"/>
            </w:tcBorders>
          </w:tcPr>
          <w:p w14:paraId="0C58CFD4"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1999-</w:t>
            </w:r>
            <w:r w:rsidR="00C478CF" w:rsidRPr="00785E1A">
              <w:rPr>
                <w:rFonts w:ascii="Arial" w:hAnsi="Arial" w:cs="Arial"/>
                <w:color w:val="000000"/>
                <w:sz w:val="20"/>
              </w:rPr>
              <w:t>00</w:t>
            </w:r>
          </w:p>
        </w:tc>
        <w:tc>
          <w:tcPr>
            <w:tcW w:w="953" w:type="dxa"/>
            <w:tcBorders>
              <w:top w:val="single" w:sz="12" w:space="0" w:color="auto"/>
              <w:left w:val="single" w:sz="12" w:space="0" w:color="auto"/>
              <w:bottom w:val="single" w:sz="4" w:space="0" w:color="auto"/>
              <w:right w:val="single" w:sz="12" w:space="0" w:color="auto"/>
            </w:tcBorders>
          </w:tcPr>
          <w:p w14:paraId="4629B036"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30,398</w:t>
            </w:r>
          </w:p>
        </w:tc>
        <w:tc>
          <w:tcPr>
            <w:tcW w:w="854" w:type="dxa"/>
            <w:tcBorders>
              <w:top w:val="single" w:sz="12" w:space="0" w:color="auto"/>
              <w:left w:val="single" w:sz="12" w:space="0" w:color="auto"/>
              <w:bottom w:val="single" w:sz="4" w:space="0" w:color="auto"/>
              <w:right w:val="single" w:sz="12" w:space="0" w:color="auto"/>
            </w:tcBorders>
            <w:shd w:val="pct10" w:color="auto" w:fill="auto"/>
          </w:tcPr>
          <w:p w14:paraId="4859EA4C"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36,805</w:t>
            </w:r>
          </w:p>
        </w:tc>
        <w:tc>
          <w:tcPr>
            <w:tcW w:w="854" w:type="dxa"/>
            <w:tcBorders>
              <w:top w:val="single" w:sz="12" w:space="0" w:color="auto"/>
              <w:left w:val="single" w:sz="12" w:space="0" w:color="auto"/>
              <w:bottom w:val="single" w:sz="4" w:space="0" w:color="auto"/>
              <w:right w:val="single" w:sz="12" w:space="0" w:color="auto"/>
            </w:tcBorders>
          </w:tcPr>
          <w:p w14:paraId="3C7E47EA"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19.057</w:t>
            </w:r>
          </w:p>
        </w:tc>
        <w:tc>
          <w:tcPr>
            <w:tcW w:w="828" w:type="dxa"/>
            <w:tcBorders>
              <w:top w:val="single" w:sz="12" w:space="0" w:color="auto"/>
              <w:left w:val="single" w:sz="12" w:space="0" w:color="auto"/>
              <w:bottom w:val="single" w:sz="4" w:space="0" w:color="auto"/>
              <w:right w:val="single" w:sz="12" w:space="0" w:color="auto"/>
            </w:tcBorders>
          </w:tcPr>
          <w:p w14:paraId="5399C1D6"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2,645</w:t>
            </w:r>
          </w:p>
        </w:tc>
        <w:tc>
          <w:tcPr>
            <w:tcW w:w="854" w:type="dxa"/>
            <w:tcBorders>
              <w:top w:val="single" w:sz="12" w:space="0" w:color="auto"/>
              <w:left w:val="single" w:sz="12" w:space="0" w:color="auto"/>
              <w:bottom w:val="single" w:sz="4" w:space="0" w:color="auto"/>
              <w:right w:val="single" w:sz="12" w:space="0" w:color="auto"/>
            </w:tcBorders>
          </w:tcPr>
          <w:p w14:paraId="4CAE02D0"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15,181</w:t>
            </w:r>
          </w:p>
        </w:tc>
        <w:tc>
          <w:tcPr>
            <w:tcW w:w="839" w:type="dxa"/>
            <w:tcBorders>
              <w:top w:val="single" w:sz="12" w:space="0" w:color="auto"/>
              <w:left w:val="single" w:sz="12" w:space="0" w:color="auto"/>
              <w:bottom w:val="single" w:sz="4" w:space="0" w:color="auto"/>
              <w:right w:val="single" w:sz="12" w:space="0" w:color="auto"/>
            </w:tcBorders>
          </w:tcPr>
          <w:p w14:paraId="4AAEB7C2"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422</w:t>
            </w:r>
          </w:p>
        </w:tc>
        <w:tc>
          <w:tcPr>
            <w:tcW w:w="828" w:type="dxa"/>
            <w:tcBorders>
              <w:top w:val="single" w:sz="12" w:space="0" w:color="auto"/>
              <w:left w:val="single" w:sz="12" w:space="0" w:color="auto"/>
              <w:bottom w:val="single" w:sz="4" w:space="0" w:color="auto"/>
              <w:right w:val="single" w:sz="12" w:space="0" w:color="auto"/>
            </w:tcBorders>
          </w:tcPr>
          <w:p w14:paraId="2BCC7148"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1,189</w:t>
            </w:r>
          </w:p>
        </w:tc>
        <w:tc>
          <w:tcPr>
            <w:tcW w:w="727" w:type="dxa"/>
            <w:tcBorders>
              <w:top w:val="single" w:sz="12" w:space="0" w:color="auto"/>
              <w:left w:val="single" w:sz="12" w:space="0" w:color="auto"/>
              <w:bottom w:val="single" w:sz="4" w:space="0" w:color="auto"/>
              <w:right w:val="single" w:sz="12" w:space="0" w:color="auto"/>
            </w:tcBorders>
          </w:tcPr>
          <w:p w14:paraId="5D22AEE5"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1,437</w:t>
            </w:r>
          </w:p>
        </w:tc>
        <w:tc>
          <w:tcPr>
            <w:tcW w:w="952" w:type="dxa"/>
            <w:tcBorders>
              <w:top w:val="single" w:sz="12" w:space="0" w:color="auto"/>
              <w:left w:val="single" w:sz="12" w:space="0" w:color="auto"/>
              <w:bottom w:val="single" w:sz="4" w:space="0" w:color="auto"/>
            </w:tcBorders>
          </w:tcPr>
          <w:p w14:paraId="169C7BEF"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107,134</w:t>
            </w:r>
          </w:p>
        </w:tc>
      </w:tr>
      <w:tr w:rsidR="00166488" w:rsidRPr="00785E1A" w14:paraId="4C27C5BB" w14:textId="77777777" w:rsidTr="005D4FF3">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3BF622E7"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2000-01</w:t>
            </w:r>
          </w:p>
        </w:tc>
        <w:tc>
          <w:tcPr>
            <w:tcW w:w="953" w:type="dxa"/>
            <w:tcBorders>
              <w:top w:val="single" w:sz="4" w:space="0" w:color="auto"/>
              <w:left w:val="single" w:sz="12" w:space="0" w:color="auto"/>
              <w:right w:val="single" w:sz="12" w:space="0" w:color="auto"/>
            </w:tcBorders>
          </w:tcPr>
          <w:p w14:paraId="6CA5D98C"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40,937</w:t>
            </w:r>
          </w:p>
        </w:tc>
        <w:tc>
          <w:tcPr>
            <w:tcW w:w="854" w:type="dxa"/>
            <w:tcBorders>
              <w:top w:val="single" w:sz="4" w:space="0" w:color="auto"/>
              <w:left w:val="single" w:sz="12" w:space="0" w:color="auto"/>
              <w:right w:val="single" w:sz="12" w:space="0" w:color="auto"/>
            </w:tcBorders>
            <w:shd w:val="pct10" w:color="auto" w:fill="auto"/>
          </w:tcPr>
          <w:p w14:paraId="3197C3B3"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36,966</w:t>
            </w:r>
          </w:p>
        </w:tc>
        <w:tc>
          <w:tcPr>
            <w:tcW w:w="854" w:type="dxa"/>
            <w:tcBorders>
              <w:top w:val="single" w:sz="4" w:space="0" w:color="auto"/>
              <w:left w:val="single" w:sz="12" w:space="0" w:color="auto"/>
              <w:right w:val="single" w:sz="12" w:space="0" w:color="auto"/>
            </w:tcBorders>
          </w:tcPr>
          <w:p w14:paraId="263B7CFA"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22,069</w:t>
            </w:r>
          </w:p>
        </w:tc>
        <w:tc>
          <w:tcPr>
            <w:tcW w:w="828" w:type="dxa"/>
            <w:tcBorders>
              <w:top w:val="single" w:sz="4" w:space="0" w:color="auto"/>
              <w:left w:val="single" w:sz="12" w:space="0" w:color="auto"/>
              <w:right w:val="single" w:sz="12" w:space="0" w:color="auto"/>
            </w:tcBorders>
          </w:tcPr>
          <w:p w14:paraId="53363938"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2,851</w:t>
            </w:r>
          </w:p>
        </w:tc>
        <w:tc>
          <w:tcPr>
            <w:tcW w:w="854" w:type="dxa"/>
            <w:tcBorders>
              <w:top w:val="single" w:sz="4" w:space="0" w:color="auto"/>
              <w:left w:val="single" w:sz="12" w:space="0" w:color="auto"/>
              <w:right w:val="single" w:sz="12" w:space="0" w:color="auto"/>
            </w:tcBorders>
          </w:tcPr>
          <w:p w14:paraId="623DEE3C"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9,988</w:t>
            </w:r>
          </w:p>
        </w:tc>
        <w:tc>
          <w:tcPr>
            <w:tcW w:w="839" w:type="dxa"/>
            <w:tcBorders>
              <w:top w:val="single" w:sz="4" w:space="0" w:color="auto"/>
              <w:left w:val="single" w:sz="12" w:space="0" w:color="auto"/>
              <w:right w:val="single" w:sz="12" w:space="0" w:color="auto"/>
            </w:tcBorders>
          </w:tcPr>
          <w:p w14:paraId="7CE96C4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315</w:t>
            </w:r>
          </w:p>
        </w:tc>
        <w:tc>
          <w:tcPr>
            <w:tcW w:w="828" w:type="dxa"/>
            <w:tcBorders>
              <w:top w:val="single" w:sz="4" w:space="0" w:color="auto"/>
              <w:left w:val="single" w:sz="12" w:space="0" w:color="auto"/>
              <w:right w:val="single" w:sz="12" w:space="0" w:color="auto"/>
            </w:tcBorders>
          </w:tcPr>
          <w:p w14:paraId="21EBE2FF"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794</w:t>
            </w:r>
          </w:p>
        </w:tc>
        <w:tc>
          <w:tcPr>
            <w:tcW w:w="727" w:type="dxa"/>
            <w:tcBorders>
              <w:top w:val="single" w:sz="4" w:space="0" w:color="auto"/>
              <w:left w:val="single" w:sz="12" w:space="0" w:color="auto"/>
              <w:right w:val="single" w:sz="12" w:space="0" w:color="auto"/>
            </w:tcBorders>
          </w:tcPr>
          <w:p w14:paraId="71700635"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1,551</w:t>
            </w:r>
          </w:p>
        </w:tc>
        <w:tc>
          <w:tcPr>
            <w:tcW w:w="952" w:type="dxa"/>
            <w:tcBorders>
              <w:top w:val="single" w:sz="4" w:space="0" w:color="auto"/>
              <w:left w:val="single" w:sz="12" w:space="0" w:color="auto"/>
            </w:tcBorders>
          </w:tcPr>
          <w:p w14:paraId="71AB1A95"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115,471</w:t>
            </w:r>
          </w:p>
        </w:tc>
      </w:tr>
      <w:tr w:rsidR="00166488" w:rsidRPr="00785E1A" w14:paraId="7DEE4B1A" w14:textId="77777777" w:rsidTr="005D4FF3">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2CD97DA9"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2001-</w:t>
            </w:r>
            <w:r w:rsidR="00013EC4" w:rsidRPr="00785E1A">
              <w:rPr>
                <w:rFonts w:ascii="Arial" w:hAnsi="Arial" w:cs="Arial"/>
                <w:color w:val="000000"/>
                <w:sz w:val="20"/>
              </w:rPr>
              <w:t>02</w:t>
            </w:r>
          </w:p>
        </w:tc>
        <w:tc>
          <w:tcPr>
            <w:tcW w:w="953" w:type="dxa"/>
            <w:tcBorders>
              <w:left w:val="single" w:sz="12" w:space="0" w:color="auto"/>
              <w:right w:val="single" w:sz="12" w:space="0" w:color="auto"/>
            </w:tcBorders>
          </w:tcPr>
          <w:p w14:paraId="2EB6975C"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55,208</w:t>
            </w:r>
          </w:p>
        </w:tc>
        <w:tc>
          <w:tcPr>
            <w:tcW w:w="854" w:type="dxa"/>
            <w:tcBorders>
              <w:left w:val="single" w:sz="12" w:space="0" w:color="auto"/>
              <w:right w:val="single" w:sz="12" w:space="0" w:color="auto"/>
            </w:tcBorders>
            <w:shd w:val="pct10" w:color="auto" w:fill="auto"/>
          </w:tcPr>
          <w:p w14:paraId="2DD96B88"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37,976</w:t>
            </w:r>
          </w:p>
        </w:tc>
        <w:tc>
          <w:tcPr>
            <w:tcW w:w="854" w:type="dxa"/>
            <w:tcBorders>
              <w:left w:val="single" w:sz="12" w:space="0" w:color="auto"/>
              <w:right w:val="single" w:sz="12" w:space="0" w:color="auto"/>
            </w:tcBorders>
          </w:tcPr>
          <w:p w14:paraId="08FF0259"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27,592</w:t>
            </w:r>
          </w:p>
        </w:tc>
        <w:tc>
          <w:tcPr>
            <w:tcW w:w="828" w:type="dxa"/>
            <w:tcBorders>
              <w:left w:val="single" w:sz="12" w:space="0" w:color="auto"/>
              <w:right w:val="single" w:sz="12" w:space="0" w:color="auto"/>
            </w:tcBorders>
          </w:tcPr>
          <w:p w14:paraId="3A09BDD0"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3,045</w:t>
            </w:r>
          </w:p>
        </w:tc>
        <w:tc>
          <w:tcPr>
            <w:tcW w:w="854" w:type="dxa"/>
            <w:tcBorders>
              <w:left w:val="single" w:sz="12" w:space="0" w:color="auto"/>
              <w:right w:val="single" w:sz="12" w:space="0" w:color="auto"/>
            </w:tcBorders>
          </w:tcPr>
          <w:p w14:paraId="22C3B83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11,203</w:t>
            </w:r>
          </w:p>
        </w:tc>
        <w:tc>
          <w:tcPr>
            <w:tcW w:w="839" w:type="dxa"/>
            <w:tcBorders>
              <w:left w:val="single" w:sz="12" w:space="0" w:color="auto"/>
              <w:right w:val="single" w:sz="12" w:space="0" w:color="auto"/>
            </w:tcBorders>
          </w:tcPr>
          <w:p w14:paraId="497F062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508</w:t>
            </w:r>
          </w:p>
        </w:tc>
        <w:tc>
          <w:tcPr>
            <w:tcW w:w="828" w:type="dxa"/>
            <w:tcBorders>
              <w:left w:val="single" w:sz="12" w:space="0" w:color="auto"/>
              <w:right w:val="single" w:sz="12" w:space="0" w:color="auto"/>
            </w:tcBorders>
          </w:tcPr>
          <w:p w14:paraId="291BB66C"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801</w:t>
            </w:r>
          </w:p>
        </w:tc>
        <w:tc>
          <w:tcPr>
            <w:tcW w:w="727" w:type="dxa"/>
            <w:tcBorders>
              <w:left w:val="single" w:sz="12" w:space="0" w:color="auto"/>
              <w:right w:val="single" w:sz="12" w:space="0" w:color="auto"/>
            </w:tcBorders>
          </w:tcPr>
          <w:p w14:paraId="2732262D"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1,605</w:t>
            </w:r>
          </w:p>
        </w:tc>
        <w:tc>
          <w:tcPr>
            <w:tcW w:w="952" w:type="dxa"/>
            <w:tcBorders>
              <w:left w:val="single" w:sz="12" w:space="0" w:color="auto"/>
            </w:tcBorders>
          </w:tcPr>
          <w:p w14:paraId="49EF5720"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137,938</w:t>
            </w:r>
          </w:p>
        </w:tc>
      </w:tr>
      <w:tr w:rsidR="00166488" w:rsidRPr="00785E1A" w14:paraId="00D0E769" w14:textId="77777777" w:rsidTr="005D4FF3">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39C4148A"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2002-</w:t>
            </w:r>
            <w:r w:rsidR="00013EC4" w:rsidRPr="00785E1A">
              <w:rPr>
                <w:rFonts w:ascii="Arial" w:hAnsi="Arial" w:cs="Arial"/>
                <w:color w:val="000000"/>
                <w:sz w:val="20"/>
              </w:rPr>
              <w:t>03</w:t>
            </w:r>
          </w:p>
        </w:tc>
        <w:tc>
          <w:tcPr>
            <w:tcW w:w="953" w:type="dxa"/>
            <w:tcBorders>
              <w:left w:val="single" w:sz="12" w:space="0" w:color="auto"/>
              <w:right w:val="single" w:sz="12" w:space="0" w:color="auto"/>
            </w:tcBorders>
          </w:tcPr>
          <w:p w14:paraId="3254C1C8"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109.498</w:t>
            </w:r>
          </w:p>
        </w:tc>
        <w:tc>
          <w:tcPr>
            <w:tcW w:w="854" w:type="dxa"/>
            <w:tcBorders>
              <w:left w:val="single" w:sz="12" w:space="0" w:color="auto"/>
              <w:right w:val="single" w:sz="12" w:space="0" w:color="auto"/>
            </w:tcBorders>
            <w:shd w:val="pct10" w:color="auto" w:fill="auto"/>
          </w:tcPr>
          <w:p w14:paraId="789AF2B7"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37,635</w:t>
            </w:r>
          </w:p>
        </w:tc>
        <w:tc>
          <w:tcPr>
            <w:tcW w:w="854" w:type="dxa"/>
            <w:tcBorders>
              <w:left w:val="single" w:sz="12" w:space="0" w:color="auto"/>
              <w:right w:val="single" w:sz="12" w:space="0" w:color="auto"/>
            </w:tcBorders>
          </w:tcPr>
          <w:p w14:paraId="6B5E473F"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31,068</w:t>
            </w:r>
          </w:p>
        </w:tc>
        <w:tc>
          <w:tcPr>
            <w:tcW w:w="828" w:type="dxa"/>
            <w:tcBorders>
              <w:left w:val="single" w:sz="12" w:space="0" w:color="auto"/>
              <w:right w:val="single" w:sz="12" w:space="0" w:color="auto"/>
            </w:tcBorders>
          </w:tcPr>
          <w:p w14:paraId="1AE023F7"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2,293</w:t>
            </w:r>
          </w:p>
        </w:tc>
        <w:tc>
          <w:tcPr>
            <w:tcW w:w="854" w:type="dxa"/>
            <w:tcBorders>
              <w:left w:val="single" w:sz="12" w:space="0" w:color="auto"/>
              <w:right w:val="single" w:sz="12" w:space="0" w:color="auto"/>
            </w:tcBorders>
          </w:tcPr>
          <w:p w14:paraId="23D079BF"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13,442</w:t>
            </w:r>
          </w:p>
        </w:tc>
        <w:tc>
          <w:tcPr>
            <w:tcW w:w="839" w:type="dxa"/>
            <w:tcBorders>
              <w:left w:val="single" w:sz="12" w:space="0" w:color="auto"/>
              <w:right w:val="single" w:sz="12" w:space="0" w:color="auto"/>
            </w:tcBorders>
          </w:tcPr>
          <w:p w14:paraId="0FDB650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741</w:t>
            </w:r>
          </w:p>
        </w:tc>
        <w:tc>
          <w:tcPr>
            <w:tcW w:w="828" w:type="dxa"/>
            <w:tcBorders>
              <w:left w:val="single" w:sz="12" w:space="0" w:color="auto"/>
              <w:right w:val="single" w:sz="12" w:space="0" w:color="auto"/>
            </w:tcBorders>
          </w:tcPr>
          <w:p w14:paraId="6EBEE8A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2,124</w:t>
            </w:r>
          </w:p>
        </w:tc>
        <w:tc>
          <w:tcPr>
            <w:tcW w:w="727" w:type="dxa"/>
            <w:tcBorders>
              <w:left w:val="single" w:sz="12" w:space="0" w:color="auto"/>
              <w:right w:val="single" w:sz="12" w:space="0" w:color="auto"/>
            </w:tcBorders>
          </w:tcPr>
          <w:p w14:paraId="2CF009DD"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1,554</w:t>
            </w:r>
          </w:p>
        </w:tc>
        <w:tc>
          <w:tcPr>
            <w:tcW w:w="952" w:type="dxa"/>
            <w:tcBorders>
              <w:left w:val="single" w:sz="12" w:space="0" w:color="auto"/>
            </w:tcBorders>
          </w:tcPr>
          <w:p w14:paraId="0FB729F2"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198,255</w:t>
            </w:r>
          </w:p>
        </w:tc>
      </w:tr>
      <w:tr w:rsidR="00166488" w:rsidRPr="00785E1A" w14:paraId="0887A284" w14:textId="77777777" w:rsidTr="005D4FF3">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694A46FD"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2003-</w:t>
            </w:r>
            <w:r w:rsidR="00013EC4" w:rsidRPr="00785E1A">
              <w:rPr>
                <w:rFonts w:ascii="Arial" w:hAnsi="Arial" w:cs="Arial"/>
                <w:color w:val="000000"/>
                <w:sz w:val="20"/>
              </w:rPr>
              <w:t>04</w:t>
            </w:r>
          </w:p>
        </w:tc>
        <w:tc>
          <w:tcPr>
            <w:tcW w:w="953" w:type="dxa"/>
            <w:tcBorders>
              <w:left w:val="single" w:sz="12" w:space="0" w:color="auto"/>
              <w:right w:val="single" w:sz="12" w:space="0" w:color="auto"/>
            </w:tcBorders>
          </w:tcPr>
          <w:p w14:paraId="61923951"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115,541</w:t>
            </w:r>
          </w:p>
        </w:tc>
        <w:tc>
          <w:tcPr>
            <w:tcW w:w="854" w:type="dxa"/>
            <w:tcBorders>
              <w:left w:val="single" w:sz="12" w:space="0" w:color="auto"/>
              <w:right w:val="single" w:sz="12" w:space="0" w:color="auto"/>
            </w:tcBorders>
            <w:shd w:val="pct10" w:color="auto" w:fill="auto"/>
          </w:tcPr>
          <w:p w14:paraId="41ADC2D3"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36,956</w:t>
            </w:r>
          </w:p>
        </w:tc>
        <w:tc>
          <w:tcPr>
            <w:tcW w:w="854" w:type="dxa"/>
            <w:tcBorders>
              <w:left w:val="single" w:sz="12" w:space="0" w:color="auto"/>
              <w:right w:val="single" w:sz="12" w:space="0" w:color="auto"/>
            </w:tcBorders>
          </w:tcPr>
          <w:p w14:paraId="4217EFCB"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35,023</w:t>
            </w:r>
          </w:p>
        </w:tc>
        <w:tc>
          <w:tcPr>
            <w:tcW w:w="828" w:type="dxa"/>
            <w:tcBorders>
              <w:left w:val="single" w:sz="12" w:space="0" w:color="auto"/>
              <w:right w:val="single" w:sz="12" w:space="0" w:color="auto"/>
            </w:tcBorders>
          </w:tcPr>
          <w:p w14:paraId="2B57221A"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2,417</w:t>
            </w:r>
          </w:p>
        </w:tc>
        <w:tc>
          <w:tcPr>
            <w:tcW w:w="854" w:type="dxa"/>
            <w:tcBorders>
              <w:left w:val="single" w:sz="12" w:space="0" w:color="auto"/>
              <w:right w:val="single" w:sz="12" w:space="0" w:color="auto"/>
            </w:tcBorders>
          </w:tcPr>
          <w:p w14:paraId="48C413BD"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14,917</w:t>
            </w:r>
          </w:p>
        </w:tc>
        <w:tc>
          <w:tcPr>
            <w:tcW w:w="839" w:type="dxa"/>
            <w:tcBorders>
              <w:left w:val="single" w:sz="12" w:space="0" w:color="auto"/>
              <w:right w:val="single" w:sz="12" w:space="0" w:color="auto"/>
            </w:tcBorders>
          </w:tcPr>
          <w:p w14:paraId="253620C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7,248</w:t>
            </w:r>
          </w:p>
        </w:tc>
        <w:tc>
          <w:tcPr>
            <w:tcW w:w="828" w:type="dxa"/>
            <w:tcBorders>
              <w:left w:val="single" w:sz="12" w:space="0" w:color="auto"/>
              <w:right w:val="single" w:sz="12" w:space="0" w:color="auto"/>
            </w:tcBorders>
          </w:tcPr>
          <w:p w14:paraId="2893B04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5,325</w:t>
            </w:r>
          </w:p>
        </w:tc>
        <w:tc>
          <w:tcPr>
            <w:tcW w:w="727" w:type="dxa"/>
            <w:tcBorders>
              <w:left w:val="single" w:sz="12" w:space="0" w:color="auto"/>
              <w:right w:val="single" w:sz="12" w:space="0" w:color="auto"/>
            </w:tcBorders>
          </w:tcPr>
          <w:p w14:paraId="44DE9305"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1,957</w:t>
            </w:r>
          </w:p>
        </w:tc>
        <w:tc>
          <w:tcPr>
            <w:tcW w:w="952" w:type="dxa"/>
            <w:tcBorders>
              <w:left w:val="single" w:sz="12" w:space="0" w:color="auto"/>
            </w:tcBorders>
          </w:tcPr>
          <w:p w14:paraId="29BB10FE"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219,384</w:t>
            </w:r>
          </w:p>
        </w:tc>
      </w:tr>
      <w:tr w:rsidR="00166488" w:rsidRPr="00785E1A" w14:paraId="4EDEEE86" w14:textId="77777777" w:rsidTr="005D4FF3">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567244F2"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2004-</w:t>
            </w:r>
            <w:r w:rsidR="00013EC4" w:rsidRPr="00785E1A">
              <w:rPr>
                <w:rFonts w:ascii="Arial" w:hAnsi="Arial" w:cs="Arial"/>
                <w:color w:val="000000"/>
                <w:sz w:val="20"/>
              </w:rPr>
              <w:t>05</w:t>
            </w:r>
          </w:p>
        </w:tc>
        <w:tc>
          <w:tcPr>
            <w:tcW w:w="953" w:type="dxa"/>
            <w:tcBorders>
              <w:left w:val="single" w:sz="12" w:space="0" w:color="auto"/>
              <w:bottom w:val="single" w:sz="4" w:space="0" w:color="auto"/>
              <w:right w:val="single" w:sz="12" w:space="0" w:color="auto"/>
            </w:tcBorders>
          </w:tcPr>
          <w:p w14:paraId="78CBCB15"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133,636</w:t>
            </w:r>
          </w:p>
        </w:tc>
        <w:tc>
          <w:tcPr>
            <w:tcW w:w="854" w:type="dxa"/>
            <w:tcBorders>
              <w:left w:val="single" w:sz="12" w:space="0" w:color="auto"/>
              <w:bottom w:val="single" w:sz="4" w:space="0" w:color="auto"/>
              <w:right w:val="single" w:sz="12" w:space="0" w:color="auto"/>
            </w:tcBorders>
            <w:shd w:val="pct10" w:color="auto" w:fill="auto"/>
          </w:tcPr>
          <w:p w14:paraId="3D3AD64C"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37,523</w:t>
            </w:r>
          </w:p>
        </w:tc>
        <w:tc>
          <w:tcPr>
            <w:tcW w:w="854" w:type="dxa"/>
            <w:tcBorders>
              <w:left w:val="single" w:sz="12" w:space="0" w:color="auto"/>
              <w:bottom w:val="single" w:sz="4" w:space="0" w:color="auto"/>
              <w:right w:val="single" w:sz="12" w:space="0" w:color="auto"/>
            </w:tcBorders>
          </w:tcPr>
          <w:p w14:paraId="153BEA38"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40,829</w:t>
            </w:r>
          </w:p>
        </w:tc>
        <w:tc>
          <w:tcPr>
            <w:tcW w:w="828" w:type="dxa"/>
            <w:tcBorders>
              <w:left w:val="single" w:sz="12" w:space="0" w:color="auto"/>
              <w:bottom w:val="single" w:sz="4" w:space="0" w:color="auto"/>
              <w:right w:val="single" w:sz="12" w:space="0" w:color="auto"/>
            </w:tcBorders>
          </w:tcPr>
          <w:p w14:paraId="36951A32"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3,206</w:t>
            </w:r>
          </w:p>
        </w:tc>
        <w:tc>
          <w:tcPr>
            <w:tcW w:w="854" w:type="dxa"/>
            <w:tcBorders>
              <w:left w:val="single" w:sz="12" w:space="0" w:color="auto"/>
              <w:bottom w:val="single" w:sz="4" w:space="0" w:color="auto"/>
              <w:right w:val="single" w:sz="12" w:space="0" w:color="auto"/>
            </w:tcBorders>
          </w:tcPr>
          <w:p w14:paraId="111ABE51"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17,473</w:t>
            </w:r>
          </w:p>
        </w:tc>
        <w:tc>
          <w:tcPr>
            <w:tcW w:w="839" w:type="dxa"/>
            <w:tcBorders>
              <w:left w:val="single" w:sz="12" w:space="0" w:color="auto"/>
              <w:bottom w:val="single" w:sz="4" w:space="0" w:color="auto"/>
              <w:right w:val="single" w:sz="12" w:space="0" w:color="auto"/>
            </w:tcBorders>
          </w:tcPr>
          <w:p w14:paraId="4A03EE3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10,788</w:t>
            </w:r>
          </w:p>
        </w:tc>
        <w:tc>
          <w:tcPr>
            <w:tcW w:w="828" w:type="dxa"/>
            <w:tcBorders>
              <w:left w:val="single" w:sz="12" w:space="0" w:color="auto"/>
              <w:bottom w:val="single" w:sz="4" w:space="0" w:color="auto"/>
              <w:right w:val="single" w:sz="12" w:space="0" w:color="auto"/>
            </w:tcBorders>
          </w:tcPr>
          <w:p w14:paraId="13D65DB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7,275</w:t>
            </w:r>
          </w:p>
        </w:tc>
        <w:tc>
          <w:tcPr>
            <w:tcW w:w="727" w:type="dxa"/>
            <w:tcBorders>
              <w:left w:val="single" w:sz="12" w:space="0" w:color="auto"/>
              <w:bottom w:val="single" w:sz="4" w:space="0" w:color="auto"/>
              <w:right w:val="single" w:sz="12" w:space="0" w:color="auto"/>
            </w:tcBorders>
          </w:tcPr>
          <w:p w14:paraId="21D615FE"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2,101</w:t>
            </w:r>
          </w:p>
        </w:tc>
        <w:tc>
          <w:tcPr>
            <w:tcW w:w="952" w:type="dxa"/>
            <w:tcBorders>
              <w:left w:val="single" w:sz="12" w:space="0" w:color="auto"/>
              <w:bottom w:val="single" w:sz="4" w:space="0" w:color="auto"/>
            </w:tcBorders>
          </w:tcPr>
          <w:p w14:paraId="2D1662F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252,831</w:t>
            </w:r>
          </w:p>
        </w:tc>
      </w:tr>
      <w:tr w:rsidR="00166488" w:rsidRPr="00785E1A" w14:paraId="3B276B4F" w14:textId="77777777" w:rsidTr="005D4FF3">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59717A3F"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2005-</w:t>
            </w:r>
            <w:r w:rsidR="00013EC4" w:rsidRPr="00785E1A">
              <w:rPr>
                <w:rFonts w:ascii="Arial" w:hAnsi="Arial" w:cs="Arial"/>
                <w:color w:val="000000"/>
                <w:sz w:val="20"/>
              </w:rPr>
              <w:t>06</w:t>
            </w:r>
          </w:p>
        </w:tc>
        <w:tc>
          <w:tcPr>
            <w:tcW w:w="953" w:type="dxa"/>
            <w:tcBorders>
              <w:top w:val="single" w:sz="4" w:space="0" w:color="auto"/>
              <w:left w:val="single" w:sz="12" w:space="0" w:color="auto"/>
              <w:bottom w:val="single" w:sz="4" w:space="0" w:color="auto"/>
              <w:right w:val="single" w:sz="12" w:space="0" w:color="auto"/>
            </w:tcBorders>
          </w:tcPr>
          <w:p w14:paraId="716BAE7B"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152,806</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4B119E97"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37,987</w:t>
            </w:r>
          </w:p>
        </w:tc>
        <w:tc>
          <w:tcPr>
            <w:tcW w:w="854" w:type="dxa"/>
            <w:tcBorders>
              <w:top w:val="single" w:sz="4" w:space="0" w:color="auto"/>
              <w:left w:val="single" w:sz="12" w:space="0" w:color="auto"/>
              <w:bottom w:val="single" w:sz="4" w:space="0" w:color="auto"/>
              <w:right w:val="single" w:sz="12" w:space="0" w:color="auto"/>
            </w:tcBorders>
          </w:tcPr>
          <w:p w14:paraId="7DFDF512"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33,612</w:t>
            </w:r>
          </w:p>
        </w:tc>
        <w:tc>
          <w:tcPr>
            <w:tcW w:w="828" w:type="dxa"/>
            <w:tcBorders>
              <w:top w:val="single" w:sz="4" w:space="0" w:color="auto"/>
              <w:left w:val="single" w:sz="12" w:space="0" w:color="auto"/>
              <w:bottom w:val="single" w:sz="4" w:space="0" w:color="auto"/>
              <w:right w:val="single" w:sz="12" w:space="0" w:color="auto"/>
            </w:tcBorders>
          </w:tcPr>
          <w:p w14:paraId="12AFBB2A"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3,315</w:t>
            </w:r>
          </w:p>
        </w:tc>
        <w:tc>
          <w:tcPr>
            <w:tcW w:w="854" w:type="dxa"/>
            <w:tcBorders>
              <w:top w:val="single" w:sz="4" w:space="0" w:color="auto"/>
              <w:left w:val="single" w:sz="12" w:space="0" w:color="auto"/>
              <w:bottom w:val="single" w:sz="4" w:space="0" w:color="auto"/>
              <w:right w:val="single" w:sz="12" w:space="0" w:color="auto"/>
            </w:tcBorders>
          </w:tcPr>
          <w:p w14:paraId="7AABE50A"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15,069</w:t>
            </w:r>
          </w:p>
        </w:tc>
        <w:tc>
          <w:tcPr>
            <w:tcW w:w="839" w:type="dxa"/>
            <w:tcBorders>
              <w:top w:val="single" w:sz="4" w:space="0" w:color="auto"/>
              <w:left w:val="single" w:sz="12" w:space="0" w:color="auto"/>
              <w:bottom w:val="single" w:sz="4" w:space="0" w:color="auto"/>
              <w:right w:val="single" w:sz="12" w:space="0" w:color="auto"/>
            </w:tcBorders>
          </w:tcPr>
          <w:p w14:paraId="2F7EA5F9"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13,029</w:t>
            </w:r>
          </w:p>
        </w:tc>
        <w:tc>
          <w:tcPr>
            <w:tcW w:w="828" w:type="dxa"/>
            <w:tcBorders>
              <w:top w:val="single" w:sz="4" w:space="0" w:color="auto"/>
              <w:left w:val="single" w:sz="12" w:space="0" w:color="auto"/>
              <w:bottom w:val="single" w:sz="4" w:space="0" w:color="auto"/>
              <w:right w:val="single" w:sz="12" w:space="0" w:color="auto"/>
            </w:tcBorders>
          </w:tcPr>
          <w:p w14:paraId="28B20651"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8,064</w:t>
            </w:r>
          </w:p>
        </w:tc>
        <w:tc>
          <w:tcPr>
            <w:tcW w:w="727" w:type="dxa"/>
            <w:tcBorders>
              <w:top w:val="single" w:sz="4" w:space="0" w:color="auto"/>
              <w:left w:val="single" w:sz="12" w:space="0" w:color="auto"/>
              <w:bottom w:val="single" w:sz="4" w:space="0" w:color="auto"/>
              <w:right w:val="single" w:sz="12" w:space="0" w:color="auto"/>
            </w:tcBorders>
          </w:tcPr>
          <w:p w14:paraId="50A9287E"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2,863</w:t>
            </w:r>
          </w:p>
        </w:tc>
        <w:tc>
          <w:tcPr>
            <w:tcW w:w="952" w:type="dxa"/>
            <w:tcBorders>
              <w:top w:val="single" w:sz="4" w:space="0" w:color="auto"/>
              <w:left w:val="single" w:sz="12" w:space="0" w:color="auto"/>
              <w:bottom w:val="single" w:sz="4" w:space="0" w:color="auto"/>
            </w:tcBorders>
          </w:tcPr>
          <w:p w14:paraId="0483462A"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266,745</w:t>
            </w:r>
          </w:p>
        </w:tc>
      </w:tr>
      <w:tr w:rsidR="00E14F02" w:rsidRPr="00785E1A" w14:paraId="485DDD83" w14:textId="77777777" w:rsidTr="005D4FF3">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724C9C6C" w14:textId="77777777" w:rsidR="00E14F02" w:rsidRPr="00785E1A" w:rsidRDefault="00DB2806" w:rsidP="00013EC4">
            <w:pPr>
              <w:jc w:val="center"/>
              <w:rPr>
                <w:rFonts w:ascii="Arial" w:hAnsi="Arial" w:cs="Arial"/>
                <w:color w:val="000000"/>
                <w:sz w:val="20"/>
              </w:rPr>
            </w:pPr>
            <w:r w:rsidRPr="00785E1A">
              <w:rPr>
                <w:rFonts w:ascii="Arial" w:hAnsi="Arial" w:cs="Arial"/>
                <w:color w:val="000000"/>
                <w:sz w:val="20"/>
              </w:rPr>
              <w:t>2006-</w:t>
            </w:r>
            <w:r w:rsidR="00E14F02" w:rsidRPr="00785E1A">
              <w:rPr>
                <w:rFonts w:ascii="Arial" w:hAnsi="Arial" w:cs="Arial"/>
                <w:color w:val="000000"/>
                <w:sz w:val="20"/>
              </w:rPr>
              <w:t>07</w:t>
            </w:r>
          </w:p>
        </w:tc>
        <w:tc>
          <w:tcPr>
            <w:tcW w:w="953" w:type="dxa"/>
            <w:tcBorders>
              <w:top w:val="single" w:sz="4" w:space="0" w:color="auto"/>
              <w:left w:val="single" w:sz="12" w:space="0" w:color="auto"/>
              <w:bottom w:val="single" w:sz="4" w:space="0" w:color="auto"/>
              <w:right w:val="single" w:sz="12" w:space="0" w:color="auto"/>
            </w:tcBorders>
          </w:tcPr>
          <w:p w14:paraId="0019DC91"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189,928</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7B2F4791"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38,675</w:t>
            </w:r>
          </w:p>
        </w:tc>
        <w:tc>
          <w:tcPr>
            <w:tcW w:w="854" w:type="dxa"/>
            <w:tcBorders>
              <w:top w:val="single" w:sz="4" w:space="0" w:color="auto"/>
              <w:left w:val="single" w:sz="12" w:space="0" w:color="auto"/>
              <w:bottom w:val="single" w:sz="4" w:space="0" w:color="auto"/>
              <w:right w:val="single" w:sz="12" w:space="0" w:color="auto"/>
            </w:tcBorders>
          </w:tcPr>
          <w:p w14:paraId="5FD97BEA"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28,580</w:t>
            </w:r>
          </w:p>
        </w:tc>
        <w:tc>
          <w:tcPr>
            <w:tcW w:w="828" w:type="dxa"/>
            <w:tcBorders>
              <w:top w:val="single" w:sz="4" w:space="0" w:color="auto"/>
              <w:left w:val="single" w:sz="12" w:space="0" w:color="auto"/>
              <w:bottom w:val="single" w:sz="4" w:space="0" w:color="auto"/>
              <w:right w:val="single" w:sz="12" w:space="0" w:color="auto"/>
            </w:tcBorders>
          </w:tcPr>
          <w:p w14:paraId="35739966"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7,700</w:t>
            </w:r>
          </w:p>
        </w:tc>
        <w:tc>
          <w:tcPr>
            <w:tcW w:w="854" w:type="dxa"/>
            <w:tcBorders>
              <w:top w:val="single" w:sz="4" w:space="0" w:color="auto"/>
              <w:left w:val="single" w:sz="12" w:space="0" w:color="auto"/>
              <w:bottom w:val="single" w:sz="4" w:space="0" w:color="auto"/>
              <w:right w:val="single" w:sz="12" w:space="0" w:color="auto"/>
            </w:tcBorders>
          </w:tcPr>
          <w:p w14:paraId="2ED0AC48"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18,434</w:t>
            </w:r>
          </w:p>
        </w:tc>
        <w:tc>
          <w:tcPr>
            <w:tcW w:w="839" w:type="dxa"/>
            <w:tcBorders>
              <w:top w:val="single" w:sz="4" w:space="0" w:color="auto"/>
              <w:left w:val="single" w:sz="12" w:space="0" w:color="auto"/>
              <w:bottom w:val="single" w:sz="4" w:space="0" w:color="auto"/>
              <w:right w:val="single" w:sz="12" w:space="0" w:color="auto"/>
            </w:tcBorders>
          </w:tcPr>
          <w:p w14:paraId="166E11E9"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14,498</w:t>
            </w:r>
          </w:p>
        </w:tc>
        <w:tc>
          <w:tcPr>
            <w:tcW w:w="828" w:type="dxa"/>
            <w:tcBorders>
              <w:top w:val="single" w:sz="4" w:space="0" w:color="auto"/>
              <w:left w:val="single" w:sz="12" w:space="0" w:color="auto"/>
              <w:bottom w:val="single" w:sz="4" w:space="0" w:color="auto"/>
              <w:right w:val="single" w:sz="12" w:space="0" w:color="auto"/>
            </w:tcBorders>
          </w:tcPr>
          <w:p w14:paraId="17B1E3A0"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8,710</w:t>
            </w:r>
          </w:p>
        </w:tc>
        <w:tc>
          <w:tcPr>
            <w:tcW w:w="727" w:type="dxa"/>
            <w:tcBorders>
              <w:top w:val="single" w:sz="4" w:space="0" w:color="auto"/>
              <w:left w:val="single" w:sz="12" w:space="0" w:color="auto"/>
              <w:bottom w:val="single" w:sz="4" w:space="0" w:color="auto"/>
              <w:right w:val="single" w:sz="12" w:space="0" w:color="auto"/>
            </w:tcBorders>
          </w:tcPr>
          <w:p w14:paraId="1E762BA5"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2,992</w:t>
            </w:r>
          </w:p>
        </w:tc>
        <w:tc>
          <w:tcPr>
            <w:tcW w:w="952" w:type="dxa"/>
            <w:tcBorders>
              <w:top w:val="single" w:sz="4" w:space="0" w:color="auto"/>
              <w:left w:val="single" w:sz="12" w:space="0" w:color="auto"/>
              <w:bottom w:val="single" w:sz="4" w:space="0" w:color="auto"/>
            </w:tcBorders>
          </w:tcPr>
          <w:p w14:paraId="36752D76"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309,517</w:t>
            </w:r>
          </w:p>
        </w:tc>
      </w:tr>
      <w:tr w:rsidR="00181BB3" w:rsidRPr="00785E1A" w14:paraId="4C13C7BE" w14:textId="77777777" w:rsidTr="005D4FF3">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5407B5AB" w14:textId="77777777" w:rsidR="00181BB3" w:rsidRPr="00785E1A" w:rsidRDefault="00DB2806" w:rsidP="00013EC4">
            <w:pPr>
              <w:jc w:val="center"/>
              <w:rPr>
                <w:rFonts w:ascii="Arial" w:hAnsi="Arial" w:cs="Arial"/>
                <w:color w:val="000000"/>
                <w:sz w:val="20"/>
              </w:rPr>
            </w:pPr>
            <w:r w:rsidRPr="00785E1A">
              <w:rPr>
                <w:rFonts w:ascii="Arial" w:hAnsi="Arial" w:cs="Arial"/>
                <w:color w:val="000000"/>
                <w:sz w:val="20"/>
              </w:rPr>
              <w:t>2007-</w:t>
            </w:r>
            <w:r w:rsidR="00181BB3" w:rsidRPr="00785E1A">
              <w:rPr>
                <w:rFonts w:ascii="Arial" w:hAnsi="Arial" w:cs="Arial"/>
                <w:color w:val="000000"/>
                <w:sz w:val="20"/>
              </w:rPr>
              <w:t>08</w:t>
            </w:r>
          </w:p>
        </w:tc>
        <w:tc>
          <w:tcPr>
            <w:tcW w:w="953" w:type="dxa"/>
            <w:tcBorders>
              <w:top w:val="single" w:sz="4" w:space="0" w:color="auto"/>
              <w:left w:val="single" w:sz="12" w:space="0" w:color="auto"/>
              <w:right w:val="single" w:sz="12" w:space="0" w:color="auto"/>
            </w:tcBorders>
          </w:tcPr>
          <w:p w14:paraId="46D13B1C"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195,599</w:t>
            </w:r>
          </w:p>
        </w:tc>
        <w:tc>
          <w:tcPr>
            <w:tcW w:w="854" w:type="dxa"/>
            <w:tcBorders>
              <w:top w:val="single" w:sz="4" w:space="0" w:color="auto"/>
              <w:left w:val="single" w:sz="12" w:space="0" w:color="auto"/>
              <w:right w:val="single" w:sz="12" w:space="0" w:color="auto"/>
            </w:tcBorders>
            <w:shd w:val="pct10" w:color="auto" w:fill="auto"/>
          </w:tcPr>
          <w:p w14:paraId="63D580C7"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41,607</w:t>
            </w:r>
          </w:p>
        </w:tc>
        <w:tc>
          <w:tcPr>
            <w:tcW w:w="854" w:type="dxa"/>
            <w:tcBorders>
              <w:top w:val="single" w:sz="4" w:space="0" w:color="auto"/>
              <w:left w:val="single" w:sz="12" w:space="0" w:color="auto"/>
              <w:right w:val="single" w:sz="12" w:space="0" w:color="auto"/>
            </w:tcBorders>
          </w:tcPr>
          <w:p w14:paraId="10BA49CF"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25,003</w:t>
            </w:r>
          </w:p>
        </w:tc>
        <w:tc>
          <w:tcPr>
            <w:tcW w:w="828" w:type="dxa"/>
            <w:tcBorders>
              <w:top w:val="single" w:sz="4" w:space="0" w:color="auto"/>
              <w:left w:val="single" w:sz="12" w:space="0" w:color="auto"/>
              <w:right w:val="single" w:sz="12" w:space="0" w:color="auto"/>
            </w:tcBorders>
          </w:tcPr>
          <w:p w14:paraId="55AE32CF"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8,977</w:t>
            </w:r>
          </w:p>
        </w:tc>
        <w:tc>
          <w:tcPr>
            <w:tcW w:w="854" w:type="dxa"/>
            <w:tcBorders>
              <w:top w:val="single" w:sz="4" w:space="0" w:color="auto"/>
              <w:left w:val="single" w:sz="12" w:space="0" w:color="auto"/>
              <w:right w:val="single" w:sz="12" w:space="0" w:color="auto"/>
            </w:tcBorders>
          </w:tcPr>
          <w:p w14:paraId="16E01A46"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20,847</w:t>
            </w:r>
          </w:p>
        </w:tc>
        <w:tc>
          <w:tcPr>
            <w:tcW w:w="839" w:type="dxa"/>
            <w:tcBorders>
              <w:top w:val="single" w:sz="4" w:space="0" w:color="auto"/>
              <w:left w:val="single" w:sz="12" w:space="0" w:color="auto"/>
              <w:right w:val="single" w:sz="12" w:space="0" w:color="auto"/>
            </w:tcBorders>
          </w:tcPr>
          <w:p w14:paraId="2E5CB890"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12,863</w:t>
            </w:r>
          </w:p>
        </w:tc>
        <w:tc>
          <w:tcPr>
            <w:tcW w:w="828" w:type="dxa"/>
            <w:tcBorders>
              <w:top w:val="single" w:sz="4" w:space="0" w:color="auto"/>
              <w:left w:val="single" w:sz="12" w:space="0" w:color="auto"/>
              <w:right w:val="single" w:sz="12" w:space="0" w:color="auto"/>
            </w:tcBorders>
          </w:tcPr>
          <w:p w14:paraId="36212A94"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8,970</w:t>
            </w:r>
          </w:p>
        </w:tc>
        <w:tc>
          <w:tcPr>
            <w:tcW w:w="727" w:type="dxa"/>
            <w:tcBorders>
              <w:top w:val="single" w:sz="4" w:space="0" w:color="auto"/>
              <w:left w:val="single" w:sz="12" w:space="0" w:color="auto"/>
              <w:right w:val="single" w:sz="12" w:space="0" w:color="auto"/>
            </w:tcBorders>
          </w:tcPr>
          <w:p w14:paraId="316B476F"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3,660</w:t>
            </w:r>
          </w:p>
        </w:tc>
        <w:tc>
          <w:tcPr>
            <w:tcW w:w="952" w:type="dxa"/>
            <w:tcBorders>
              <w:top w:val="single" w:sz="4" w:space="0" w:color="auto"/>
              <w:left w:val="single" w:sz="12" w:space="0" w:color="auto"/>
            </w:tcBorders>
          </w:tcPr>
          <w:p w14:paraId="7BA034BA"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317,526</w:t>
            </w:r>
          </w:p>
        </w:tc>
      </w:tr>
      <w:tr w:rsidR="00BE411C" w:rsidRPr="00785E1A" w14:paraId="423C33B5" w14:textId="77777777" w:rsidTr="005D4FF3">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2DE2ADC0"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2008-</w:t>
            </w:r>
            <w:r w:rsidR="00BE411C" w:rsidRPr="00785E1A">
              <w:rPr>
                <w:rFonts w:ascii="Arial" w:hAnsi="Arial" w:cs="Arial"/>
                <w:color w:val="000000"/>
                <w:sz w:val="20"/>
              </w:rPr>
              <w:t>09</w:t>
            </w:r>
          </w:p>
        </w:tc>
        <w:tc>
          <w:tcPr>
            <w:tcW w:w="953" w:type="dxa"/>
            <w:tcBorders>
              <w:left w:val="single" w:sz="12" w:space="0" w:color="auto"/>
              <w:right w:val="single" w:sz="12" w:space="0" w:color="auto"/>
            </w:tcBorders>
          </w:tcPr>
          <w:p w14:paraId="6C305D8A"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213,686</w:t>
            </w:r>
          </w:p>
        </w:tc>
        <w:tc>
          <w:tcPr>
            <w:tcW w:w="854" w:type="dxa"/>
            <w:tcBorders>
              <w:left w:val="single" w:sz="12" w:space="0" w:color="auto"/>
              <w:right w:val="single" w:sz="12" w:space="0" w:color="auto"/>
            </w:tcBorders>
            <w:shd w:val="pct10" w:color="auto" w:fill="auto"/>
          </w:tcPr>
          <w:p w14:paraId="16815938"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42,851</w:t>
            </w:r>
          </w:p>
        </w:tc>
        <w:tc>
          <w:tcPr>
            <w:tcW w:w="854" w:type="dxa"/>
            <w:tcBorders>
              <w:left w:val="single" w:sz="12" w:space="0" w:color="auto"/>
              <w:right w:val="single" w:sz="12" w:space="0" w:color="auto"/>
            </w:tcBorders>
          </w:tcPr>
          <w:p w14:paraId="7B4863FA"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23,408</w:t>
            </w:r>
          </w:p>
        </w:tc>
        <w:tc>
          <w:tcPr>
            <w:tcW w:w="828" w:type="dxa"/>
            <w:tcBorders>
              <w:left w:val="single" w:sz="12" w:space="0" w:color="auto"/>
              <w:right w:val="single" w:sz="12" w:space="0" w:color="auto"/>
            </w:tcBorders>
          </w:tcPr>
          <w:p w14:paraId="2330553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10,159</w:t>
            </w:r>
          </w:p>
        </w:tc>
        <w:tc>
          <w:tcPr>
            <w:tcW w:w="854" w:type="dxa"/>
            <w:tcBorders>
              <w:left w:val="single" w:sz="12" w:space="0" w:color="auto"/>
              <w:right w:val="single" w:sz="12" w:space="0" w:color="auto"/>
            </w:tcBorders>
          </w:tcPr>
          <w:p w14:paraId="104238A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23,221</w:t>
            </w:r>
          </w:p>
        </w:tc>
        <w:tc>
          <w:tcPr>
            <w:tcW w:w="839" w:type="dxa"/>
            <w:tcBorders>
              <w:left w:val="single" w:sz="12" w:space="0" w:color="auto"/>
              <w:right w:val="single" w:sz="12" w:space="0" w:color="auto"/>
            </w:tcBorders>
          </w:tcPr>
          <w:p w14:paraId="578473C6"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10,345</w:t>
            </w:r>
          </w:p>
        </w:tc>
        <w:tc>
          <w:tcPr>
            <w:tcW w:w="828" w:type="dxa"/>
            <w:tcBorders>
              <w:left w:val="single" w:sz="12" w:space="0" w:color="auto"/>
              <w:right w:val="single" w:sz="12" w:space="0" w:color="auto"/>
            </w:tcBorders>
          </w:tcPr>
          <w:p w14:paraId="0F5A5E9B"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9,595</w:t>
            </w:r>
          </w:p>
        </w:tc>
        <w:tc>
          <w:tcPr>
            <w:tcW w:w="727" w:type="dxa"/>
            <w:tcBorders>
              <w:left w:val="single" w:sz="12" w:space="0" w:color="auto"/>
              <w:right w:val="single" w:sz="12" w:space="0" w:color="auto"/>
            </w:tcBorders>
          </w:tcPr>
          <w:p w14:paraId="18EC1476"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6,189</w:t>
            </w:r>
          </w:p>
        </w:tc>
        <w:tc>
          <w:tcPr>
            <w:tcW w:w="952" w:type="dxa"/>
            <w:tcBorders>
              <w:left w:val="single" w:sz="12" w:space="0" w:color="auto"/>
            </w:tcBorders>
          </w:tcPr>
          <w:p w14:paraId="33D9B687"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339,454</w:t>
            </w:r>
          </w:p>
        </w:tc>
      </w:tr>
      <w:tr w:rsidR="00BE411C" w:rsidRPr="00785E1A" w14:paraId="3172F274" w14:textId="77777777" w:rsidTr="00C650FB">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1A98785A"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2009-</w:t>
            </w:r>
            <w:r w:rsidR="00BE411C" w:rsidRPr="00785E1A">
              <w:rPr>
                <w:rFonts w:ascii="Arial" w:hAnsi="Arial" w:cs="Arial"/>
                <w:color w:val="000000"/>
                <w:sz w:val="20"/>
              </w:rPr>
              <w:t>10</w:t>
            </w:r>
          </w:p>
        </w:tc>
        <w:tc>
          <w:tcPr>
            <w:tcW w:w="953" w:type="dxa"/>
            <w:tcBorders>
              <w:left w:val="single" w:sz="12" w:space="0" w:color="auto"/>
              <w:bottom w:val="single" w:sz="4" w:space="0" w:color="auto"/>
              <w:right w:val="single" w:sz="12" w:space="0" w:color="auto"/>
            </w:tcBorders>
          </w:tcPr>
          <w:p w14:paraId="664DE71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156,465</w:t>
            </w:r>
          </w:p>
        </w:tc>
        <w:tc>
          <w:tcPr>
            <w:tcW w:w="854" w:type="dxa"/>
            <w:tcBorders>
              <w:left w:val="single" w:sz="12" w:space="0" w:color="auto"/>
              <w:bottom w:val="single" w:sz="4" w:space="0" w:color="auto"/>
              <w:right w:val="single" w:sz="12" w:space="0" w:color="auto"/>
            </w:tcBorders>
            <w:shd w:val="pct10" w:color="auto" w:fill="auto"/>
          </w:tcPr>
          <w:p w14:paraId="55A83C3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48,369</w:t>
            </w:r>
          </w:p>
        </w:tc>
        <w:tc>
          <w:tcPr>
            <w:tcW w:w="854" w:type="dxa"/>
            <w:tcBorders>
              <w:left w:val="single" w:sz="12" w:space="0" w:color="auto"/>
              <w:bottom w:val="single" w:sz="4" w:space="0" w:color="auto"/>
              <w:right w:val="single" w:sz="12" w:space="0" w:color="auto"/>
            </w:tcBorders>
          </w:tcPr>
          <w:p w14:paraId="321C0844"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21,885</w:t>
            </w:r>
          </w:p>
        </w:tc>
        <w:tc>
          <w:tcPr>
            <w:tcW w:w="828" w:type="dxa"/>
            <w:tcBorders>
              <w:left w:val="single" w:sz="12" w:space="0" w:color="auto"/>
              <w:bottom w:val="single" w:sz="4" w:space="0" w:color="auto"/>
              <w:right w:val="single" w:sz="12" w:space="0" w:color="auto"/>
            </w:tcBorders>
          </w:tcPr>
          <w:p w14:paraId="7875E833"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12,160</w:t>
            </w:r>
          </w:p>
        </w:tc>
        <w:tc>
          <w:tcPr>
            <w:tcW w:w="854" w:type="dxa"/>
            <w:tcBorders>
              <w:left w:val="single" w:sz="12" w:space="0" w:color="auto"/>
              <w:bottom w:val="single" w:sz="4" w:space="0" w:color="auto"/>
              <w:right w:val="single" w:sz="12" w:space="0" w:color="auto"/>
            </w:tcBorders>
          </w:tcPr>
          <w:p w14:paraId="5E59E203"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20,298</w:t>
            </w:r>
          </w:p>
        </w:tc>
        <w:tc>
          <w:tcPr>
            <w:tcW w:w="839" w:type="dxa"/>
            <w:tcBorders>
              <w:left w:val="single" w:sz="12" w:space="0" w:color="auto"/>
              <w:bottom w:val="single" w:sz="4" w:space="0" w:color="auto"/>
              <w:right w:val="single" w:sz="12" w:space="0" w:color="auto"/>
            </w:tcBorders>
          </w:tcPr>
          <w:p w14:paraId="3940861A"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9,895</w:t>
            </w:r>
          </w:p>
        </w:tc>
        <w:tc>
          <w:tcPr>
            <w:tcW w:w="828" w:type="dxa"/>
            <w:tcBorders>
              <w:left w:val="single" w:sz="12" w:space="0" w:color="auto"/>
              <w:bottom w:val="single" w:sz="4" w:space="0" w:color="auto"/>
              <w:right w:val="single" w:sz="12" w:space="0" w:color="auto"/>
            </w:tcBorders>
          </w:tcPr>
          <w:p w14:paraId="7B655454"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10,780</w:t>
            </w:r>
          </w:p>
        </w:tc>
        <w:tc>
          <w:tcPr>
            <w:tcW w:w="727" w:type="dxa"/>
            <w:tcBorders>
              <w:left w:val="single" w:sz="12" w:space="0" w:color="auto"/>
              <w:bottom w:val="single" w:sz="4" w:space="0" w:color="auto"/>
              <w:right w:val="single" w:sz="12" w:space="0" w:color="auto"/>
            </w:tcBorders>
          </w:tcPr>
          <w:p w14:paraId="79612641"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6,585</w:t>
            </w:r>
          </w:p>
        </w:tc>
        <w:tc>
          <w:tcPr>
            <w:tcW w:w="952" w:type="dxa"/>
            <w:tcBorders>
              <w:left w:val="single" w:sz="12" w:space="0" w:color="auto"/>
              <w:bottom w:val="single" w:sz="4" w:space="0" w:color="auto"/>
            </w:tcBorders>
          </w:tcPr>
          <w:p w14:paraId="1F0582A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286,437</w:t>
            </w:r>
          </w:p>
        </w:tc>
      </w:tr>
      <w:tr w:rsidR="005D4FF3" w:rsidRPr="00CB73D1" w14:paraId="2C0A2282" w14:textId="77777777" w:rsidTr="00151F5D">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21CC0A2F"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2010-11</w:t>
            </w:r>
          </w:p>
        </w:tc>
        <w:tc>
          <w:tcPr>
            <w:tcW w:w="953" w:type="dxa"/>
            <w:tcBorders>
              <w:top w:val="single" w:sz="4" w:space="0" w:color="auto"/>
              <w:left w:val="single" w:sz="12" w:space="0" w:color="auto"/>
              <w:bottom w:val="single" w:sz="4" w:space="0" w:color="auto"/>
              <w:right w:val="single" w:sz="12" w:space="0" w:color="auto"/>
            </w:tcBorders>
          </w:tcPr>
          <w:p w14:paraId="2BAF6FD6"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98,845</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04623884"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55,718</w:t>
            </w:r>
          </w:p>
        </w:tc>
        <w:tc>
          <w:tcPr>
            <w:tcW w:w="854" w:type="dxa"/>
            <w:tcBorders>
              <w:top w:val="single" w:sz="4" w:space="0" w:color="auto"/>
              <w:left w:val="single" w:sz="12" w:space="0" w:color="auto"/>
              <w:bottom w:val="single" w:sz="4" w:space="0" w:color="auto"/>
              <w:right w:val="single" w:sz="12" w:space="0" w:color="auto"/>
            </w:tcBorders>
          </w:tcPr>
          <w:p w14:paraId="471ED647"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21,655</w:t>
            </w:r>
          </w:p>
        </w:tc>
        <w:tc>
          <w:tcPr>
            <w:tcW w:w="828" w:type="dxa"/>
            <w:tcBorders>
              <w:top w:val="single" w:sz="4" w:space="0" w:color="auto"/>
              <w:left w:val="single" w:sz="12" w:space="0" w:color="auto"/>
              <w:bottom w:val="single" w:sz="4" w:space="0" w:color="auto"/>
              <w:right w:val="single" w:sz="12" w:space="0" w:color="auto"/>
            </w:tcBorders>
          </w:tcPr>
          <w:p w14:paraId="050F2FB9"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10,976</w:t>
            </w:r>
          </w:p>
        </w:tc>
        <w:tc>
          <w:tcPr>
            <w:tcW w:w="854" w:type="dxa"/>
            <w:tcBorders>
              <w:top w:val="single" w:sz="4" w:space="0" w:color="auto"/>
              <w:left w:val="single" w:sz="12" w:space="0" w:color="auto"/>
              <w:bottom w:val="single" w:sz="4" w:space="0" w:color="auto"/>
              <w:right w:val="single" w:sz="12" w:space="0" w:color="auto"/>
            </w:tcBorders>
          </w:tcPr>
          <w:p w14:paraId="32A67C16"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21,145</w:t>
            </w:r>
          </w:p>
        </w:tc>
        <w:tc>
          <w:tcPr>
            <w:tcW w:w="839" w:type="dxa"/>
            <w:tcBorders>
              <w:top w:val="single" w:sz="4" w:space="0" w:color="auto"/>
              <w:left w:val="single" w:sz="12" w:space="0" w:color="auto"/>
              <w:bottom w:val="single" w:sz="4" w:space="0" w:color="auto"/>
              <w:right w:val="single" w:sz="12" w:space="0" w:color="auto"/>
            </w:tcBorders>
          </w:tcPr>
          <w:p w14:paraId="37F33474"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10,689</w:t>
            </w:r>
          </w:p>
        </w:tc>
        <w:tc>
          <w:tcPr>
            <w:tcW w:w="828" w:type="dxa"/>
            <w:tcBorders>
              <w:top w:val="single" w:sz="4" w:space="0" w:color="auto"/>
              <w:left w:val="single" w:sz="12" w:space="0" w:color="auto"/>
              <w:bottom w:val="single" w:sz="4" w:space="0" w:color="auto"/>
              <w:right w:val="single" w:sz="12" w:space="0" w:color="auto"/>
            </w:tcBorders>
          </w:tcPr>
          <w:p w14:paraId="08302587"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11,712</w:t>
            </w:r>
          </w:p>
        </w:tc>
        <w:tc>
          <w:tcPr>
            <w:tcW w:w="727" w:type="dxa"/>
            <w:tcBorders>
              <w:top w:val="single" w:sz="4" w:space="0" w:color="auto"/>
              <w:left w:val="single" w:sz="12" w:space="0" w:color="auto"/>
              <w:bottom w:val="single" w:sz="4" w:space="0" w:color="auto"/>
              <w:right w:val="single" w:sz="12" w:space="0" w:color="auto"/>
            </w:tcBorders>
          </w:tcPr>
          <w:p w14:paraId="3A1C6849"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6,533</w:t>
            </w:r>
          </w:p>
        </w:tc>
        <w:tc>
          <w:tcPr>
            <w:tcW w:w="952" w:type="dxa"/>
            <w:tcBorders>
              <w:top w:val="single" w:sz="4" w:space="0" w:color="auto"/>
              <w:left w:val="single" w:sz="12" w:space="0" w:color="auto"/>
              <w:bottom w:val="single" w:sz="4" w:space="0" w:color="auto"/>
            </w:tcBorders>
          </w:tcPr>
          <w:p w14:paraId="6ED993DB"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237,273</w:t>
            </w:r>
          </w:p>
        </w:tc>
      </w:tr>
      <w:tr w:rsidR="00151F5D" w:rsidRPr="003D5DFA" w14:paraId="39DABB85" w14:textId="77777777" w:rsidTr="00492F82">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1BDAA913"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2011-12</w:t>
            </w:r>
          </w:p>
        </w:tc>
        <w:tc>
          <w:tcPr>
            <w:tcW w:w="953" w:type="dxa"/>
            <w:tcBorders>
              <w:top w:val="single" w:sz="4" w:space="0" w:color="auto"/>
              <w:left w:val="single" w:sz="12" w:space="0" w:color="auto"/>
              <w:bottom w:val="single" w:sz="4" w:space="0" w:color="auto"/>
              <w:right w:val="single" w:sz="12" w:space="0" w:color="auto"/>
            </w:tcBorders>
          </w:tcPr>
          <w:p w14:paraId="2E94FB32"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99,283</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247576F8"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63,830</w:t>
            </w:r>
          </w:p>
        </w:tc>
        <w:tc>
          <w:tcPr>
            <w:tcW w:w="854" w:type="dxa"/>
            <w:tcBorders>
              <w:top w:val="single" w:sz="4" w:space="0" w:color="auto"/>
              <w:left w:val="single" w:sz="12" w:space="0" w:color="auto"/>
              <w:bottom w:val="single" w:sz="4" w:space="0" w:color="auto"/>
              <w:right w:val="single" w:sz="12" w:space="0" w:color="auto"/>
            </w:tcBorders>
          </w:tcPr>
          <w:p w14:paraId="4961DEB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24,823</w:t>
            </w:r>
          </w:p>
        </w:tc>
        <w:tc>
          <w:tcPr>
            <w:tcW w:w="828" w:type="dxa"/>
            <w:tcBorders>
              <w:top w:val="single" w:sz="4" w:space="0" w:color="auto"/>
              <w:left w:val="single" w:sz="12" w:space="0" w:color="auto"/>
              <w:bottom w:val="single" w:sz="4" w:space="0" w:color="auto"/>
              <w:right w:val="single" w:sz="12" w:space="0" w:color="auto"/>
            </w:tcBorders>
          </w:tcPr>
          <w:p w14:paraId="4AA9C50F"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13,745</w:t>
            </w:r>
          </w:p>
        </w:tc>
        <w:tc>
          <w:tcPr>
            <w:tcW w:w="854" w:type="dxa"/>
            <w:tcBorders>
              <w:top w:val="single" w:sz="4" w:space="0" w:color="auto"/>
              <w:left w:val="single" w:sz="12" w:space="0" w:color="auto"/>
              <w:bottom w:val="single" w:sz="4" w:space="0" w:color="auto"/>
              <w:right w:val="single" w:sz="12" w:space="0" w:color="auto"/>
            </w:tcBorders>
          </w:tcPr>
          <w:p w14:paraId="6DF99B3A"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19,056</w:t>
            </w:r>
          </w:p>
        </w:tc>
        <w:tc>
          <w:tcPr>
            <w:tcW w:w="839" w:type="dxa"/>
            <w:tcBorders>
              <w:top w:val="single" w:sz="4" w:space="0" w:color="auto"/>
              <w:left w:val="single" w:sz="12" w:space="0" w:color="auto"/>
              <w:bottom w:val="single" w:sz="4" w:space="0" w:color="auto"/>
              <w:right w:val="single" w:sz="12" w:space="0" w:color="auto"/>
            </w:tcBorders>
          </w:tcPr>
          <w:p w14:paraId="1BC4E48D"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11,836</w:t>
            </w:r>
          </w:p>
        </w:tc>
        <w:tc>
          <w:tcPr>
            <w:tcW w:w="828" w:type="dxa"/>
            <w:tcBorders>
              <w:top w:val="single" w:sz="4" w:space="0" w:color="auto"/>
              <w:left w:val="single" w:sz="12" w:space="0" w:color="auto"/>
              <w:bottom w:val="single" w:sz="4" w:space="0" w:color="auto"/>
              <w:right w:val="single" w:sz="12" w:space="0" w:color="auto"/>
            </w:tcBorders>
          </w:tcPr>
          <w:p w14:paraId="6B80BF0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12,419</w:t>
            </w:r>
          </w:p>
        </w:tc>
        <w:tc>
          <w:tcPr>
            <w:tcW w:w="727" w:type="dxa"/>
            <w:tcBorders>
              <w:top w:val="single" w:sz="4" w:space="0" w:color="auto"/>
              <w:left w:val="single" w:sz="12" w:space="0" w:color="auto"/>
              <w:bottom w:val="single" w:sz="4" w:space="0" w:color="auto"/>
              <w:right w:val="single" w:sz="12" w:space="0" w:color="auto"/>
            </w:tcBorders>
          </w:tcPr>
          <w:p w14:paraId="452D4629"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7,970</w:t>
            </w:r>
          </w:p>
        </w:tc>
        <w:tc>
          <w:tcPr>
            <w:tcW w:w="952" w:type="dxa"/>
            <w:tcBorders>
              <w:top w:val="single" w:sz="4" w:space="0" w:color="auto"/>
              <w:left w:val="single" w:sz="12" w:space="0" w:color="auto"/>
              <w:bottom w:val="single" w:sz="4" w:space="0" w:color="auto"/>
            </w:tcBorders>
          </w:tcPr>
          <w:p w14:paraId="74E96BD5"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252,962</w:t>
            </w:r>
          </w:p>
        </w:tc>
      </w:tr>
      <w:tr w:rsidR="00492F82" w:rsidRPr="003D5DFA" w14:paraId="0DCFC355" w14:textId="77777777" w:rsidTr="00B00042">
        <w:tblPrEx>
          <w:tblCellMar>
            <w:top w:w="0" w:type="dxa"/>
            <w:bottom w:w="0" w:type="dxa"/>
          </w:tblCellMar>
        </w:tblPrEx>
        <w:trPr>
          <w:jc w:val="center"/>
        </w:trPr>
        <w:tc>
          <w:tcPr>
            <w:tcW w:w="1100" w:type="dxa"/>
            <w:tcBorders>
              <w:top w:val="single" w:sz="4" w:space="0" w:color="auto"/>
              <w:left w:val="single" w:sz="12" w:space="0" w:color="auto"/>
              <w:bottom w:val="single" w:sz="4" w:space="0" w:color="auto"/>
              <w:right w:val="single" w:sz="12" w:space="0" w:color="auto"/>
            </w:tcBorders>
          </w:tcPr>
          <w:p w14:paraId="1758C1F3" w14:textId="77777777" w:rsidR="00492F82" w:rsidRPr="003D5DFA" w:rsidRDefault="00492F82" w:rsidP="005D1B82">
            <w:pPr>
              <w:jc w:val="center"/>
              <w:rPr>
                <w:rFonts w:ascii="Arial" w:hAnsi="Arial" w:cs="Arial"/>
                <w:color w:val="000000"/>
                <w:sz w:val="20"/>
              </w:rPr>
            </w:pPr>
            <w:r>
              <w:rPr>
                <w:rFonts w:ascii="Arial" w:hAnsi="Arial" w:cs="Arial"/>
                <w:color w:val="000000"/>
                <w:sz w:val="20"/>
              </w:rPr>
              <w:t>2012-13</w:t>
            </w:r>
          </w:p>
        </w:tc>
        <w:tc>
          <w:tcPr>
            <w:tcW w:w="953" w:type="dxa"/>
            <w:tcBorders>
              <w:top w:val="single" w:sz="4" w:space="0" w:color="auto"/>
              <w:left w:val="single" w:sz="12" w:space="0" w:color="auto"/>
              <w:bottom w:val="single" w:sz="4" w:space="0" w:color="auto"/>
              <w:right w:val="single" w:sz="12" w:space="0" w:color="auto"/>
            </w:tcBorders>
          </w:tcPr>
          <w:p w14:paraId="43153895" w14:textId="77777777" w:rsidR="00492F82" w:rsidRPr="003D5DFA" w:rsidRDefault="00921BCD" w:rsidP="005D1B82">
            <w:pPr>
              <w:jc w:val="center"/>
              <w:rPr>
                <w:rFonts w:ascii="Arial" w:hAnsi="Arial" w:cs="Arial"/>
                <w:color w:val="000000"/>
                <w:sz w:val="20"/>
              </w:rPr>
            </w:pPr>
            <w:r>
              <w:rPr>
                <w:rFonts w:ascii="Arial" w:hAnsi="Arial" w:cs="Arial"/>
                <w:color w:val="000000"/>
                <w:sz w:val="20"/>
              </w:rPr>
              <w:t>104,817</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2028738A" w14:textId="77777777" w:rsidR="00492F82" w:rsidRPr="003D5DFA" w:rsidRDefault="00921BCD" w:rsidP="005D1B82">
            <w:pPr>
              <w:jc w:val="center"/>
              <w:rPr>
                <w:rFonts w:ascii="Arial" w:hAnsi="Arial" w:cs="Arial"/>
                <w:color w:val="000000"/>
                <w:sz w:val="20"/>
              </w:rPr>
            </w:pPr>
            <w:r>
              <w:rPr>
                <w:rFonts w:ascii="Arial" w:hAnsi="Arial" w:cs="Arial"/>
                <w:color w:val="000000"/>
                <w:sz w:val="20"/>
              </w:rPr>
              <w:t>73,265</w:t>
            </w:r>
          </w:p>
        </w:tc>
        <w:tc>
          <w:tcPr>
            <w:tcW w:w="854" w:type="dxa"/>
            <w:tcBorders>
              <w:top w:val="single" w:sz="4" w:space="0" w:color="auto"/>
              <w:left w:val="single" w:sz="12" w:space="0" w:color="auto"/>
              <w:bottom w:val="single" w:sz="4" w:space="0" w:color="auto"/>
              <w:right w:val="single" w:sz="12" w:space="0" w:color="auto"/>
            </w:tcBorders>
          </w:tcPr>
          <w:p w14:paraId="4AE52C94" w14:textId="77777777" w:rsidR="00492F82" w:rsidRPr="003D5DFA" w:rsidRDefault="00921BCD" w:rsidP="005D1B82">
            <w:pPr>
              <w:jc w:val="center"/>
              <w:rPr>
                <w:rFonts w:ascii="Arial" w:hAnsi="Arial" w:cs="Arial"/>
                <w:color w:val="000000"/>
                <w:sz w:val="20"/>
              </w:rPr>
            </w:pPr>
            <w:r>
              <w:rPr>
                <w:rFonts w:ascii="Arial" w:hAnsi="Arial" w:cs="Arial"/>
                <w:color w:val="000000"/>
                <w:sz w:val="20"/>
              </w:rPr>
              <w:t>24,763</w:t>
            </w:r>
          </w:p>
        </w:tc>
        <w:tc>
          <w:tcPr>
            <w:tcW w:w="828" w:type="dxa"/>
            <w:tcBorders>
              <w:top w:val="single" w:sz="4" w:space="0" w:color="auto"/>
              <w:left w:val="single" w:sz="12" w:space="0" w:color="auto"/>
              <w:bottom w:val="single" w:sz="4" w:space="0" w:color="auto"/>
              <w:right w:val="single" w:sz="12" w:space="0" w:color="auto"/>
            </w:tcBorders>
          </w:tcPr>
          <w:p w14:paraId="54EC137D" w14:textId="77777777" w:rsidR="00492F82" w:rsidRPr="003D5DFA" w:rsidRDefault="00921BCD" w:rsidP="005D1B82">
            <w:pPr>
              <w:jc w:val="center"/>
              <w:rPr>
                <w:rFonts w:ascii="Arial" w:hAnsi="Arial" w:cs="Arial"/>
                <w:color w:val="000000"/>
                <w:sz w:val="20"/>
              </w:rPr>
            </w:pPr>
            <w:r>
              <w:rPr>
                <w:rFonts w:ascii="Arial" w:hAnsi="Arial" w:cs="Arial"/>
                <w:color w:val="000000"/>
                <w:sz w:val="20"/>
              </w:rPr>
              <w:t>15,201</w:t>
            </w:r>
          </w:p>
        </w:tc>
        <w:tc>
          <w:tcPr>
            <w:tcW w:w="854" w:type="dxa"/>
            <w:tcBorders>
              <w:top w:val="single" w:sz="4" w:space="0" w:color="auto"/>
              <w:left w:val="single" w:sz="12" w:space="0" w:color="auto"/>
              <w:bottom w:val="single" w:sz="4" w:space="0" w:color="auto"/>
              <w:right w:val="single" w:sz="12" w:space="0" w:color="auto"/>
            </w:tcBorders>
          </w:tcPr>
          <w:p w14:paraId="7FB4878F" w14:textId="77777777" w:rsidR="00492F82" w:rsidRPr="003D5DFA" w:rsidRDefault="00921BCD" w:rsidP="005D1B82">
            <w:pPr>
              <w:jc w:val="center"/>
              <w:rPr>
                <w:rFonts w:ascii="Arial" w:hAnsi="Arial" w:cs="Arial"/>
                <w:color w:val="000000"/>
                <w:sz w:val="20"/>
              </w:rPr>
            </w:pPr>
            <w:r>
              <w:rPr>
                <w:rFonts w:ascii="Arial" w:hAnsi="Arial" w:cs="Arial"/>
                <w:color w:val="000000"/>
                <w:sz w:val="20"/>
              </w:rPr>
              <w:t>19,120</w:t>
            </w:r>
          </w:p>
        </w:tc>
        <w:tc>
          <w:tcPr>
            <w:tcW w:w="839" w:type="dxa"/>
            <w:tcBorders>
              <w:top w:val="single" w:sz="4" w:space="0" w:color="auto"/>
              <w:left w:val="single" w:sz="12" w:space="0" w:color="auto"/>
              <w:bottom w:val="single" w:sz="4" w:space="0" w:color="auto"/>
              <w:right w:val="single" w:sz="12" w:space="0" w:color="auto"/>
            </w:tcBorders>
          </w:tcPr>
          <w:p w14:paraId="4BC18165" w14:textId="77777777" w:rsidR="00492F82" w:rsidRPr="003D5DFA" w:rsidRDefault="00921BCD" w:rsidP="005D1B82">
            <w:pPr>
              <w:jc w:val="center"/>
              <w:rPr>
                <w:rFonts w:ascii="Arial" w:hAnsi="Arial" w:cs="Arial"/>
                <w:color w:val="000000"/>
                <w:sz w:val="20"/>
              </w:rPr>
            </w:pPr>
            <w:r>
              <w:rPr>
                <w:rFonts w:ascii="Arial" w:hAnsi="Arial" w:cs="Arial"/>
                <w:color w:val="000000"/>
                <w:sz w:val="20"/>
              </w:rPr>
              <w:t>12,311</w:t>
            </w:r>
          </w:p>
        </w:tc>
        <w:tc>
          <w:tcPr>
            <w:tcW w:w="828" w:type="dxa"/>
            <w:tcBorders>
              <w:top w:val="single" w:sz="4" w:space="0" w:color="auto"/>
              <w:left w:val="single" w:sz="12" w:space="0" w:color="auto"/>
              <w:bottom w:val="single" w:sz="4" w:space="0" w:color="auto"/>
              <w:right w:val="single" w:sz="12" w:space="0" w:color="auto"/>
            </w:tcBorders>
          </w:tcPr>
          <w:p w14:paraId="598DD0B0" w14:textId="77777777" w:rsidR="00492F82" w:rsidRPr="003D5DFA" w:rsidRDefault="00921BCD" w:rsidP="005D1B82">
            <w:pPr>
              <w:jc w:val="center"/>
              <w:rPr>
                <w:rFonts w:ascii="Arial" w:hAnsi="Arial" w:cs="Arial"/>
                <w:color w:val="000000"/>
                <w:sz w:val="20"/>
              </w:rPr>
            </w:pPr>
            <w:r>
              <w:rPr>
                <w:rFonts w:ascii="Arial" w:hAnsi="Arial" w:cs="Arial"/>
                <w:color w:val="000000"/>
                <w:sz w:val="20"/>
              </w:rPr>
              <w:t>13,518</w:t>
            </w:r>
          </w:p>
        </w:tc>
        <w:tc>
          <w:tcPr>
            <w:tcW w:w="727" w:type="dxa"/>
            <w:tcBorders>
              <w:top w:val="single" w:sz="4" w:space="0" w:color="auto"/>
              <w:left w:val="single" w:sz="12" w:space="0" w:color="auto"/>
              <w:bottom w:val="single" w:sz="4" w:space="0" w:color="auto"/>
              <w:right w:val="single" w:sz="12" w:space="0" w:color="auto"/>
            </w:tcBorders>
          </w:tcPr>
          <w:p w14:paraId="308BD757" w14:textId="77777777" w:rsidR="00492F82" w:rsidRPr="003D5DFA" w:rsidRDefault="00921BCD" w:rsidP="005D1B82">
            <w:pPr>
              <w:jc w:val="center"/>
              <w:rPr>
                <w:rFonts w:ascii="Arial" w:hAnsi="Arial" w:cs="Arial"/>
                <w:color w:val="000000"/>
                <w:sz w:val="20"/>
              </w:rPr>
            </w:pPr>
            <w:r>
              <w:rPr>
                <w:rFonts w:ascii="Arial" w:hAnsi="Arial" w:cs="Arial"/>
                <w:color w:val="000000"/>
                <w:sz w:val="20"/>
              </w:rPr>
              <w:t>9,985</w:t>
            </w:r>
          </w:p>
        </w:tc>
        <w:tc>
          <w:tcPr>
            <w:tcW w:w="952" w:type="dxa"/>
            <w:tcBorders>
              <w:top w:val="single" w:sz="4" w:space="0" w:color="auto"/>
              <w:left w:val="single" w:sz="12" w:space="0" w:color="auto"/>
              <w:bottom w:val="single" w:sz="4" w:space="0" w:color="auto"/>
            </w:tcBorders>
          </w:tcPr>
          <w:p w14:paraId="7FD0F18E" w14:textId="77777777" w:rsidR="00492F82" w:rsidRPr="003D5DFA" w:rsidRDefault="00921BCD" w:rsidP="005D1B82">
            <w:pPr>
              <w:jc w:val="center"/>
              <w:rPr>
                <w:rFonts w:ascii="Arial" w:hAnsi="Arial" w:cs="Arial"/>
                <w:color w:val="000000"/>
                <w:sz w:val="20"/>
              </w:rPr>
            </w:pPr>
            <w:r>
              <w:rPr>
                <w:rFonts w:ascii="Arial" w:hAnsi="Arial" w:cs="Arial"/>
                <w:color w:val="000000"/>
                <w:sz w:val="20"/>
              </w:rPr>
              <w:t>272,980</w:t>
            </w:r>
          </w:p>
        </w:tc>
      </w:tr>
      <w:tr w:rsidR="00B00042" w:rsidRPr="003D5DFA" w14:paraId="33CA5FF8" w14:textId="77777777" w:rsidTr="00C650FB">
        <w:tblPrEx>
          <w:tblCellMar>
            <w:top w:w="0" w:type="dxa"/>
            <w:bottom w:w="0" w:type="dxa"/>
          </w:tblCellMar>
        </w:tblPrEx>
        <w:trPr>
          <w:jc w:val="center"/>
        </w:trPr>
        <w:tc>
          <w:tcPr>
            <w:tcW w:w="1100" w:type="dxa"/>
            <w:tcBorders>
              <w:top w:val="single" w:sz="4" w:space="0" w:color="auto"/>
              <w:left w:val="single" w:sz="12" w:space="0" w:color="auto"/>
              <w:bottom w:val="single" w:sz="18" w:space="0" w:color="auto"/>
              <w:right w:val="single" w:sz="12" w:space="0" w:color="auto"/>
            </w:tcBorders>
          </w:tcPr>
          <w:p w14:paraId="76855956" w14:textId="77777777" w:rsidR="00B00042" w:rsidRDefault="00B00042" w:rsidP="005D1B82">
            <w:pPr>
              <w:jc w:val="center"/>
              <w:rPr>
                <w:rFonts w:ascii="Arial" w:hAnsi="Arial" w:cs="Arial"/>
                <w:color w:val="000000"/>
                <w:sz w:val="20"/>
              </w:rPr>
            </w:pPr>
            <w:r>
              <w:rPr>
                <w:rFonts w:ascii="Arial" w:hAnsi="Arial" w:cs="Arial"/>
                <w:color w:val="000000"/>
                <w:sz w:val="20"/>
              </w:rPr>
              <w:t>2013-14</w:t>
            </w:r>
          </w:p>
        </w:tc>
        <w:tc>
          <w:tcPr>
            <w:tcW w:w="953" w:type="dxa"/>
            <w:tcBorders>
              <w:top w:val="single" w:sz="4" w:space="0" w:color="auto"/>
              <w:left w:val="single" w:sz="12" w:space="0" w:color="auto"/>
              <w:bottom w:val="single" w:sz="18" w:space="0" w:color="auto"/>
              <w:right w:val="single" w:sz="12" w:space="0" w:color="auto"/>
            </w:tcBorders>
          </w:tcPr>
          <w:p w14:paraId="74C120B0" w14:textId="77777777" w:rsidR="00B00042" w:rsidRDefault="00B00042" w:rsidP="005D1B82">
            <w:pPr>
              <w:jc w:val="center"/>
              <w:rPr>
                <w:rFonts w:ascii="Arial" w:hAnsi="Arial" w:cs="Arial"/>
                <w:color w:val="000000"/>
                <w:sz w:val="20"/>
              </w:rPr>
            </w:pPr>
            <w:r>
              <w:rPr>
                <w:rFonts w:ascii="Arial" w:hAnsi="Arial" w:cs="Arial"/>
                <w:color w:val="000000"/>
                <w:sz w:val="20"/>
              </w:rPr>
              <w:t>125,994</w:t>
            </w:r>
          </w:p>
        </w:tc>
        <w:tc>
          <w:tcPr>
            <w:tcW w:w="854" w:type="dxa"/>
            <w:tcBorders>
              <w:top w:val="single" w:sz="4" w:space="0" w:color="auto"/>
              <w:left w:val="single" w:sz="12" w:space="0" w:color="auto"/>
              <w:bottom w:val="single" w:sz="18" w:space="0" w:color="auto"/>
              <w:right w:val="single" w:sz="12" w:space="0" w:color="auto"/>
            </w:tcBorders>
            <w:shd w:val="pct10" w:color="auto" w:fill="auto"/>
          </w:tcPr>
          <w:p w14:paraId="3010083C" w14:textId="77777777" w:rsidR="00B00042" w:rsidRDefault="00B00042" w:rsidP="005D1B82">
            <w:pPr>
              <w:jc w:val="center"/>
              <w:rPr>
                <w:rFonts w:ascii="Arial" w:hAnsi="Arial" w:cs="Arial"/>
                <w:color w:val="000000"/>
                <w:sz w:val="20"/>
              </w:rPr>
            </w:pPr>
            <w:r>
              <w:rPr>
                <w:rFonts w:ascii="Arial" w:hAnsi="Arial" w:cs="Arial"/>
                <w:color w:val="000000"/>
                <w:sz w:val="20"/>
              </w:rPr>
              <w:t>82,056</w:t>
            </w:r>
          </w:p>
        </w:tc>
        <w:tc>
          <w:tcPr>
            <w:tcW w:w="854" w:type="dxa"/>
            <w:tcBorders>
              <w:top w:val="single" w:sz="4" w:space="0" w:color="auto"/>
              <w:left w:val="single" w:sz="12" w:space="0" w:color="auto"/>
              <w:bottom w:val="single" w:sz="18" w:space="0" w:color="auto"/>
              <w:right w:val="single" w:sz="12" w:space="0" w:color="auto"/>
            </w:tcBorders>
          </w:tcPr>
          <w:p w14:paraId="7218A8DB" w14:textId="77777777" w:rsidR="00B00042" w:rsidRDefault="00B00042" w:rsidP="005D1B82">
            <w:pPr>
              <w:jc w:val="center"/>
              <w:rPr>
                <w:rFonts w:ascii="Arial" w:hAnsi="Arial" w:cs="Arial"/>
                <w:color w:val="000000"/>
                <w:sz w:val="20"/>
              </w:rPr>
            </w:pPr>
            <w:r>
              <w:rPr>
                <w:rFonts w:ascii="Arial" w:hAnsi="Arial" w:cs="Arial"/>
                <w:color w:val="000000"/>
                <w:sz w:val="20"/>
              </w:rPr>
              <w:t>23,256</w:t>
            </w:r>
          </w:p>
        </w:tc>
        <w:tc>
          <w:tcPr>
            <w:tcW w:w="828" w:type="dxa"/>
            <w:tcBorders>
              <w:top w:val="single" w:sz="4" w:space="0" w:color="auto"/>
              <w:left w:val="single" w:sz="12" w:space="0" w:color="auto"/>
              <w:bottom w:val="single" w:sz="18" w:space="0" w:color="auto"/>
              <w:right w:val="single" w:sz="12" w:space="0" w:color="auto"/>
            </w:tcBorders>
          </w:tcPr>
          <w:p w14:paraId="3712C934" w14:textId="77777777" w:rsidR="00B00042" w:rsidRDefault="00B00042" w:rsidP="005D1B82">
            <w:pPr>
              <w:jc w:val="center"/>
              <w:rPr>
                <w:rFonts w:ascii="Arial" w:hAnsi="Arial" w:cs="Arial"/>
                <w:color w:val="000000"/>
                <w:sz w:val="20"/>
              </w:rPr>
            </w:pPr>
            <w:r>
              <w:rPr>
                <w:rFonts w:ascii="Arial" w:hAnsi="Arial" w:cs="Arial"/>
                <w:color w:val="000000"/>
                <w:sz w:val="20"/>
              </w:rPr>
              <w:t>16,801</w:t>
            </w:r>
          </w:p>
        </w:tc>
        <w:tc>
          <w:tcPr>
            <w:tcW w:w="854" w:type="dxa"/>
            <w:tcBorders>
              <w:top w:val="single" w:sz="4" w:space="0" w:color="auto"/>
              <w:left w:val="single" w:sz="12" w:space="0" w:color="auto"/>
              <w:bottom w:val="single" w:sz="18" w:space="0" w:color="auto"/>
              <w:right w:val="single" w:sz="12" w:space="0" w:color="auto"/>
            </w:tcBorders>
          </w:tcPr>
          <w:p w14:paraId="66BD9C3E" w14:textId="77777777" w:rsidR="00B00042" w:rsidRDefault="00B00042" w:rsidP="005D1B82">
            <w:pPr>
              <w:jc w:val="center"/>
              <w:rPr>
                <w:rFonts w:ascii="Arial" w:hAnsi="Arial" w:cs="Arial"/>
                <w:color w:val="000000"/>
                <w:sz w:val="20"/>
              </w:rPr>
            </w:pPr>
            <w:r>
              <w:rPr>
                <w:rFonts w:ascii="Arial" w:hAnsi="Arial" w:cs="Arial"/>
                <w:color w:val="000000"/>
                <w:sz w:val="20"/>
              </w:rPr>
              <w:t>19,578</w:t>
            </w:r>
          </w:p>
        </w:tc>
        <w:tc>
          <w:tcPr>
            <w:tcW w:w="839" w:type="dxa"/>
            <w:tcBorders>
              <w:top w:val="single" w:sz="4" w:space="0" w:color="auto"/>
              <w:left w:val="single" w:sz="12" w:space="0" w:color="auto"/>
              <w:bottom w:val="single" w:sz="18" w:space="0" w:color="auto"/>
              <w:right w:val="single" w:sz="12" w:space="0" w:color="auto"/>
            </w:tcBorders>
          </w:tcPr>
          <w:p w14:paraId="131FD3E3" w14:textId="77777777" w:rsidR="00B00042" w:rsidRDefault="00B00042" w:rsidP="005D1B82">
            <w:pPr>
              <w:jc w:val="center"/>
              <w:rPr>
                <w:rFonts w:ascii="Arial" w:hAnsi="Arial" w:cs="Arial"/>
                <w:color w:val="000000"/>
                <w:sz w:val="20"/>
              </w:rPr>
            </w:pPr>
            <w:r>
              <w:rPr>
                <w:rFonts w:ascii="Arial" w:hAnsi="Arial" w:cs="Arial"/>
                <w:color w:val="000000"/>
                <w:sz w:val="20"/>
              </w:rPr>
              <w:t>12,862</w:t>
            </w:r>
          </w:p>
        </w:tc>
        <w:tc>
          <w:tcPr>
            <w:tcW w:w="828" w:type="dxa"/>
            <w:tcBorders>
              <w:top w:val="single" w:sz="4" w:space="0" w:color="auto"/>
              <w:left w:val="single" w:sz="12" w:space="0" w:color="auto"/>
              <w:bottom w:val="single" w:sz="18" w:space="0" w:color="auto"/>
              <w:right w:val="single" w:sz="12" w:space="0" w:color="auto"/>
            </w:tcBorders>
          </w:tcPr>
          <w:p w14:paraId="47106B61" w14:textId="77777777" w:rsidR="00B00042" w:rsidRDefault="00B00042" w:rsidP="005D1B82">
            <w:pPr>
              <w:jc w:val="center"/>
              <w:rPr>
                <w:rFonts w:ascii="Arial" w:hAnsi="Arial" w:cs="Arial"/>
                <w:color w:val="000000"/>
                <w:sz w:val="20"/>
              </w:rPr>
            </w:pPr>
            <w:r>
              <w:rPr>
                <w:rFonts w:ascii="Arial" w:hAnsi="Arial" w:cs="Arial"/>
                <w:color w:val="000000"/>
                <w:sz w:val="20"/>
              </w:rPr>
              <w:t>10,600</w:t>
            </w:r>
          </w:p>
        </w:tc>
        <w:tc>
          <w:tcPr>
            <w:tcW w:w="727" w:type="dxa"/>
            <w:tcBorders>
              <w:top w:val="single" w:sz="4" w:space="0" w:color="auto"/>
              <w:left w:val="single" w:sz="12" w:space="0" w:color="auto"/>
              <w:bottom w:val="single" w:sz="18" w:space="0" w:color="auto"/>
              <w:right w:val="single" w:sz="12" w:space="0" w:color="auto"/>
            </w:tcBorders>
          </w:tcPr>
          <w:p w14:paraId="5BF43FC1" w14:textId="77777777" w:rsidR="00B00042" w:rsidRDefault="00B00042" w:rsidP="005D1B82">
            <w:pPr>
              <w:jc w:val="center"/>
              <w:rPr>
                <w:rFonts w:ascii="Arial" w:hAnsi="Arial" w:cs="Arial"/>
                <w:color w:val="000000"/>
                <w:sz w:val="20"/>
              </w:rPr>
            </w:pPr>
            <w:r>
              <w:rPr>
                <w:rFonts w:ascii="Arial" w:hAnsi="Arial" w:cs="Arial"/>
                <w:color w:val="000000"/>
                <w:sz w:val="20"/>
              </w:rPr>
              <w:t>12,950</w:t>
            </w:r>
          </w:p>
        </w:tc>
        <w:tc>
          <w:tcPr>
            <w:tcW w:w="952" w:type="dxa"/>
            <w:tcBorders>
              <w:top w:val="single" w:sz="4" w:space="0" w:color="auto"/>
              <w:left w:val="single" w:sz="12" w:space="0" w:color="auto"/>
              <w:bottom w:val="single" w:sz="18" w:space="0" w:color="auto"/>
            </w:tcBorders>
          </w:tcPr>
          <w:p w14:paraId="443EAEF2" w14:textId="77777777" w:rsidR="00B00042" w:rsidRDefault="00B00042" w:rsidP="005D1B82">
            <w:pPr>
              <w:jc w:val="center"/>
              <w:rPr>
                <w:rFonts w:ascii="Arial" w:hAnsi="Arial" w:cs="Arial"/>
                <w:color w:val="000000"/>
                <w:sz w:val="20"/>
              </w:rPr>
            </w:pPr>
            <w:r>
              <w:rPr>
                <w:rFonts w:ascii="Arial" w:hAnsi="Arial" w:cs="Arial"/>
                <w:color w:val="000000"/>
                <w:sz w:val="20"/>
              </w:rPr>
              <w:t>304,097</w:t>
            </w:r>
          </w:p>
        </w:tc>
      </w:tr>
    </w:tbl>
    <w:p w14:paraId="75D06FB4" w14:textId="77777777" w:rsidR="00013EC4" w:rsidRDefault="00013EC4" w:rsidP="009855F0">
      <w:pPr>
        <w:pStyle w:val="Heading3"/>
        <w:spacing w:line="240" w:lineRule="auto"/>
        <w:rPr>
          <w:rFonts w:ascii="Arial" w:hAnsi="Arial" w:cs="Arial"/>
          <w:bCs/>
          <w:color w:val="000000"/>
          <w:sz w:val="20"/>
          <w:lang w:val="en-US"/>
        </w:rPr>
      </w:pPr>
    </w:p>
    <w:tbl>
      <w:tblPr>
        <w:tblW w:w="878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182"/>
        <w:gridCol w:w="956"/>
        <w:gridCol w:w="860"/>
        <w:gridCol w:w="860"/>
        <w:gridCol w:w="816"/>
        <w:gridCol w:w="860"/>
        <w:gridCol w:w="842"/>
        <w:gridCol w:w="729"/>
        <w:gridCol w:w="729"/>
        <w:gridCol w:w="955"/>
      </w:tblGrid>
      <w:tr w:rsidR="00A23E26" w:rsidRPr="00785E1A" w14:paraId="1839B76C" w14:textId="77777777" w:rsidTr="00281D46">
        <w:tblPrEx>
          <w:tblCellMar>
            <w:top w:w="0" w:type="dxa"/>
            <w:bottom w:w="0" w:type="dxa"/>
          </w:tblCellMar>
        </w:tblPrEx>
        <w:trPr>
          <w:jc w:val="center"/>
        </w:trPr>
        <w:tc>
          <w:tcPr>
            <w:tcW w:w="8789" w:type="dxa"/>
            <w:gridSpan w:val="10"/>
            <w:tcBorders>
              <w:top w:val="single" w:sz="12" w:space="0" w:color="auto"/>
              <w:left w:val="single" w:sz="12" w:space="0" w:color="auto"/>
              <w:bottom w:val="single" w:sz="4" w:space="0" w:color="auto"/>
            </w:tcBorders>
            <w:shd w:val="pct10" w:color="auto" w:fill="auto"/>
          </w:tcPr>
          <w:p w14:paraId="585A3896"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 xml:space="preserve">SUBSTANTIATED </w:t>
            </w:r>
            <w:r w:rsidR="00281D46" w:rsidRPr="00785E1A">
              <w:rPr>
                <w:rFonts w:ascii="Arial" w:hAnsi="Arial" w:cs="Arial"/>
                <w:b/>
                <w:color w:val="000000"/>
                <w:sz w:val="20"/>
              </w:rPr>
              <w:t>NOTIFICATIONS</w:t>
            </w:r>
            <w:r w:rsidR="001B4618" w:rsidRPr="00785E1A">
              <w:rPr>
                <w:rFonts w:ascii="Arial" w:hAnsi="Arial" w:cs="Arial"/>
                <w:b/>
                <w:color w:val="000000"/>
                <w:sz w:val="20"/>
              </w:rPr>
              <w:t>/REPORTS</w:t>
            </w:r>
          </w:p>
        </w:tc>
      </w:tr>
      <w:tr w:rsidR="00A23E26" w:rsidRPr="00785E1A" w14:paraId="7174504F" w14:textId="77777777" w:rsidTr="00782D20">
        <w:tblPrEx>
          <w:tblCellMar>
            <w:top w:w="0" w:type="dxa"/>
            <w:bottom w:w="0" w:type="dxa"/>
          </w:tblCellMar>
        </w:tblPrEx>
        <w:trPr>
          <w:jc w:val="center"/>
        </w:trPr>
        <w:tc>
          <w:tcPr>
            <w:tcW w:w="1182" w:type="dxa"/>
            <w:tcBorders>
              <w:top w:val="single" w:sz="12" w:space="0" w:color="auto"/>
              <w:left w:val="single" w:sz="12" w:space="0" w:color="auto"/>
              <w:bottom w:val="single" w:sz="12" w:space="0" w:color="auto"/>
              <w:right w:val="single" w:sz="12" w:space="0" w:color="auto"/>
            </w:tcBorders>
            <w:shd w:val="pct10" w:color="auto" w:fill="auto"/>
          </w:tcPr>
          <w:p w14:paraId="793E7768"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YEAR</w:t>
            </w:r>
          </w:p>
        </w:tc>
        <w:tc>
          <w:tcPr>
            <w:tcW w:w="956" w:type="dxa"/>
            <w:tcBorders>
              <w:top w:val="single" w:sz="12" w:space="0" w:color="auto"/>
              <w:left w:val="single" w:sz="12" w:space="0" w:color="auto"/>
              <w:bottom w:val="single" w:sz="12" w:space="0" w:color="auto"/>
              <w:right w:val="single" w:sz="12" w:space="0" w:color="auto"/>
            </w:tcBorders>
            <w:shd w:val="pct10" w:color="auto" w:fill="auto"/>
          </w:tcPr>
          <w:p w14:paraId="6C77D46E"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NSW</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4C1D5F58"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VIC</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1DDF95A7"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QLD</w:t>
            </w:r>
          </w:p>
        </w:tc>
        <w:tc>
          <w:tcPr>
            <w:tcW w:w="816" w:type="dxa"/>
            <w:tcBorders>
              <w:top w:val="single" w:sz="12" w:space="0" w:color="auto"/>
              <w:left w:val="single" w:sz="12" w:space="0" w:color="auto"/>
              <w:bottom w:val="single" w:sz="12" w:space="0" w:color="auto"/>
              <w:right w:val="single" w:sz="12" w:space="0" w:color="auto"/>
            </w:tcBorders>
            <w:shd w:val="pct10" w:color="auto" w:fill="auto"/>
          </w:tcPr>
          <w:p w14:paraId="257CE39D"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WA</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4334BD80"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SA</w:t>
            </w:r>
          </w:p>
        </w:tc>
        <w:tc>
          <w:tcPr>
            <w:tcW w:w="842" w:type="dxa"/>
            <w:tcBorders>
              <w:top w:val="single" w:sz="12" w:space="0" w:color="auto"/>
              <w:left w:val="single" w:sz="12" w:space="0" w:color="auto"/>
              <w:bottom w:val="single" w:sz="12" w:space="0" w:color="auto"/>
              <w:right w:val="single" w:sz="12" w:space="0" w:color="auto"/>
            </w:tcBorders>
            <w:shd w:val="pct10" w:color="auto" w:fill="auto"/>
          </w:tcPr>
          <w:p w14:paraId="5956AB91"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TAS</w:t>
            </w:r>
          </w:p>
        </w:tc>
        <w:tc>
          <w:tcPr>
            <w:tcW w:w="729" w:type="dxa"/>
            <w:tcBorders>
              <w:top w:val="single" w:sz="12" w:space="0" w:color="auto"/>
              <w:left w:val="single" w:sz="12" w:space="0" w:color="auto"/>
              <w:bottom w:val="single" w:sz="12" w:space="0" w:color="auto"/>
              <w:right w:val="single" w:sz="12" w:space="0" w:color="auto"/>
            </w:tcBorders>
            <w:shd w:val="pct10" w:color="auto" w:fill="auto"/>
          </w:tcPr>
          <w:p w14:paraId="6D00D23C"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ACT</w:t>
            </w:r>
          </w:p>
        </w:tc>
        <w:tc>
          <w:tcPr>
            <w:tcW w:w="729" w:type="dxa"/>
            <w:tcBorders>
              <w:top w:val="single" w:sz="12" w:space="0" w:color="auto"/>
              <w:left w:val="single" w:sz="12" w:space="0" w:color="auto"/>
              <w:bottom w:val="single" w:sz="12" w:space="0" w:color="auto"/>
              <w:right w:val="single" w:sz="12" w:space="0" w:color="auto"/>
            </w:tcBorders>
            <w:shd w:val="pct10" w:color="auto" w:fill="auto"/>
          </w:tcPr>
          <w:p w14:paraId="538E2B9A"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NT</w:t>
            </w:r>
          </w:p>
        </w:tc>
        <w:tc>
          <w:tcPr>
            <w:tcW w:w="955" w:type="dxa"/>
            <w:tcBorders>
              <w:top w:val="single" w:sz="12" w:space="0" w:color="auto"/>
              <w:left w:val="single" w:sz="12" w:space="0" w:color="auto"/>
              <w:bottom w:val="single" w:sz="12" w:space="0" w:color="auto"/>
            </w:tcBorders>
            <w:shd w:val="pct10" w:color="auto" w:fill="auto"/>
          </w:tcPr>
          <w:p w14:paraId="102B8AB1"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TOTAL</w:t>
            </w:r>
          </w:p>
        </w:tc>
      </w:tr>
      <w:tr w:rsidR="00A23E26" w:rsidRPr="00785E1A" w14:paraId="0883CDF2" w14:textId="77777777" w:rsidTr="00782D20">
        <w:tblPrEx>
          <w:tblCellMar>
            <w:top w:w="0" w:type="dxa"/>
            <w:bottom w:w="0" w:type="dxa"/>
          </w:tblCellMar>
        </w:tblPrEx>
        <w:trPr>
          <w:jc w:val="center"/>
        </w:trPr>
        <w:tc>
          <w:tcPr>
            <w:tcW w:w="1182" w:type="dxa"/>
            <w:tcBorders>
              <w:top w:val="single" w:sz="4" w:space="0" w:color="auto"/>
              <w:left w:val="single" w:sz="12" w:space="0" w:color="auto"/>
              <w:bottom w:val="single" w:sz="4" w:space="0" w:color="auto"/>
              <w:right w:val="single" w:sz="12" w:space="0" w:color="auto"/>
            </w:tcBorders>
          </w:tcPr>
          <w:p w14:paraId="1639E6C1"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2004-2005</w:t>
            </w:r>
          </w:p>
        </w:tc>
        <w:tc>
          <w:tcPr>
            <w:tcW w:w="956" w:type="dxa"/>
            <w:tcBorders>
              <w:left w:val="single" w:sz="12" w:space="0" w:color="auto"/>
              <w:right w:val="single" w:sz="12" w:space="0" w:color="auto"/>
            </w:tcBorders>
          </w:tcPr>
          <w:p w14:paraId="46563DE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15,493</w:t>
            </w:r>
          </w:p>
        </w:tc>
        <w:tc>
          <w:tcPr>
            <w:tcW w:w="860" w:type="dxa"/>
            <w:tcBorders>
              <w:left w:val="single" w:sz="12" w:space="0" w:color="auto"/>
              <w:right w:val="single" w:sz="12" w:space="0" w:color="auto"/>
            </w:tcBorders>
            <w:shd w:val="pct10" w:color="auto" w:fill="auto"/>
          </w:tcPr>
          <w:p w14:paraId="75926F55"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7,398</w:t>
            </w:r>
          </w:p>
        </w:tc>
        <w:tc>
          <w:tcPr>
            <w:tcW w:w="860" w:type="dxa"/>
            <w:tcBorders>
              <w:left w:val="single" w:sz="12" w:space="0" w:color="auto"/>
              <w:right w:val="single" w:sz="12" w:space="0" w:color="auto"/>
            </w:tcBorders>
          </w:tcPr>
          <w:p w14:paraId="0DC5FF9A"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17,307</w:t>
            </w:r>
          </w:p>
        </w:tc>
        <w:tc>
          <w:tcPr>
            <w:tcW w:w="816" w:type="dxa"/>
            <w:tcBorders>
              <w:left w:val="single" w:sz="12" w:space="0" w:color="auto"/>
              <w:right w:val="single" w:sz="12" w:space="0" w:color="auto"/>
            </w:tcBorders>
          </w:tcPr>
          <w:p w14:paraId="7FEB63D3"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1,104</w:t>
            </w:r>
          </w:p>
        </w:tc>
        <w:tc>
          <w:tcPr>
            <w:tcW w:w="860" w:type="dxa"/>
            <w:tcBorders>
              <w:left w:val="single" w:sz="12" w:space="0" w:color="auto"/>
              <w:right w:val="single" w:sz="12" w:space="0" w:color="auto"/>
            </w:tcBorders>
          </w:tcPr>
          <w:p w14:paraId="04618E4A"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2,384</w:t>
            </w:r>
          </w:p>
        </w:tc>
        <w:tc>
          <w:tcPr>
            <w:tcW w:w="842" w:type="dxa"/>
            <w:tcBorders>
              <w:left w:val="single" w:sz="12" w:space="0" w:color="auto"/>
              <w:right w:val="single" w:sz="12" w:space="0" w:color="auto"/>
            </w:tcBorders>
          </w:tcPr>
          <w:p w14:paraId="2D9C717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782</w:t>
            </w:r>
          </w:p>
        </w:tc>
        <w:tc>
          <w:tcPr>
            <w:tcW w:w="729" w:type="dxa"/>
            <w:tcBorders>
              <w:left w:val="single" w:sz="12" w:space="0" w:color="auto"/>
              <w:right w:val="single" w:sz="12" w:space="0" w:color="auto"/>
            </w:tcBorders>
          </w:tcPr>
          <w:p w14:paraId="65B8DD9B"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1,213</w:t>
            </w:r>
          </w:p>
        </w:tc>
        <w:tc>
          <w:tcPr>
            <w:tcW w:w="729" w:type="dxa"/>
            <w:tcBorders>
              <w:left w:val="single" w:sz="12" w:space="0" w:color="auto"/>
              <w:right w:val="single" w:sz="12" w:space="0" w:color="auto"/>
            </w:tcBorders>
          </w:tcPr>
          <w:p w14:paraId="001A702F"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473</w:t>
            </w:r>
          </w:p>
        </w:tc>
        <w:tc>
          <w:tcPr>
            <w:tcW w:w="955" w:type="dxa"/>
            <w:tcBorders>
              <w:left w:val="single" w:sz="12" w:space="0" w:color="auto"/>
            </w:tcBorders>
          </w:tcPr>
          <w:p w14:paraId="114E6BA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46,154</w:t>
            </w:r>
          </w:p>
        </w:tc>
      </w:tr>
      <w:tr w:rsidR="00A23E26" w:rsidRPr="00785E1A" w14:paraId="0877F51B" w14:textId="77777777" w:rsidTr="00782D20">
        <w:tblPrEx>
          <w:tblCellMar>
            <w:top w:w="0" w:type="dxa"/>
            <w:bottom w:w="0" w:type="dxa"/>
          </w:tblCellMar>
        </w:tblPrEx>
        <w:trPr>
          <w:jc w:val="center"/>
        </w:trPr>
        <w:tc>
          <w:tcPr>
            <w:tcW w:w="1182" w:type="dxa"/>
            <w:tcBorders>
              <w:top w:val="single" w:sz="4" w:space="0" w:color="auto"/>
              <w:left w:val="single" w:sz="12" w:space="0" w:color="auto"/>
              <w:bottom w:val="single" w:sz="4" w:space="0" w:color="auto"/>
              <w:right w:val="single" w:sz="12" w:space="0" w:color="auto"/>
            </w:tcBorders>
          </w:tcPr>
          <w:p w14:paraId="43805F36"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2005-2006</w:t>
            </w:r>
          </w:p>
        </w:tc>
        <w:tc>
          <w:tcPr>
            <w:tcW w:w="956" w:type="dxa"/>
            <w:tcBorders>
              <w:left w:val="single" w:sz="12" w:space="0" w:color="auto"/>
              <w:right w:val="single" w:sz="12" w:space="0" w:color="auto"/>
            </w:tcBorders>
          </w:tcPr>
          <w:p w14:paraId="2ED183A6"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29,809</w:t>
            </w:r>
          </w:p>
        </w:tc>
        <w:tc>
          <w:tcPr>
            <w:tcW w:w="860" w:type="dxa"/>
            <w:tcBorders>
              <w:left w:val="single" w:sz="12" w:space="0" w:color="auto"/>
              <w:right w:val="single" w:sz="12" w:space="0" w:color="auto"/>
            </w:tcBorders>
            <w:shd w:val="pct10" w:color="auto" w:fill="auto"/>
          </w:tcPr>
          <w:p w14:paraId="36B44BF9"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7,563</w:t>
            </w:r>
          </w:p>
        </w:tc>
        <w:tc>
          <w:tcPr>
            <w:tcW w:w="860" w:type="dxa"/>
            <w:tcBorders>
              <w:left w:val="single" w:sz="12" w:space="0" w:color="auto"/>
              <w:right w:val="single" w:sz="12" w:space="0" w:color="auto"/>
            </w:tcBorders>
          </w:tcPr>
          <w:p w14:paraId="3DD3730A"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13,184</w:t>
            </w:r>
          </w:p>
        </w:tc>
        <w:tc>
          <w:tcPr>
            <w:tcW w:w="816" w:type="dxa"/>
            <w:tcBorders>
              <w:left w:val="single" w:sz="12" w:space="0" w:color="auto"/>
              <w:right w:val="single" w:sz="12" w:space="0" w:color="auto"/>
            </w:tcBorders>
          </w:tcPr>
          <w:p w14:paraId="73F10977"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960</w:t>
            </w:r>
          </w:p>
        </w:tc>
        <w:tc>
          <w:tcPr>
            <w:tcW w:w="860" w:type="dxa"/>
            <w:tcBorders>
              <w:left w:val="single" w:sz="12" w:space="0" w:color="auto"/>
              <w:right w:val="single" w:sz="12" w:space="0" w:color="auto"/>
            </w:tcBorders>
          </w:tcPr>
          <w:p w14:paraId="01051B56"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1,855</w:t>
            </w:r>
          </w:p>
        </w:tc>
        <w:tc>
          <w:tcPr>
            <w:tcW w:w="842" w:type="dxa"/>
            <w:tcBorders>
              <w:left w:val="single" w:sz="12" w:space="0" w:color="auto"/>
              <w:right w:val="single" w:sz="12" w:space="0" w:color="auto"/>
            </w:tcBorders>
          </w:tcPr>
          <w:p w14:paraId="3BF66485"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793</w:t>
            </w:r>
          </w:p>
        </w:tc>
        <w:tc>
          <w:tcPr>
            <w:tcW w:w="729" w:type="dxa"/>
            <w:tcBorders>
              <w:left w:val="single" w:sz="12" w:space="0" w:color="auto"/>
              <w:right w:val="single" w:sz="12" w:space="0" w:color="auto"/>
            </w:tcBorders>
          </w:tcPr>
          <w:p w14:paraId="767B1795"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1,277</w:t>
            </w:r>
          </w:p>
        </w:tc>
        <w:tc>
          <w:tcPr>
            <w:tcW w:w="729" w:type="dxa"/>
            <w:tcBorders>
              <w:left w:val="single" w:sz="12" w:space="0" w:color="auto"/>
              <w:right w:val="single" w:sz="12" w:space="0" w:color="auto"/>
            </w:tcBorders>
          </w:tcPr>
          <w:p w14:paraId="6B44AF8E"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480</w:t>
            </w:r>
          </w:p>
        </w:tc>
        <w:tc>
          <w:tcPr>
            <w:tcW w:w="955" w:type="dxa"/>
            <w:tcBorders>
              <w:left w:val="single" w:sz="12" w:space="0" w:color="auto"/>
            </w:tcBorders>
          </w:tcPr>
          <w:p w14:paraId="450FC150"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55,921</w:t>
            </w:r>
          </w:p>
        </w:tc>
      </w:tr>
      <w:tr w:rsidR="00A23E26" w:rsidRPr="00785E1A" w14:paraId="72907088" w14:textId="77777777" w:rsidTr="00782D20">
        <w:tblPrEx>
          <w:tblCellMar>
            <w:top w:w="0" w:type="dxa"/>
            <w:bottom w:w="0" w:type="dxa"/>
          </w:tblCellMar>
        </w:tblPrEx>
        <w:trPr>
          <w:jc w:val="center"/>
        </w:trPr>
        <w:tc>
          <w:tcPr>
            <w:tcW w:w="1182" w:type="dxa"/>
            <w:tcBorders>
              <w:top w:val="single" w:sz="4" w:space="0" w:color="auto"/>
              <w:left w:val="single" w:sz="12" w:space="0" w:color="auto"/>
              <w:bottom w:val="single" w:sz="4" w:space="0" w:color="auto"/>
              <w:right w:val="single" w:sz="12" w:space="0" w:color="auto"/>
            </w:tcBorders>
          </w:tcPr>
          <w:p w14:paraId="7D02B484"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2006-2007</w:t>
            </w:r>
          </w:p>
        </w:tc>
        <w:tc>
          <w:tcPr>
            <w:tcW w:w="956" w:type="dxa"/>
            <w:tcBorders>
              <w:left w:val="single" w:sz="12" w:space="0" w:color="auto"/>
              <w:right w:val="single" w:sz="12" w:space="0" w:color="auto"/>
            </w:tcBorders>
          </w:tcPr>
          <w:p w14:paraId="6BD4367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37,094</w:t>
            </w:r>
          </w:p>
        </w:tc>
        <w:tc>
          <w:tcPr>
            <w:tcW w:w="860" w:type="dxa"/>
            <w:tcBorders>
              <w:left w:val="single" w:sz="12" w:space="0" w:color="auto"/>
              <w:right w:val="single" w:sz="12" w:space="0" w:color="auto"/>
            </w:tcBorders>
            <w:shd w:val="pct10" w:color="auto" w:fill="auto"/>
          </w:tcPr>
          <w:p w14:paraId="473B7A6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6,828</w:t>
            </w:r>
          </w:p>
        </w:tc>
        <w:tc>
          <w:tcPr>
            <w:tcW w:w="860" w:type="dxa"/>
            <w:tcBorders>
              <w:left w:val="single" w:sz="12" w:space="0" w:color="auto"/>
              <w:right w:val="single" w:sz="12" w:space="0" w:color="auto"/>
            </w:tcBorders>
          </w:tcPr>
          <w:p w14:paraId="4FD4B523"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10,108</w:t>
            </w:r>
          </w:p>
        </w:tc>
        <w:tc>
          <w:tcPr>
            <w:tcW w:w="816" w:type="dxa"/>
            <w:tcBorders>
              <w:left w:val="single" w:sz="12" w:space="0" w:color="auto"/>
              <w:right w:val="single" w:sz="12" w:space="0" w:color="auto"/>
            </w:tcBorders>
          </w:tcPr>
          <w:p w14:paraId="2E35DE20"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1,233</w:t>
            </w:r>
          </w:p>
        </w:tc>
        <w:tc>
          <w:tcPr>
            <w:tcW w:w="860" w:type="dxa"/>
            <w:tcBorders>
              <w:left w:val="single" w:sz="12" w:space="0" w:color="auto"/>
              <w:right w:val="single" w:sz="12" w:space="0" w:color="auto"/>
            </w:tcBorders>
          </w:tcPr>
          <w:p w14:paraId="6397465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2,242</w:t>
            </w:r>
          </w:p>
        </w:tc>
        <w:tc>
          <w:tcPr>
            <w:tcW w:w="842" w:type="dxa"/>
            <w:tcBorders>
              <w:left w:val="single" w:sz="12" w:space="0" w:color="auto"/>
              <w:right w:val="single" w:sz="12" w:space="0" w:color="auto"/>
            </w:tcBorders>
          </w:tcPr>
          <w:p w14:paraId="3D736EB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1,252</w:t>
            </w:r>
          </w:p>
        </w:tc>
        <w:tc>
          <w:tcPr>
            <w:tcW w:w="729" w:type="dxa"/>
            <w:tcBorders>
              <w:left w:val="single" w:sz="12" w:space="0" w:color="auto"/>
              <w:right w:val="single" w:sz="12" w:space="0" w:color="auto"/>
            </w:tcBorders>
          </w:tcPr>
          <w:p w14:paraId="106A87BF"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852</w:t>
            </w:r>
          </w:p>
        </w:tc>
        <w:tc>
          <w:tcPr>
            <w:tcW w:w="729" w:type="dxa"/>
            <w:tcBorders>
              <w:left w:val="single" w:sz="12" w:space="0" w:color="auto"/>
              <w:right w:val="single" w:sz="12" w:space="0" w:color="auto"/>
            </w:tcBorders>
          </w:tcPr>
          <w:p w14:paraId="61E65F22"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621</w:t>
            </w:r>
          </w:p>
        </w:tc>
        <w:tc>
          <w:tcPr>
            <w:tcW w:w="955" w:type="dxa"/>
            <w:tcBorders>
              <w:left w:val="single" w:sz="12" w:space="0" w:color="auto"/>
            </w:tcBorders>
          </w:tcPr>
          <w:p w14:paraId="5DDC96C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60,230</w:t>
            </w:r>
          </w:p>
        </w:tc>
      </w:tr>
      <w:tr w:rsidR="00A23E26" w:rsidRPr="00785E1A" w14:paraId="31A2CD9C" w14:textId="77777777" w:rsidTr="00E0794B">
        <w:tblPrEx>
          <w:tblCellMar>
            <w:top w:w="0" w:type="dxa"/>
            <w:bottom w:w="0" w:type="dxa"/>
          </w:tblCellMar>
        </w:tblPrEx>
        <w:trPr>
          <w:jc w:val="center"/>
        </w:trPr>
        <w:tc>
          <w:tcPr>
            <w:tcW w:w="1182" w:type="dxa"/>
            <w:tcBorders>
              <w:top w:val="single" w:sz="4" w:space="0" w:color="auto"/>
              <w:left w:val="single" w:sz="12" w:space="0" w:color="auto"/>
              <w:bottom w:val="single" w:sz="4" w:space="0" w:color="auto"/>
              <w:right w:val="single" w:sz="12" w:space="0" w:color="auto"/>
            </w:tcBorders>
          </w:tcPr>
          <w:p w14:paraId="2A3A0C5E"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2007-2008</w:t>
            </w:r>
          </w:p>
        </w:tc>
        <w:tc>
          <w:tcPr>
            <w:tcW w:w="956" w:type="dxa"/>
            <w:tcBorders>
              <w:left w:val="single" w:sz="12" w:space="0" w:color="auto"/>
              <w:right w:val="single" w:sz="12" w:space="0" w:color="auto"/>
            </w:tcBorders>
          </w:tcPr>
          <w:p w14:paraId="0FF9287A"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34,135</w:t>
            </w:r>
          </w:p>
        </w:tc>
        <w:tc>
          <w:tcPr>
            <w:tcW w:w="860" w:type="dxa"/>
            <w:tcBorders>
              <w:left w:val="single" w:sz="12" w:space="0" w:color="auto"/>
              <w:right w:val="single" w:sz="12" w:space="0" w:color="auto"/>
            </w:tcBorders>
            <w:shd w:val="pct10" w:color="auto" w:fill="auto"/>
          </w:tcPr>
          <w:p w14:paraId="649277E1"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6,365</w:t>
            </w:r>
          </w:p>
        </w:tc>
        <w:tc>
          <w:tcPr>
            <w:tcW w:w="860" w:type="dxa"/>
            <w:tcBorders>
              <w:left w:val="single" w:sz="12" w:space="0" w:color="auto"/>
              <w:right w:val="single" w:sz="12" w:space="0" w:color="auto"/>
            </w:tcBorders>
          </w:tcPr>
          <w:p w14:paraId="620DEF58"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8,028</w:t>
            </w:r>
          </w:p>
        </w:tc>
        <w:tc>
          <w:tcPr>
            <w:tcW w:w="816" w:type="dxa"/>
            <w:tcBorders>
              <w:left w:val="single" w:sz="12" w:space="0" w:color="auto"/>
              <w:right w:val="single" w:sz="12" w:space="0" w:color="auto"/>
            </w:tcBorders>
          </w:tcPr>
          <w:p w14:paraId="4BA3DF6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1,464</w:t>
            </w:r>
          </w:p>
        </w:tc>
        <w:tc>
          <w:tcPr>
            <w:tcW w:w="860" w:type="dxa"/>
            <w:tcBorders>
              <w:left w:val="single" w:sz="12" w:space="0" w:color="auto"/>
              <w:right w:val="single" w:sz="12" w:space="0" w:color="auto"/>
            </w:tcBorders>
          </w:tcPr>
          <w:p w14:paraId="68BF5E58"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2,331</w:t>
            </w:r>
          </w:p>
        </w:tc>
        <w:tc>
          <w:tcPr>
            <w:tcW w:w="842" w:type="dxa"/>
            <w:tcBorders>
              <w:left w:val="single" w:sz="12" w:space="0" w:color="auto"/>
              <w:right w:val="single" w:sz="12" w:space="0" w:color="auto"/>
            </w:tcBorders>
          </w:tcPr>
          <w:p w14:paraId="10933894"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1,214</w:t>
            </w:r>
          </w:p>
        </w:tc>
        <w:tc>
          <w:tcPr>
            <w:tcW w:w="729" w:type="dxa"/>
            <w:tcBorders>
              <w:left w:val="single" w:sz="12" w:space="0" w:color="auto"/>
              <w:right w:val="single" w:sz="12" w:space="0" w:color="auto"/>
            </w:tcBorders>
          </w:tcPr>
          <w:p w14:paraId="7AEE3AB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827</w:t>
            </w:r>
          </w:p>
        </w:tc>
        <w:tc>
          <w:tcPr>
            <w:tcW w:w="729" w:type="dxa"/>
            <w:tcBorders>
              <w:left w:val="single" w:sz="12" w:space="0" w:color="auto"/>
              <w:right w:val="single" w:sz="12" w:space="0" w:color="auto"/>
            </w:tcBorders>
          </w:tcPr>
          <w:p w14:paraId="20504E9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756</w:t>
            </w:r>
          </w:p>
        </w:tc>
        <w:tc>
          <w:tcPr>
            <w:tcW w:w="955" w:type="dxa"/>
            <w:tcBorders>
              <w:left w:val="single" w:sz="12" w:space="0" w:color="auto"/>
            </w:tcBorders>
          </w:tcPr>
          <w:p w14:paraId="43E48A84"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55,120</w:t>
            </w:r>
          </w:p>
        </w:tc>
      </w:tr>
      <w:tr w:rsidR="00E0794B" w:rsidRPr="00785E1A" w14:paraId="68F959BF" w14:textId="77777777" w:rsidTr="00E0794B">
        <w:tblPrEx>
          <w:tblCellMar>
            <w:top w:w="0" w:type="dxa"/>
            <w:bottom w:w="0" w:type="dxa"/>
          </w:tblCellMar>
        </w:tblPrEx>
        <w:trPr>
          <w:jc w:val="center"/>
        </w:trPr>
        <w:tc>
          <w:tcPr>
            <w:tcW w:w="1182" w:type="dxa"/>
            <w:tcBorders>
              <w:top w:val="single" w:sz="4" w:space="0" w:color="auto"/>
              <w:left w:val="single" w:sz="12" w:space="0" w:color="auto"/>
              <w:bottom w:val="single" w:sz="4" w:space="0" w:color="auto"/>
              <w:right w:val="single" w:sz="12" w:space="0" w:color="auto"/>
            </w:tcBorders>
          </w:tcPr>
          <w:p w14:paraId="4DB6A37A" w14:textId="77777777" w:rsidR="00E0794B" w:rsidRPr="00785E1A" w:rsidRDefault="00E0794B" w:rsidP="00782D20">
            <w:pPr>
              <w:jc w:val="center"/>
              <w:rPr>
                <w:rFonts w:ascii="Arial" w:hAnsi="Arial" w:cs="Arial"/>
                <w:color w:val="000000"/>
                <w:sz w:val="20"/>
              </w:rPr>
            </w:pPr>
            <w:r w:rsidRPr="00785E1A">
              <w:rPr>
                <w:rFonts w:ascii="Arial" w:hAnsi="Arial" w:cs="Arial"/>
                <w:color w:val="000000"/>
                <w:sz w:val="20"/>
              </w:rPr>
              <w:t>2008-2009</w:t>
            </w:r>
          </w:p>
        </w:tc>
        <w:tc>
          <w:tcPr>
            <w:tcW w:w="956" w:type="dxa"/>
            <w:tcBorders>
              <w:left w:val="single" w:sz="12" w:space="0" w:color="auto"/>
              <w:right w:val="single" w:sz="12" w:space="0" w:color="auto"/>
            </w:tcBorders>
          </w:tcPr>
          <w:p w14:paraId="72AA55EF"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34,078</w:t>
            </w:r>
          </w:p>
        </w:tc>
        <w:tc>
          <w:tcPr>
            <w:tcW w:w="860" w:type="dxa"/>
            <w:tcBorders>
              <w:left w:val="single" w:sz="12" w:space="0" w:color="auto"/>
              <w:right w:val="single" w:sz="12" w:space="0" w:color="auto"/>
            </w:tcBorders>
            <w:shd w:val="pct10" w:color="auto" w:fill="auto"/>
          </w:tcPr>
          <w:p w14:paraId="0BAFB12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6,344</w:t>
            </w:r>
          </w:p>
        </w:tc>
        <w:tc>
          <w:tcPr>
            <w:tcW w:w="860" w:type="dxa"/>
            <w:tcBorders>
              <w:left w:val="single" w:sz="12" w:space="0" w:color="auto"/>
              <w:right w:val="single" w:sz="12" w:space="0" w:color="auto"/>
            </w:tcBorders>
          </w:tcPr>
          <w:p w14:paraId="6E2B09D7"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7,315</w:t>
            </w:r>
          </w:p>
        </w:tc>
        <w:tc>
          <w:tcPr>
            <w:tcW w:w="816" w:type="dxa"/>
            <w:tcBorders>
              <w:left w:val="single" w:sz="12" w:space="0" w:color="auto"/>
              <w:right w:val="single" w:sz="12" w:space="0" w:color="auto"/>
            </w:tcBorders>
          </w:tcPr>
          <w:p w14:paraId="0425688E"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1,523</w:t>
            </w:r>
          </w:p>
        </w:tc>
        <w:tc>
          <w:tcPr>
            <w:tcW w:w="860" w:type="dxa"/>
            <w:tcBorders>
              <w:left w:val="single" w:sz="12" w:space="0" w:color="auto"/>
              <w:right w:val="single" w:sz="12" w:space="0" w:color="auto"/>
            </w:tcBorders>
          </w:tcPr>
          <w:p w14:paraId="2A28D559"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2,419</w:t>
            </w:r>
          </w:p>
        </w:tc>
        <w:tc>
          <w:tcPr>
            <w:tcW w:w="842" w:type="dxa"/>
            <w:tcBorders>
              <w:left w:val="single" w:sz="12" w:space="0" w:color="auto"/>
              <w:right w:val="single" w:sz="12" w:space="0" w:color="auto"/>
            </w:tcBorders>
          </w:tcPr>
          <w:p w14:paraId="7B8D6EED"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1,188</w:t>
            </w:r>
          </w:p>
        </w:tc>
        <w:tc>
          <w:tcPr>
            <w:tcW w:w="729" w:type="dxa"/>
            <w:tcBorders>
              <w:left w:val="single" w:sz="12" w:space="0" w:color="auto"/>
              <w:right w:val="single" w:sz="12" w:space="0" w:color="auto"/>
            </w:tcBorders>
          </w:tcPr>
          <w:p w14:paraId="7BE571C1"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896</w:t>
            </w:r>
          </w:p>
        </w:tc>
        <w:tc>
          <w:tcPr>
            <w:tcW w:w="729" w:type="dxa"/>
            <w:tcBorders>
              <w:left w:val="single" w:sz="12" w:space="0" w:color="auto"/>
              <w:right w:val="single" w:sz="12" w:space="0" w:color="auto"/>
            </w:tcBorders>
          </w:tcPr>
          <w:p w14:paraId="2C49FC77"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858</w:t>
            </w:r>
          </w:p>
        </w:tc>
        <w:tc>
          <w:tcPr>
            <w:tcW w:w="955" w:type="dxa"/>
            <w:tcBorders>
              <w:left w:val="single" w:sz="12" w:space="0" w:color="auto"/>
            </w:tcBorders>
          </w:tcPr>
          <w:p w14:paraId="2D6724BE"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54,621</w:t>
            </w:r>
          </w:p>
        </w:tc>
      </w:tr>
      <w:tr w:rsidR="00E0794B" w:rsidRPr="00785E1A" w14:paraId="2181ABDE" w14:textId="77777777" w:rsidTr="00C650FB">
        <w:tblPrEx>
          <w:tblCellMar>
            <w:top w:w="0" w:type="dxa"/>
            <w:bottom w:w="0" w:type="dxa"/>
          </w:tblCellMar>
        </w:tblPrEx>
        <w:trPr>
          <w:jc w:val="center"/>
        </w:trPr>
        <w:tc>
          <w:tcPr>
            <w:tcW w:w="1182" w:type="dxa"/>
            <w:tcBorders>
              <w:top w:val="single" w:sz="4" w:space="0" w:color="auto"/>
              <w:left w:val="single" w:sz="12" w:space="0" w:color="auto"/>
              <w:bottom w:val="single" w:sz="4" w:space="0" w:color="auto"/>
              <w:right w:val="single" w:sz="12" w:space="0" w:color="auto"/>
            </w:tcBorders>
          </w:tcPr>
          <w:p w14:paraId="40F4F497" w14:textId="77777777" w:rsidR="00E0794B" w:rsidRPr="00785E1A" w:rsidRDefault="00E0794B" w:rsidP="00782D20">
            <w:pPr>
              <w:jc w:val="center"/>
              <w:rPr>
                <w:rFonts w:ascii="Arial" w:hAnsi="Arial" w:cs="Arial"/>
                <w:color w:val="000000"/>
                <w:sz w:val="20"/>
              </w:rPr>
            </w:pPr>
            <w:r w:rsidRPr="00785E1A">
              <w:rPr>
                <w:rFonts w:ascii="Arial" w:hAnsi="Arial" w:cs="Arial"/>
                <w:color w:val="000000"/>
                <w:sz w:val="20"/>
              </w:rPr>
              <w:t>2009-2010</w:t>
            </w:r>
          </w:p>
        </w:tc>
        <w:tc>
          <w:tcPr>
            <w:tcW w:w="956" w:type="dxa"/>
            <w:tcBorders>
              <w:left w:val="single" w:sz="12" w:space="0" w:color="auto"/>
              <w:bottom w:val="single" w:sz="4" w:space="0" w:color="auto"/>
              <w:right w:val="single" w:sz="12" w:space="0" w:color="auto"/>
            </w:tcBorders>
          </w:tcPr>
          <w:p w14:paraId="10581688"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26,248</w:t>
            </w:r>
          </w:p>
        </w:tc>
        <w:tc>
          <w:tcPr>
            <w:tcW w:w="860" w:type="dxa"/>
            <w:tcBorders>
              <w:left w:val="single" w:sz="12" w:space="0" w:color="auto"/>
              <w:bottom w:val="single" w:sz="4" w:space="0" w:color="auto"/>
              <w:right w:val="single" w:sz="12" w:space="0" w:color="auto"/>
            </w:tcBorders>
            <w:shd w:val="pct10" w:color="auto" w:fill="auto"/>
          </w:tcPr>
          <w:p w14:paraId="1E65126F"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6,603</w:t>
            </w:r>
          </w:p>
        </w:tc>
        <w:tc>
          <w:tcPr>
            <w:tcW w:w="860" w:type="dxa"/>
            <w:tcBorders>
              <w:left w:val="single" w:sz="12" w:space="0" w:color="auto"/>
              <w:bottom w:val="single" w:sz="4" w:space="0" w:color="auto"/>
              <w:right w:val="single" w:sz="12" w:space="0" w:color="auto"/>
            </w:tcBorders>
          </w:tcPr>
          <w:p w14:paraId="2680FA8D"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6,922</w:t>
            </w:r>
          </w:p>
        </w:tc>
        <w:tc>
          <w:tcPr>
            <w:tcW w:w="816" w:type="dxa"/>
            <w:tcBorders>
              <w:left w:val="single" w:sz="12" w:space="0" w:color="auto"/>
              <w:bottom w:val="single" w:sz="4" w:space="0" w:color="auto"/>
              <w:right w:val="single" w:sz="12" w:space="0" w:color="auto"/>
            </w:tcBorders>
          </w:tcPr>
          <w:p w14:paraId="3D18BEFA"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1,652</w:t>
            </w:r>
          </w:p>
        </w:tc>
        <w:tc>
          <w:tcPr>
            <w:tcW w:w="860" w:type="dxa"/>
            <w:tcBorders>
              <w:left w:val="single" w:sz="12" w:space="0" w:color="auto"/>
              <w:bottom w:val="single" w:sz="4" w:space="0" w:color="auto"/>
              <w:right w:val="single" w:sz="12" w:space="0" w:color="auto"/>
            </w:tcBorders>
          </w:tcPr>
          <w:p w14:paraId="796348CB"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1,815</w:t>
            </w:r>
          </w:p>
        </w:tc>
        <w:tc>
          <w:tcPr>
            <w:tcW w:w="842" w:type="dxa"/>
            <w:tcBorders>
              <w:left w:val="single" w:sz="12" w:space="0" w:color="auto"/>
              <w:bottom w:val="single" w:sz="4" w:space="0" w:color="auto"/>
              <w:right w:val="single" w:sz="12" w:space="0" w:color="auto"/>
            </w:tcBorders>
          </w:tcPr>
          <w:p w14:paraId="70EC9AFD"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963</w:t>
            </w:r>
          </w:p>
        </w:tc>
        <w:tc>
          <w:tcPr>
            <w:tcW w:w="729" w:type="dxa"/>
            <w:tcBorders>
              <w:left w:val="single" w:sz="12" w:space="0" w:color="auto"/>
              <w:bottom w:val="single" w:sz="4" w:space="0" w:color="auto"/>
              <w:right w:val="single" w:sz="12" w:space="0" w:color="auto"/>
            </w:tcBorders>
          </w:tcPr>
          <w:p w14:paraId="4002D6DE"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741</w:t>
            </w:r>
          </w:p>
        </w:tc>
        <w:tc>
          <w:tcPr>
            <w:tcW w:w="729" w:type="dxa"/>
            <w:tcBorders>
              <w:left w:val="single" w:sz="12" w:space="0" w:color="auto"/>
              <w:bottom w:val="single" w:sz="4" w:space="0" w:color="auto"/>
              <w:right w:val="single" w:sz="12" w:space="0" w:color="auto"/>
            </w:tcBorders>
          </w:tcPr>
          <w:p w14:paraId="47F9DF56"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1,243</w:t>
            </w:r>
          </w:p>
        </w:tc>
        <w:tc>
          <w:tcPr>
            <w:tcW w:w="955" w:type="dxa"/>
            <w:tcBorders>
              <w:left w:val="single" w:sz="12" w:space="0" w:color="auto"/>
              <w:bottom w:val="single" w:sz="4" w:space="0" w:color="auto"/>
            </w:tcBorders>
          </w:tcPr>
          <w:p w14:paraId="57F9B42B"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46,187</w:t>
            </w:r>
          </w:p>
        </w:tc>
      </w:tr>
      <w:tr w:rsidR="005D4FF3" w:rsidRPr="00CB73D1" w14:paraId="76C8522C" w14:textId="77777777" w:rsidTr="00151F5D">
        <w:tblPrEx>
          <w:tblCellMar>
            <w:top w:w="0" w:type="dxa"/>
            <w:bottom w:w="0" w:type="dxa"/>
          </w:tblCellMar>
        </w:tblPrEx>
        <w:trPr>
          <w:jc w:val="center"/>
        </w:trPr>
        <w:tc>
          <w:tcPr>
            <w:tcW w:w="1182" w:type="dxa"/>
            <w:tcBorders>
              <w:top w:val="single" w:sz="4" w:space="0" w:color="auto"/>
              <w:left w:val="single" w:sz="12" w:space="0" w:color="auto"/>
              <w:bottom w:val="single" w:sz="4" w:space="0" w:color="auto"/>
              <w:right w:val="single" w:sz="12" w:space="0" w:color="auto"/>
            </w:tcBorders>
          </w:tcPr>
          <w:p w14:paraId="06AB19C0" w14:textId="77777777" w:rsidR="005D4FF3" w:rsidRPr="00CB73D1" w:rsidRDefault="005D4FF3" w:rsidP="00782D20">
            <w:pPr>
              <w:jc w:val="center"/>
              <w:rPr>
                <w:rFonts w:ascii="Arial" w:hAnsi="Arial" w:cs="Arial"/>
                <w:color w:val="000000"/>
                <w:sz w:val="20"/>
              </w:rPr>
            </w:pPr>
            <w:r w:rsidRPr="00CB73D1">
              <w:rPr>
                <w:rFonts w:ascii="Arial" w:hAnsi="Arial" w:cs="Arial"/>
                <w:color w:val="000000"/>
                <w:sz w:val="20"/>
              </w:rPr>
              <w:t>2010-2011</w:t>
            </w:r>
          </w:p>
        </w:tc>
        <w:tc>
          <w:tcPr>
            <w:tcW w:w="956" w:type="dxa"/>
            <w:tcBorders>
              <w:top w:val="single" w:sz="4" w:space="0" w:color="auto"/>
              <w:left w:val="single" w:sz="12" w:space="0" w:color="auto"/>
              <w:bottom w:val="single" w:sz="4" w:space="0" w:color="auto"/>
              <w:right w:val="single" w:sz="12" w:space="0" w:color="auto"/>
            </w:tcBorders>
          </w:tcPr>
          <w:p w14:paraId="6D0793C5"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18,596</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56BCCF2C"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7,643</w:t>
            </w:r>
          </w:p>
        </w:tc>
        <w:tc>
          <w:tcPr>
            <w:tcW w:w="860" w:type="dxa"/>
            <w:tcBorders>
              <w:top w:val="single" w:sz="4" w:space="0" w:color="auto"/>
              <w:left w:val="single" w:sz="12" w:space="0" w:color="auto"/>
              <w:bottom w:val="single" w:sz="4" w:space="0" w:color="auto"/>
              <w:right w:val="single" w:sz="12" w:space="0" w:color="auto"/>
            </w:tcBorders>
          </w:tcPr>
          <w:p w14:paraId="2464A653"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6,598</w:t>
            </w:r>
          </w:p>
        </w:tc>
        <w:tc>
          <w:tcPr>
            <w:tcW w:w="816" w:type="dxa"/>
            <w:tcBorders>
              <w:top w:val="single" w:sz="4" w:space="0" w:color="auto"/>
              <w:left w:val="single" w:sz="12" w:space="0" w:color="auto"/>
              <w:bottom w:val="single" w:sz="4" w:space="0" w:color="auto"/>
              <w:right w:val="single" w:sz="12" w:space="0" w:color="auto"/>
            </w:tcBorders>
          </w:tcPr>
          <w:p w14:paraId="444D81BD"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1,907</w:t>
            </w:r>
          </w:p>
        </w:tc>
        <w:tc>
          <w:tcPr>
            <w:tcW w:w="860" w:type="dxa"/>
            <w:tcBorders>
              <w:top w:val="single" w:sz="4" w:space="0" w:color="auto"/>
              <w:left w:val="single" w:sz="12" w:space="0" w:color="auto"/>
              <w:bottom w:val="single" w:sz="4" w:space="0" w:color="auto"/>
              <w:right w:val="single" w:sz="12" w:space="0" w:color="auto"/>
            </w:tcBorders>
          </w:tcPr>
          <w:p w14:paraId="6C77035A"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2,220</w:t>
            </w:r>
          </w:p>
        </w:tc>
        <w:tc>
          <w:tcPr>
            <w:tcW w:w="842" w:type="dxa"/>
            <w:tcBorders>
              <w:top w:val="single" w:sz="4" w:space="0" w:color="auto"/>
              <w:left w:val="single" w:sz="12" w:space="0" w:color="auto"/>
              <w:bottom w:val="single" w:sz="4" w:space="0" w:color="auto"/>
              <w:right w:val="single" w:sz="12" w:space="0" w:color="auto"/>
            </w:tcBorders>
          </w:tcPr>
          <w:p w14:paraId="2CC88FC7"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1,225</w:t>
            </w:r>
          </w:p>
        </w:tc>
        <w:tc>
          <w:tcPr>
            <w:tcW w:w="729" w:type="dxa"/>
            <w:tcBorders>
              <w:top w:val="single" w:sz="4" w:space="0" w:color="auto"/>
              <w:left w:val="single" w:sz="12" w:space="0" w:color="auto"/>
              <w:bottom w:val="single" w:sz="4" w:space="0" w:color="auto"/>
              <w:right w:val="single" w:sz="12" w:space="0" w:color="auto"/>
            </w:tcBorders>
          </w:tcPr>
          <w:p w14:paraId="25409757"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636</w:t>
            </w:r>
          </w:p>
        </w:tc>
        <w:tc>
          <w:tcPr>
            <w:tcW w:w="729" w:type="dxa"/>
            <w:tcBorders>
              <w:top w:val="single" w:sz="4" w:space="0" w:color="auto"/>
              <w:left w:val="single" w:sz="12" w:space="0" w:color="auto"/>
              <w:bottom w:val="single" w:sz="4" w:space="0" w:color="auto"/>
              <w:right w:val="single" w:sz="12" w:space="0" w:color="auto"/>
            </w:tcBorders>
          </w:tcPr>
          <w:p w14:paraId="39FABA79"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1,641</w:t>
            </w:r>
          </w:p>
        </w:tc>
        <w:tc>
          <w:tcPr>
            <w:tcW w:w="955" w:type="dxa"/>
            <w:tcBorders>
              <w:top w:val="single" w:sz="4" w:space="0" w:color="auto"/>
              <w:left w:val="single" w:sz="12" w:space="0" w:color="auto"/>
              <w:bottom w:val="single" w:sz="4" w:space="0" w:color="auto"/>
            </w:tcBorders>
          </w:tcPr>
          <w:p w14:paraId="62D093F0"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40,466</w:t>
            </w:r>
          </w:p>
        </w:tc>
      </w:tr>
      <w:tr w:rsidR="00151F5D" w:rsidRPr="003D5DFA" w14:paraId="1B851F91" w14:textId="77777777" w:rsidTr="00492F82">
        <w:tblPrEx>
          <w:tblCellMar>
            <w:top w:w="0" w:type="dxa"/>
            <w:bottom w:w="0" w:type="dxa"/>
          </w:tblCellMar>
        </w:tblPrEx>
        <w:trPr>
          <w:jc w:val="center"/>
        </w:trPr>
        <w:tc>
          <w:tcPr>
            <w:tcW w:w="1182" w:type="dxa"/>
            <w:tcBorders>
              <w:top w:val="single" w:sz="4" w:space="0" w:color="auto"/>
              <w:left w:val="single" w:sz="12" w:space="0" w:color="auto"/>
              <w:bottom w:val="single" w:sz="4" w:space="0" w:color="auto"/>
              <w:right w:val="single" w:sz="12" w:space="0" w:color="auto"/>
            </w:tcBorders>
          </w:tcPr>
          <w:p w14:paraId="7E056914"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2011-2012</w:t>
            </w:r>
          </w:p>
        </w:tc>
        <w:tc>
          <w:tcPr>
            <w:tcW w:w="956" w:type="dxa"/>
            <w:tcBorders>
              <w:top w:val="single" w:sz="4" w:space="0" w:color="auto"/>
              <w:left w:val="single" w:sz="12" w:space="0" w:color="auto"/>
              <w:bottom w:val="single" w:sz="4" w:space="0" w:color="auto"/>
              <w:right w:val="single" w:sz="12" w:space="0" w:color="auto"/>
            </w:tcBorders>
          </w:tcPr>
          <w:p w14:paraId="309D114A"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23,175</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14AD0273"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9,075</w:t>
            </w:r>
          </w:p>
        </w:tc>
        <w:tc>
          <w:tcPr>
            <w:tcW w:w="860" w:type="dxa"/>
            <w:tcBorders>
              <w:top w:val="single" w:sz="4" w:space="0" w:color="auto"/>
              <w:left w:val="single" w:sz="12" w:space="0" w:color="auto"/>
              <w:bottom w:val="single" w:sz="4" w:space="0" w:color="auto"/>
              <w:right w:val="single" w:sz="12" w:space="0" w:color="auto"/>
            </w:tcBorders>
          </w:tcPr>
          <w:p w14:paraId="4C43C2F4"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7,681</w:t>
            </w:r>
          </w:p>
        </w:tc>
        <w:tc>
          <w:tcPr>
            <w:tcW w:w="816" w:type="dxa"/>
            <w:tcBorders>
              <w:top w:val="single" w:sz="4" w:space="0" w:color="auto"/>
              <w:left w:val="single" w:sz="12" w:space="0" w:color="auto"/>
              <w:bottom w:val="single" w:sz="4" w:space="0" w:color="auto"/>
              <w:right w:val="single" w:sz="12" w:space="0" w:color="auto"/>
            </w:tcBorders>
          </w:tcPr>
          <w:p w14:paraId="5E9AE7ED"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2,759</w:t>
            </w:r>
          </w:p>
        </w:tc>
        <w:tc>
          <w:tcPr>
            <w:tcW w:w="860" w:type="dxa"/>
            <w:tcBorders>
              <w:top w:val="single" w:sz="4" w:space="0" w:color="auto"/>
              <w:left w:val="single" w:sz="12" w:space="0" w:color="auto"/>
              <w:bottom w:val="single" w:sz="4" w:space="0" w:color="auto"/>
              <w:right w:val="single" w:sz="12" w:space="0" w:color="auto"/>
            </w:tcBorders>
          </w:tcPr>
          <w:p w14:paraId="77C04E67"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2,139</w:t>
            </w:r>
          </w:p>
        </w:tc>
        <w:tc>
          <w:tcPr>
            <w:tcW w:w="842" w:type="dxa"/>
            <w:tcBorders>
              <w:top w:val="single" w:sz="4" w:space="0" w:color="auto"/>
              <w:left w:val="single" w:sz="12" w:space="0" w:color="auto"/>
              <w:bottom w:val="single" w:sz="4" w:space="0" w:color="auto"/>
              <w:right w:val="single" w:sz="12" w:space="0" w:color="auto"/>
            </w:tcBorders>
          </w:tcPr>
          <w:p w14:paraId="278CC76C"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1,025</w:t>
            </w:r>
          </w:p>
        </w:tc>
        <w:tc>
          <w:tcPr>
            <w:tcW w:w="729" w:type="dxa"/>
            <w:tcBorders>
              <w:top w:val="single" w:sz="4" w:space="0" w:color="auto"/>
              <w:left w:val="single" w:sz="12" w:space="0" w:color="auto"/>
              <w:bottom w:val="single" w:sz="4" w:space="0" w:color="auto"/>
              <w:right w:val="single" w:sz="12" w:space="0" w:color="auto"/>
            </w:tcBorders>
          </w:tcPr>
          <w:p w14:paraId="5ECB3367"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861</w:t>
            </w:r>
          </w:p>
        </w:tc>
        <w:tc>
          <w:tcPr>
            <w:tcW w:w="729" w:type="dxa"/>
            <w:tcBorders>
              <w:top w:val="single" w:sz="4" w:space="0" w:color="auto"/>
              <w:left w:val="single" w:sz="12" w:space="0" w:color="auto"/>
              <w:bottom w:val="single" w:sz="4" w:space="0" w:color="auto"/>
              <w:right w:val="single" w:sz="12" w:space="0" w:color="auto"/>
            </w:tcBorders>
          </w:tcPr>
          <w:p w14:paraId="347FE6F6"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1,705</w:t>
            </w:r>
          </w:p>
        </w:tc>
        <w:tc>
          <w:tcPr>
            <w:tcW w:w="955" w:type="dxa"/>
            <w:tcBorders>
              <w:top w:val="single" w:sz="4" w:space="0" w:color="auto"/>
              <w:left w:val="single" w:sz="12" w:space="0" w:color="auto"/>
              <w:bottom w:val="single" w:sz="4" w:space="0" w:color="auto"/>
            </w:tcBorders>
          </w:tcPr>
          <w:p w14:paraId="29CC3E77"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48,420</w:t>
            </w:r>
          </w:p>
        </w:tc>
      </w:tr>
      <w:tr w:rsidR="00492F82" w:rsidRPr="003D5DFA" w14:paraId="7F7BAAC3" w14:textId="77777777" w:rsidTr="00B00042">
        <w:tblPrEx>
          <w:tblCellMar>
            <w:top w:w="0" w:type="dxa"/>
            <w:bottom w:w="0" w:type="dxa"/>
          </w:tblCellMar>
        </w:tblPrEx>
        <w:trPr>
          <w:jc w:val="center"/>
        </w:trPr>
        <w:tc>
          <w:tcPr>
            <w:tcW w:w="1182" w:type="dxa"/>
            <w:tcBorders>
              <w:top w:val="single" w:sz="4" w:space="0" w:color="auto"/>
              <w:left w:val="single" w:sz="12" w:space="0" w:color="auto"/>
              <w:bottom w:val="single" w:sz="4" w:space="0" w:color="auto"/>
              <w:right w:val="single" w:sz="12" w:space="0" w:color="auto"/>
            </w:tcBorders>
          </w:tcPr>
          <w:p w14:paraId="5D18CA53" w14:textId="77777777" w:rsidR="00492F82" w:rsidRPr="003D5DFA" w:rsidRDefault="00492F82" w:rsidP="00782D20">
            <w:pPr>
              <w:jc w:val="center"/>
              <w:rPr>
                <w:rFonts w:ascii="Arial" w:hAnsi="Arial" w:cs="Arial"/>
                <w:color w:val="000000"/>
                <w:sz w:val="20"/>
              </w:rPr>
            </w:pPr>
            <w:r>
              <w:rPr>
                <w:rFonts w:ascii="Arial" w:hAnsi="Arial" w:cs="Arial"/>
                <w:color w:val="000000"/>
                <w:sz w:val="20"/>
              </w:rPr>
              <w:t>2012-2013</w:t>
            </w:r>
          </w:p>
        </w:tc>
        <w:tc>
          <w:tcPr>
            <w:tcW w:w="956" w:type="dxa"/>
            <w:tcBorders>
              <w:top w:val="single" w:sz="4" w:space="0" w:color="auto"/>
              <w:left w:val="single" w:sz="12" w:space="0" w:color="auto"/>
              <w:bottom w:val="single" w:sz="4" w:space="0" w:color="auto"/>
              <w:right w:val="single" w:sz="12" w:space="0" w:color="auto"/>
            </w:tcBorders>
          </w:tcPr>
          <w:p w14:paraId="1B16CB64" w14:textId="77777777" w:rsidR="00492F82" w:rsidRPr="003D5DFA" w:rsidRDefault="00921BCD" w:rsidP="00782D20">
            <w:pPr>
              <w:jc w:val="center"/>
              <w:rPr>
                <w:rFonts w:ascii="Arial" w:hAnsi="Arial" w:cs="Arial"/>
                <w:color w:val="000000"/>
                <w:sz w:val="20"/>
              </w:rPr>
            </w:pPr>
            <w:r>
              <w:rPr>
                <w:rFonts w:ascii="Arial" w:hAnsi="Arial" w:cs="Arial"/>
                <w:color w:val="000000"/>
                <w:sz w:val="20"/>
              </w:rPr>
              <w:t>16,236</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54856AC2" w14:textId="77777777" w:rsidR="00492F82" w:rsidRPr="003D5DFA" w:rsidRDefault="00921BCD" w:rsidP="00782D20">
            <w:pPr>
              <w:jc w:val="center"/>
              <w:rPr>
                <w:rFonts w:ascii="Arial" w:hAnsi="Arial" w:cs="Arial"/>
                <w:color w:val="000000"/>
                <w:sz w:val="20"/>
              </w:rPr>
            </w:pPr>
            <w:r>
              <w:rPr>
                <w:rFonts w:ascii="Arial" w:hAnsi="Arial" w:cs="Arial"/>
                <w:color w:val="000000"/>
                <w:sz w:val="20"/>
              </w:rPr>
              <w:t>10,048</w:t>
            </w:r>
          </w:p>
        </w:tc>
        <w:tc>
          <w:tcPr>
            <w:tcW w:w="860" w:type="dxa"/>
            <w:tcBorders>
              <w:top w:val="single" w:sz="4" w:space="0" w:color="auto"/>
              <w:left w:val="single" w:sz="12" w:space="0" w:color="auto"/>
              <w:bottom w:val="single" w:sz="4" w:space="0" w:color="auto"/>
              <w:right w:val="single" w:sz="12" w:space="0" w:color="auto"/>
            </w:tcBorders>
          </w:tcPr>
          <w:p w14:paraId="1D5D6D7E" w14:textId="77777777" w:rsidR="00492F82" w:rsidRPr="003D5DFA" w:rsidRDefault="00921BCD" w:rsidP="00782D20">
            <w:pPr>
              <w:jc w:val="center"/>
              <w:rPr>
                <w:rFonts w:ascii="Arial" w:hAnsi="Arial" w:cs="Arial"/>
                <w:color w:val="000000"/>
                <w:sz w:val="20"/>
              </w:rPr>
            </w:pPr>
            <w:r>
              <w:rPr>
                <w:rFonts w:ascii="Arial" w:hAnsi="Arial" w:cs="Arial"/>
                <w:color w:val="000000"/>
                <w:sz w:val="20"/>
              </w:rPr>
              <w:t>7,149</w:t>
            </w:r>
          </w:p>
        </w:tc>
        <w:tc>
          <w:tcPr>
            <w:tcW w:w="816" w:type="dxa"/>
            <w:tcBorders>
              <w:top w:val="single" w:sz="4" w:space="0" w:color="auto"/>
              <w:left w:val="single" w:sz="12" w:space="0" w:color="auto"/>
              <w:bottom w:val="single" w:sz="4" w:space="0" w:color="auto"/>
              <w:right w:val="single" w:sz="12" w:space="0" w:color="auto"/>
            </w:tcBorders>
          </w:tcPr>
          <w:p w14:paraId="243E4C86" w14:textId="77777777" w:rsidR="00492F82" w:rsidRPr="003D5DFA" w:rsidRDefault="00921BCD" w:rsidP="00782D20">
            <w:pPr>
              <w:jc w:val="center"/>
              <w:rPr>
                <w:rFonts w:ascii="Arial" w:hAnsi="Arial" w:cs="Arial"/>
                <w:color w:val="000000"/>
                <w:sz w:val="20"/>
              </w:rPr>
            </w:pPr>
            <w:r>
              <w:rPr>
                <w:rFonts w:ascii="Arial" w:hAnsi="Arial" w:cs="Arial"/>
                <w:color w:val="000000"/>
                <w:sz w:val="20"/>
              </w:rPr>
              <w:t>2,686</w:t>
            </w:r>
          </w:p>
        </w:tc>
        <w:tc>
          <w:tcPr>
            <w:tcW w:w="860" w:type="dxa"/>
            <w:tcBorders>
              <w:top w:val="single" w:sz="4" w:space="0" w:color="auto"/>
              <w:left w:val="single" w:sz="12" w:space="0" w:color="auto"/>
              <w:bottom w:val="single" w:sz="4" w:space="0" w:color="auto"/>
              <w:right w:val="single" w:sz="12" w:space="0" w:color="auto"/>
            </w:tcBorders>
          </w:tcPr>
          <w:p w14:paraId="050A6AAE" w14:textId="77777777" w:rsidR="00492F82" w:rsidRPr="003D5DFA" w:rsidRDefault="00921BCD" w:rsidP="00782D20">
            <w:pPr>
              <w:jc w:val="center"/>
              <w:rPr>
                <w:rFonts w:ascii="Arial" w:hAnsi="Arial" w:cs="Arial"/>
                <w:color w:val="000000"/>
                <w:sz w:val="20"/>
              </w:rPr>
            </w:pPr>
            <w:r>
              <w:rPr>
                <w:rFonts w:ascii="Arial" w:hAnsi="Arial" w:cs="Arial"/>
                <w:color w:val="000000"/>
                <w:sz w:val="20"/>
              </w:rPr>
              <w:t>1,836</w:t>
            </w:r>
          </w:p>
        </w:tc>
        <w:tc>
          <w:tcPr>
            <w:tcW w:w="842" w:type="dxa"/>
            <w:tcBorders>
              <w:top w:val="single" w:sz="4" w:space="0" w:color="auto"/>
              <w:left w:val="single" w:sz="12" w:space="0" w:color="auto"/>
              <w:bottom w:val="single" w:sz="4" w:space="0" w:color="auto"/>
              <w:right w:val="single" w:sz="12" w:space="0" w:color="auto"/>
            </w:tcBorders>
          </w:tcPr>
          <w:p w14:paraId="7BAB38F3" w14:textId="77777777" w:rsidR="00492F82" w:rsidRPr="003D5DFA" w:rsidRDefault="00921BCD" w:rsidP="00782D20">
            <w:pPr>
              <w:jc w:val="center"/>
              <w:rPr>
                <w:rFonts w:ascii="Arial" w:hAnsi="Arial" w:cs="Arial"/>
                <w:color w:val="000000"/>
                <w:sz w:val="20"/>
              </w:rPr>
            </w:pPr>
            <w:r>
              <w:rPr>
                <w:rFonts w:ascii="Arial" w:hAnsi="Arial" w:cs="Arial"/>
                <w:color w:val="000000"/>
                <w:sz w:val="20"/>
              </w:rPr>
              <w:t>918</w:t>
            </w:r>
          </w:p>
        </w:tc>
        <w:tc>
          <w:tcPr>
            <w:tcW w:w="729" w:type="dxa"/>
            <w:tcBorders>
              <w:top w:val="single" w:sz="4" w:space="0" w:color="auto"/>
              <w:left w:val="single" w:sz="12" w:space="0" w:color="auto"/>
              <w:bottom w:val="single" w:sz="4" w:space="0" w:color="auto"/>
              <w:right w:val="single" w:sz="12" w:space="0" w:color="auto"/>
            </w:tcBorders>
          </w:tcPr>
          <w:p w14:paraId="72B4B4C4" w14:textId="77777777" w:rsidR="00492F82" w:rsidRPr="003D5DFA" w:rsidRDefault="00921BCD" w:rsidP="00782D20">
            <w:pPr>
              <w:jc w:val="center"/>
              <w:rPr>
                <w:rFonts w:ascii="Arial" w:hAnsi="Arial" w:cs="Arial"/>
                <w:color w:val="000000"/>
                <w:sz w:val="20"/>
              </w:rPr>
            </w:pPr>
            <w:r>
              <w:rPr>
                <w:rFonts w:ascii="Arial" w:hAnsi="Arial" w:cs="Arial"/>
                <w:color w:val="000000"/>
                <w:sz w:val="20"/>
              </w:rPr>
              <w:t>494</w:t>
            </w:r>
          </w:p>
        </w:tc>
        <w:tc>
          <w:tcPr>
            <w:tcW w:w="729" w:type="dxa"/>
            <w:tcBorders>
              <w:top w:val="single" w:sz="4" w:space="0" w:color="auto"/>
              <w:left w:val="single" w:sz="12" w:space="0" w:color="auto"/>
              <w:bottom w:val="single" w:sz="4" w:space="0" w:color="auto"/>
              <w:right w:val="single" w:sz="12" w:space="0" w:color="auto"/>
            </w:tcBorders>
          </w:tcPr>
          <w:p w14:paraId="1987B206" w14:textId="77777777" w:rsidR="00492F82" w:rsidRPr="003D5DFA" w:rsidRDefault="00921BCD" w:rsidP="00782D20">
            <w:pPr>
              <w:jc w:val="center"/>
              <w:rPr>
                <w:rFonts w:ascii="Arial" w:hAnsi="Arial" w:cs="Arial"/>
                <w:color w:val="000000"/>
                <w:sz w:val="20"/>
              </w:rPr>
            </w:pPr>
            <w:r>
              <w:rPr>
                <w:rFonts w:ascii="Arial" w:hAnsi="Arial" w:cs="Arial"/>
                <w:color w:val="000000"/>
                <w:sz w:val="20"/>
              </w:rPr>
              <w:t>1,204</w:t>
            </w:r>
          </w:p>
        </w:tc>
        <w:tc>
          <w:tcPr>
            <w:tcW w:w="955" w:type="dxa"/>
            <w:tcBorders>
              <w:top w:val="single" w:sz="4" w:space="0" w:color="auto"/>
              <w:left w:val="single" w:sz="12" w:space="0" w:color="auto"/>
              <w:bottom w:val="single" w:sz="4" w:space="0" w:color="auto"/>
            </w:tcBorders>
          </w:tcPr>
          <w:p w14:paraId="05C55C89" w14:textId="77777777" w:rsidR="00492F82" w:rsidRPr="003D5DFA" w:rsidRDefault="00921BCD" w:rsidP="00782D20">
            <w:pPr>
              <w:jc w:val="center"/>
              <w:rPr>
                <w:rFonts w:ascii="Arial" w:hAnsi="Arial" w:cs="Arial"/>
                <w:color w:val="000000"/>
                <w:sz w:val="20"/>
              </w:rPr>
            </w:pPr>
            <w:r>
              <w:rPr>
                <w:rFonts w:ascii="Arial" w:hAnsi="Arial" w:cs="Arial"/>
                <w:color w:val="000000"/>
                <w:sz w:val="20"/>
              </w:rPr>
              <w:t>40,571</w:t>
            </w:r>
          </w:p>
        </w:tc>
      </w:tr>
      <w:tr w:rsidR="00B00042" w:rsidRPr="003D5DFA" w14:paraId="73A736D7" w14:textId="77777777" w:rsidTr="00C650FB">
        <w:tblPrEx>
          <w:tblCellMar>
            <w:top w:w="0" w:type="dxa"/>
            <w:bottom w:w="0" w:type="dxa"/>
          </w:tblCellMar>
        </w:tblPrEx>
        <w:trPr>
          <w:jc w:val="center"/>
        </w:trPr>
        <w:tc>
          <w:tcPr>
            <w:tcW w:w="1182" w:type="dxa"/>
            <w:tcBorders>
              <w:top w:val="single" w:sz="4" w:space="0" w:color="auto"/>
              <w:left w:val="single" w:sz="12" w:space="0" w:color="auto"/>
              <w:bottom w:val="single" w:sz="18" w:space="0" w:color="auto"/>
              <w:right w:val="single" w:sz="12" w:space="0" w:color="auto"/>
            </w:tcBorders>
          </w:tcPr>
          <w:p w14:paraId="4653077B" w14:textId="77777777" w:rsidR="00B00042" w:rsidRDefault="00B00042" w:rsidP="00782D20">
            <w:pPr>
              <w:jc w:val="center"/>
              <w:rPr>
                <w:rFonts w:ascii="Arial" w:hAnsi="Arial" w:cs="Arial"/>
                <w:color w:val="000000"/>
                <w:sz w:val="20"/>
              </w:rPr>
            </w:pPr>
            <w:r>
              <w:rPr>
                <w:rFonts w:ascii="Arial" w:hAnsi="Arial" w:cs="Arial"/>
                <w:color w:val="000000"/>
                <w:sz w:val="20"/>
              </w:rPr>
              <w:t>2013-2014</w:t>
            </w:r>
          </w:p>
        </w:tc>
        <w:tc>
          <w:tcPr>
            <w:tcW w:w="956" w:type="dxa"/>
            <w:tcBorders>
              <w:top w:val="single" w:sz="4" w:space="0" w:color="auto"/>
              <w:left w:val="single" w:sz="12" w:space="0" w:color="auto"/>
              <w:bottom w:val="single" w:sz="18" w:space="0" w:color="auto"/>
              <w:right w:val="single" w:sz="12" w:space="0" w:color="auto"/>
            </w:tcBorders>
          </w:tcPr>
          <w:p w14:paraId="7A52D146" w14:textId="77777777" w:rsidR="00B00042" w:rsidRDefault="00B00042" w:rsidP="00782D20">
            <w:pPr>
              <w:jc w:val="center"/>
              <w:rPr>
                <w:rFonts w:ascii="Arial" w:hAnsi="Arial" w:cs="Arial"/>
                <w:color w:val="000000"/>
                <w:sz w:val="20"/>
              </w:rPr>
            </w:pPr>
            <w:r>
              <w:rPr>
                <w:rFonts w:ascii="Arial" w:hAnsi="Arial" w:cs="Arial"/>
                <w:color w:val="000000"/>
                <w:sz w:val="20"/>
              </w:rPr>
              <w:t>15,074</w:t>
            </w:r>
          </w:p>
        </w:tc>
        <w:tc>
          <w:tcPr>
            <w:tcW w:w="860" w:type="dxa"/>
            <w:tcBorders>
              <w:top w:val="single" w:sz="4" w:space="0" w:color="auto"/>
              <w:left w:val="single" w:sz="12" w:space="0" w:color="auto"/>
              <w:bottom w:val="single" w:sz="18" w:space="0" w:color="auto"/>
              <w:right w:val="single" w:sz="12" w:space="0" w:color="auto"/>
            </w:tcBorders>
            <w:shd w:val="pct10" w:color="auto" w:fill="auto"/>
          </w:tcPr>
          <w:p w14:paraId="5633513B" w14:textId="77777777" w:rsidR="00B00042" w:rsidRDefault="00B00042" w:rsidP="00782D20">
            <w:pPr>
              <w:jc w:val="center"/>
              <w:rPr>
                <w:rFonts w:ascii="Arial" w:hAnsi="Arial" w:cs="Arial"/>
                <w:color w:val="000000"/>
                <w:sz w:val="20"/>
              </w:rPr>
            </w:pPr>
            <w:r>
              <w:rPr>
                <w:rFonts w:ascii="Arial" w:hAnsi="Arial" w:cs="Arial"/>
                <w:color w:val="000000"/>
                <w:sz w:val="20"/>
              </w:rPr>
              <w:t>11,395</w:t>
            </w:r>
          </w:p>
        </w:tc>
        <w:tc>
          <w:tcPr>
            <w:tcW w:w="860" w:type="dxa"/>
            <w:tcBorders>
              <w:top w:val="single" w:sz="4" w:space="0" w:color="auto"/>
              <w:left w:val="single" w:sz="12" w:space="0" w:color="auto"/>
              <w:bottom w:val="single" w:sz="18" w:space="0" w:color="auto"/>
              <w:right w:val="single" w:sz="12" w:space="0" w:color="auto"/>
            </w:tcBorders>
          </w:tcPr>
          <w:p w14:paraId="09C0265E" w14:textId="77777777" w:rsidR="00B00042" w:rsidRDefault="00B00042" w:rsidP="00782D20">
            <w:pPr>
              <w:jc w:val="center"/>
              <w:rPr>
                <w:rFonts w:ascii="Arial" w:hAnsi="Arial" w:cs="Arial"/>
                <w:color w:val="000000"/>
                <w:sz w:val="20"/>
              </w:rPr>
            </w:pPr>
            <w:r>
              <w:rPr>
                <w:rFonts w:ascii="Arial" w:hAnsi="Arial" w:cs="Arial"/>
                <w:color w:val="000000"/>
                <w:sz w:val="20"/>
              </w:rPr>
              <w:t>6,685</w:t>
            </w:r>
          </w:p>
        </w:tc>
        <w:tc>
          <w:tcPr>
            <w:tcW w:w="816" w:type="dxa"/>
            <w:tcBorders>
              <w:top w:val="single" w:sz="4" w:space="0" w:color="auto"/>
              <w:left w:val="single" w:sz="12" w:space="0" w:color="auto"/>
              <w:bottom w:val="single" w:sz="18" w:space="0" w:color="auto"/>
              <w:right w:val="single" w:sz="12" w:space="0" w:color="auto"/>
            </w:tcBorders>
          </w:tcPr>
          <w:p w14:paraId="2B8CA723" w14:textId="77777777" w:rsidR="00B00042" w:rsidRDefault="00B00042" w:rsidP="00782D20">
            <w:pPr>
              <w:jc w:val="center"/>
              <w:rPr>
                <w:rFonts w:ascii="Arial" w:hAnsi="Arial" w:cs="Arial"/>
                <w:color w:val="000000"/>
                <w:sz w:val="20"/>
              </w:rPr>
            </w:pPr>
            <w:r>
              <w:rPr>
                <w:rFonts w:ascii="Arial" w:hAnsi="Arial" w:cs="Arial"/>
                <w:color w:val="000000"/>
                <w:sz w:val="20"/>
              </w:rPr>
              <w:t>3,053</w:t>
            </w:r>
          </w:p>
        </w:tc>
        <w:tc>
          <w:tcPr>
            <w:tcW w:w="860" w:type="dxa"/>
            <w:tcBorders>
              <w:top w:val="single" w:sz="4" w:space="0" w:color="auto"/>
              <w:left w:val="single" w:sz="12" w:space="0" w:color="auto"/>
              <w:bottom w:val="single" w:sz="18" w:space="0" w:color="auto"/>
              <w:right w:val="single" w:sz="12" w:space="0" w:color="auto"/>
            </w:tcBorders>
          </w:tcPr>
          <w:p w14:paraId="4DF4AC07" w14:textId="77777777" w:rsidR="00B00042" w:rsidRDefault="00B00042" w:rsidP="00782D20">
            <w:pPr>
              <w:jc w:val="center"/>
              <w:rPr>
                <w:rFonts w:ascii="Arial" w:hAnsi="Arial" w:cs="Arial"/>
                <w:color w:val="000000"/>
                <w:sz w:val="20"/>
              </w:rPr>
            </w:pPr>
            <w:r>
              <w:rPr>
                <w:rFonts w:ascii="Arial" w:hAnsi="Arial" w:cs="Arial"/>
                <w:color w:val="000000"/>
                <w:sz w:val="20"/>
              </w:rPr>
              <w:t>2,190</w:t>
            </w:r>
          </w:p>
        </w:tc>
        <w:tc>
          <w:tcPr>
            <w:tcW w:w="842" w:type="dxa"/>
            <w:tcBorders>
              <w:top w:val="single" w:sz="4" w:space="0" w:color="auto"/>
              <w:left w:val="single" w:sz="12" w:space="0" w:color="auto"/>
              <w:bottom w:val="single" w:sz="18" w:space="0" w:color="auto"/>
              <w:right w:val="single" w:sz="12" w:space="0" w:color="auto"/>
            </w:tcBorders>
          </w:tcPr>
          <w:p w14:paraId="3E7858DE" w14:textId="77777777" w:rsidR="00B00042" w:rsidRDefault="00B00042" w:rsidP="00782D20">
            <w:pPr>
              <w:jc w:val="center"/>
              <w:rPr>
                <w:rFonts w:ascii="Arial" w:hAnsi="Arial" w:cs="Arial"/>
                <w:color w:val="000000"/>
                <w:sz w:val="20"/>
              </w:rPr>
            </w:pPr>
            <w:r>
              <w:rPr>
                <w:rFonts w:ascii="Arial" w:hAnsi="Arial" w:cs="Arial"/>
                <w:color w:val="000000"/>
                <w:sz w:val="20"/>
              </w:rPr>
              <w:t>712</w:t>
            </w:r>
          </w:p>
        </w:tc>
        <w:tc>
          <w:tcPr>
            <w:tcW w:w="729" w:type="dxa"/>
            <w:tcBorders>
              <w:top w:val="single" w:sz="4" w:space="0" w:color="auto"/>
              <w:left w:val="single" w:sz="12" w:space="0" w:color="auto"/>
              <w:bottom w:val="single" w:sz="18" w:space="0" w:color="auto"/>
              <w:right w:val="single" w:sz="12" w:space="0" w:color="auto"/>
            </w:tcBorders>
          </w:tcPr>
          <w:p w14:paraId="29F60BB3" w14:textId="77777777" w:rsidR="00B00042" w:rsidRDefault="00B00042" w:rsidP="00782D20">
            <w:pPr>
              <w:jc w:val="center"/>
              <w:rPr>
                <w:rFonts w:ascii="Arial" w:hAnsi="Arial" w:cs="Arial"/>
                <w:color w:val="000000"/>
                <w:sz w:val="20"/>
              </w:rPr>
            </w:pPr>
            <w:r>
              <w:rPr>
                <w:rFonts w:ascii="Arial" w:hAnsi="Arial" w:cs="Arial"/>
                <w:color w:val="000000"/>
                <w:sz w:val="20"/>
              </w:rPr>
              <w:t>341</w:t>
            </w:r>
          </w:p>
        </w:tc>
        <w:tc>
          <w:tcPr>
            <w:tcW w:w="729" w:type="dxa"/>
            <w:tcBorders>
              <w:top w:val="single" w:sz="4" w:space="0" w:color="auto"/>
              <w:left w:val="single" w:sz="12" w:space="0" w:color="auto"/>
              <w:bottom w:val="single" w:sz="18" w:space="0" w:color="auto"/>
              <w:right w:val="single" w:sz="12" w:space="0" w:color="auto"/>
            </w:tcBorders>
          </w:tcPr>
          <w:p w14:paraId="5F2B9DB4" w14:textId="77777777" w:rsidR="00B00042" w:rsidRDefault="00B00042" w:rsidP="00782D20">
            <w:pPr>
              <w:jc w:val="center"/>
              <w:rPr>
                <w:rFonts w:ascii="Arial" w:hAnsi="Arial" w:cs="Arial"/>
                <w:color w:val="000000"/>
                <w:sz w:val="20"/>
              </w:rPr>
            </w:pPr>
            <w:r>
              <w:rPr>
                <w:rFonts w:ascii="Arial" w:hAnsi="Arial" w:cs="Arial"/>
                <w:color w:val="000000"/>
                <w:sz w:val="20"/>
              </w:rPr>
              <w:t>1,394</w:t>
            </w:r>
          </w:p>
        </w:tc>
        <w:tc>
          <w:tcPr>
            <w:tcW w:w="955" w:type="dxa"/>
            <w:tcBorders>
              <w:top w:val="single" w:sz="4" w:space="0" w:color="auto"/>
              <w:left w:val="single" w:sz="12" w:space="0" w:color="auto"/>
              <w:bottom w:val="single" w:sz="18" w:space="0" w:color="auto"/>
            </w:tcBorders>
          </w:tcPr>
          <w:p w14:paraId="274DEDC4" w14:textId="77777777" w:rsidR="00B00042" w:rsidRDefault="00B00042" w:rsidP="00782D20">
            <w:pPr>
              <w:jc w:val="center"/>
              <w:rPr>
                <w:rFonts w:ascii="Arial" w:hAnsi="Arial" w:cs="Arial"/>
                <w:color w:val="000000"/>
                <w:sz w:val="20"/>
              </w:rPr>
            </w:pPr>
            <w:r>
              <w:rPr>
                <w:rFonts w:ascii="Arial" w:hAnsi="Arial" w:cs="Arial"/>
                <w:color w:val="000000"/>
                <w:sz w:val="20"/>
              </w:rPr>
              <w:t>40,844</w:t>
            </w:r>
          </w:p>
        </w:tc>
      </w:tr>
    </w:tbl>
    <w:p w14:paraId="70EFD09C" w14:textId="77777777" w:rsidR="00023781" w:rsidRPr="00785E1A" w:rsidRDefault="00B00042" w:rsidP="00023781">
      <w:pPr>
        <w:keepNext/>
        <w:keepLines/>
        <w:jc w:val="both"/>
        <w:rPr>
          <w:rFonts w:ascii="Arial" w:hAnsi="Arial" w:cs="Arial"/>
          <w:color w:val="000000"/>
          <w:sz w:val="20"/>
        </w:rPr>
      </w:pPr>
      <w:bookmarkStart w:id="850" w:name="_Toc30607531"/>
      <w:bookmarkStart w:id="851" w:name="_Toc30607660"/>
      <w:bookmarkStart w:id="852" w:name="_Toc30607985"/>
      <w:bookmarkStart w:id="853" w:name="_Toc30608818"/>
      <w:bookmarkStart w:id="854" w:name="_Toc30610032"/>
      <w:bookmarkStart w:id="855" w:name="_Toc30610276"/>
      <w:bookmarkStart w:id="856" w:name="_Toc30638430"/>
      <w:bookmarkStart w:id="857" w:name="_Toc30644243"/>
      <w:bookmarkStart w:id="858" w:name="_Toc30644650"/>
      <w:bookmarkStart w:id="859" w:name="_Toc30645200"/>
      <w:bookmarkStart w:id="860" w:name="_Toc30646412"/>
      <w:bookmarkStart w:id="861" w:name="_Toc30646707"/>
      <w:bookmarkStart w:id="862" w:name="_Toc30646818"/>
      <w:bookmarkStart w:id="863" w:name="_Toc30648180"/>
      <w:bookmarkStart w:id="864" w:name="_Toc30649078"/>
      <w:bookmarkStart w:id="865" w:name="_Toc30649154"/>
      <w:bookmarkStart w:id="866" w:name="_Toc30649415"/>
      <w:bookmarkStart w:id="867" w:name="_Toc30649740"/>
      <w:bookmarkStart w:id="868" w:name="_Toc30651680"/>
      <w:bookmarkStart w:id="869" w:name="_Toc30652670"/>
      <w:bookmarkStart w:id="870" w:name="_Toc30652766"/>
      <w:bookmarkStart w:id="871" w:name="_Toc30654111"/>
      <w:bookmarkStart w:id="872" w:name="_Toc30654462"/>
      <w:bookmarkStart w:id="873" w:name="_Toc30655081"/>
      <w:bookmarkStart w:id="874" w:name="_Toc30655338"/>
      <w:bookmarkStart w:id="875" w:name="_Toc30657016"/>
      <w:bookmarkStart w:id="876" w:name="_Toc30661765"/>
      <w:bookmarkStart w:id="877" w:name="_Toc30666453"/>
      <w:bookmarkStart w:id="878" w:name="_Toc30666683"/>
      <w:bookmarkStart w:id="879" w:name="_Toc30667858"/>
      <w:bookmarkStart w:id="880" w:name="_Toc30669236"/>
      <w:bookmarkStart w:id="881" w:name="_Toc30671452"/>
      <w:bookmarkStart w:id="882" w:name="_Toc30673979"/>
      <w:bookmarkStart w:id="883" w:name="_Toc30691201"/>
      <w:bookmarkStart w:id="884" w:name="_Toc30691574"/>
      <w:bookmarkStart w:id="885" w:name="_Toc30691954"/>
      <w:bookmarkStart w:id="886" w:name="_Toc30692713"/>
      <w:bookmarkStart w:id="887" w:name="_Toc30693092"/>
      <w:bookmarkStart w:id="888" w:name="_Toc30693470"/>
      <w:bookmarkStart w:id="889" w:name="_Toc30693848"/>
      <w:bookmarkStart w:id="890" w:name="_Toc30694229"/>
      <w:bookmarkStart w:id="891" w:name="_Toc30698818"/>
      <w:bookmarkStart w:id="892" w:name="_Toc30699196"/>
      <w:bookmarkStart w:id="893" w:name="_Toc30699581"/>
      <w:bookmarkStart w:id="894" w:name="_Toc30700736"/>
      <w:bookmarkStart w:id="895" w:name="_Toc30701123"/>
      <w:bookmarkStart w:id="896" w:name="_Toc30743732"/>
      <w:bookmarkStart w:id="897" w:name="_Toc30754555"/>
      <w:bookmarkStart w:id="898" w:name="_Toc30756995"/>
      <w:bookmarkStart w:id="899" w:name="_Toc30757544"/>
      <w:bookmarkStart w:id="900" w:name="_Toc30757944"/>
      <w:bookmarkStart w:id="901" w:name="_Toc30762705"/>
      <w:bookmarkStart w:id="902" w:name="_Toc30767359"/>
      <w:bookmarkStart w:id="903" w:name="_Toc34823374"/>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Pr>
          <w:rFonts w:ascii="Arial" w:hAnsi="Arial" w:cs="Arial"/>
          <w:bCs/>
          <w:color w:val="000000"/>
          <w:sz w:val="20"/>
        </w:rPr>
        <w:lastRenderedPageBreak/>
        <w:t>I</w:t>
      </w:r>
      <w:r w:rsidR="004B4DC2">
        <w:rPr>
          <w:rFonts w:ascii="Arial" w:hAnsi="Arial" w:cs="Arial"/>
          <w:bCs/>
          <w:color w:val="000000"/>
          <w:sz w:val="20"/>
        </w:rPr>
        <w:t xml:space="preserve">n 2012-2013 the number of substantiated reports </w:t>
      </w:r>
      <w:r>
        <w:rPr>
          <w:rFonts w:ascii="Arial" w:hAnsi="Arial" w:cs="Arial"/>
          <w:bCs/>
          <w:color w:val="000000"/>
          <w:sz w:val="20"/>
        </w:rPr>
        <w:t xml:space="preserve">in Victoria </w:t>
      </w:r>
      <w:r w:rsidR="004B4DC2">
        <w:rPr>
          <w:rFonts w:ascii="Arial" w:hAnsi="Arial" w:cs="Arial"/>
          <w:bCs/>
          <w:color w:val="000000"/>
          <w:sz w:val="20"/>
        </w:rPr>
        <w:t>increased by 11%</w:t>
      </w:r>
      <w:r>
        <w:rPr>
          <w:rFonts w:ascii="Arial" w:hAnsi="Arial" w:cs="Arial"/>
          <w:bCs/>
          <w:color w:val="000000"/>
          <w:sz w:val="20"/>
        </w:rPr>
        <w:t xml:space="preserve"> in 2012-2013 and by % in 2013-2014</w:t>
      </w:r>
      <w:r w:rsidR="004B4DC2">
        <w:rPr>
          <w:rFonts w:ascii="Arial" w:hAnsi="Arial" w:cs="Arial"/>
          <w:bCs/>
          <w:color w:val="000000"/>
          <w:sz w:val="20"/>
        </w:rPr>
        <w:t>.  The decreases in NSW [30%], ACT [43%] and NT [29%] were particularly marked</w:t>
      </w:r>
      <w:r>
        <w:rPr>
          <w:rFonts w:ascii="Arial" w:hAnsi="Arial" w:cs="Arial"/>
          <w:bCs/>
          <w:color w:val="000000"/>
          <w:sz w:val="20"/>
        </w:rPr>
        <w:t xml:space="preserve"> in 2012-2013</w:t>
      </w:r>
      <w:r w:rsidR="004B4DC2">
        <w:rPr>
          <w:rFonts w:ascii="Arial" w:hAnsi="Arial" w:cs="Arial"/>
          <w:bCs/>
          <w:color w:val="000000"/>
          <w:sz w:val="20"/>
        </w:rPr>
        <w:t>.  Is this proof positive of Professor Scott’s “crisis” theory?</w:t>
      </w:r>
    </w:p>
    <w:p w14:paraId="3B22F046" w14:textId="77777777" w:rsidR="004B4DC2" w:rsidRPr="004B4DC2" w:rsidRDefault="004B4DC2" w:rsidP="004B4DC2">
      <w:pPr>
        <w:pStyle w:val="Heading3"/>
        <w:spacing w:line="240" w:lineRule="auto"/>
        <w:rPr>
          <w:rFonts w:ascii="Arial" w:hAnsi="Arial" w:cs="Arial"/>
          <w:bCs/>
          <w:color w:val="000000"/>
          <w:sz w:val="20"/>
          <w:lang w:val="en-AU"/>
        </w:rPr>
      </w:pPr>
    </w:p>
    <w:p w14:paraId="46689428" w14:textId="77777777" w:rsidR="00693223" w:rsidRPr="00785E1A" w:rsidRDefault="00693223" w:rsidP="00166488">
      <w:pPr>
        <w:pStyle w:val="Heading2"/>
        <w:keepNext/>
        <w:keepLines/>
        <w:tabs>
          <w:tab w:val="left" w:pos="567"/>
        </w:tabs>
        <w:spacing w:line="240" w:lineRule="auto"/>
        <w:rPr>
          <w:rFonts w:ascii="Arial" w:hAnsi="Arial" w:cs="Arial"/>
          <w:b/>
          <w:bCs/>
          <w:color w:val="000000"/>
        </w:rPr>
      </w:pPr>
      <w:bookmarkStart w:id="904" w:name="_4.7_Representation_of"/>
      <w:bookmarkStart w:id="905" w:name="B47"/>
      <w:bookmarkEnd w:id="904"/>
      <w:bookmarkEnd w:id="905"/>
      <w:r w:rsidRPr="00785E1A">
        <w:rPr>
          <w:rFonts w:ascii="Arial" w:hAnsi="Arial" w:cs="Arial"/>
          <w:b/>
          <w:bCs/>
          <w:color w:val="000000"/>
        </w:rPr>
        <w:t>4.7</w:t>
      </w:r>
      <w:r w:rsidRPr="00785E1A">
        <w:rPr>
          <w:rFonts w:ascii="Arial" w:hAnsi="Arial" w:cs="Arial"/>
          <w:b/>
          <w:bCs/>
          <w:color w:val="000000"/>
        </w:rPr>
        <w:tab/>
        <w:t>Representation of children in the Family Division of the Court</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35089D7F" w14:textId="77777777" w:rsidR="006A5D64" w:rsidRPr="00785E1A" w:rsidRDefault="006A5D64" w:rsidP="00166488">
      <w:pPr>
        <w:keepNext/>
        <w:keepLines/>
        <w:rPr>
          <w:rFonts w:ascii="Arial" w:hAnsi="Arial" w:cs="Arial"/>
          <w:color w:val="000000"/>
        </w:rPr>
      </w:pPr>
    </w:p>
    <w:p w14:paraId="268ED83F" w14:textId="77777777" w:rsidR="006A5D64" w:rsidRPr="00785E1A" w:rsidRDefault="006A5D64" w:rsidP="006A5D64">
      <w:pPr>
        <w:keepNext/>
        <w:keepLines/>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510AAAD3" w14:textId="77777777" w:rsidR="006A5D64" w:rsidRPr="00785E1A" w:rsidRDefault="006A5D64" w:rsidP="00503032">
      <w:pPr>
        <w:keepNext/>
        <w:keepLines/>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place">
        <w:smartTag w:uri="urn:schemas-microsoft-com:office:smarttags" w:element="City">
          <w:r w:rsidRPr="00785E1A">
            <w:rPr>
              <w:rFonts w:ascii="Arial" w:hAnsi="Arial" w:cs="Arial"/>
              <w:color w:val="000000"/>
              <w:sz w:val="20"/>
            </w:rPr>
            <w:t>London</w:t>
          </w:r>
        </w:smartTag>
      </w:smartTag>
    </w:p>
    <w:p w14:paraId="21483480" w14:textId="77777777" w:rsidR="006A5D64" w:rsidRPr="00785E1A" w:rsidRDefault="006A5D64" w:rsidP="00503032">
      <w:pPr>
        <w:keepNext/>
        <w:keepLines/>
        <w:jc w:val="both"/>
        <w:rPr>
          <w:rFonts w:ascii="Arial" w:hAnsi="Arial" w:cs="Arial"/>
          <w:color w:val="000000"/>
        </w:rPr>
      </w:pPr>
    </w:p>
    <w:p w14:paraId="6A12CFCA" w14:textId="77777777" w:rsidR="00693223" w:rsidRPr="00CB73D1" w:rsidRDefault="00693223" w:rsidP="00503032">
      <w:pPr>
        <w:keepNext/>
        <w:keepLines/>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6EBA688C" w14:textId="77777777" w:rsidR="00693223" w:rsidRPr="00785E1A" w:rsidRDefault="00693223" w:rsidP="00503032">
      <w:pPr>
        <w:keepNext/>
        <w:keepLines/>
        <w:jc w:val="both"/>
        <w:rPr>
          <w:rFonts w:ascii="Arial" w:hAnsi="Arial" w:cs="Arial"/>
          <w:color w:val="000000"/>
        </w:rPr>
      </w:pPr>
    </w:p>
    <w:p w14:paraId="0049BFD8" w14:textId="77777777" w:rsidR="007D2F69" w:rsidRPr="003D5DFA" w:rsidRDefault="00F32A61" w:rsidP="007D2F69">
      <w:pPr>
        <w:pStyle w:val="Heading3"/>
        <w:keepNext/>
        <w:keepLines/>
        <w:spacing w:after="120" w:line="240" w:lineRule="auto"/>
        <w:rPr>
          <w:rFonts w:ascii="Arial" w:hAnsi="Arial" w:cs="Arial"/>
          <w:b/>
          <w:bCs/>
          <w:color w:val="000000"/>
          <w:sz w:val="20"/>
        </w:rPr>
      </w:pPr>
      <w:bookmarkStart w:id="906" w:name="_4.7.1_Obligation_to"/>
      <w:bookmarkStart w:id="907" w:name="B471"/>
      <w:bookmarkEnd w:id="906"/>
      <w:bookmarkEnd w:id="907"/>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285174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57DDBB23" w14:textId="77777777" w:rsidR="003E0D54" w:rsidRPr="00785E1A" w:rsidRDefault="003E0D54" w:rsidP="003E0D54">
      <w:pPr>
        <w:jc w:val="both"/>
        <w:rPr>
          <w:rFonts w:ascii="Arial" w:hAnsi="Arial" w:cs="Arial"/>
          <w:color w:val="000000"/>
          <w:sz w:val="20"/>
        </w:rPr>
      </w:pPr>
    </w:p>
    <w:p w14:paraId="70612094"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592BB910"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7D6778D8" w14:textId="77777777" w:rsidR="003E0D54" w:rsidRPr="00785E1A" w:rsidRDefault="003E0D54" w:rsidP="00EB1C61">
      <w:pPr>
        <w:numPr>
          <w:ilvl w:val="0"/>
          <w:numId w:val="42"/>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593F51A" w14:textId="77777777" w:rsidR="003E0D54" w:rsidRPr="00785E1A" w:rsidRDefault="003E0D54" w:rsidP="00EB1C61">
      <w:pPr>
        <w:numPr>
          <w:ilvl w:val="0"/>
          <w:numId w:val="42"/>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182E9906" w14:textId="77777777" w:rsidR="003E0D54" w:rsidRPr="00785E1A" w:rsidRDefault="003E0D54" w:rsidP="003C545B">
      <w:pPr>
        <w:jc w:val="both"/>
        <w:rPr>
          <w:rFonts w:ascii="Arial" w:hAnsi="Arial" w:cs="Arial"/>
          <w:color w:val="000000"/>
          <w:sz w:val="20"/>
        </w:rPr>
      </w:pPr>
    </w:p>
    <w:p w14:paraId="4EB145F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01D5AC7D"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7D46DAC6" w14:textId="77777777" w:rsidR="003E0D54" w:rsidRPr="00785E1A" w:rsidRDefault="003E0D54" w:rsidP="003C545B">
      <w:pPr>
        <w:jc w:val="both"/>
        <w:rPr>
          <w:rFonts w:ascii="Arial" w:hAnsi="Arial" w:cs="Arial"/>
          <w:color w:val="000000"/>
          <w:sz w:val="20"/>
        </w:rPr>
      </w:pPr>
    </w:p>
    <w:p w14:paraId="2243D3F2"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1F26B89E"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2B8546BD" w14:textId="77777777" w:rsidR="00047FBE" w:rsidRPr="00D00CAA" w:rsidRDefault="00047FBE" w:rsidP="00047FBE">
      <w:pPr>
        <w:jc w:val="both"/>
        <w:rPr>
          <w:rFonts w:ascii="Arial" w:hAnsi="Arial" w:cs="Arial"/>
          <w:color w:val="000000"/>
          <w:sz w:val="20"/>
        </w:rPr>
      </w:pPr>
      <w:bookmarkStart w:id="908" w:name="_Toc30654112"/>
      <w:bookmarkStart w:id="909" w:name="_Toc30654463"/>
      <w:bookmarkStart w:id="910" w:name="_Toc30655082"/>
      <w:bookmarkStart w:id="911" w:name="_Toc30655339"/>
      <w:bookmarkStart w:id="912" w:name="_Toc30657017"/>
      <w:bookmarkStart w:id="913" w:name="_Toc30661766"/>
      <w:bookmarkStart w:id="914" w:name="_Toc30666454"/>
      <w:bookmarkStart w:id="915" w:name="_Toc30666684"/>
      <w:bookmarkStart w:id="916" w:name="_Toc30667859"/>
      <w:bookmarkStart w:id="917" w:name="_Toc30669237"/>
      <w:bookmarkStart w:id="918" w:name="_Toc30671453"/>
      <w:bookmarkStart w:id="919" w:name="_Toc30673980"/>
      <w:bookmarkStart w:id="920" w:name="_Toc30691202"/>
      <w:bookmarkStart w:id="921" w:name="_Toc30691575"/>
      <w:bookmarkStart w:id="922" w:name="_Toc30691955"/>
      <w:bookmarkStart w:id="923" w:name="_Toc30692714"/>
      <w:bookmarkStart w:id="924" w:name="_Toc30693093"/>
      <w:bookmarkStart w:id="925" w:name="_Toc30693471"/>
      <w:bookmarkStart w:id="926" w:name="_Toc30693849"/>
      <w:bookmarkStart w:id="927" w:name="_Toc30694230"/>
      <w:bookmarkStart w:id="928" w:name="_Toc30698819"/>
      <w:bookmarkStart w:id="929" w:name="_Toc30699197"/>
      <w:bookmarkStart w:id="930" w:name="_Toc30699582"/>
      <w:bookmarkStart w:id="931" w:name="_Toc30700737"/>
      <w:bookmarkStart w:id="932" w:name="_Toc30701124"/>
      <w:bookmarkStart w:id="933" w:name="_Toc30743733"/>
      <w:bookmarkStart w:id="934" w:name="_Toc30754556"/>
      <w:bookmarkStart w:id="935" w:name="_Toc30756996"/>
      <w:bookmarkStart w:id="936" w:name="_Toc30757545"/>
      <w:bookmarkStart w:id="937" w:name="_Toc30757945"/>
      <w:bookmarkStart w:id="938" w:name="_Toc30762706"/>
      <w:bookmarkStart w:id="939" w:name="_Toc30767360"/>
      <w:bookmarkStart w:id="940" w:name="_Toc34823375"/>
    </w:p>
    <w:p w14:paraId="32F7831F"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941" w:name="_4.7.2_Models_of"/>
      <w:bookmarkStart w:id="942" w:name="B472"/>
      <w:bookmarkEnd w:id="941"/>
      <w:bookmarkEnd w:id="942"/>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5C6E1A85" w14:textId="77777777" w:rsidR="00047FBE" w:rsidRDefault="00047FBE" w:rsidP="00047FBE">
      <w:pPr>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06FC4D7E"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183580D7" w14:textId="77777777" w:rsidR="00047FBE" w:rsidRDefault="00047FBE" w:rsidP="00047FBE">
      <w:pPr>
        <w:numPr>
          <w:ilvl w:val="0"/>
          <w:numId w:val="7"/>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State">
        <w:smartTag w:uri="urn:schemas-microsoft-com:office:smarttags" w:element="plac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579C7612" w14:textId="77777777" w:rsidR="00047FBE" w:rsidRDefault="00047FBE" w:rsidP="00047FBE">
      <w:pPr>
        <w:numPr>
          <w:ilvl w:val="0"/>
          <w:numId w:val="7"/>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286A72B2" w14:textId="77777777" w:rsidR="00047FBE" w:rsidRDefault="00047FBE" w:rsidP="00047FBE">
      <w:pPr>
        <w:numPr>
          <w:ilvl w:val="0"/>
          <w:numId w:val="7"/>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16BEEE8F" w14:textId="77777777" w:rsidR="00047FBE" w:rsidRDefault="00047FBE" w:rsidP="00047FBE">
      <w:pPr>
        <w:numPr>
          <w:ilvl w:val="0"/>
          <w:numId w:val="7"/>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35D299E6" w14:textId="77777777" w:rsidR="00047FBE" w:rsidRDefault="00047FBE" w:rsidP="00047FBE">
      <w:pPr>
        <w:numPr>
          <w:ilvl w:val="0"/>
          <w:numId w:val="7"/>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6B66DE00" w14:textId="77777777" w:rsidR="00047FBE" w:rsidRDefault="00047FBE" w:rsidP="00047FBE">
      <w:pPr>
        <w:numPr>
          <w:ilvl w:val="0"/>
          <w:numId w:val="7"/>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645F90D9" w14:textId="77777777" w:rsidR="00047FBE" w:rsidRDefault="00047FBE" w:rsidP="00047FBE">
      <w:pPr>
        <w:jc w:val="both"/>
        <w:rPr>
          <w:rFonts w:ascii="Arial" w:hAnsi="Arial" w:cs="Arial"/>
          <w:sz w:val="20"/>
        </w:rPr>
      </w:pPr>
    </w:p>
    <w:p w14:paraId="4144AF92"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03104C9C" w14:textId="77777777" w:rsidR="001F4FF5" w:rsidRPr="00D00CAA" w:rsidRDefault="001F4FF5" w:rsidP="00247CE5">
      <w:pPr>
        <w:jc w:val="both"/>
        <w:rPr>
          <w:rFonts w:ascii="Arial" w:hAnsi="Arial" w:cs="Arial"/>
          <w:color w:val="000000"/>
          <w:sz w:val="20"/>
        </w:rPr>
      </w:pPr>
    </w:p>
    <w:p w14:paraId="2357A49C" w14:textId="77777777" w:rsidR="00693223" w:rsidRPr="003D5DFA" w:rsidRDefault="00693223">
      <w:pPr>
        <w:pStyle w:val="Heading3"/>
        <w:spacing w:after="120" w:line="240" w:lineRule="auto"/>
        <w:rPr>
          <w:rFonts w:ascii="Arial" w:hAnsi="Arial" w:cs="Arial"/>
          <w:b/>
          <w:bCs/>
          <w:color w:val="000000"/>
          <w:sz w:val="20"/>
        </w:rPr>
      </w:pPr>
      <w:bookmarkStart w:id="943" w:name="_4.7.3_Child_usually"/>
      <w:bookmarkStart w:id="944" w:name="B473"/>
      <w:bookmarkEnd w:id="943"/>
      <w:bookmarkEnd w:id="944"/>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sidR="00EB6CF1" w:rsidRPr="003D5DFA">
        <w:rPr>
          <w:rFonts w:ascii="Arial" w:hAnsi="Arial" w:cs="Arial"/>
          <w:b/>
          <w:bCs/>
          <w:color w:val="000000"/>
          <w:sz w:val="20"/>
        </w:rPr>
        <w:t>aged 10 years or more</w:t>
      </w:r>
    </w:p>
    <w:p w14:paraId="7452C764"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J v Lieschke</w:t>
      </w:r>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26B84C8D" w14:textId="77777777" w:rsidR="00E65E57" w:rsidRPr="003D5DFA" w:rsidRDefault="00E65E57" w:rsidP="00E65E57">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075D9591" w14:textId="77777777" w:rsidR="000A7139" w:rsidRPr="003D5DFA" w:rsidRDefault="000A7139" w:rsidP="000A7139">
      <w:pPr>
        <w:jc w:val="both"/>
        <w:rPr>
          <w:rFonts w:ascii="Arial" w:hAnsi="Arial" w:cs="Arial"/>
          <w:color w:val="000000"/>
          <w:sz w:val="20"/>
        </w:rPr>
      </w:pPr>
    </w:p>
    <w:p w14:paraId="2C3F9513" w14:textId="77777777" w:rsidR="003E2B31" w:rsidRPr="003D5DFA" w:rsidRDefault="00E76E28">
      <w:pPr>
        <w:jc w:val="both"/>
        <w:rPr>
          <w:rFonts w:ascii="Arial" w:hAnsi="Arial" w:cs="Arial"/>
          <w:color w:val="000000"/>
          <w:sz w:val="20"/>
        </w:rPr>
      </w:pPr>
      <w:r w:rsidRPr="003D5DFA">
        <w:rPr>
          <w:rFonts w:ascii="Arial" w:hAnsi="Arial" w:cs="Arial"/>
          <w:color w:val="000000"/>
          <w:sz w:val="20"/>
        </w:rPr>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1E46B2A0" w14:textId="77777777" w:rsidR="00693223" w:rsidRPr="003D5DFA" w:rsidRDefault="00693223" w:rsidP="00A97263">
      <w:pPr>
        <w:keepNext/>
        <w:ind w:left="363" w:hanging="363"/>
        <w:jc w:val="both"/>
        <w:rPr>
          <w:rFonts w:ascii="Arial" w:hAnsi="Arial" w:cs="Arial"/>
          <w:color w:val="000000"/>
          <w:sz w:val="20"/>
        </w:rPr>
      </w:pPr>
      <w:r w:rsidRPr="003D5DFA">
        <w:rPr>
          <w:rFonts w:ascii="Arial" w:hAnsi="Arial" w:cs="Arial"/>
          <w:color w:val="000000"/>
          <w:sz w:val="20"/>
        </w:rPr>
        <w:lastRenderedPageBreak/>
        <w:t>(a)</w:t>
      </w:r>
      <w:r w:rsidRPr="003D5DFA">
        <w:rPr>
          <w:rFonts w:ascii="Arial" w:hAnsi="Arial" w:cs="Arial"/>
          <w:color w:val="000000"/>
          <w:sz w:val="20"/>
        </w:rPr>
        <w:tab/>
        <w:t>application for IAO;</w:t>
      </w:r>
    </w:p>
    <w:p w14:paraId="193F6AD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30F33F6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7ED354AF"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temporary assessment order (unless the Court grants leave for the application to proceed ex parte);</w:t>
      </w:r>
    </w:p>
    <w:p w14:paraId="0C64C5B9"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1101FF56" w14:textId="77777777" w:rsidR="00DC0A3F" w:rsidRDefault="00DC0A3F">
      <w:pPr>
        <w:ind w:left="363" w:hanging="363"/>
        <w:jc w:val="both"/>
        <w:rPr>
          <w:rFonts w:ascii="Arial" w:hAnsi="Arial" w:cs="Arial"/>
          <w:color w:val="000000"/>
          <w:sz w:val="20"/>
        </w:rPr>
      </w:pPr>
      <w:r>
        <w:rPr>
          <w:rFonts w:ascii="Arial" w:hAnsi="Arial" w:cs="Arial"/>
          <w:color w:val="000000"/>
          <w:sz w:val="20"/>
        </w:rPr>
        <w:t>(ea)</w:t>
      </w:r>
      <w:r>
        <w:rPr>
          <w:rFonts w:ascii="Arial" w:hAnsi="Arial" w:cs="Arial"/>
          <w:color w:val="000000"/>
          <w:sz w:val="20"/>
        </w:rPr>
        <w:tab/>
        <w:t>application for a care by Secretary order;</w:t>
      </w:r>
    </w:p>
    <w:p w14:paraId="14AD3167"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(eb)</w:t>
      </w:r>
      <w:r>
        <w:rPr>
          <w:rFonts w:ascii="Arial" w:hAnsi="Arial" w:cs="Arial"/>
          <w:color w:val="000000"/>
          <w:sz w:val="20"/>
        </w:rPr>
        <w:tab/>
        <w:t>application for a long-term care order;</w:t>
      </w:r>
    </w:p>
    <w:p w14:paraId="534D07DF"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4D33CC7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573855B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273C13F6"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46D681B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2E3BDA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4929B709"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605FAD9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51931AC0"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137607A0"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20F50BB"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1098D3FA" w14:textId="77777777" w:rsidR="003E2B31" w:rsidRPr="003D5DFA" w:rsidRDefault="003E2B31">
      <w:pPr>
        <w:jc w:val="both"/>
        <w:rPr>
          <w:rFonts w:ascii="Arial" w:hAnsi="Arial" w:cs="Arial"/>
          <w:color w:val="000000"/>
          <w:sz w:val="20"/>
        </w:rPr>
      </w:pPr>
    </w:p>
    <w:p w14:paraId="5208E095"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399C87E6" w14:textId="77777777" w:rsidR="004C0B7B" w:rsidRPr="003D5DFA" w:rsidRDefault="004C0B7B" w:rsidP="004C0B7B">
      <w:pPr>
        <w:jc w:val="both"/>
        <w:rPr>
          <w:rFonts w:ascii="Arial" w:hAnsi="Arial" w:cs="Arial"/>
          <w:color w:val="000000"/>
          <w:sz w:val="20"/>
        </w:rPr>
      </w:pPr>
    </w:p>
    <w:p w14:paraId="45165F3E"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06509B74" w14:textId="77777777" w:rsidR="004C0B7B" w:rsidRPr="003D5DFA" w:rsidRDefault="004C0B7B" w:rsidP="004C0B7B">
      <w:pPr>
        <w:jc w:val="both"/>
        <w:rPr>
          <w:rFonts w:ascii="Arial" w:hAnsi="Arial" w:cs="Arial"/>
          <w:color w:val="000000"/>
          <w:sz w:val="20"/>
        </w:rPr>
      </w:pPr>
    </w:p>
    <w:p w14:paraId="5D686105"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085ED948" w14:textId="77777777" w:rsidR="00693223" w:rsidRPr="003D5DFA" w:rsidRDefault="00693223" w:rsidP="00142D55">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39C2582D" w14:textId="77777777" w:rsidR="00693223" w:rsidRPr="003D5DFA" w:rsidRDefault="00693223" w:rsidP="00142D55">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6FBD98F3" w14:textId="77777777" w:rsidR="00785536" w:rsidRPr="003D5DFA" w:rsidRDefault="00785536" w:rsidP="00142D55">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57A1A3FA" w14:textId="77777777" w:rsidR="00693223" w:rsidRPr="003D5DFA" w:rsidRDefault="00A97263" w:rsidP="00A97263">
      <w:pPr>
        <w:numPr>
          <w:ilvl w:val="0"/>
          <w:numId w:val="51"/>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6F1C97D7" w14:textId="77777777" w:rsidR="00A97263" w:rsidRPr="003D5DFA" w:rsidRDefault="00A97263" w:rsidP="00A97263">
      <w:pPr>
        <w:numPr>
          <w:ilvl w:val="0"/>
          <w:numId w:val="51"/>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FA1422" w14:textId="77777777" w:rsidR="00A27D51" w:rsidRPr="003D5DFA" w:rsidRDefault="00A27D51" w:rsidP="00A97263">
      <w:pPr>
        <w:numPr>
          <w:ilvl w:val="0"/>
          <w:numId w:val="51"/>
        </w:numPr>
        <w:jc w:val="both"/>
        <w:rPr>
          <w:rFonts w:ascii="Arial" w:hAnsi="Arial" w:cs="Arial"/>
          <w:color w:val="000000"/>
          <w:sz w:val="20"/>
        </w:rPr>
      </w:pPr>
      <w:r w:rsidRPr="003D5DFA">
        <w:rPr>
          <w:rFonts w:ascii="Arial" w:hAnsi="Arial" w:cs="Arial"/>
          <w:color w:val="000000"/>
          <w:sz w:val="20"/>
        </w:rPr>
        <w:t>any other matter the Court considers relevant.</w:t>
      </w:r>
    </w:p>
    <w:p w14:paraId="32E32E19" w14:textId="77777777" w:rsidR="002A22E3" w:rsidRPr="003D5DFA" w:rsidRDefault="002A22E3" w:rsidP="00A27D51">
      <w:pPr>
        <w:jc w:val="both"/>
        <w:rPr>
          <w:rFonts w:ascii="Arial" w:hAnsi="Arial" w:cs="Arial"/>
          <w:color w:val="000000"/>
          <w:sz w:val="20"/>
        </w:rPr>
      </w:pPr>
    </w:p>
    <w:p w14:paraId="506C5570"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section 4.7.4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case strictly upon the child’s instructions whether or not he or she believes that those instructions are in the best interests of the child.</w:t>
      </w:r>
    </w:p>
    <w:p w14:paraId="67169A27" w14:textId="77777777" w:rsidR="00592495" w:rsidRPr="003D5DFA" w:rsidRDefault="00592495">
      <w:pPr>
        <w:jc w:val="both"/>
        <w:rPr>
          <w:rFonts w:ascii="Arial" w:hAnsi="Arial" w:cs="Arial"/>
          <w:color w:val="000000"/>
          <w:sz w:val="20"/>
        </w:rPr>
      </w:pPr>
    </w:p>
    <w:p w14:paraId="6924BCA8" w14:textId="77777777" w:rsidR="00693223" w:rsidRPr="003D5DFA" w:rsidRDefault="00693223" w:rsidP="008119AB">
      <w:pPr>
        <w:pStyle w:val="Heading3"/>
        <w:keepNext/>
        <w:spacing w:after="120" w:line="240" w:lineRule="auto"/>
        <w:rPr>
          <w:rFonts w:ascii="Arial" w:hAnsi="Arial" w:cs="Arial"/>
          <w:b/>
          <w:bCs/>
          <w:color w:val="000000"/>
          <w:sz w:val="20"/>
        </w:rPr>
      </w:pPr>
      <w:bookmarkStart w:id="945" w:name="_Toc30654113"/>
      <w:bookmarkStart w:id="946" w:name="_Toc30654464"/>
      <w:bookmarkStart w:id="947" w:name="_Toc30655083"/>
      <w:bookmarkStart w:id="948" w:name="_Toc30655340"/>
      <w:bookmarkStart w:id="949" w:name="_Toc30657018"/>
      <w:bookmarkStart w:id="950" w:name="_Toc30661767"/>
      <w:bookmarkStart w:id="951" w:name="_Toc30666455"/>
      <w:bookmarkStart w:id="952" w:name="_Toc30666685"/>
      <w:bookmarkStart w:id="953" w:name="_Toc30667860"/>
      <w:bookmarkStart w:id="954" w:name="_Toc30669238"/>
      <w:bookmarkStart w:id="955" w:name="_Toc30671454"/>
      <w:bookmarkStart w:id="956" w:name="_Toc30673981"/>
      <w:bookmarkStart w:id="957" w:name="_Toc30691203"/>
      <w:bookmarkStart w:id="958" w:name="_Toc30691576"/>
      <w:bookmarkStart w:id="959" w:name="_Toc30691956"/>
      <w:bookmarkStart w:id="960" w:name="_Toc30692715"/>
      <w:bookmarkStart w:id="961" w:name="_Toc30693094"/>
      <w:bookmarkStart w:id="962" w:name="_Toc30693472"/>
      <w:bookmarkStart w:id="963" w:name="_Toc30693850"/>
      <w:bookmarkStart w:id="964" w:name="_Toc30694231"/>
      <w:bookmarkStart w:id="965" w:name="_Toc30698820"/>
      <w:bookmarkStart w:id="966" w:name="_Toc30699198"/>
      <w:bookmarkStart w:id="967" w:name="_Toc30699583"/>
      <w:bookmarkStart w:id="968" w:name="_Toc30700738"/>
      <w:bookmarkStart w:id="969" w:name="_Toc30701125"/>
      <w:bookmarkStart w:id="970" w:name="_Toc30743734"/>
      <w:bookmarkStart w:id="971" w:name="_Toc30754557"/>
      <w:bookmarkStart w:id="972" w:name="_Toc30756997"/>
      <w:bookmarkStart w:id="973" w:name="_Toc30757546"/>
      <w:bookmarkStart w:id="974" w:name="_Toc30757946"/>
      <w:bookmarkStart w:id="975" w:name="_Toc30762707"/>
      <w:bookmarkStart w:id="976" w:name="_Toc30767361"/>
      <w:bookmarkStart w:id="977" w:name="_Toc34823376"/>
      <w:bookmarkStart w:id="978" w:name="_4.7.4_Representation_of"/>
      <w:bookmarkStart w:id="979" w:name="B474"/>
      <w:bookmarkEnd w:id="978"/>
      <w:bookmarkEnd w:id="979"/>
      <w:r w:rsidRPr="003D5DFA">
        <w:rPr>
          <w:rFonts w:ascii="Arial" w:hAnsi="Arial" w:cs="Arial"/>
          <w:b/>
          <w:bCs/>
          <w:color w:val="000000"/>
          <w:sz w:val="20"/>
        </w:rPr>
        <w:lastRenderedPageBreak/>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416667DA"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10AAE27A" w14:textId="77777777" w:rsidR="00664DAE" w:rsidRPr="003D5DFA" w:rsidRDefault="00664DAE" w:rsidP="00FF5112">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place">
        <w:smartTag w:uri="urn:schemas-microsoft-com:office:smarttags" w:element="City">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06BF125A" w14:textId="77777777" w:rsidR="00FF5112" w:rsidRPr="003D5DFA" w:rsidRDefault="00FF5112" w:rsidP="00FF5112">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6B2FCABA" w14:textId="77777777" w:rsidR="00FF5112" w:rsidRPr="003D5DFA" w:rsidRDefault="00FF5112" w:rsidP="00FF5112">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3813F14" w14:textId="77777777" w:rsidR="00664DAE" w:rsidRPr="003D5DFA" w:rsidRDefault="00664DAE" w:rsidP="00FF5112">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305D9F55"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B65B25" w14:textId="77777777" w:rsidR="00FF5112" w:rsidRPr="003D5DFA" w:rsidRDefault="00FF5112" w:rsidP="005B6ACF">
      <w:pPr>
        <w:jc w:val="both"/>
        <w:rPr>
          <w:rFonts w:ascii="Arial" w:hAnsi="Arial" w:cs="Arial"/>
          <w:color w:val="000000"/>
          <w:sz w:val="20"/>
        </w:rPr>
      </w:pPr>
    </w:p>
    <w:p w14:paraId="78D3570E"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5EBFB243" w14:textId="77777777" w:rsidR="00142D55" w:rsidRPr="003D5DFA" w:rsidRDefault="00142D55" w:rsidP="00142D55">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7B26B00B" w14:textId="77777777" w:rsidR="00142D55" w:rsidRPr="003D5DFA" w:rsidRDefault="007C192E" w:rsidP="00142D55">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163C91EE"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2CB71BB9" w14:textId="77777777" w:rsidR="006F767D" w:rsidRPr="003D5DFA" w:rsidRDefault="006F767D" w:rsidP="0031041A">
      <w:pPr>
        <w:jc w:val="both"/>
        <w:rPr>
          <w:rFonts w:ascii="Arial" w:hAnsi="Arial" w:cs="Arial"/>
          <w:color w:val="000000"/>
          <w:sz w:val="20"/>
        </w:rPr>
      </w:pPr>
    </w:p>
    <w:p w14:paraId="07AF4DE5" w14:textId="77777777" w:rsidR="0031041A" w:rsidRPr="003D5DFA" w:rsidRDefault="0031041A" w:rsidP="0031041A">
      <w:pPr>
        <w:jc w:val="both"/>
        <w:rPr>
          <w:rFonts w:ascii="Arial" w:hAnsi="Arial" w:cs="Arial"/>
          <w:color w:val="000000"/>
          <w:sz w:val="20"/>
        </w:rPr>
      </w:pPr>
      <w:r w:rsidRPr="003D5DFA">
        <w:rPr>
          <w:rFonts w:ascii="Arial" w:hAnsi="Arial" w:cs="Arial"/>
          <w:color w:val="000000"/>
          <w:sz w:val="20"/>
        </w:rPr>
        <w:t>A</w:t>
      </w:r>
      <w:r w:rsidR="00433AB4">
        <w:rPr>
          <w:rFonts w:ascii="Arial" w:hAnsi="Arial" w:cs="Arial"/>
          <w:color w:val="000000"/>
          <w:sz w:val="20"/>
        </w:rPr>
        <w:t>n Independent Children’s Lawyer</w:t>
      </w:r>
      <w:r w:rsidRPr="003D5DFA">
        <w:rPr>
          <w:rFonts w:ascii="Arial" w:hAnsi="Arial" w:cs="Arial"/>
          <w:color w:val="000000"/>
          <w:sz w:val="20"/>
        </w:rPr>
        <w:t xml:space="preserve"> appointed under s.524(4) is required by s.524(11)-</w:t>
      </w:r>
    </w:p>
    <w:p w14:paraId="6B4BFAD1"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5CE21FB5"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69E73F4A" w14:textId="77777777"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The numbers of ICLs appointed are as follows:</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1"/>
        <w:gridCol w:w="1052"/>
        <w:gridCol w:w="1052"/>
        <w:gridCol w:w="1052"/>
        <w:gridCol w:w="1052"/>
        <w:gridCol w:w="970"/>
        <w:gridCol w:w="970"/>
        <w:gridCol w:w="970"/>
      </w:tblGrid>
      <w:tr w:rsidR="00433AB4" w:rsidRPr="006E60F5" w14:paraId="1F71EC03" w14:textId="77777777" w:rsidTr="006E60F5">
        <w:tc>
          <w:tcPr>
            <w:tcW w:w="1066" w:type="dxa"/>
            <w:tcBorders>
              <w:bottom w:val="single" w:sz="12" w:space="0" w:color="auto"/>
              <w:right w:val="single" w:sz="4" w:space="0" w:color="auto"/>
            </w:tcBorders>
            <w:shd w:val="clear" w:color="auto" w:fill="auto"/>
          </w:tcPr>
          <w:p w14:paraId="6773E0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36E3C4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shd w:val="clear" w:color="auto" w:fill="auto"/>
          </w:tcPr>
          <w:p w14:paraId="170B71DF"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D1C381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EA0165B"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E8678A6" w14:textId="77777777" w:rsidR="00433AB4" w:rsidRPr="006E60F5" w:rsidRDefault="00433AB4" w:rsidP="006E60F5">
            <w:pPr>
              <w:jc w:val="center"/>
              <w:rPr>
                <w:rFonts w:ascii="Arial" w:hAnsi="Arial" w:cs="Arial"/>
                <w:b/>
                <w:color w:val="000000"/>
                <w:sz w:val="20"/>
              </w:rPr>
            </w:pP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17CF5F1C" w14:textId="77777777" w:rsidR="00433AB4" w:rsidRPr="006E60F5" w:rsidRDefault="00433AB4" w:rsidP="006E60F5">
            <w:pPr>
              <w:jc w:val="center"/>
              <w:rPr>
                <w:rFonts w:ascii="Arial" w:hAnsi="Arial" w:cs="Arial"/>
                <w:b/>
                <w:color w:val="000000"/>
                <w:sz w:val="20"/>
              </w:rPr>
            </w:pPr>
          </w:p>
        </w:tc>
        <w:tc>
          <w:tcPr>
            <w:tcW w:w="1066" w:type="dxa"/>
            <w:tcBorders>
              <w:left w:val="single" w:sz="4" w:space="0" w:color="auto"/>
              <w:bottom w:val="single" w:sz="12" w:space="0" w:color="auto"/>
            </w:tcBorders>
            <w:shd w:val="clear" w:color="auto" w:fill="auto"/>
          </w:tcPr>
          <w:p w14:paraId="098070BE" w14:textId="77777777" w:rsidR="00433AB4" w:rsidRPr="006E60F5" w:rsidRDefault="00433AB4" w:rsidP="006E60F5">
            <w:pPr>
              <w:jc w:val="center"/>
              <w:rPr>
                <w:rFonts w:ascii="Arial" w:hAnsi="Arial" w:cs="Arial"/>
                <w:b/>
                <w:color w:val="000000"/>
                <w:sz w:val="20"/>
              </w:rPr>
            </w:pPr>
          </w:p>
        </w:tc>
      </w:tr>
      <w:tr w:rsidR="00433AB4" w:rsidRPr="006E60F5" w14:paraId="7D9521CC" w14:textId="77777777" w:rsidTr="006E60F5">
        <w:tc>
          <w:tcPr>
            <w:tcW w:w="1066" w:type="dxa"/>
            <w:tcBorders>
              <w:top w:val="single" w:sz="12" w:space="0" w:color="auto"/>
              <w:bottom w:val="single" w:sz="12" w:space="0" w:color="auto"/>
              <w:right w:val="single" w:sz="4" w:space="0" w:color="auto"/>
            </w:tcBorders>
            <w:shd w:val="clear" w:color="auto" w:fill="auto"/>
          </w:tcPr>
          <w:p w14:paraId="7077F1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474CCBE"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FDF6412"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80EF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1633124"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5560F0B8" w14:textId="77777777" w:rsidR="00433AB4" w:rsidRPr="006E60F5" w:rsidRDefault="00433AB4" w:rsidP="006E60F5">
            <w:pPr>
              <w:jc w:val="center"/>
              <w:rPr>
                <w:rFonts w:ascii="Arial" w:hAnsi="Arial" w:cs="Arial"/>
                <w:b/>
                <w:color w:val="000000"/>
                <w:sz w:val="20"/>
              </w:rPr>
            </w:pP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2FF96FE" w14:textId="77777777" w:rsidR="00433AB4" w:rsidRPr="006E60F5" w:rsidRDefault="00433AB4" w:rsidP="006E60F5">
            <w:pPr>
              <w:jc w:val="center"/>
              <w:rPr>
                <w:rFonts w:ascii="Arial" w:hAnsi="Arial" w:cs="Arial"/>
                <w:b/>
                <w:color w:val="000000"/>
                <w:sz w:val="20"/>
              </w:rPr>
            </w:pPr>
          </w:p>
        </w:tc>
        <w:tc>
          <w:tcPr>
            <w:tcW w:w="1066" w:type="dxa"/>
            <w:tcBorders>
              <w:top w:val="single" w:sz="12" w:space="0" w:color="auto"/>
              <w:left w:val="single" w:sz="4" w:space="0" w:color="auto"/>
              <w:bottom w:val="single" w:sz="12" w:space="0" w:color="auto"/>
            </w:tcBorders>
            <w:shd w:val="clear" w:color="auto" w:fill="auto"/>
          </w:tcPr>
          <w:p w14:paraId="22504C8A" w14:textId="77777777" w:rsidR="00433AB4" w:rsidRPr="006E60F5" w:rsidRDefault="00433AB4" w:rsidP="006E60F5">
            <w:pPr>
              <w:jc w:val="center"/>
              <w:rPr>
                <w:rFonts w:ascii="Arial" w:hAnsi="Arial" w:cs="Arial"/>
                <w:b/>
                <w:color w:val="000000"/>
                <w:sz w:val="20"/>
              </w:rPr>
            </w:pPr>
          </w:p>
        </w:tc>
      </w:tr>
    </w:tbl>
    <w:p w14:paraId="5D3E93E1" w14:textId="77777777" w:rsidR="0031041A" w:rsidRPr="003D5DFA" w:rsidRDefault="0031041A" w:rsidP="0031041A">
      <w:pPr>
        <w:jc w:val="both"/>
        <w:rPr>
          <w:rFonts w:ascii="Arial" w:hAnsi="Arial" w:cs="Arial"/>
          <w:color w:val="000000"/>
          <w:sz w:val="20"/>
        </w:rPr>
      </w:pPr>
    </w:p>
    <w:p w14:paraId="44BC19D8"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80" w:name="_Toc30649079"/>
      <w:bookmarkStart w:id="981" w:name="_Toc30649155"/>
      <w:bookmarkStart w:id="982" w:name="_Toc30649416"/>
      <w:bookmarkStart w:id="983" w:name="_Toc30649741"/>
      <w:bookmarkStart w:id="984" w:name="_Toc30651681"/>
      <w:bookmarkStart w:id="985" w:name="_Toc30652671"/>
      <w:bookmarkStart w:id="986" w:name="_Toc30652767"/>
      <w:bookmarkStart w:id="987" w:name="_Toc30654114"/>
      <w:bookmarkStart w:id="988" w:name="_Toc30654465"/>
      <w:bookmarkStart w:id="989" w:name="_Toc30655084"/>
      <w:bookmarkStart w:id="990" w:name="_Toc30655341"/>
      <w:bookmarkStart w:id="991" w:name="_Toc30657019"/>
      <w:bookmarkStart w:id="992" w:name="_Toc30661768"/>
      <w:bookmarkStart w:id="993" w:name="_Toc30666456"/>
      <w:bookmarkStart w:id="994" w:name="_Toc30666686"/>
      <w:bookmarkStart w:id="995" w:name="_Toc30667861"/>
      <w:bookmarkStart w:id="996" w:name="_Toc30669239"/>
      <w:bookmarkStart w:id="997" w:name="_Toc30671455"/>
      <w:bookmarkStart w:id="998" w:name="_Toc30673982"/>
      <w:bookmarkStart w:id="999" w:name="_Toc30691204"/>
      <w:bookmarkStart w:id="1000" w:name="_Toc30691577"/>
      <w:bookmarkStart w:id="1001" w:name="_Toc30691957"/>
      <w:bookmarkStart w:id="1002" w:name="_Toc30692716"/>
      <w:bookmarkStart w:id="1003" w:name="_Toc30693095"/>
      <w:bookmarkStart w:id="1004" w:name="_Toc30693473"/>
      <w:bookmarkStart w:id="1005" w:name="_Toc30693851"/>
      <w:bookmarkStart w:id="1006" w:name="_Toc30694232"/>
      <w:bookmarkStart w:id="1007" w:name="_Toc30698821"/>
      <w:bookmarkStart w:id="1008" w:name="_Toc30699199"/>
      <w:bookmarkStart w:id="1009" w:name="_Toc30699584"/>
      <w:bookmarkStart w:id="1010" w:name="_Toc30700739"/>
      <w:bookmarkStart w:id="1011" w:name="_Toc30701126"/>
      <w:bookmarkStart w:id="1012" w:name="_Toc30743735"/>
      <w:bookmarkStart w:id="1013" w:name="_Toc30754558"/>
      <w:bookmarkStart w:id="1014" w:name="_Toc30756998"/>
      <w:bookmarkStart w:id="1015" w:name="_Toc30757547"/>
      <w:bookmarkStart w:id="1016" w:name="_Toc30757947"/>
      <w:bookmarkStart w:id="1017" w:name="_Toc30762708"/>
      <w:bookmarkStart w:id="1018" w:name="_Toc30767362"/>
      <w:bookmarkStart w:id="1019" w:name="_Toc34823377"/>
      <w:bookmarkStart w:id="1020" w:name="_4.7.5_Representing_more"/>
      <w:bookmarkStart w:id="1021" w:name="B475"/>
      <w:bookmarkEnd w:id="1020"/>
      <w:bookmarkEnd w:id="1021"/>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7F385E03"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07BA488" w14:textId="77777777" w:rsidR="00B20158" w:rsidRPr="003D5DFA" w:rsidRDefault="00B20158" w:rsidP="00B20158">
      <w:pPr>
        <w:jc w:val="both"/>
        <w:rPr>
          <w:rFonts w:ascii="Arial" w:hAnsi="Arial" w:cs="Arial"/>
          <w:color w:val="000000"/>
          <w:sz w:val="20"/>
        </w:rPr>
      </w:pPr>
    </w:p>
    <w:p w14:paraId="1263D099"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1A46333C"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“A conflict of interest does not exist simply by virtue of clients ‘having different issues’.  A lawyer will not have a conflict of interest in acting for two clients in the 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12283A60" w14:textId="77777777" w:rsidR="00B20158" w:rsidRPr="003D5DFA" w:rsidRDefault="00B20158" w:rsidP="00B20158">
      <w:pPr>
        <w:jc w:val="both"/>
        <w:rPr>
          <w:rFonts w:ascii="Arial" w:hAnsi="Arial" w:cs="Arial"/>
          <w:color w:val="000000"/>
          <w:sz w:val="20"/>
        </w:rPr>
      </w:pPr>
    </w:p>
    <w:p w14:paraId="2C54237B" w14:textId="77777777" w:rsidR="00B20158" w:rsidRPr="003D5DFA" w:rsidRDefault="00B20158" w:rsidP="00B20158">
      <w:pPr>
        <w:keepNext/>
        <w:keepLines/>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32E1FEC6"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r w:rsidRPr="003D5DFA">
        <w:rPr>
          <w:rFonts w:ascii="Arial" w:hAnsi="Arial" w:cs="Arial"/>
          <w:i/>
          <w:color w:val="000000"/>
          <w:sz w:val="20"/>
        </w:rPr>
        <w:t>Kallinicos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14:paraId="22F7CAA6" w14:textId="77777777" w:rsidR="00693223" w:rsidRPr="003D5DFA" w:rsidRDefault="00693223">
      <w:pPr>
        <w:jc w:val="both"/>
        <w:rPr>
          <w:rFonts w:ascii="Arial" w:hAnsi="Arial" w:cs="Arial"/>
          <w:color w:val="000000"/>
          <w:sz w:val="20"/>
        </w:rPr>
      </w:pPr>
    </w:p>
    <w:p w14:paraId="1725F82E" w14:textId="77777777" w:rsidR="00693223" w:rsidRPr="003D5DFA" w:rsidRDefault="00693223" w:rsidP="00E76E28">
      <w:pPr>
        <w:pStyle w:val="Heading3"/>
        <w:keepNext/>
        <w:spacing w:line="240" w:lineRule="auto"/>
        <w:rPr>
          <w:rFonts w:ascii="Arial" w:hAnsi="Arial" w:cs="Arial"/>
          <w:b/>
          <w:bCs/>
          <w:color w:val="000000"/>
          <w:sz w:val="20"/>
        </w:rPr>
      </w:pPr>
      <w:bookmarkStart w:id="1022" w:name="_Toc30649080"/>
      <w:bookmarkStart w:id="1023" w:name="_Toc30649156"/>
      <w:bookmarkStart w:id="1024" w:name="_Toc30649417"/>
      <w:bookmarkStart w:id="1025" w:name="_Toc30649742"/>
      <w:bookmarkStart w:id="1026" w:name="_Toc30651682"/>
      <w:bookmarkStart w:id="1027" w:name="_Toc30652672"/>
      <w:bookmarkStart w:id="1028" w:name="_Toc30652768"/>
      <w:bookmarkStart w:id="1029" w:name="_Toc30654115"/>
      <w:bookmarkStart w:id="1030" w:name="_Toc30654466"/>
      <w:bookmarkStart w:id="1031" w:name="_Toc30655085"/>
      <w:bookmarkStart w:id="1032" w:name="_Toc30655342"/>
      <w:bookmarkStart w:id="1033" w:name="_Toc30657020"/>
      <w:bookmarkStart w:id="1034" w:name="_Toc30661769"/>
      <w:bookmarkStart w:id="1035" w:name="_Toc30666457"/>
      <w:bookmarkStart w:id="1036" w:name="_Toc30666687"/>
      <w:bookmarkStart w:id="1037" w:name="_Toc30667862"/>
      <w:bookmarkStart w:id="1038" w:name="_Toc30669240"/>
      <w:bookmarkStart w:id="1039" w:name="_Toc30671456"/>
      <w:bookmarkStart w:id="1040" w:name="_Toc30673983"/>
      <w:bookmarkStart w:id="1041" w:name="_Toc30691205"/>
      <w:bookmarkStart w:id="1042" w:name="_Toc30691578"/>
      <w:bookmarkStart w:id="1043" w:name="_Toc30691958"/>
      <w:bookmarkStart w:id="1044" w:name="_Toc30692717"/>
      <w:bookmarkStart w:id="1045" w:name="_Toc30693096"/>
      <w:bookmarkStart w:id="1046" w:name="_Toc30693474"/>
      <w:bookmarkStart w:id="1047" w:name="_Toc30693852"/>
      <w:bookmarkStart w:id="1048" w:name="_Toc30694233"/>
      <w:bookmarkStart w:id="1049" w:name="_Toc30698822"/>
      <w:bookmarkStart w:id="1050" w:name="_Toc30699200"/>
      <w:bookmarkStart w:id="1051" w:name="_Toc30699585"/>
      <w:bookmarkStart w:id="1052" w:name="_Toc30700740"/>
      <w:bookmarkStart w:id="1053" w:name="_Toc30701127"/>
      <w:bookmarkStart w:id="1054" w:name="_Toc30743736"/>
      <w:bookmarkStart w:id="1055" w:name="_Toc30754559"/>
      <w:bookmarkStart w:id="1056" w:name="_Toc30756999"/>
      <w:bookmarkStart w:id="1057" w:name="_Toc30757548"/>
      <w:bookmarkStart w:id="1058" w:name="_Toc30757948"/>
      <w:bookmarkStart w:id="1059" w:name="_Toc30762709"/>
      <w:bookmarkStart w:id="1060" w:name="_Toc30767363"/>
      <w:bookmarkStart w:id="1061" w:name="_Toc34823378"/>
      <w:bookmarkStart w:id="1062" w:name="_4.7.6_Child_representation"/>
      <w:bookmarkStart w:id="1063" w:name="B476"/>
      <w:bookmarkEnd w:id="1062"/>
      <w:bookmarkEnd w:id="1063"/>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26AEC731" w14:textId="77777777" w:rsidR="008C267B" w:rsidRPr="003D5DFA" w:rsidRDefault="000B6A6D" w:rsidP="00890D42">
      <w:pPr>
        <w:keepNext/>
        <w:keepLines/>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1A1C6B69" w14:textId="77777777" w:rsidR="008C267B" w:rsidRPr="003D5DFA" w:rsidRDefault="008C267B" w:rsidP="000B6A6D">
      <w:pPr>
        <w:jc w:val="both"/>
        <w:rPr>
          <w:rFonts w:ascii="Arial" w:hAnsi="Arial" w:cs="Arial"/>
          <w:color w:val="000000"/>
          <w:sz w:val="20"/>
        </w:rPr>
      </w:pPr>
    </w:p>
    <w:p w14:paraId="4F514EFF"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7D505AC9" w14:textId="77777777" w:rsidR="008C267B" w:rsidRPr="003D5DFA" w:rsidRDefault="008C267B" w:rsidP="000B6A6D">
      <w:pPr>
        <w:jc w:val="both"/>
        <w:rPr>
          <w:rFonts w:ascii="Arial" w:hAnsi="Arial" w:cs="Arial"/>
          <w:color w:val="000000"/>
          <w:sz w:val="20"/>
        </w:rPr>
      </w:pPr>
    </w:p>
    <w:p w14:paraId="0EB7BC2C" w14:textId="77777777" w:rsidR="001E5D75" w:rsidRPr="003D5DFA" w:rsidRDefault="001E5D75" w:rsidP="00471EFF">
      <w:pPr>
        <w:keepNext/>
        <w:keepLines/>
        <w:jc w:val="both"/>
        <w:rPr>
          <w:rFonts w:ascii="Arial" w:hAnsi="Arial" w:cs="Arial"/>
          <w:bCs/>
          <w:color w:val="000000"/>
          <w:sz w:val="20"/>
        </w:rPr>
      </w:pPr>
      <w:r w:rsidRPr="003D5DFA">
        <w:rPr>
          <w:rFonts w:ascii="Arial" w:hAnsi="Arial" w:cs="Arial"/>
          <w:color w:val="000000"/>
          <w:sz w:val="20"/>
        </w:rPr>
        <w:t xml:space="preserve">Guidelines for child legal representatives are contained in </w:t>
      </w:r>
      <w:r w:rsidRPr="003D5DFA">
        <w:rPr>
          <w:rFonts w:ascii="Arial" w:hAnsi="Arial" w:cs="Arial"/>
          <w:bCs/>
          <w:color w:val="000000"/>
          <w:sz w:val="20"/>
        </w:rPr>
        <w:t>Louise Akenson's "</w:t>
      </w:r>
      <w:r w:rsidRPr="003D5DFA">
        <w:rPr>
          <w:rFonts w:ascii="Arial" w:hAnsi="Arial" w:cs="Arial"/>
          <w:bCs/>
          <w:color w:val="000000"/>
          <w:sz w:val="20"/>
          <w:u w:val="single"/>
        </w:rPr>
        <w:t>Guidelines for Lawyers Acting for Children and Young People in the Children's Court</w:t>
      </w:r>
      <w:r w:rsidRPr="003D5DFA">
        <w:rPr>
          <w:rFonts w:ascii="Arial" w:hAnsi="Arial" w:cs="Arial"/>
          <w:bCs/>
          <w:color w:val="000000"/>
          <w:sz w:val="20"/>
        </w:rPr>
        <w:t>".  See also “Representing Children and Young People – A Lawyers Practice Guide” by Lani Blackman (Victoria Law Foundation, 2002).</w:t>
      </w:r>
    </w:p>
    <w:p w14:paraId="39BA8DDF" w14:textId="77777777" w:rsidR="001E5D75" w:rsidRPr="003D5DFA" w:rsidRDefault="001E5D75">
      <w:pPr>
        <w:jc w:val="both"/>
        <w:rPr>
          <w:rFonts w:ascii="Arial" w:hAnsi="Arial" w:cs="Arial"/>
          <w:color w:val="000000"/>
          <w:sz w:val="20"/>
        </w:rPr>
      </w:pPr>
    </w:p>
    <w:p w14:paraId="44E16C18" w14:textId="77777777" w:rsidR="00745D3D" w:rsidRPr="003D5DFA" w:rsidRDefault="005A3F47" w:rsidP="00745D3D">
      <w:pPr>
        <w:jc w:val="both"/>
        <w:rPr>
          <w:rFonts w:ascii="Arial" w:hAnsi="Arial" w:cs="Arial"/>
          <w:color w:val="000000"/>
          <w:sz w:val="20"/>
        </w:rPr>
      </w:pPr>
      <w:bookmarkStart w:id="1064" w:name="_Toc30649081"/>
      <w:bookmarkStart w:id="1065" w:name="_Toc30649157"/>
      <w:bookmarkStart w:id="1066" w:name="_Toc30649418"/>
      <w:bookmarkStart w:id="1067" w:name="_Toc30649743"/>
      <w:bookmarkStart w:id="1068" w:name="_Toc30651683"/>
      <w:bookmarkStart w:id="1069" w:name="_Toc30652673"/>
      <w:bookmarkStart w:id="1070" w:name="_Toc30652769"/>
      <w:bookmarkStart w:id="1071" w:name="_Toc30654116"/>
      <w:bookmarkStart w:id="1072" w:name="_Toc30654467"/>
      <w:bookmarkStart w:id="1073" w:name="_Toc30655086"/>
      <w:bookmarkStart w:id="1074" w:name="_Toc30655343"/>
      <w:bookmarkStart w:id="1075" w:name="_Toc30657021"/>
      <w:bookmarkStart w:id="1076" w:name="_Toc30661770"/>
      <w:bookmarkStart w:id="1077" w:name="_Toc30666458"/>
      <w:bookmarkStart w:id="1078" w:name="_Toc30666688"/>
      <w:bookmarkStart w:id="1079" w:name="_Toc30667863"/>
      <w:bookmarkStart w:id="1080" w:name="_Toc30669241"/>
      <w:bookmarkStart w:id="1081" w:name="_Toc30671457"/>
      <w:bookmarkStart w:id="1082" w:name="_Toc30673984"/>
      <w:bookmarkStart w:id="1083" w:name="_Toc30691206"/>
      <w:bookmarkStart w:id="1084" w:name="_Toc30691579"/>
      <w:bookmarkStart w:id="1085" w:name="_Toc30691959"/>
      <w:bookmarkStart w:id="1086" w:name="_Toc30692718"/>
      <w:bookmarkStart w:id="1087" w:name="_Toc30693097"/>
      <w:bookmarkStart w:id="1088" w:name="_Toc30693475"/>
      <w:bookmarkStart w:id="1089" w:name="_Toc30693853"/>
      <w:bookmarkStart w:id="1090" w:name="_Toc30694234"/>
      <w:bookmarkStart w:id="1091" w:name="_Toc30698823"/>
      <w:bookmarkStart w:id="1092" w:name="_Toc30699201"/>
      <w:bookmarkStart w:id="1093" w:name="_Toc30699586"/>
      <w:bookmarkStart w:id="1094" w:name="_Toc30700741"/>
      <w:bookmarkStart w:id="1095" w:name="_Toc30701128"/>
      <w:bookmarkStart w:id="1096" w:name="_Toc30743737"/>
      <w:bookmarkStart w:id="1097" w:name="_Toc30754560"/>
      <w:bookmarkStart w:id="1098" w:name="_Toc30757000"/>
      <w:bookmarkStart w:id="1099" w:name="_Toc30757549"/>
      <w:bookmarkStart w:id="1100" w:name="_Toc30757949"/>
      <w:bookmarkStart w:id="1101" w:name="_Toc30762710"/>
      <w:bookmarkStart w:id="1102" w:name="_Toc30767364"/>
      <w:bookmarkStart w:id="1103"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16FCA485" w14:textId="77777777" w:rsidR="00DF1862" w:rsidRPr="003D5DFA" w:rsidRDefault="00DF1862" w:rsidP="00745D3D">
      <w:pPr>
        <w:spacing w:before="60" w:line="240" w:lineRule="exact"/>
        <w:ind w:left="50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754046F3" w14:textId="77777777" w:rsidR="00693223" w:rsidRPr="003D5DFA" w:rsidRDefault="00693223">
      <w:pPr>
        <w:pStyle w:val="Heading3"/>
        <w:spacing w:after="120" w:line="240" w:lineRule="auto"/>
        <w:rPr>
          <w:rFonts w:ascii="Arial" w:hAnsi="Arial" w:cs="Arial"/>
          <w:color w:val="000000"/>
          <w:sz w:val="20"/>
        </w:rPr>
      </w:pPr>
      <w:bookmarkStart w:id="1104" w:name="_4.7.7_Recommendations_by"/>
      <w:bookmarkStart w:id="1105" w:name="B477"/>
      <w:bookmarkEnd w:id="1104"/>
      <w:bookmarkEnd w:id="1105"/>
      <w:r w:rsidRPr="003D5DFA">
        <w:rPr>
          <w:rFonts w:ascii="Arial" w:hAnsi="Arial" w:cs="Arial"/>
          <w:b/>
          <w:bCs/>
          <w:color w:val="000000"/>
          <w:sz w:val="20"/>
        </w:rPr>
        <w:lastRenderedPageBreak/>
        <w:t>4.7.</w:t>
      </w:r>
      <w:r w:rsidR="009B3556" w:rsidRPr="003D5DFA">
        <w:rPr>
          <w:rFonts w:ascii="Arial" w:hAnsi="Arial" w:cs="Arial"/>
          <w:b/>
          <w:bCs/>
          <w:color w:val="000000"/>
          <w:sz w:val="20"/>
        </w:rPr>
        <w:t>7</w:t>
      </w:r>
      <w:r w:rsidRPr="003D5DFA">
        <w:rPr>
          <w:rFonts w:ascii="Arial" w:hAnsi="Arial" w:cs="Arial"/>
          <w:b/>
          <w:bCs/>
          <w:color w:val="000000"/>
          <w:sz w:val="20"/>
        </w:rPr>
        <w:tab/>
      </w:r>
      <w:bookmarkEnd w:id="1064"/>
      <w:bookmarkEnd w:id="1065"/>
      <w:r w:rsidRPr="003D5DFA">
        <w:rPr>
          <w:rFonts w:ascii="Arial" w:hAnsi="Arial" w:cs="Arial"/>
          <w:b/>
          <w:bCs/>
          <w:color w:val="000000"/>
          <w:sz w:val="20"/>
        </w:rPr>
        <w:t>Recommendations by Australian Law Reform Commission</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3DEEC0CE"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0B67614D" w14:textId="77777777" w:rsidR="00693223" w:rsidRPr="003D5DFA" w:rsidRDefault="00693223" w:rsidP="002239D1">
      <w:pPr>
        <w:numPr>
          <w:ilvl w:val="0"/>
          <w:numId w:val="8"/>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80C7EDF" w14:textId="77777777" w:rsidR="00693223" w:rsidRPr="003D5DFA" w:rsidRDefault="00693223" w:rsidP="002239D1">
      <w:pPr>
        <w:numPr>
          <w:ilvl w:val="0"/>
          <w:numId w:val="8"/>
        </w:numPr>
        <w:ind w:left="284" w:hanging="284"/>
        <w:rPr>
          <w:rFonts w:ascii="Arial" w:hAnsi="Arial" w:cs="Arial"/>
          <w:color w:val="000000"/>
          <w:sz w:val="20"/>
        </w:rPr>
      </w:pPr>
      <w:r w:rsidRPr="003D5DFA">
        <w:rPr>
          <w:rFonts w:ascii="Arial" w:hAnsi="Arial" w:cs="Arial"/>
          <w:color w:val="000000"/>
          <w:sz w:val="20"/>
        </w:rPr>
        <w:t>sub-poenaing all documents;</w:t>
      </w:r>
    </w:p>
    <w:p w14:paraId="326BF7D2" w14:textId="77777777" w:rsidR="00693223" w:rsidRPr="003D5DFA" w:rsidRDefault="00693223" w:rsidP="002239D1">
      <w:pPr>
        <w:numPr>
          <w:ilvl w:val="0"/>
          <w:numId w:val="8"/>
        </w:numPr>
        <w:ind w:left="284" w:hanging="284"/>
        <w:rPr>
          <w:rFonts w:ascii="Arial" w:hAnsi="Arial" w:cs="Arial"/>
          <w:color w:val="000000"/>
          <w:sz w:val="20"/>
        </w:rPr>
      </w:pPr>
      <w:r w:rsidRPr="003D5DFA">
        <w:rPr>
          <w:rFonts w:ascii="Arial" w:hAnsi="Arial" w:cs="Arial"/>
          <w:color w:val="000000"/>
          <w:sz w:val="20"/>
        </w:rPr>
        <w:t>retaining experts as needed;</w:t>
      </w:r>
    </w:p>
    <w:p w14:paraId="730EFFB7" w14:textId="77777777" w:rsidR="00693223" w:rsidRPr="003D5DFA" w:rsidRDefault="00693223" w:rsidP="002239D1">
      <w:pPr>
        <w:numPr>
          <w:ilvl w:val="0"/>
          <w:numId w:val="8"/>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2174F3D0" w14:textId="77777777" w:rsidR="00693223" w:rsidRPr="003D5DFA" w:rsidRDefault="00693223" w:rsidP="002239D1">
      <w:pPr>
        <w:numPr>
          <w:ilvl w:val="0"/>
          <w:numId w:val="8"/>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1EBA2E6F" w14:textId="77777777" w:rsidR="00693223" w:rsidRPr="003D5DFA" w:rsidRDefault="00693223" w:rsidP="002239D1">
      <w:pPr>
        <w:keepNext/>
        <w:keepLines/>
        <w:numPr>
          <w:ilvl w:val="0"/>
          <w:numId w:val="8"/>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679410D1" w14:textId="77777777" w:rsidR="00693223" w:rsidRPr="003D5DFA" w:rsidRDefault="00693223" w:rsidP="002239D1">
      <w:pPr>
        <w:numPr>
          <w:ilvl w:val="0"/>
          <w:numId w:val="8"/>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3656207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2128E082" w14:textId="77777777" w:rsidR="00F917A7" w:rsidRPr="003D5DFA" w:rsidRDefault="00F917A7" w:rsidP="00F917A7">
      <w:pPr>
        <w:pStyle w:val="Heading3"/>
        <w:spacing w:line="240" w:lineRule="auto"/>
        <w:rPr>
          <w:rFonts w:ascii="Arial" w:hAnsi="Arial" w:cs="Arial"/>
          <w:b/>
          <w:bCs/>
          <w:color w:val="000000"/>
          <w:sz w:val="20"/>
        </w:rPr>
      </w:pPr>
      <w:bookmarkStart w:id="1106" w:name="_Toc30607532"/>
      <w:bookmarkStart w:id="1107" w:name="_Toc30607661"/>
      <w:bookmarkStart w:id="1108" w:name="_Toc30607986"/>
      <w:bookmarkStart w:id="1109" w:name="_Toc30608819"/>
      <w:bookmarkStart w:id="1110" w:name="_Toc30610033"/>
      <w:bookmarkStart w:id="1111" w:name="_Toc30610277"/>
      <w:bookmarkStart w:id="1112" w:name="_Toc30638431"/>
      <w:bookmarkStart w:id="1113" w:name="_Toc30644244"/>
      <w:bookmarkStart w:id="1114" w:name="_Toc30644651"/>
      <w:bookmarkStart w:id="1115" w:name="_Toc30645201"/>
      <w:bookmarkStart w:id="1116" w:name="_Toc30646413"/>
      <w:bookmarkStart w:id="1117" w:name="_Toc30646708"/>
      <w:bookmarkStart w:id="1118" w:name="_Toc30646819"/>
      <w:bookmarkStart w:id="1119" w:name="_Toc30648181"/>
      <w:bookmarkStart w:id="1120" w:name="_Toc30649082"/>
      <w:bookmarkStart w:id="1121" w:name="_Toc30649158"/>
      <w:bookmarkStart w:id="1122" w:name="_Toc30649419"/>
      <w:bookmarkStart w:id="1123" w:name="_Toc30649744"/>
      <w:bookmarkStart w:id="1124" w:name="_Toc30651684"/>
      <w:bookmarkStart w:id="1125" w:name="_Toc30652674"/>
      <w:bookmarkStart w:id="1126" w:name="_Toc30652770"/>
      <w:bookmarkStart w:id="1127" w:name="_Toc30654117"/>
      <w:bookmarkStart w:id="1128" w:name="_Toc30654468"/>
      <w:bookmarkStart w:id="1129" w:name="_Toc30655087"/>
      <w:bookmarkStart w:id="1130" w:name="_Toc30655344"/>
      <w:bookmarkStart w:id="1131" w:name="_Toc30657022"/>
      <w:bookmarkStart w:id="1132" w:name="_Toc30661771"/>
      <w:bookmarkStart w:id="1133" w:name="_Toc30666459"/>
      <w:bookmarkStart w:id="1134" w:name="_Toc30666689"/>
      <w:bookmarkStart w:id="1135" w:name="_Toc30667864"/>
      <w:bookmarkStart w:id="1136" w:name="_Toc30669242"/>
      <w:bookmarkStart w:id="1137" w:name="_Toc30671458"/>
      <w:bookmarkStart w:id="1138" w:name="_Toc30673985"/>
      <w:bookmarkStart w:id="1139" w:name="_Toc30691207"/>
      <w:bookmarkStart w:id="1140" w:name="_Toc30691580"/>
      <w:bookmarkStart w:id="1141" w:name="_Toc30691960"/>
      <w:bookmarkStart w:id="1142" w:name="_Toc30692719"/>
      <w:bookmarkStart w:id="1143" w:name="_Toc30693098"/>
      <w:bookmarkStart w:id="1144" w:name="_Toc30693476"/>
      <w:bookmarkStart w:id="1145" w:name="_Toc30693854"/>
      <w:bookmarkStart w:id="1146" w:name="_Toc30694235"/>
      <w:bookmarkStart w:id="1147" w:name="_Toc30698824"/>
      <w:bookmarkStart w:id="1148" w:name="_Toc30699202"/>
      <w:bookmarkStart w:id="1149" w:name="_Toc30699587"/>
      <w:bookmarkStart w:id="1150" w:name="_Toc30700742"/>
      <w:bookmarkStart w:id="1151" w:name="_Toc30701129"/>
      <w:bookmarkStart w:id="1152" w:name="_Toc30743738"/>
      <w:bookmarkStart w:id="1153" w:name="_Toc30754561"/>
      <w:bookmarkStart w:id="1154" w:name="_Toc30757001"/>
      <w:bookmarkStart w:id="1155" w:name="_Toc30757550"/>
      <w:bookmarkStart w:id="1156" w:name="_Toc30757950"/>
      <w:bookmarkStart w:id="1157" w:name="_Toc30762711"/>
      <w:bookmarkStart w:id="1158" w:name="_Toc30767365"/>
      <w:bookmarkStart w:id="1159" w:name="_Toc34823380"/>
    </w:p>
    <w:p w14:paraId="38399C31" w14:textId="77777777" w:rsidR="00F917A7" w:rsidRPr="003D5DFA" w:rsidRDefault="00F917A7" w:rsidP="00F917A7">
      <w:pPr>
        <w:pStyle w:val="Heading3"/>
        <w:spacing w:after="120" w:line="240" w:lineRule="auto"/>
        <w:rPr>
          <w:rFonts w:ascii="Arial" w:hAnsi="Arial" w:cs="Arial"/>
          <w:color w:val="000000"/>
          <w:sz w:val="20"/>
        </w:rPr>
      </w:pPr>
      <w:bookmarkStart w:id="1160" w:name="_4.7.8_Recommendations_by"/>
      <w:bookmarkStart w:id="1161" w:name="B478"/>
      <w:bookmarkEnd w:id="1160"/>
      <w:bookmarkEnd w:id="1161"/>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1529C9C9"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7F2EF085" w14:textId="77777777" w:rsidR="00A03186" w:rsidRPr="003D5DFA" w:rsidRDefault="00A03186" w:rsidP="000151FB">
      <w:pPr>
        <w:numPr>
          <w:ilvl w:val="0"/>
          <w:numId w:val="49"/>
        </w:numPr>
        <w:ind w:left="284" w:hanging="284"/>
        <w:jc w:val="both"/>
        <w:rPr>
          <w:rFonts w:ascii="Arial" w:hAnsi="Arial" w:cs="Arial"/>
          <w:color w:val="000000"/>
          <w:sz w:val="20"/>
        </w:rPr>
      </w:pPr>
      <w:r w:rsidRPr="003D5DFA">
        <w:rPr>
          <w:rFonts w:ascii="Arial" w:hAnsi="Arial" w:cs="Arial"/>
          <w:color w:val="000000"/>
          <w:sz w:val="20"/>
        </w:rPr>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46CE099D" w14:textId="77777777" w:rsidR="00CA4108" w:rsidRPr="003D5DFA" w:rsidRDefault="00CA4108" w:rsidP="000151FB">
      <w:pPr>
        <w:numPr>
          <w:ilvl w:val="0"/>
          <w:numId w:val="49"/>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6953AA11" w14:textId="77777777" w:rsidR="00CA4108" w:rsidRPr="003D5DFA" w:rsidRDefault="00CA4108" w:rsidP="000151FB">
      <w:pPr>
        <w:numPr>
          <w:ilvl w:val="1"/>
          <w:numId w:val="50"/>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49B04CCE" w14:textId="77777777" w:rsidR="00CA4108" w:rsidRPr="003D5DFA" w:rsidRDefault="00CA4108" w:rsidP="000151FB">
      <w:pPr>
        <w:numPr>
          <w:ilvl w:val="1"/>
          <w:numId w:val="50"/>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0B7F53A1"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2EB80455"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648AF73C" w14:textId="77777777" w:rsidR="000B2C51" w:rsidRPr="003D5DFA" w:rsidRDefault="000B2C51" w:rsidP="000B2C51">
      <w:pPr>
        <w:jc w:val="both"/>
        <w:rPr>
          <w:rFonts w:ascii="Arial" w:hAnsi="Arial" w:cs="Arial"/>
          <w:color w:val="000000"/>
          <w:sz w:val="20"/>
        </w:rPr>
      </w:pPr>
    </w:p>
    <w:p w14:paraId="423BA824" w14:textId="77777777" w:rsidR="009E5DAC" w:rsidRPr="003D5DFA" w:rsidRDefault="009E5DAC" w:rsidP="009E5DAC">
      <w:pPr>
        <w:pStyle w:val="Heading3"/>
        <w:spacing w:after="120" w:line="240" w:lineRule="auto"/>
        <w:rPr>
          <w:rFonts w:ascii="Arial" w:hAnsi="Arial" w:cs="Arial"/>
          <w:color w:val="000000"/>
          <w:sz w:val="20"/>
        </w:rPr>
      </w:pPr>
      <w:bookmarkStart w:id="1162" w:name="_4.7.9_Recommendations_by"/>
      <w:bookmarkStart w:id="1163" w:name="B479"/>
      <w:bookmarkEnd w:id="1162"/>
      <w:bookmarkEnd w:id="1163"/>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05AE43C6"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096ABC7A"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5ECD5AFA" w14:textId="77777777" w:rsidR="00F32C0E" w:rsidRPr="003D5DFA" w:rsidRDefault="00F32C0E" w:rsidP="00BD3BD4">
      <w:pPr>
        <w:numPr>
          <w:ilvl w:val="0"/>
          <w:numId w:val="8"/>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07280DAD" w14:textId="77777777" w:rsidR="00F32C0E" w:rsidRPr="003D5DFA" w:rsidRDefault="00F32C0E" w:rsidP="00BD3BD4">
      <w:pPr>
        <w:numPr>
          <w:ilvl w:val="0"/>
          <w:numId w:val="8"/>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26A16C0F" w14:textId="77777777" w:rsidR="00F32C0E" w:rsidRPr="003D5DFA" w:rsidRDefault="00F32C0E" w:rsidP="00BD3BD4">
      <w:pPr>
        <w:numPr>
          <w:ilvl w:val="0"/>
          <w:numId w:val="8"/>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19BB367F" w14:textId="77777777" w:rsidR="00F32C0E" w:rsidRPr="003D5DFA" w:rsidRDefault="00F32C0E" w:rsidP="00BD3BD4">
      <w:pPr>
        <w:numPr>
          <w:ilvl w:val="0"/>
          <w:numId w:val="8"/>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3E265EB5"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610C24E9"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“The Victorian Government should develop guidelines to assist the court, tribunal, or the independent children’s lawyer to determine whether the child is capable of giving direct instructions and to provide criteria by which the presumption of capacity can be rebutted.”</w:t>
      </w:r>
    </w:p>
    <w:p w14:paraId="29F0F2B6"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lastRenderedPageBreak/>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1B9BF175" w14:textId="77777777" w:rsidR="009E5DAC" w:rsidRPr="003D5DFA" w:rsidRDefault="009E5DAC" w:rsidP="000B2C51">
      <w:pPr>
        <w:jc w:val="both"/>
        <w:rPr>
          <w:rFonts w:ascii="Arial" w:hAnsi="Arial" w:cs="Arial"/>
          <w:color w:val="000000"/>
          <w:sz w:val="20"/>
        </w:rPr>
      </w:pPr>
    </w:p>
    <w:p w14:paraId="488AD7F7" w14:textId="77777777" w:rsidR="000B2C51" w:rsidRPr="003D5DFA" w:rsidRDefault="000B2C51" w:rsidP="004C6AED">
      <w:pPr>
        <w:pStyle w:val="Heading3"/>
        <w:keepNext/>
        <w:spacing w:after="120" w:line="240" w:lineRule="auto"/>
        <w:rPr>
          <w:rFonts w:ascii="Arial" w:hAnsi="Arial" w:cs="Arial"/>
          <w:b/>
          <w:bCs/>
          <w:color w:val="000000"/>
          <w:sz w:val="20"/>
        </w:rPr>
      </w:pPr>
      <w:bookmarkStart w:id="1164" w:name="_4.7.10_Representation_of"/>
      <w:bookmarkStart w:id="1165" w:name="B4710"/>
      <w:bookmarkEnd w:id="1164"/>
      <w:bookmarkEnd w:id="1165"/>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118BFCFE"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42756315" w14:textId="77777777" w:rsidR="000B2C51" w:rsidRPr="003D5DFA" w:rsidRDefault="000B2C51" w:rsidP="000B2C51">
      <w:pPr>
        <w:keepNext/>
        <w:keepLines/>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2C66E90F"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0307A26B" w14:textId="77777777" w:rsidR="000B2C51" w:rsidRPr="003D5DFA" w:rsidRDefault="000B2C51" w:rsidP="000B2C51">
      <w:pPr>
        <w:jc w:val="both"/>
        <w:rPr>
          <w:rFonts w:ascii="Arial" w:hAnsi="Arial" w:cs="Arial"/>
          <w:color w:val="000000"/>
          <w:sz w:val="20"/>
        </w:rPr>
      </w:pPr>
    </w:p>
    <w:p w14:paraId="56EE9EAA"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1B49B7A7"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76174E9E"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772FF224" w14:textId="77777777" w:rsidR="000B2C51" w:rsidRPr="003D5DFA" w:rsidRDefault="000B2C51" w:rsidP="000B2C51">
      <w:pPr>
        <w:jc w:val="both"/>
        <w:rPr>
          <w:rFonts w:ascii="Arial" w:hAnsi="Arial" w:cs="Arial"/>
          <w:color w:val="000000"/>
          <w:sz w:val="20"/>
        </w:rPr>
      </w:pPr>
    </w:p>
    <w:p w14:paraId="05693AE7"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31057215" w14:textId="77777777" w:rsidR="000B2C51" w:rsidRPr="003D5DFA" w:rsidRDefault="000B2C51" w:rsidP="000B2C51">
      <w:pPr>
        <w:numPr>
          <w:ilvl w:val="0"/>
          <w:numId w:val="9"/>
        </w:numPr>
        <w:jc w:val="both"/>
        <w:rPr>
          <w:rFonts w:ascii="Arial" w:hAnsi="Arial" w:cs="Arial"/>
          <w:color w:val="000000"/>
          <w:sz w:val="20"/>
        </w:rPr>
      </w:pPr>
      <w:r w:rsidRPr="003D5DFA">
        <w:rPr>
          <w:rFonts w:ascii="Arial" w:hAnsi="Arial" w:cs="Arial"/>
          <w:color w:val="000000"/>
          <w:sz w:val="20"/>
        </w:rPr>
        <w:t>a conflict in policy between s.524 of the CYFA and s.62 of the FVPA even though an intervention order proceeding is not one of the proceedings listed in s.525(1) of the CYFA for which it is mandatory that a child be represented; and</w:t>
      </w:r>
    </w:p>
    <w:p w14:paraId="38F65204" w14:textId="77777777" w:rsidR="000B2C51" w:rsidRPr="003D5DFA" w:rsidRDefault="000B2C51" w:rsidP="000B2C51">
      <w:pPr>
        <w:numPr>
          <w:ilvl w:val="0"/>
          <w:numId w:val="9"/>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CB53ABE"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To the extent of any inconsistency, it is the writer’s view that s.62, being the later enactment, prevails.  The writer deplores this departure from the enlightened philosophy underpinning s.524 into a paternalistic world of adults knowing best and children being not seen and not heard.  It is arguable that s.62-</w:t>
      </w:r>
    </w:p>
    <w:p w14:paraId="2F9B7C51" w14:textId="77777777" w:rsidR="000B2C51" w:rsidRPr="003D5DFA" w:rsidRDefault="000B2C51" w:rsidP="000B2C51">
      <w:pPr>
        <w:numPr>
          <w:ilvl w:val="0"/>
          <w:numId w:val="9"/>
        </w:numPr>
        <w:jc w:val="both"/>
        <w:rPr>
          <w:rFonts w:ascii="Arial" w:hAnsi="Arial" w:cs="Arial"/>
          <w:color w:val="000000"/>
          <w:sz w:val="20"/>
        </w:rPr>
      </w:pPr>
      <w:r w:rsidRPr="003D5DFA">
        <w:rPr>
          <w:rFonts w:ascii="Arial" w:hAnsi="Arial" w:cs="Arial"/>
          <w:color w:val="000000"/>
          <w:sz w:val="20"/>
        </w:rPr>
        <w:t xml:space="preserve">is at odds with the United Nations Convention on the Rights of the Child to which </w:t>
      </w:r>
      <w:smartTag w:uri="urn:schemas-microsoft-com:office:smarttags" w:element="place">
        <w:smartTag w:uri="urn:schemas-microsoft-com:office:smarttags" w:element="country-region">
          <w:r w:rsidRPr="003D5DFA">
            <w:rPr>
              <w:rFonts w:ascii="Arial" w:hAnsi="Arial" w:cs="Arial"/>
              <w:color w:val="000000"/>
              <w:sz w:val="20"/>
            </w:rPr>
            <w:t>Australia</w:t>
          </w:r>
        </w:smartTag>
      </w:smartTag>
      <w:r w:rsidRPr="003D5DFA">
        <w:rPr>
          <w:rFonts w:ascii="Arial" w:hAnsi="Arial" w:cs="Arial"/>
          <w:color w:val="000000"/>
          <w:sz w:val="20"/>
        </w:rPr>
        <w:t xml:space="preserve"> is a signatory; and</w:t>
      </w:r>
    </w:p>
    <w:p w14:paraId="7AFCFB7A" w14:textId="77777777" w:rsidR="000B2C51" w:rsidRPr="003D5DFA" w:rsidRDefault="000B2C51" w:rsidP="000B2C51">
      <w:pPr>
        <w:numPr>
          <w:ilvl w:val="0"/>
          <w:numId w:val="9"/>
        </w:numPr>
        <w:jc w:val="both"/>
        <w:rPr>
          <w:rFonts w:ascii="Arial" w:hAnsi="Arial" w:cs="Arial"/>
          <w:color w:val="000000"/>
          <w:sz w:val="20"/>
        </w:rPr>
      </w:pPr>
      <w:r w:rsidRPr="003D5DFA">
        <w:rPr>
          <w:rFonts w:ascii="Arial" w:hAnsi="Arial" w:cs="Arial"/>
          <w:color w:val="000000"/>
          <w:sz w:val="20"/>
        </w:rPr>
        <w:t>improperly discriminates against a child and so is contrary to the Preamble and ss.8 &amp; 17(2) of the </w:t>
      </w:r>
      <w:r w:rsidRPr="003D5DFA">
        <w:rPr>
          <w:rFonts w:ascii="Arial" w:hAnsi="Arial" w:cs="Arial"/>
          <w:color w:val="000000"/>
          <w:sz w:val="20"/>
          <w:u w:val="single"/>
        </w:rPr>
        <w:t>Charter of Human Rights and Responsibilities Act 2006 (Vic)</w:t>
      </w:r>
      <w:r w:rsidRPr="003D5DFA">
        <w:rPr>
          <w:rFonts w:ascii="Arial" w:hAnsi="Arial" w:cs="Arial"/>
          <w:color w:val="000000"/>
          <w:sz w:val="20"/>
        </w:rPr>
        <w:t>.</w:t>
      </w:r>
    </w:p>
    <w:p w14:paraId="56485F2B" w14:textId="77777777" w:rsidR="00693223" w:rsidRPr="003D5DFA" w:rsidRDefault="000B2C51" w:rsidP="000B2C51">
      <w:pPr>
        <w:jc w:val="both"/>
        <w:rPr>
          <w:rFonts w:ascii="Arial" w:hAnsi="Arial" w:cs="Arial"/>
          <w:color w:val="000000"/>
        </w:rPr>
      </w:pPr>
      <w:r w:rsidRPr="003D5DFA">
        <w:rPr>
          <w:rFonts w:ascii="Arial" w:hAnsi="Arial" w:cs="Arial"/>
          <w:color w:val="000000"/>
          <w:sz w:val="20"/>
        </w:rPr>
        <w:t>It will be interesting to see whether anyone is prepared to challenge it.</w:t>
      </w:r>
    </w:p>
    <w:p w14:paraId="3177EB89" w14:textId="77777777" w:rsidR="000B2C51" w:rsidRPr="003D5DFA" w:rsidRDefault="000B2C51" w:rsidP="000B2C51">
      <w:pPr>
        <w:jc w:val="both"/>
        <w:rPr>
          <w:rFonts w:ascii="Arial" w:hAnsi="Arial" w:cs="Arial"/>
          <w:color w:val="000000"/>
        </w:rPr>
      </w:pPr>
    </w:p>
    <w:p w14:paraId="6093A45C" w14:textId="77777777" w:rsidR="00693223" w:rsidRPr="003D5DFA" w:rsidRDefault="00693223">
      <w:pPr>
        <w:pStyle w:val="Heading2"/>
        <w:tabs>
          <w:tab w:val="left" w:pos="567"/>
        </w:tabs>
        <w:spacing w:line="240" w:lineRule="auto"/>
        <w:rPr>
          <w:rFonts w:ascii="Arial" w:hAnsi="Arial" w:cs="Arial"/>
          <w:b/>
          <w:bCs/>
          <w:color w:val="000000"/>
        </w:rPr>
      </w:pPr>
      <w:bookmarkStart w:id="1166" w:name="_4.8_Conduct_of"/>
      <w:bookmarkStart w:id="1167" w:name="B48"/>
      <w:bookmarkEnd w:id="1166"/>
      <w:bookmarkEnd w:id="1167"/>
      <w:r w:rsidRPr="003D5DFA">
        <w:rPr>
          <w:rFonts w:ascii="Arial" w:hAnsi="Arial" w:cs="Arial"/>
          <w:b/>
          <w:bCs/>
          <w:color w:val="000000"/>
        </w:rPr>
        <w:t>4.8</w:t>
      </w:r>
      <w:r w:rsidRPr="003D5DFA">
        <w:rPr>
          <w:rFonts w:ascii="Arial" w:hAnsi="Arial" w:cs="Arial"/>
          <w:b/>
          <w:bCs/>
          <w:color w:val="000000"/>
        </w:rPr>
        <w:tab/>
        <w:t>Conduct of proceedings in Family Division</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1B15431A" w14:textId="77777777" w:rsidR="00693223" w:rsidRPr="003D5DFA" w:rsidRDefault="00693223">
      <w:pPr>
        <w:jc w:val="both"/>
        <w:rPr>
          <w:rFonts w:ascii="Arial" w:hAnsi="Arial" w:cs="Arial"/>
          <w:color w:val="000000"/>
        </w:rPr>
      </w:pPr>
      <w:bookmarkStart w:id="1168" w:name="_Toc30654118"/>
      <w:bookmarkStart w:id="1169" w:name="_Toc30654469"/>
      <w:bookmarkStart w:id="1170" w:name="_Toc30655088"/>
      <w:bookmarkStart w:id="1171" w:name="_Toc30655345"/>
      <w:bookmarkStart w:id="1172" w:name="_Toc30657023"/>
      <w:bookmarkStart w:id="1173" w:name="_Toc30661772"/>
      <w:bookmarkStart w:id="1174" w:name="_Toc30666460"/>
      <w:bookmarkStart w:id="1175" w:name="_Toc30666690"/>
      <w:bookmarkStart w:id="1176" w:name="_Toc30667865"/>
      <w:bookmarkStart w:id="1177" w:name="_Toc30669243"/>
      <w:bookmarkStart w:id="1178" w:name="_Toc30671459"/>
      <w:bookmarkStart w:id="1179" w:name="_Toc30673986"/>
      <w:bookmarkStart w:id="1180" w:name="_Toc30691208"/>
      <w:bookmarkStart w:id="1181" w:name="_Toc30691581"/>
      <w:bookmarkStart w:id="1182" w:name="_Toc30691961"/>
      <w:bookmarkStart w:id="1183" w:name="_Toc30692720"/>
      <w:bookmarkStart w:id="1184" w:name="_Toc30693099"/>
      <w:bookmarkStart w:id="1185" w:name="_Toc30693477"/>
      <w:bookmarkStart w:id="1186" w:name="_Toc30693855"/>
      <w:bookmarkStart w:id="1187" w:name="_Toc30694236"/>
      <w:bookmarkStart w:id="1188" w:name="_Toc30698825"/>
      <w:bookmarkStart w:id="1189" w:name="_Toc30699203"/>
      <w:bookmarkStart w:id="1190" w:name="_Toc30699588"/>
      <w:bookmarkStart w:id="1191" w:name="_Toc30700743"/>
      <w:bookmarkStart w:id="1192" w:name="_Toc30701130"/>
      <w:bookmarkStart w:id="1193" w:name="_Toc30743739"/>
      <w:bookmarkStart w:id="1194" w:name="_Toc30754562"/>
      <w:bookmarkStart w:id="1195" w:name="_Toc30757002"/>
      <w:bookmarkStart w:id="1196" w:name="_Toc30757551"/>
      <w:bookmarkStart w:id="1197" w:name="_Toc30757951"/>
      <w:bookmarkStart w:id="1198" w:name="_Toc30762712"/>
      <w:bookmarkStart w:id="1199" w:name="_Toc30767366"/>
      <w:bookmarkStart w:id="1200" w:name="_Toc34823381"/>
    </w:p>
    <w:p w14:paraId="19BC0295" w14:textId="77777777" w:rsidR="00693223" w:rsidRPr="003D5DFA" w:rsidRDefault="00693223">
      <w:pPr>
        <w:pStyle w:val="Heading3"/>
        <w:spacing w:after="120" w:line="240" w:lineRule="auto"/>
        <w:rPr>
          <w:rFonts w:ascii="Arial" w:hAnsi="Arial" w:cs="Arial"/>
          <w:color w:val="000000"/>
          <w:sz w:val="16"/>
        </w:rPr>
      </w:pPr>
      <w:bookmarkStart w:id="1201" w:name="_4.8.1_Informal_procedure"/>
      <w:bookmarkStart w:id="1202" w:name="B481"/>
      <w:bookmarkEnd w:id="1201"/>
      <w:bookmarkEnd w:id="1202"/>
      <w:r w:rsidRPr="003D5DFA">
        <w:rPr>
          <w:rFonts w:ascii="Arial" w:hAnsi="Arial" w:cs="Arial"/>
          <w:b/>
          <w:bCs/>
          <w:color w:val="000000"/>
          <w:sz w:val="20"/>
        </w:rPr>
        <w:t>4.8.1</w:t>
      </w:r>
      <w:r w:rsidRPr="003D5DFA">
        <w:rPr>
          <w:rFonts w:ascii="Arial" w:hAnsi="Arial" w:cs="Arial"/>
          <w:b/>
          <w:bCs/>
          <w:color w:val="000000"/>
          <w:sz w:val="20"/>
        </w:rPr>
        <w:tab/>
        <w:t>Informal</w:t>
      </w:r>
      <w:bookmarkEnd w:id="1168"/>
      <w:r w:rsidRPr="003D5DFA">
        <w:rPr>
          <w:rFonts w:ascii="Arial" w:hAnsi="Arial" w:cs="Arial"/>
          <w:b/>
          <w:bCs/>
          <w:color w:val="000000"/>
          <w:sz w:val="20"/>
        </w:rPr>
        <w:t xml:space="preserve"> procedure</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5CBBC234"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2A1627F3" w14:textId="77777777" w:rsidR="00693223" w:rsidRPr="003D5DFA" w:rsidRDefault="00693223">
      <w:pPr>
        <w:numPr>
          <w:ilvl w:val="0"/>
          <w:numId w:val="10"/>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2F074DB3" w14:textId="77777777" w:rsidR="00693223" w:rsidRPr="003D5DFA" w:rsidRDefault="00BD26FA">
      <w:pPr>
        <w:numPr>
          <w:ilvl w:val="0"/>
          <w:numId w:val="10"/>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463C9D40"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r w:rsidR="00C74768">
        <w:rPr>
          <w:rFonts w:ascii="Arial" w:hAnsi="Arial" w:cs="Arial"/>
          <w:sz w:val="20"/>
          <w:szCs w:val="20"/>
        </w:rPr>
        <w:t xml:space="preserve">VChC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Pr>
          <w:rFonts w:ascii="Arial" w:hAnsi="Arial" w:cs="Arial"/>
          <w:sz w:val="20"/>
          <w:szCs w:val="20"/>
        </w:rPr>
        <w:t>section 3.5.6 of these Research Materials</w:t>
      </w:r>
      <w:r w:rsidR="00287157" w:rsidRPr="00EE4465">
        <w:rPr>
          <w:rFonts w:ascii="Arial" w:hAnsi="Arial" w:cs="Arial"/>
          <w:sz w:val="20"/>
          <w:szCs w:val="20"/>
        </w:rPr>
        <w:t>.</w:t>
      </w:r>
    </w:p>
    <w:p w14:paraId="1E697632" w14:textId="77777777" w:rsidR="00965A23" w:rsidRDefault="00965A23">
      <w:pPr>
        <w:ind w:left="60"/>
        <w:jc w:val="both"/>
        <w:rPr>
          <w:rFonts w:ascii="Arial" w:hAnsi="Arial" w:cs="Arial"/>
          <w:sz w:val="20"/>
          <w:szCs w:val="20"/>
        </w:rPr>
      </w:pPr>
    </w:p>
    <w:p w14:paraId="4EE81CC0" w14:textId="77777777"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n</w:t>
      </w:r>
      <w:r w:rsidRPr="003D4BCE">
        <w:rPr>
          <w:rFonts w:ascii="Arial" w:hAnsi="Arial" w:cs="Arial"/>
          <w:color w:val="000000"/>
          <w:sz w:val="20"/>
        </w:rPr>
        <w:t>ew</w:t>
      </w:r>
      <w:r>
        <w:rPr>
          <w:rFonts w:ascii="Arial" w:hAnsi="Arial" w:cs="Arial"/>
          <w:color w:val="000000"/>
          <w:sz w:val="20"/>
        </w:rPr>
        <w:t xml:space="preserve">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entirely un</w:t>
      </w:r>
      <w:r w:rsidR="006054BD">
        <w:rPr>
          <w:rFonts w:ascii="Arial" w:hAnsi="Arial" w:cs="Arial"/>
          <w:sz w:val="20"/>
          <w:szCs w:val="20"/>
        </w:rPr>
        <w:t>clear.</w:t>
      </w:r>
    </w:p>
    <w:p w14:paraId="39A3E19E" w14:textId="77777777" w:rsidR="003D4BCE" w:rsidRDefault="003D4BCE" w:rsidP="00BC54E3">
      <w:pPr>
        <w:keepNext/>
        <w:keepLines/>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lastRenderedPageBreak/>
        <w:t>Section 215B provides:</w:t>
      </w:r>
    </w:p>
    <w:p w14:paraId="5F134B81" w14:textId="77777777" w:rsidR="003D4BCE" w:rsidRPr="003D4BCE" w:rsidRDefault="003D4BCE" w:rsidP="00BC54E3">
      <w:pPr>
        <w:keepNext/>
        <w:keepLines/>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(1) Without limiting Part 1.2 [b</w:t>
      </w:r>
      <w:r w:rsidRPr="003D4BCE">
        <w:rPr>
          <w:rFonts w:ascii="Arial" w:hAnsi="Arial" w:cs="Arial"/>
          <w:color w:val="000000"/>
          <w:sz w:val="20"/>
        </w:rPr>
        <w:t>est Interests principles] or s.215(1), in any proceeding before the Family Division under this Act, the Court may-</w:t>
      </w:r>
    </w:p>
    <w:p w14:paraId="02447D4B"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1887492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190E9C77"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6095414B"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58F6BFB3"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0D250D9F" w14:textId="77777777" w:rsidR="003D4BCE" w:rsidRPr="003D4BCE" w:rsidRDefault="003D4BCE" w:rsidP="00841BF2">
      <w:pPr>
        <w:numPr>
          <w:ilvl w:val="0"/>
          <w:numId w:val="52"/>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61884D33" w14:textId="77777777" w:rsidR="003D4BCE" w:rsidRPr="003D4BCE" w:rsidRDefault="003D4BCE" w:rsidP="00841BF2">
      <w:pPr>
        <w:numPr>
          <w:ilvl w:val="0"/>
          <w:numId w:val="52"/>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45067F75" w14:textId="77777777" w:rsidR="003D4BCE" w:rsidRDefault="003D4BCE" w:rsidP="00841BF2">
      <w:pPr>
        <w:numPr>
          <w:ilvl w:val="0"/>
          <w:numId w:val="52"/>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255494DB" w14:textId="77777777" w:rsidR="003D4BCE" w:rsidRDefault="003D4BCE" w:rsidP="00841BF2">
      <w:pPr>
        <w:numPr>
          <w:ilvl w:val="0"/>
          <w:numId w:val="52"/>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38DF57DF" w14:textId="77777777" w:rsidR="003D4BCE" w:rsidRDefault="003D4BCE" w:rsidP="00841BF2">
      <w:pPr>
        <w:numPr>
          <w:ilvl w:val="0"/>
          <w:numId w:val="52"/>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6B3AD655" w14:textId="77777777" w:rsidR="003D4BCE" w:rsidRDefault="003D4BCE" w:rsidP="00841BF2">
      <w:pPr>
        <w:numPr>
          <w:ilvl w:val="0"/>
          <w:numId w:val="52"/>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4B3D704B" w14:textId="77777777" w:rsidR="003D4BCE" w:rsidRDefault="003D4BCE" w:rsidP="00841BF2">
      <w:pPr>
        <w:numPr>
          <w:ilvl w:val="0"/>
          <w:numId w:val="52"/>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0F09B900" w14:textId="77777777" w:rsidR="003D4BCE" w:rsidRDefault="003D4BCE" w:rsidP="00841BF2">
      <w:pPr>
        <w:numPr>
          <w:ilvl w:val="0"/>
          <w:numId w:val="52"/>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030B00FB" w14:textId="77777777" w:rsidR="003D4BCE" w:rsidRPr="003D4BCE" w:rsidRDefault="003D4BCE" w:rsidP="00841BF2">
      <w:pPr>
        <w:numPr>
          <w:ilvl w:val="0"/>
          <w:numId w:val="52"/>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583157B4"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77FE68E9" w14:textId="77777777"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 215(1)(b) &amp; 215B of the CYFA do not 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r w:rsidRPr="00EE4465">
        <w:rPr>
          <w:rFonts w:ascii="Arial" w:hAnsi="Arial" w:cs="Arial"/>
          <w:i/>
          <w:sz w:val="20"/>
          <w:szCs w:val="20"/>
        </w:rPr>
        <w:t>Susteren v Packaje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760B9F4A" w14:textId="77777777" w:rsidR="000F6283" w:rsidRDefault="000F6283" w:rsidP="008119AB">
      <w:pPr>
        <w:keepNext/>
        <w:keepLines/>
        <w:spacing w:before="60" w:line="240" w:lineRule="exact"/>
        <w:ind w:left="567" w:right="567"/>
        <w:jc w:val="both"/>
        <w:rPr>
          <w:rFonts w:ascii="Arial" w:hAnsi="Arial" w:cs="Arial"/>
          <w:bCs/>
          <w:sz w:val="20"/>
        </w:rPr>
      </w:pPr>
      <w:r>
        <w:rPr>
          <w:rFonts w:ascii="Arial" w:hAnsi="Arial" w:cs="Arial"/>
          <w:bCs/>
          <w:sz w:val="20"/>
        </w:rPr>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36EAC269"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r w:rsidRPr="00EE4465">
        <w:rPr>
          <w:rFonts w:ascii="Arial" w:hAnsi="Arial" w:cs="Arial"/>
          <w:i/>
          <w:sz w:val="20"/>
        </w:rPr>
        <w:t>Macdiggers Pty Ltd v Maria Dickinson and Peter Dickinson</w:t>
      </w:r>
      <w:r>
        <w:rPr>
          <w:rFonts w:ascii="Arial" w:hAnsi="Arial" w:cs="Arial"/>
          <w:sz w:val="20"/>
        </w:rPr>
        <w:t xml:space="preserve"> [2008] VSC 576 at [23]-[28].</w:t>
      </w:r>
    </w:p>
    <w:p w14:paraId="6730F89B" w14:textId="77777777" w:rsidR="0048483D" w:rsidRDefault="0048483D">
      <w:pPr>
        <w:jc w:val="both"/>
        <w:rPr>
          <w:rFonts w:ascii="Arial" w:hAnsi="Arial" w:cs="Arial"/>
          <w:sz w:val="20"/>
        </w:rPr>
      </w:pPr>
    </w:p>
    <w:p w14:paraId="5CBE3091"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FamCAFC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75A17DA" w14:textId="77777777" w:rsidR="006B04AA" w:rsidRDefault="006B04AA" w:rsidP="006B04AA">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Ludeke; Ex parte Customs Officers Association of </w:t>
      </w:r>
      <w:smartTag w:uri="urn:schemas-microsoft-com:office:smarttags" w:element="country-region">
        <w:smartTag w:uri="urn:schemas-microsoft-com:office:smarttags" w:element="place">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Re JRL; Ex parte CJL</w:t>
      </w:r>
      <w:r>
        <w:rPr>
          <w:rFonts w:ascii="Arial" w:hAnsi="Arial" w:cs="Arial"/>
          <w:bCs/>
          <w:sz w:val="20"/>
        </w:rPr>
        <w:t xml:space="preserve"> (1986) 161 CLR 342; </w:t>
      </w:r>
      <w:r w:rsidRPr="00061CF0">
        <w:rPr>
          <w:rFonts w:ascii="Arial" w:hAnsi="Arial" w:cs="Arial"/>
          <w:bCs/>
          <w:i/>
          <w:sz w:val="20"/>
        </w:rPr>
        <w:t>J v Leischke</w:t>
      </w:r>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2651AC43" w14:textId="77777777" w:rsidR="006B04AA" w:rsidRDefault="006B04AA">
      <w:pPr>
        <w:jc w:val="both"/>
        <w:rPr>
          <w:rFonts w:ascii="Arial" w:hAnsi="Arial" w:cs="Arial"/>
          <w:sz w:val="20"/>
        </w:rPr>
      </w:pPr>
    </w:p>
    <w:p w14:paraId="264A444F" w14:textId="77777777" w:rsidR="00693223" w:rsidRDefault="00693223" w:rsidP="00121D44">
      <w:pPr>
        <w:pStyle w:val="Heading3"/>
        <w:keepNext/>
        <w:spacing w:after="120" w:line="240" w:lineRule="auto"/>
        <w:rPr>
          <w:rFonts w:ascii="Arial" w:hAnsi="Arial" w:cs="Arial"/>
          <w:sz w:val="20"/>
        </w:rPr>
      </w:pPr>
      <w:bookmarkStart w:id="1203" w:name="_Toc30654119"/>
      <w:bookmarkStart w:id="1204" w:name="_Toc30654470"/>
      <w:bookmarkStart w:id="1205" w:name="_Toc30655089"/>
      <w:bookmarkStart w:id="1206" w:name="_Toc30655346"/>
      <w:bookmarkStart w:id="1207" w:name="_Toc30657024"/>
      <w:bookmarkStart w:id="1208" w:name="_Toc30661773"/>
      <w:bookmarkStart w:id="1209" w:name="_Toc30666461"/>
      <w:bookmarkStart w:id="1210" w:name="_Toc30666691"/>
      <w:bookmarkStart w:id="1211" w:name="_Toc30667866"/>
      <w:bookmarkStart w:id="1212" w:name="_Toc30669244"/>
      <w:bookmarkStart w:id="1213" w:name="_Toc30671460"/>
      <w:bookmarkStart w:id="1214" w:name="_Toc30673987"/>
      <w:bookmarkStart w:id="1215" w:name="_Toc30691209"/>
      <w:bookmarkStart w:id="1216" w:name="_Toc30691582"/>
      <w:bookmarkStart w:id="1217" w:name="_Toc30691962"/>
      <w:bookmarkStart w:id="1218" w:name="_Toc30692721"/>
      <w:bookmarkStart w:id="1219" w:name="_Toc30693100"/>
      <w:bookmarkStart w:id="1220" w:name="_Toc30693478"/>
      <w:bookmarkStart w:id="1221" w:name="_Toc30693856"/>
      <w:bookmarkStart w:id="1222" w:name="_Toc30694237"/>
      <w:bookmarkStart w:id="1223" w:name="_Toc30698826"/>
      <w:bookmarkStart w:id="1224" w:name="_Toc30699204"/>
      <w:bookmarkStart w:id="1225" w:name="_Toc30699589"/>
      <w:bookmarkStart w:id="1226" w:name="_Toc30700744"/>
      <w:bookmarkStart w:id="1227" w:name="_Toc30701131"/>
      <w:bookmarkStart w:id="1228" w:name="_Toc30743740"/>
      <w:bookmarkStart w:id="1229" w:name="_Toc30754563"/>
      <w:bookmarkStart w:id="1230" w:name="_Toc30757003"/>
      <w:bookmarkStart w:id="1231" w:name="_Toc30757552"/>
      <w:bookmarkStart w:id="1232" w:name="_Toc30757952"/>
      <w:bookmarkStart w:id="1233" w:name="_Toc30762713"/>
      <w:bookmarkStart w:id="1234" w:name="_Toc30767367"/>
      <w:bookmarkStart w:id="1235" w:name="_Toc34823382"/>
      <w:bookmarkStart w:id="1236" w:name="_4.8.2_Court_may"/>
      <w:bookmarkStart w:id="1237" w:name="B482"/>
      <w:bookmarkEnd w:id="1236"/>
      <w:bookmarkEnd w:id="1237"/>
      <w:r>
        <w:rPr>
          <w:rFonts w:ascii="Arial" w:hAnsi="Arial" w:cs="Arial"/>
          <w:b/>
          <w:bCs/>
          <w:sz w:val="20"/>
        </w:rPr>
        <w:lastRenderedPageBreak/>
        <w:t>4.8.</w:t>
      </w:r>
      <w:r w:rsidR="00C75CA9" w:rsidRPr="00C75CA9">
        <w:rPr>
          <w:rFonts w:ascii="Arial" w:hAnsi="Arial" w:cs="Arial"/>
          <w:b/>
          <w:bCs/>
          <w:color w:val="000000"/>
          <w:sz w:val="20"/>
        </w:rPr>
        <w:t>2</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of evidence not mandatory</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0A2B467F"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393C27AA"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53CA8112"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1AC660FD"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47838E65"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1CFA9348"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53F0FBC9" w14:textId="77777777" w:rsidR="00693223" w:rsidRDefault="00693223">
      <w:pPr>
        <w:jc w:val="both"/>
        <w:rPr>
          <w:rFonts w:ascii="Arial" w:hAnsi="Arial" w:cs="Arial"/>
          <w:sz w:val="20"/>
        </w:rPr>
      </w:pPr>
    </w:p>
    <w:p w14:paraId="5EF8248F" w14:textId="77777777"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 xml:space="preserve">Weinstein v Medical Practitioners Board of </w:t>
      </w:r>
      <w:smartTag w:uri="urn:schemas-microsoft-com:office:smarttags" w:element="State">
        <w:smartTag w:uri="urn:schemas-microsoft-com:office:smarttags" w:element="place">
          <w:r w:rsidRPr="00544F20">
            <w:rPr>
              <w:rFonts w:ascii="Arial" w:hAnsi="Arial" w:cs="Arial"/>
              <w:i/>
              <w:sz w:val="20"/>
            </w:rPr>
            <w:t>Victoria</w:t>
          </w:r>
        </w:smartTag>
      </w:smartTag>
      <w:r>
        <w:rPr>
          <w:rFonts w:ascii="Arial" w:hAnsi="Arial" w:cs="Arial"/>
          <w:sz w:val="20"/>
        </w:rPr>
        <w:t xml:space="preserve"> [2008] VSCA 193 the Court of Appeal discussed the operation of a similar provision in s.52(1)(c) of the Medical Practice Act 1994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D741BD">
        <w:rPr>
          <w:rFonts w:ascii="Arial" w:hAnsi="Arial" w:cs="Arial"/>
          <w:sz w:val="20"/>
        </w:rPr>
        <w:t>-</w:t>
      </w:r>
    </w:p>
    <w:p w14:paraId="709F7A48" w14:textId="77777777" w:rsidR="006B7A0D" w:rsidRDefault="00544F20" w:rsidP="00FC40FC">
      <w:pPr>
        <w:spacing w:before="60"/>
        <w:ind w:left="567" w:right="567"/>
        <w:jc w:val="both"/>
        <w:rPr>
          <w:rFonts w:ascii="Arial" w:hAnsi="Arial" w:cs="Arial"/>
          <w:bCs/>
          <w:sz w:val="20"/>
        </w:rPr>
      </w:pPr>
      <w:r>
        <w:rPr>
          <w:rFonts w:ascii="Arial" w:hAnsi="Arial" w:cs="Arial"/>
          <w:bCs/>
          <w:sz w:val="20"/>
        </w:rPr>
        <w:t>“</w:t>
      </w:r>
      <w:r>
        <w:rPr>
          <w:rFonts w:ascii="Arial" w:hAnsi="Arial" w:cs="Arial"/>
          <w:sz w:val="20"/>
        </w:rPr>
        <w:t xml:space="preserve">The words ‘may inform itself…’ were plainly intended to have work to do: cf. </w:t>
      </w:r>
      <w:r w:rsidRPr="00FC40FC">
        <w:rPr>
          <w:rFonts w:ascii="Arial" w:hAnsi="Arial" w:cs="Arial"/>
          <w:i/>
          <w:sz w:val="20"/>
        </w:rPr>
        <w:t xml:space="preserve">Project Blue Sky Inc v </w:t>
      </w:r>
      <w:smartTag w:uri="urn:schemas-microsoft-com:office:smarttags" w:element="City">
        <w:smartTag w:uri="urn:schemas-microsoft-com:office:smarttags" w:element="place">
          <w:r w:rsidRPr="00FC40FC">
            <w:rPr>
              <w:rFonts w:ascii="Arial" w:hAnsi="Arial" w:cs="Arial"/>
              <w:i/>
              <w:sz w:val="20"/>
            </w:rPr>
            <w:t>ABA</w:t>
          </w:r>
        </w:smartTag>
      </w:smartTag>
      <w:r w:rsidRPr="00FC40FC">
        <w:rPr>
          <w:rFonts w:ascii="Arial" w:hAnsi="Arial" w:cs="Arial"/>
          <w:i/>
          <w:sz w:val="20"/>
        </w:rPr>
        <w:t xml:space="preserve"> </w:t>
      </w:r>
      <w:r>
        <w:rPr>
          <w:rFonts w:ascii="Arial" w:hAnsi="Arial" w:cs="Arial"/>
          <w:sz w:val="20"/>
        </w:rPr>
        <w:t>(1998)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Th</w:t>
      </w:r>
      <w:r w:rsidR="0098022D">
        <w:rPr>
          <w:rFonts w:ascii="Arial" w:hAnsi="Arial" w:cs="Arial"/>
          <w:sz w:val="20"/>
        </w:rPr>
        <w:t>is</w:t>
      </w:r>
      <w:r>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Pr>
          <w:rFonts w:ascii="Arial" w:hAnsi="Arial" w:cs="Arial"/>
          <w:sz w:val="20"/>
        </w:rPr>
        <w:t xml:space="preserve">accords with what was said by McInerney J when considering analogous provisions in </w:t>
      </w:r>
      <w:r w:rsidRPr="00544F20">
        <w:rPr>
          <w:rFonts w:ascii="Arial" w:hAnsi="Arial" w:cs="Arial"/>
          <w:i/>
          <w:sz w:val="20"/>
        </w:rPr>
        <w:t xml:space="preserve">Wajnberg v Raynor and </w:t>
      </w:r>
      <w:smartTag w:uri="urn:schemas-microsoft-com:office:smarttags" w:element="City">
        <w:smartTag w:uri="urn:schemas-microsoft-com:office:smarttags" w:element="place">
          <w:r w:rsidRPr="00544F20">
            <w:rPr>
              <w:rFonts w:ascii="Arial" w:hAnsi="Arial" w:cs="Arial"/>
              <w:i/>
              <w:sz w:val="20"/>
            </w:rPr>
            <w:t>Melbourne</w:t>
          </w:r>
        </w:smartTag>
      </w:smartTag>
      <w:r w:rsidRPr="00544F20">
        <w:rPr>
          <w:rFonts w:ascii="Arial" w:hAnsi="Arial" w:cs="Arial"/>
          <w:i/>
          <w:sz w:val="20"/>
        </w:rPr>
        <w:t xml:space="preserve"> and Metropolitan Board of Works</w:t>
      </w:r>
      <w:r>
        <w:rPr>
          <w:rFonts w:ascii="Arial" w:hAnsi="Arial" w:cs="Arial"/>
          <w:sz w:val="20"/>
        </w:rPr>
        <w:t xml:space="preserve"> [1971] VR 665.</w:t>
      </w:r>
      <w:r w:rsidR="005C0020">
        <w:rPr>
          <w:rFonts w:ascii="Arial" w:hAnsi="Arial" w:cs="Arial"/>
          <w:sz w:val="20"/>
        </w:rPr>
        <w:t xml:space="preserve">  As Weinberg JA pointed out in argument, an equivalent power is conferred on the Family Division of the Children’s Court: s.215(1)(d) of the </w:t>
      </w:r>
      <w:r w:rsidR="005C0020" w:rsidRPr="00544F20">
        <w:rPr>
          <w:rFonts w:ascii="Arial" w:hAnsi="Arial" w:cs="Arial"/>
          <w:sz w:val="20"/>
        </w:rPr>
        <w:t>CYFA</w:t>
      </w:r>
      <w:r w:rsidR="005C0020">
        <w:rPr>
          <w:rFonts w:ascii="Arial" w:hAnsi="Arial" w:cs="Arial"/>
          <w:sz w:val="20"/>
        </w:rPr>
        <w:t>.</w:t>
      </w:r>
      <w:r w:rsidR="00FC40FC">
        <w:rPr>
          <w:rFonts w:ascii="Arial" w:hAnsi="Arial" w:cs="Arial"/>
          <w:sz w:val="20"/>
        </w:rPr>
        <w:t>”</w:t>
      </w:r>
    </w:p>
    <w:p w14:paraId="3123116C" w14:textId="77777777" w:rsidR="00E04070" w:rsidRDefault="00E04070" w:rsidP="00E04070">
      <w:pPr>
        <w:jc w:val="both"/>
        <w:rPr>
          <w:rFonts w:ascii="Arial" w:hAnsi="Arial" w:cs="Arial"/>
          <w:sz w:val="20"/>
        </w:rPr>
      </w:pPr>
    </w:p>
    <w:p w14:paraId="29601A0D"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66D438F1" w14:textId="77777777" w:rsidR="000F27BB" w:rsidRDefault="000F27BB" w:rsidP="000F27BB">
      <w:pPr>
        <w:numPr>
          <w:ilvl w:val="0"/>
          <w:numId w:val="38"/>
        </w:numPr>
        <w:ind w:right="567"/>
        <w:jc w:val="both"/>
        <w:rPr>
          <w:rFonts w:ascii="Arial" w:hAnsi="Arial" w:cs="Arial"/>
          <w:bCs/>
          <w:sz w:val="20"/>
        </w:rPr>
      </w:pPr>
      <w:r>
        <w:rPr>
          <w:rFonts w:ascii="Arial" w:hAnsi="Arial" w:cs="Arial"/>
          <w:bCs/>
          <w:sz w:val="20"/>
        </w:rPr>
        <w:t>the Supreme Court; or</w:t>
      </w:r>
    </w:p>
    <w:p w14:paraId="769955AE" w14:textId="77777777" w:rsidR="000F27BB" w:rsidRDefault="002563EE" w:rsidP="000F27BB">
      <w:pPr>
        <w:numPr>
          <w:ilvl w:val="0"/>
          <w:numId w:val="38"/>
        </w:numPr>
        <w:ind w:right="567"/>
        <w:jc w:val="both"/>
        <w:rPr>
          <w:rFonts w:ascii="Arial" w:hAnsi="Arial" w:cs="Arial"/>
          <w:bCs/>
          <w:sz w:val="20"/>
        </w:rPr>
      </w:pPr>
      <w:r>
        <w:rPr>
          <w:rFonts w:ascii="Arial" w:hAnsi="Arial" w:cs="Arial"/>
          <w:bCs/>
          <w:sz w:val="20"/>
        </w:rPr>
        <w:t>any other Court created by Parliament-</w:t>
      </w:r>
    </w:p>
    <w:p w14:paraId="7378F622"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0287755C" w14:textId="77777777" w:rsidR="002563EE" w:rsidRDefault="002563EE" w:rsidP="002563EE">
      <w:pPr>
        <w:jc w:val="both"/>
        <w:rPr>
          <w:rFonts w:ascii="Arial" w:hAnsi="Arial" w:cs="Arial"/>
          <w:sz w:val="20"/>
        </w:rPr>
      </w:pPr>
    </w:p>
    <w:p w14:paraId="21ADF967"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A45B9FD"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FFCFA06" w14:textId="77777777" w:rsidR="002563EE" w:rsidRDefault="002563EE" w:rsidP="00AC263B">
      <w:pPr>
        <w:keepNext/>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37108D39"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1106A3C5"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46C56ACC"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1E9EF0B9"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5285B02A"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6DC4159E"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67E50DA" w14:textId="77777777" w:rsidR="002563EE" w:rsidRDefault="002563EE" w:rsidP="002563EE">
      <w:pPr>
        <w:jc w:val="both"/>
        <w:rPr>
          <w:rFonts w:ascii="Arial" w:hAnsi="Arial" w:cs="Arial"/>
          <w:sz w:val="20"/>
        </w:rPr>
      </w:pPr>
    </w:p>
    <w:p w14:paraId="06F077D1" w14:textId="77777777" w:rsidR="0014387F" w:rsidRDefault="002563EE">
      <w:pPr>
        <w:jc w:val="both"/>
        <w:rPr>
          <w:rFonts w:ascii="Arial" w:hAnsi="Arial" w:cs="Arial"/>
          <w:sz w:val="20"/>
        </w:rPr>
      </w:pPr>
      <w:r>
        <w:rPr>
          <w:rFonts w:ascii="Arial" w:hAnsi="Arial" w:cs="Arial"/>
          <w:sz w:val="20"/>
        </w:rPr>
        <w:lastRenderedPageBreak/>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52313E61" w14:textId="77777777" w:rsidR="00E223F2" w:rsidRDefault="00E223F2">
      <w:pPr>
        <w:jc w:val="both"/>
        <w:rPr>
          <w:rFonts w:ascii="Arial" w:hAnsi="Arial" w:cs="Arial"/>
          <w:sz w:val="16"/>
        </w:rPr>
      </w:pPr>
    </w:p>
    <w:p w14:paraId="4632E495"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(Cth)</w:t>
      </w:r>
      <w:r>
        <w:rPr>
          <w:rFonts w:ascii="Arial" w:hAnsi="Arial" w:cs="Arial"/>
          <w:iCs/>
          <w:sz w:val="20"/>
        </w:rPr>
        <w:t>.  One of these amendments is the insertion of s.69ZT which provides that in child-related proceedings:</w:t>
      </w:r>
    </w:p>
    <w:p w14:paraId="2977FDB3" w14:textId="77777777" w:rsidR="002A72C0" w:rsidRDefault="002A72C0" w:rsidP="00BE4A20">
      <w:pPr>
        <w:keepNext/>
        <w:keepLines/>
        <w:numPr>
          <w:ilvl w:val="0"/>
          <w:numId w:val="72"/>
        </w:numPr>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7B4C8022" w14:textId="77777777" w:rsidR="002A72C0" w:rsidRDefault="002A72C0" w:rsidP="00BE4A20">
      <w:pPr>
        <w:numPr>
          <w:ilvl w:val="0"/>
          <w:numId w:val="72"/>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40DC9CD3" w14:textId="77777777" w:rsidR="002A72C0" w:rsidRDefault="002A72C0">
      <w:pPr>
        <w:jc w:val="both"/>
        <w:rPr>
          <w:rFonts w:ascii="Arial" w:hAnsi="Arial" w:cs="Arial"/>
          <w:sz w:val="20"/>
        </w:rPr>
      </w:pPr>
    </w:p>
    <w:p w14:paraId="6A7929E2" w14:textId="77777777" w:rsidR="00061CF0" w:rsidRDefault="002A72C0" w:rsidP="00BB1A34">
      <w:pPr>
        <w:jc w:val="both"/>
        <w:rPr>
          <w:rFonts w:ascii="Arial" w:hAnsi="Arial" w:cs="Arial"/>
          <w:sz w:val="20"/>
        </w:rPr>
      </w:pPr>
      <w:bookmarkStart w:id="1238" w:name="_Toc30654120"/>
      <w:bookmarkStart w:id="1239" w:name="_Toc30654471"/>
      <w:bookmarkStart w:id="1240" w:name="_Toc30655090"/>
      <w:bookmarkStart w:id="1241" w:name="_Toc30655347"/>
      <w:bookmarkStart w:id="1242" w:name="_Toc30657025"/>
      <w:bookmarkStart w:id="1243" w:name="_Toc30661774"/>
      <w:bookmarkStart w:id="1244" w:name="_Toc30666462"/>
      <w:bookmarkStart w:id="1245" w:name="_Toc30666692"/>
      <w:bookmarkStart w:id="1246" w:name="_Toc30667867"/>
      <w:bookmarkStart w:id="1247" w:name="_Toc30669245"/>
      <w:bookmarkStart w:id="1248" w:name="_Toc30671461"/>
      <w:bookmarkStart w:id="1249" w:name="_Toc30673988"/>
      <w:bookmarkStart w:id="1250" w:name="_Toc30691210"/>
      <w:bookmarkStart w:id="1251" w:name="_Toc30691583"/>
      <w:bookmarkStart w:id="1252" w:name="_Toc30691963"/>
      <w:bookmarkStart w:id="1253" w:name="_Toc30692722"/>
      <w:bookmarkStart w:id="1254" w:name="_Toc30693101"/>
      <w:bookmarkStart w:id="1255" w:name="_Toc30693479"/>
      <w:bookmarkStart w:id="1256" w:name="_Toc30693857"/>
      <w:bookmarkStart w:id="1257" w:name="_Toc30694238"/>
      <w:bookmarkStart w:id="1258" w:name="_Toc30698827"/>
      <w:bookmarkStart w:id="1259" w:name="_Toc30699205"/>
      <w:bookmarkStart w:id="1260" w:name="_Toc30699590"/>
      <w:bookmarkStart w:id="1261" w:name="_Toc30700745"/>
      <w:bookmarkStart w:id="1262" w:name="_Toc30701132"/>
      <w:bookmarkStart w:id="1263" w:name="_Toc30743741"/>
      <w:bookmarkStart w:id="1264" w:name="_Toc30754564"/>
      <w:bookmarkStart w:id="1265" w:name="_Toc30757004"/>
      <w:bookmarkStart w:id="1266" w:name="_Toc30757553"/>
      <w:bookmarkStart w:id="1267" w:name="_Toc30757953"/>
      <w:bookmarkStart w:id="1268" w:name="_Toc30762714"/>
      <w:bookmarkStart w:id="1269" w:name="_Toc30767368"/>
      <w:bookmarkStart w:id="1270"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4548BE22"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12B301EF"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785DF0A8" w14:textId="77777777" w:rsidR="00A07795" w:rsidRDefault="00A07795" w:rsidP="00E223F2">
      <w:pPr>
        <w:keepNext/>
        <w:keepLines/>
        <w:tabs>
          <w:tab w:val="left" w:pos="284"/>
        </w:tabs>
        <w:ind w:left="1650" w:right="567" w:hanging="720"/>
        <w:jc w:val="both"/>
        <w:rPr>
          <w:rFonts w:ascii="Arial" w:hAnsi="Arial" w:cs="Arial"/>
          <w:sz w:val="20"/>
        </w:rPr>
      </w:pPr>
      <w:r>
        <w:rPr>
          <w:rFonts w:ascii="Arial" w:hAnsi="Arial" w:cs="Arial"/>
          <w:sz w:val="20"/>
        </w:rPr>
        <w:t>(a)   it is just and equitable to do so; or</w:t>
      </w:r>
    </w:p>
    <w:p w14:paraId="46E65E22"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0EB616FF" w14:textId="77777777" w:rsidR="00A07795" w:rsidRDefault="00A07795" w:rsidP="00A07795">
      <w:pPr>
        <w:jc w:val="both"/>
        <w:rPr>
          <w:rFonts w:ascii="Arial" w:hAnsi="Arial" w:cs="Arial"/>
          <w:sz w:val="20"/>
        </w:rPr>
      </w:pPr>
    </w:p>
    <w:p w14:paraId="7A9CE38A"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6FD21A18" w14:textId="77777777" w:rsidR="004E7B22" w:rsidRDefault="004E7B22" w:rsidP="00A07795">
      <w:pPr>
        <w:jc w:val="both"/>
        <w:rPr>
          <w:rFonts w:ascii="Arial" w:hAnsi="Arial" w:cs="Arial"/>
          <w:bCs/>
          <w:sz w:val="20"/>
        </w:rPr>
      </w:pPr>
    </w:p>
    <w:p w14:paraId="6A3FF963"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FMCAfam 884 the Federal Magistrates’ Court held that where family violence is a serious issue in proceedings under the </w:t>
      </w:r>
      <w:r w:rsidRPr="002A72C0">
        <w:rPr>
          <w:rFonts w:ascii="Arial" w:hAnsi="Arial" w:cs="Arial"/>
          <w:iCs/>
          <w:sz w:val="20"/>
          <w:u w:val="single"/>
        </w:rPr>
        <w:t>Family Law Act 1975 (Cth)</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334F2FBF" w14:textId="77777777" w:rsidR="00E04070" w:rsidRPr="00785E1A" w:rsidRDefault="00E04070" w:rsidP="00BB1A34">
      <w:pPr>
        <w:jc w:val="both"/>
        <w:rPr>
          <w:rFonts w:ascii="Arial" w:hAnsi="Arial" w:cs="Arial"/>
          <w:color w:val="000000"/>
          <w:sz w:val="20"/>
        </w:rPr>
      </w:pPr>
    </w:p>
    <w:p w14:paraId="7FE7719F" w14:textId="77777777" w:rsidR="007D2F69" w:rsidRPr="003D5DFA" w:rsidRDefault="00C75CA9" w:rsidP="007D2F69">
      <w:pPr>
        <w:pStyle w:val="Heading3"/>
        <w:keepNext/>
        <w:keepLines/>
        <w:spacing w:after="120" w:line="240" w:lineRule="auto"/>
        <w:rPr>
          <w:rFonts w:ascii="Arial" w:hAnsi="Arial" w:cs="Arial"/>
          <w:b/>
          <w:bCs/>
          <w:color w:val="000000"/>
          <w:sz w:val="20"/>
        </w:rPr>
      </w:pPr>
      <w:bookmarkStart w:id="1271" w:name="_4.8.3_Impact_of"/>
      <w:bookmarkStart w:id="1272" w:name="B483"/>
      <w:bookmarkEnd w:id="1271"/>
      <w:bookmarkEnd w:id="1272"/>
      <w:r w:rsidRPr="00785E1A">
        <w:rPr>
          <w:rFonts w:ascii="Arial" w:hAnsi="Arial" w:cs="Arial"/>
          <w:b/>
          <w:bCs/>
          <w:color w:val="000000"/>
          <w:sz w:val="20"/>
        </w:rPr>
        <w:t>4.8.3</w:t>
      </w:r>
      <w:r w:rsidRPr="00785E1A">
        <w:rPr>
          <w:rFonts w:ascii="Arial" w:hAnsi="Arial" w:cs="Arial"/>
          <w:b/>
          <w:bCs/>
          <w:color w:val="000000"/>
          <w:sz w:val="20"/>
        </w:rPr>
        <w:tab/>
        <w:t>Impact of the “best interests” principle on the Court’s procedure</w:t>
      </w:r>
    </w:p>
    <w:p w14:paraId="6CFEECA7"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0AC9A14E" w14:textId="77777777" w:rsidR="00192251" w:rsidRPr="00785E1A" w:rsidRDefault="00192251" w:rsidP="00192251">
      <w:pPr>
        <w:jc w:val="both"/>
        <w:rPr>
          <w:rFonts w:ascii="Arial" w:hAnsi="Arial" w:cs="Arial"/>
          <w:caps/>
          <w:color w:val="000000"/>
          <w:sz w:val="20"/>
        </w:rPr>
      </w:pPr>
    </w:p>
    <w:p w14:paraId="743DF0B2" w14:textId="77777777"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initial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P v RM &amp; Ors</w:t>
      </w:r>
      <w:r w:rsidRPr="00785E1A">
        <w:rPr>
          <w:rFonts w:ascii="Arial" w:hAnsi="Arial" w:cs="Arial"/>
          <w:color w:val="000000"/>
          <w:sz w:val="20"/>
        </w:rPr>
        <w:t xml:space="preserve"> [2004] VSC 14 per Gillard J.</w:t>
      </w:r>
    </w:p>
    <w:p w14:paraId="0747C1D2" w14:textId="77777777" w:rsidR="00192251" w:rsidRDefault="00192251" w:rsidP="00192251">
      <w:pPr>
        <w:jc w:val="both"/>
        <w:rPr>
          <w:rFonts w:ascii="Arial" w:hAnsi="Arial" w:cs="Arial"/>
          <w:color w:val="000000"/>
          <w:sz w:val="20"/>
        </w:rPr>
      </w:pPr>
    </w:p>
    <w:p w14:paraId="66E35128"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9AD4A64"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480BB68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Re Pochi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Deputy Industrial Injuries Commissioner; ex parte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Re Pochi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248 per Starke J and 256 per Evatt J; </w:t>
      </w:r>
      <w:r w:rsidRPr="00A24DDE">
        <w:rPr>
          <w:rFonts w:ascii="Arial" w:hAnsi="Arial" w:cs="Arial"/>
          <w:i/>
          <w:iCs/>
          <w:color w:val="000000"/>
          <w:sz w:val="20"/>
          <w:szCs w:val="20"/>
          <w:bdr w:val="none" w:sz="0" w:space="0" w:color="auto" w:frame="1"/>
        </w:rPr>
        <w:t>Wajnberg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0465DE24"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5307CC0A" w14:textId="77777777" w:rsidR="00192251" w:rsidRDefault="00192251" w:rsidP="00192251">
      <w:pPr>
        <w:pBdr>
          <w:top w:val="single" w:sz="8" w:space="1" w:color="auto"/>
        </w:pBdr>
        <w:ind w:left="567" w:right="567"/>
        <w:jc w:val="both"/>
        <w:rPr>
          <w:rFonts w:ascii="Arial" w:hAnsi="Arial" w:cs="Arial"/>
          <w:sz w:val="12"/>
          <w:szCs w:val="12"/>
        </w:rPr>
      </w:pPr>
    </w:p>
    <w:p w14:paraId="6D2B87FA"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w:t>
      </w:r>
      <w:r w:rsidRPr="00964079">
        <w:rPr>
          <w:rFonts w:ascii="Arial" w:hAnsi="Arial" w:cs="Arial"/>
          <w:sz w:val="20"/>
          <w:szCs w:val="20"/>
          <w:lang w:eastAsia="en-AU"/>
        </w:rPr>
        <w:lastRenderedPageBreak/>
        <w:t>rules of natural justice will reflect the nature of that jurisdiction.  Likewise, the principle will influence the exercise of the court’s procedural discretion.</w:t>
      </w:r>
    </w:p>
    <w:p w14:paraId="3A0C74B0"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J v Leischke</w:t>
      </w:r>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0AE548F3"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192C50EC"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54291B84"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4811701E" w14:textId="77777777" w:rsidR="00192251" w:rsidRDefault="00192251" w:rsidP="00192251">
      <w:pPr>
        <w:pBdr>
          <w:top w:val="single" w:sz="8" w:space="1" w:color="auto"/>
        </w:pBdr>
        <w:ind w:left="567" w:right="567"/>
        <w:jc w:val="both"/>
        <w:rPr>
          <w:rFonts w:ascii="Arial" w:hAnsi="Arial" w:cs="Arial"/>
          <w:sz w:val="12"/>
          <w:szCs w:val="12"/>
        </w:rPr>
      </w:pPr>
    </w:p>
    <w:p w14:paraId="60070E95"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09C74240"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3C4535BE" w14:textId="77777777" w:rsidR="00046C07" w:rsidRPr="00785E1A" w:rsidRDefault="00046C07" w:rsidP="00046C07">
      <w:pPr>
        <w:jc w:val="both"/>
        <w:rPr>
          <w:rFonts w:ascii="Arial" w:hAnsi="Arial" w:cs="Arial"/>
          <w:bCs/>
          <w:color w:val="000000"/>
          <w:sz w:val="20"/>
        </w:rPr>
      </w:pPr>
    </w:p>
    <w:p w14:paraId="462B7F1B"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0DB81AC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6AE83AAD"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6A1FFEBF"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including in revocation proceedings, conducting a submissions contest hearing which is fair to all of the parties falls within the zone of that discretion.</w:t>
      </w:r>
    </w:p>
    <w:p w14:paraId="687CE7FC"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lastRenderedPageBreak/>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1ADC9F64" w14:textId="77777777" w:rsidR="00D6007D" w:rsidRPr="00D00CAA" w:rsidRDefault="00D6007D" w:rsidP="00C75CA9">
      <w:pPr>
        <w:jc w:val="both"/>
        <w:rPr>
          <w:rFonts w:ascii="Arial" w:hAnsi="Arial" w:cs="Arial"/>
          <w:bCs/>
          <w:color w:val="000000"/>
          <w:sz w:val="20"/>
        </w:rPr>
      </w:pPr>
    </w:p>
    <w:p w14:paraId="1CDB87F0"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Ors</w:t>
      </w:r>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2CFAB60A" w14:textId="77777777" w:rsidR="00C46E65" w:rsidRPr="009E171F" w:rsidRDefault="00C46E65" w:rsidP="00C75CA9">
      <w:pPr>
        <w:jc w:val="both"/>
        <w:rPr>
          <w:rFonts w:ascii="Arial" w:hAnsi="Arial" w:cs="Arial"/>
          <w:bCs/>
          <w:color w:val="000000"/>
          <w:sz w:val="20"/>
        </w:rPr>
      </w:pPr>
    </w:p>
    <w:p w14:paraId="29266BC9" w14:textId="77777777" w:rsidR="00693223" w:rsidRPr="00785E1A" w:rsidRDefault="00693223">
      <w:pPr>
        <w:pStyle w:val="Heading3"/>
        <w:keepNext/>
        <w:keepLines/>
        <w:spacing w:after="120" w:line="240" w:lineRule="auto"/>
        <w:rPr>
          <w:rFonts w:ascii="Arial" w:hAnsi="Arial" w:cs="Arial"/>
          <w:color w:val="000000"/>
          <w:sz w:val="20"/>
        </w:rPr>
      </w:pPr>
      <w:bookmarkStart w:id="1273" w:name="_4.8.4_Findings_on"/>
      <w:bookmarkStart w:id="1274" w:name="B484"/>
      <w:bookmarkEnd w:id="1273"/>
      <w:bookmarkEnd w:id="1274"/>
      <w:r w:rsidRPr="00785E1A">
        <w:rPr>
          <w:rFonts w:ascii="Arial" w:hAnsi="Arial" w:cs="Arial"/>
          <w:b/>
          <w:bCs/>
          <w:color w:val="000000"/>
          <w:sz w:val="20"/>
        </w:rPr>
        <w:t>4.8.</w:t>
      </w:r>
      <w:r w:rsidR="0048483D" w:rsidRPr="00785E1A">
        <w:rPr>
          <w:rFonts w:ascii="Arial" w:hAnsi="Arial" w:cs="Arial"/>
          <w:b/>
          <w:bCs/>
          <w:color w:val="000000"/>
          <w:sz w:val="20"/>
        </w:rPr>
        <w:t>4</w:t>
      </w:r>
      <w:r w:rsidRPr="00785E1A">
        <w:rPr>
          <w:rFonts w:ascii="Arial" w:hAnsi="Arial" w:cs="Arial"/>
          <w:b/>
          <w:bCs/>
          <w:color w:val="000000"/>
          <w:sz w:val="20"/>
        </w:rPr>
        <w:tab/>
        <w:t>Findings on balance of probabilities</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4201C2CE" w14:textId="77777777" w:rsidR="003C09B3" w:rsidRDefault="001E38BA">
      <w:pPr>
        <w:jc w:val="both"/>
        <w:rPr>
          <w:rFonts w:ascii="Arial" w:hAnsi="Arial" w:cs="Arial"/>
          <w:sz w:val="20"/>
          <w:szCs w:val="20"/>
        </w:rPr>
      </w:pPr>
      <w:r>
        <w:rPr>
          <w:rFonts w:ascii="Arial" w:hAnsi="Arial" w:cs="Arial"/>
          <w:sz w:val="20"/>
        </w:rPr>
        <w:t xml:space="preserve">New s.215A of the CYFA – which replaces s.215(1)(c) – provides that the </w:t>
      </w:r>
      <w:r w:rsidR="003C09B3">
        <w:rPr>
          <w:rFonts w:ascii="Arial" w:hAnsi="Arial" w:cs="Arial"/>
          <w:sz w:val="20"/>
        </w:rPr>
        <w:t>“</w:t>
      </w:r>
      <w:r>
        <w:rPr>
          <w:rFonts w:ascii="Arial" w:hAnsi="Arial" w:cs="Arial"/>
          <w:sz w:val="20"/>
        </w:rPr>
        <w:t xml:space="preserve">standard of proof of any fact in an application under </w:t>
      </w:r>
      <w:r w:rsidR="003C09B3">
        <w:rPr>
          <w:rFonts w:ascii="Arial" w:hAnsi="Arial" w:cs="Arial"/>
          <w:sz w:val="20"/>
        </w:rPr>
        <w:t>[</w:t>
      </w:r>
      <w:r>
        <w:rPr>
          <w:rFonts w:ascii="Arial" w:hAnsi="Arial" w:cs="Arial"/>
          <w:sz w:val="20"/>
        </w:rPr>
        <w:t>the CYFA</w:t>
      </w:r>
      <w:r w:rsidR="003C09B3">
        <w:rPr>
          <w:rFonts w:ascii="Arial" w:hAnsi="Arial" w:cs="Arial"/>
          <w:sz w:val="20"/>
        </w:rPr>
        <w:t>]</w:t>
      </w:r>
      <w:r>
        <w:rPr>
          <w:rFonts w:ascii="Arial" w:hAnsi="Arial" w:cs="Arial"/>
          <w:sz w:val="20"/>
        </w:rPr>
        <w:t xml:space="preserve"> in the Family Division i</w:t>
      </w:r>
      <w:r w:rsidR="003C09B3">
        <w:rPr>
          <w:rFonts w:ascii="Arial" w:hAnsi="Arial" w:cs="Arial"/>
          <w:sz w:val="20"/>
          <w:szCs w:val="20"/>
        </w:rPr>
        <w:t>s the balance of probabilities.”</w:t>
      </w:r>
    </w:p>
    <w:p w14:paraId="589B28EF" w14:textId="77777777" w:rsidR="003C09B3" w:rsidRDefault="003C09B3">
      <w:pPr>
        <w:jc w:val="both"/>
        <w:rPr>
          <w:rFonts w:ascii="Arial" w:hAnsi="Arial" w:cs="Arial"/>
          <w:sz w:val="20"/>
          <w:szCs w:val="20"/>
        </w:rPr>
      </w:pPr>
    </w:p>
    <w:p w14:paraId="537E3955"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2C6A49EC" w14:textId="77777777" w:rsidR="003C09B3" w:rsidRDefault="003C09B3">
      <w:pPr>
        <w:jc w:val="both"/>
        <w:rPr>
          <w:rFonts w:ascii="Arial" w:hAnsi="Arial" w:cs="Arial"/>
          <w:sz w:val="20"/>
          <w:szCs w:val="20"/>
        </w:rPr>
      </w:pPr>
    </w:p>
    <w:p w14:paraId="04A2A6A0"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r w:rsidR="001E38BA" w:rsidRPr="001E38BA">
        <w:rPr>
          <w:rFonts w:ascii="Arial" w:hAnsi="Arial" w:cs="Arial"/>
          <w:i/>
          <w:color w:val="000000"/>
          <w:sz w:val="20"/>
          <w:szCs w:val="20"/>
        </w:rPr>
        <w:t>Briginshaw v Briginshaw</w:t>
      </w:r>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6EDEEAF7"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8E8F153"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B7EF710"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address">
        <w:smartTag w:uri="urn:schemas-microsoft-com:office:smarttags" w:element="Street">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70D8E8AB" w14:textId="77777777" w:rsidR="001E38BA" w:rsidRDefault="001E38BA" w:rsidP="001E38BA">
      <w:pPr>
        <w:jc w:val="both"/>
        <w:rPr>
          <w:rFonts w:ascii="Arial" w:hAnsi="Arial" w:cs="Arial"/>
          <w:sz w:val="20"/>
        </w:rPr>
      </w:pPr>
    </w:p>
    <w:p w14:paraId="4C62C961"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r w:rsidRPr="003C09B3">
        <w:rPr>
          <w:rFonts w:ascii="Arial" w:hAnsi="Arial" w:cs="Arial"/>
          <w:i/>
          <w:sz w:val="20"/>
        </w:rPr>
        <w:t>Briginshaw</w:t>
      </w:r>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75" w:name="_Ref30606325"/>
      <w:bookmarkStart w:id="1276" w:name="_Toc30607533"/>
      <w:bookmarkStart w:id="1277" w:name="_Toc30607662"/>
      <w:bookmarkStart w:id="1278" w:name="_Toc30607987"/>
      <w:bookmarkStart w:id="1279" w:name="_Toc30608820"/>
      <w:bookmarkStart w:id="1280" w:name="_Toc30610034"/>
      <w:bookmarkStart w:id="1281" w:name="_Toc30610278"/>
      <w:bookmarkStart w:id="1282" w:name="_Toc30638432"/>
      <w:bookmarkStart w:id="1283" w:name="_Toc30644245"/>
      <w:bookmarkStart w:id="1284" w:name="_Toc30644652"/>
      <w:bookmarkStart w:id="1285" w:name="_Toc30645202"/>
      <w:bookmarkStart w:id="1286" w:name="_Toc30646414"/>
      <w:bookmarkStart w:id="1287" w:name="_Toc30646709"/>
      <w:bookmarkStart w:id="1288" w:name="_Toc30646820"/>
      <w:bookmarkStart w:id="1289" w:name="_Toc30648182"/>
      <w:bookmarkStart w:id="1290" w:name="_Toc30649083"/>
      <w:bookmarkStart w:id="1291" w:name="_Toc30649159"/>
      <w:bookmarkStart w:id="1292" w:name="_Toc30649420"/>
      <w:bookmarkStart w:id="1293" w:name="_Toc30649745"/>
      <w:bookmarkStart w:id="1294" w:name="_Toc30651685"/>
      <w:bookmarkStart w:id="1295" w:name="_Toc30652675"/>
      <w:bookmarkStart w:id="1296" w:name="_Toc30652771"/>
      <w:bookmarkStart w:id="1297" w:name="_Toc30654121"/>
      <w:bookmarkStart w:id="1298" w:name="_Toc30654472"/>
      <w:bookmarkStart w:id="1299" w:name="_Toc30655091"/>
      <w:bookmarkStart w:id="1300" w:name="_Toc30655348"/>
      <w:bookmarkStart w:id="1301" w:name="_Toc30657026"/>
      <w:bookmarkStart w:id="1302" w:name="_Toc30661775"/>
      <w:bookmarkStart w:id="1303" w:name="_Toc30666463"/>
      <w:bookmarkStart w:id="1304" w:name="_Toc30666693"/>
      <w:bookmarkStart w:id="1305" w:name="_Toc30667868"/>
      <w:bookmarkStart w:id="1306" w:name="_Toc30669246"/>
      <w:bookmarkStart w:id="1307" w:name="_Toc30671462"/>
      <w:bookmarkStart w:id="1308" w:name="_Toc30673989"/>
      <w:bookmarkStart w:id="1309" w:name="_Toc30691211"/>
      <w:bookmarkStart w:id="1310" w:name="_Toc30691584"/>
      <w:bookmarkStart w:id="1311" w:name="_Toc30691964"/>
      <w:bookmarkStart w:id="1312" w:name="_Toc30692723"/>
      <w:bookmarkStart w:id="1313" w:name="_Toc30693102"/>
      <w:bookmarkStart w:id="1314" w:name="_Toc30693480"/>
      <w:bookmarkStart w:id="1315" w:name="_Toc30693858"/>
      <w:bookmarkStart w:id="1316" w:name="_Toc30694239"/>
      <w:bookmarkStart w:id="1317" w:name="_Toc30698828"/>
      <w:bookmarkStart w:id="1318" w:name="_Toc30699206"/>
      <w:bookmarkStart w:id="1319" w:name="_Toc30699591"/>
      <w:bookmarkStart w:id="1320" w:name="_Toc30700746"/>
      <w:bookmarkStart w:id="1321" w:name="_Toc30701133"/>
      <w:bookmarkStart w:id="1322" w:name="_Toc30743742"/>
      <w:bookmarkStart w:id="1323" w:name="_Toc30754565"/>
      <w:bookmarkStart w:id="1324" w:name="_Toc30757005"/>
      <w:bookmarkStart w:id="1325" w:name="_Toc30757554"/>
      <w:bookmarkStart w:id="1326" w:name="_Toc30757954"/>
      <w:bookmarkStart w:id="1327" w:name="_Toc30762715"/>
      <w:bookmarkStart w:id="1328" w:name="_Toc30767369"/>
      <w:bookmarkStart w:id="1329"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Neat 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Mason CJ, Brennan, Deane &amp; Gaudron JJ said</w:t>
      </w:r>
      <w:r w:rsidR="00221FA6">
        <w:rPr>
          <w:rFonts w:ascii="Arial" w:hAnsi="Arial" w:cs="Arial"/>
          <w:sz w:val="20"/>
        </w:rPr>
        <w:t xml:space="preserve"> at 170-171</w:t>
      </w:r>
      <w:r w:rsidR="004872EE">
        <w:rPr>
          <w:rFonts w:ascii="Arial" w:hAnsi="Arial" w:cs="Arial"/>
          <w:sz w:val="20"/>
        </w:rPr>
        <w:t>:</w:t>
      </w:r>
    </w:p>
    <w:p w14:paraId="04D45F64" w14:textId="77777777" w:rsidR="004872EE" w:rsidRDefault="004872EE" w:rsidP="00156362">
      <w:pPr>
        <w:spacing w:before="60"/>
        <w:ind w:left="567" w:right="567"/>
        <w:jc w:val="both"/>
        <w:rPr>
          <w:rFonts w:ascii="Arial" w:hAnsi="Arial" w:cs="Arial"/>
          <w:bCs/>
          <w:sz w:val="20"/>
        </w:rPr>
      </w:pPr>
      <w:r>
        <w:rPr>
          <w:rFonts w:ascii="Arial" w:hAnsi="Arial" w:cs="Arial"/>
          <w:bCs/>
          <w:sz w:val="20"/>
        </w:rPr>
        <w:lastRenderedPageBreak/>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r w:rsidRPr="004872EE">
        <w:rPr>
          <w:rFonts w:ascii="Arial" w:hAnsi="Arial" w:cs="Arial"/>
          <w:i/>
          <w:sz w:val="20"/>
          <w:szCs w:val="20"/>
        </w:rPr>
        <w:t>Briginshaw v Briginshaw</w:t>
      </w:r>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Rejfek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r w:rsidRPr="004872EE">
        <w:rPr>
          <w:rFonts w:ascii="Arial" w:hAnsi="Arial" w:cs="Arial"/>
          <w:i/>
          <w:sz w:val="20"/>
        </w:rPr>
        <w:t>Rejfek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r w:rsidRPr="004872EE">
        <w:rPr>
          <w:rFonts w:ascii="Arial" w:hAnsi="Arial" w:cs="Arial"/>
          <w:i/>
          <w:sz w:val="20"/>
        </w:rPr>
        <w:t>Jonesco v Beard</w:t>
      </w:r>
      <w:r w:rsidRPr="004872EE">
        <w:rPr>
          <w:rFonts w:ascii="Arial" w:hAnsi="Arial" w:cs="Arial"/>
          <w:sz w:val="20"/>
        </w:rPr>
        <w:t xml:space="preserve"> (1930) AC 298, 300; </w:t>
      </w:r>
      <w:r w:rsidRPr="004872EE">
        <w:rPr>
          <w:rFonts w:ascii="Arial" w:hAnsi="Arial" w:cs="Arial"/>
          <w:i/>
          <w:sz w:val="20"/>
        </w:rPr>
        <w:t>Briginshaw v Briginshaw</w:t>
      </w:r>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r w:rsidRPr="004872EE">
        <w:rPr>
          <w:rFonts w:ascii="Arial" w:hAnsi="Arial" w:cs="Arial"/>
          <w:i/>
          <w:sz w:val="20"/>
        </w:rPr>
        <w:t>Rejfek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r w:rsidR="00D613EE" w:rsidRPr="005A494E">
        <w:rPr>
          <w:rFonts w:ascii="Arial" w:hAnsi="Arial" w:cs="Arial"/>
          <w:i/>
          <w:sz w:val="20"/>
          <w:szCs w:val="20"/>
        </w:rPr>
        <w:t>Motchall v Massoud</w:t>
      </w:r>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625C27F0" w14:textId="77777777" w:rsidR="004872EE" w:rsidRDefault="004872EE">
      <w:pPr>
        <w:jc w:val="both"/>
        <w:rPr>
          <w:rFonts w:ascii="Arial" w:hAnsi="Arial" w:cs="Arial"/>
          <w:sz w:val="20"/>
        </w:rPr>
      </w:pPr>
    </w:p>
    <w:p w14:paraId="04750D44"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r w:rsidRPr="008B696F">
        <w:rPr>
          <w:rFonts w:ascii="Arial" w:hAnsi="Arial" w:cs="Arial"/>
          <w:i/>
          <w:sz w:val="20"/>
        </w:rPr>
        <w:t>Briginshaw</w:t>
      </w:r>
      <w:r>
        <w:rPr>
          <w:rFonts w:ascii="Arial" w:hAnsi="Arial" w:cs="Arial"/>
          <w:sz w:val="20"/>
        </w:rPr>
        <w:t xml:space="preserve"> dicta but it does not alter the standard defined in s.140(1).  </w:t>
      </w:r>
      <w:r w:rsidR="00221FA6">
        <w:rPr>
          <w:rFonts w:ascii="Arial" w:hAnsi="Arial" w:cs="Arial"/>
          <w:sz w:val="20"/>
        </w:rPr>
        <w:t xml:space="preserve">It follows that the </w:t>
      </w:r>
      <w:r w:rsidR="00221FA6" w:rsidRPr="00221FA6">
        <w:rPr>
          <w:rFonts w:ascii="Arial" w:hAnsi="Arial" w:cs="Arial"/>
          <w:i/>
          <w:sz w:val="20"/>
        </w:rPr>
        <w:t>Briginshaw</w:t>
      </w:r>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Month" w:val="2"/>
          <w:attr w:name="Day" w:val="10"/>
          <w:attr w:name="Year" w:val="1995"/>
        </w:smartTagPr>
        <w:r w:rsidR="00C32207">
          <w:rPr>
            <w:rFonts w:ascii="Arial" w:hAnsi="Arial" w:cs="Arial"/>
            <w:sz w:val="20"/>
          </w:rPr>
          <w:t>10/02/1995</w:t>
        </w:r>
      </w:smartTag>
      <w:r w:rsidR="00C32207">
        <w:rPr>
          <w:rFonts w:ascii="Arial" w:hAnsi="Arial" w:cs="Arial"/>
          <w:sz w:val="20"/>
        </w:rPr>
        <w:t>]:</w:t>
      </w:r>
    </w:p>
    <w:p w14:paraId="198A8C79"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r w:rsidRPr="001604BA">
        <w:rPr>
          <w:rFonts w:ascii="Arial" w:hAnsi="Arial" w:cs="Arial"/>
          <w:bCs/>
          <w:i/>
          <w:sz w:val="20"/>
        </w:rPr>
        <w:t>Briginshaw</w:t>
      </w:r>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733BBC38" w14:textId="77777777" w:rsidR="006421A8" w:rsidRPr="00BE78BC" w:rsidRDefault="006421A8" w:rsidP="00BE78BC">
      <w:pPr>
        <w:jc w:val="both"/>
        <w:rPr>
          <w:rFonts w:ascii="Arial" w:hAnsi="Arial" w:cs="Arial"/>
          <w:sz w:val="20"/>
        </w:rPr>
      </w:pPr>
    </w:p>
    <w:p w14:paraId="55B0AE5F"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761E606E" w14:textId="77777777" w:rsidR="00BE78BC" w:rsidRPr="001C5268" w:rsidRDefault="00BE78BC" w:rsidP="00BE78BC">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 xml:space="preserve">1975 (Cth)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proceeding.  In the circumstances of this trial, it was an error for the Court of Criminal Appeal to hold that it had been open to the trial judge to be satisfied of </w:t>
      </w:r>
      <w:r w:rsidRPr="001C5268">
        <w:rPr>
          <w:rFonts w:ascii="Arial" w:hAnsi="Arial" w:cs="Arial"/>
          <w:color w:val="000000"/>
          <w:sz w:val="20"/>
          <w:szCs w:val="20"/>
        </w:rPr>
        <w:lastRenderedPageBreak/>
        <w:t xml:space="preserve">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066647B6" w14:textId="77777777" w:rsidR="00BE78BC" w:rsidRDefault="00BE78BC">
      <w:pPr>
        <w:jc w:val="both"/>
        <w:rPr>
          <w:rFonts w:ascii="Arial" w:hAnsi="Arial" w:cs="Arial"/>
          <w:sz w:val="20"/>
        </w:rPr>
      </w:pPr>
    </w:p>
    <w:p w14:paraId="1CD9CC63"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FamCA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said:</w:t>
      </w:r>
    </w:p>
    <w:p w14:paraId="6A82BF70"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34F724D9"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084D67A9"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J v Lieschke</w:t>
      </w:r>
      <w:r>
        <w:rPr>
          <w:rFonts w:ascii="Arial" w:hAnsi="Arial" w:cs="Arial"/>
          <w:bCs/>
          <w:sz w:val="20"/>
        </w:rPr>
        <w:t>.</w:t>
      </w:r>
    </w:p>
    <w:p w14:paraId="1C8E752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2031C3FF"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r>
        <w:rPr>
          <w:rFonts w:ascii="Arial" w:hAnsi="Arial" w:cs="Arial"/>
          <w:bCs/>
          <w:i/>
          <w:iCs/>
          <w:sz w:val="20"/>
        </w:rPr>
        <w:t>Briginshaw v Briginshaw.</w:t>
      </w:r>
      <w:r>
        <w:rPr>
          <w:rFonts w:ascii="Arial" w:hAnsi="Arial" w:cs="Arial"/>
          <w:bCs/>
          <w:sz w:val="20"/>
        </w:rPr>
        <w:t xml:space="preserve">  There Dixon J said: </w:t>
      </w:r>
    </w:p>
    <w:p w14:paraId="3038CB27" w14:textId="77777777" w:rsidR="00693223" w:rsidRDefault="00693223" w:rsidP="003A279C">
      <w:pPr>
        <w:spacing w:before="60"/>
        <w:ind w:left="1474" w:right="1474"/>
        <w:jc w:val="both"/>
        <w:rPr>
          <w:rFonts w:ascii="Arial" w:hAnsi="Arial" w:cs="Arial"/>
          <w:bCs/>
          <w:sz w:val="20"/>
        </w:rPr>
      </w:pP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0DD675E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stated in </w:t>
      </w:r>
      <w:r>
        <w:rPr>
          <w:rFonts w:ascii="Arial" w:hAnsi="Arial" w:cs="Arial"/>
          <w:bCs/>
          <w:i/>
          <w:iCs/>
          <w:sz w:val="20"/>
        </w:rPr>
        <w:t>Briginshaw</w:t>
      </w:r>
      <w:r>
        <w:rPr>
          <w:rFonts w:ascii="Arial" w:hAnsi="Arial" w:cs="Arial"/>
          <w:bCs/>
          <w:sz w:val="20"/>
        </w:rPr>
        <w:t xml:space="preserve">, that conclusion determines the wider issue which </w:t>
      </w:r>
      <w:r>
        <w:rPr>
          <w:rFonts w:ascii="Arial" w:hAnsi="Arial" w:cs="Arial"/>
          <w:bCs/>
          <w:sz w:val="20"/>
        </w:rPr>
        <w:lastRenderedPageBreak/>
        <w:t xml:space="preserve">confronts the court when it is called upon to decide what is in the best interests of the child. </w:t>
      </w:r>
    </w:p>
    <w:p w14:paraId="777502FD"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5F00A456"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36AD5DF8"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33FACE0F" w14:textId="77777777" w:rsidR="00693223" w:rsidRDefault="00693223">
      <w:pPr>
        <w:jc w:val="both"/>
        <w:rPr>
          <w:rFonts w:ascii="Arial" w:hAnsi="Arial" w:cs="Arial"/>
          <w:sz w:val="20"/>
        </w:rPr>
      </w:pPr>
    </w:p>
    <w:p w14:paraId="37BFDC8F" w14:textId="77777777"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section 5.10.4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new s.162(3) of the CYFA which </w:t>
      </w:r>
      <w:r w:rsidR="004C65F0">
        <w:rPr>
          <w:rFonts w:ascii="Arial" w:hAnsi="Arial" w:cs="Arial"/>
          <w:sz w:val="20"/>
        </w:rPr>
        <w:t>provides:</w:t>
      </w:r>
    </w:p>
    <w:p w14:paraId="567D1BE3"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18A3A750" w14:textId="77777777" w:rsidR="004C65F0" w:rsidRPr="006C72B1" w:rsidRDefault="004C65F0" w:rsidP="00841BF2">
      <w:pPr>
        <w:numPr>
          <w:ilvl w:val="0"/>
          <w:numId w:val="53"/>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5956655A" w14:textId="77777777" w:rsidR="004C65F0" w:rsidRPr="006C72B1" w:rsidRDefault="004C65F0" w:rsidP="00841BF2">
      <w:pPr>
        <w:numPr>
          <w:ilvl w:val="0"/>
          <w:numId w:val="53"/>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627B1DDC" w14:textId="77777777" w:rsidR="004C65F0" w:rsidRDefault="004C65F0" w:rsidP="00882C6A">
      <w:pPr>
        <w:jc w:val="both"/>
        <w:rPr>
          <w:rFonts w:ascii="Arial" w:hAnsi="Arial" w:cs="Arial"/>
          <w:sz w:val="20"/>
        </w:rPr>
      </w:pPr>
    </w:p>
    <w:p w14:paraId="28357DE7"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272BDFDC" w14:textId="77777777" w:rsidR="00882C6A" w:rsidRDefault="00882C6A" w:rsidP="00882C6A">
      <w:pPr>
        <w:keepNext/>
        <w:keepLines/>
        <w:spacing w:before="60"/>
        <w:ind w:left="567" w:right="567"/>
        <w:jc w:val="both"/>
        <w:rPr>
          <w:rFonts w:ascii="Arial" w:hAnsi="Arial" w:cs="Arial"/>
          <w:bCs/>
          <w:sz w:val="16"/>
        </w:rPr>
      </w:pPr>
      <w:bookmarkStart w:id="1330" w:name="_Toc34823415"/>
      <w:bookmarkStart w:id="1331"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not…[L]ikely is being used in the sense of a real possibility, a possibility that cannot sensibly be ignored having regard to the nature and gravity of the feared harm in the particular case."</w:t>
      </w:r>
    </w:p>
    <w:bookmarkEnd w:id="1330"/>
    <w:bookmarkEnd w:id="1331"/>
    <w:p w14:paraId="5937C5B3" w14:textId="77777777" w:rsidR="00882C6A" w:rsidRDefault="00882C6A" w:rsidP="00882C6A">
      <w:pPr>
        <w:jc w:val="both"/>
        <w:rPr>
          <w:rFonts w:ascii="Arial" w:hAnsi="Arial" w:cs="Arial"/>
          <w:sz w:val="20"/>
        </w:rPr>
      </w:pPr>
    </w:p>
    <w:p w14:paraId="4BA84881"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11F26CF6" w14:textId="77777777" w:rsidR="00AB2E0B" w:rsidRDefault="00AB2E0B" w:rsidP="00AB2E0B">
      <w:pPr>
        <w:keepNext/>
        <w:keepLines/>
        <w:spacing w:before="60"/>
        <w:ind w:left="567" w:right="567"/>
        <w:jc w:val="both"/>
        <w:rPr>
          <w:rFonts w:ascii="Arial" w:hAnsi="Arial" w:cs="Arial"/>
          <w:bCs/>
          <w:sz w:val="16"/>
        </w:rPr>
      </w:pPr>
      <w:r>
        <w:rPr>
          <w:rFonts w:ascii="Arial" w:hAnsi="Arial" w:cs="Arial"/>
          <w:bCs/>
          <w:sz w:val="16"/>
        </w:rPr>
        <w:lastRenderedPageBreak/>
        <w:t>“</w:t>
      </w:r>
      <w:r>
        <w:rPr>
          <w:rFonts w:ascii="Arial" w:hAnsi="Arial" w:cs="Arial"/>
          <w:sz w:val="20"/>
        </w:rPr>
        <w:t>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p>
    <w:p w14:paraId="1C4AC2A8" w14:textId="77777777" w:rsidR="00BE78BC" w:rsidRPr="00BE78BC" w:rsidRDefault="00BE78BC">
      <w:pPr>
        <w:jc w:val="both"/>
        <w:rPr>
          <w:rFonts w:ascii="Arial" w:hAnsi="Arial" w:cs="Arial"/>
          <w:color w:val="000000"/>
          <w:sz w:val="20"/>
        </w:rPr>
      </w:pPr>
    </w:p>
    <w:p w14:paraId="7B1A5DBA" w14:textId="77777777" w:rsidR="00A40D16" w:rsidRPr="00BE78BC" w:rsidRDefault="00BE78BC">
      <w:pPr>
        <w:jc w:val="both"/>
        <w:rPr>
          <w:rFonts w:ascii="Arial" w:hAnsi="Arial" w:cs="Arial"/>
          <w:color w:val="000000"/>
          <w:sz w:val="20"/>
        </w:rPr>
      </w:pPr>
      <w:r>
        <w:rPr>
          <w:rFonts w:ascii="Arial" w:hAnsi="Arial" w:cs="Arial"/>
          <w:color w:val="000000"/>
          <w:sz w:val="20"/>
        </w:rPr>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3D8A9956"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Berhad </w:t>
      </w:r>
      <w:r w:rsidRPr="00BE78BC">
        <w:rPr>
          <w:rFonts w:ascii="Arial" w:hAnsi="Arial" w:cs="Arial"/>
          <w:color w:val="000000"/>
          <w:sz w:val="20"/>
          <w:szCs w:val="20"/>
        </w:rPr>
        <w:t xml:space="preserve">[2004] VSC 185; </w:t>
      </w:r>
      <w:r w:rsidRPr="00BE78BC">
        <w:rPr>
          <w:rFonts w:ascii="Arial" w:hAnsi="Arial" w:cs="Arial"/>
          <w:i/>
          <w:color w:val="000000"/>
          <w:sz w:val="20"/>
          <w:szCs w:val="20"/>
        </w:rPr>
        <w:t>Malaysian Airline Systems Berhad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r w:rsidR="0000786E" w:rsidRPr="00BE78BC">
        <w:rPr>
          <w:rFonts w:ascii="Arial" w:hAnsi="Arial" w:cs="Arial"/>
          <w:i/>
          <w:color w:val="000000"/>
          <w:sz w:val="20"/>
          <w:szCs w:val="20"/>
        </w:rPr>
        <w:t>O</w:t>
      </w:r>
      <w:r w:rsidRPr="00BE78BC">
        <w:rPr>
          <w:rFonts w:ascii="Arial" w:hAnsi="Arial" w:cs="Arial"/>
          <w:i/>
          <w:color w:val="000000"/>
          <w:sz w:val="20"/>
          <w:szCs w:val="20"/>
        </w:rPr>
        <w:t xml:space="preserve">rs </w:t>
      </w:r>
      <w:r w:rsidRPr="00BE78BC">
        <w:rPr>
          <w:rFonts w:ascii="Arial" w:hAnsi="Arial" w:cs="Arial"/>
          <w:color w:val="000000"/>
          <w:sz w:val="20"/>
          <w:szCs w:val="20"/>
        </w:rPr>
        <w:t>[2011] VSC 133 [60].”</w:t>
      </w:r>
    </w:p>
    <w:p w14:paraId="09296052" w14:textId="77777777" w:rsidR="00A40D16" w:rsidRPr="00A40D16" w:rsidRDefault="00A40D16">
      <w:pPr>
        <w:jc w:val="both"/>
        <w:rPr>
          <w:rFonts w:ascii="Arial" w:hAnsi="Arial" w:cs="Arial"/>
          <w:color w:val="000000"/>
          <w:sz w:val="20"/>
          <w:szCs w:val="20"/>
        </w:rPr>
      </w:pPr>
    </w:p>
    <w:p w14:paraId="1360E8BB" w14:textId="77777777" w:rsidR="00693223" w:rsidRPr="00785E1A" w:rsidRDefault="00693223">
      <w:pPr>
        <w:pStyle w:val="Heading3"/>
        <w:keepNext/>
        <w:keepLines/>
        <w:spacing w:after="120" w:line="240" w:lineRule="auto"/>
        <w:rPr>
          <w:rFonts w:ascii="Arial" w:hAnsi="Arial" w:cs="Arial"/>
          <w:color w:val="000000"/>
          <w:sz w:val="20"/>
        </w:rPr>
      </w:pPr>
      <w:bookmarkStart w:id="1332" w:name="_4.8.5_Expert_evidence"/>
      <w:bookmarkStart w:id="1333" w:name="B485"/>
      <w:bookmarkEnd w:id="1332"/>
      <w:bookmarkEnd w:id="1333"/>
      <w:r w:rsidRPr="00785E1A">
        <w:rPr>
          <w:rFonts w:ascii="Arial" w:hAnsi="Arial" w:cs="Arial"/>
          <w:b/>
          <w:bCs/>
          <w:color w:val="000000"/>
          <w:sz w:val="20"/>
        </w:rPr>
        <w:t>4.8.</w:t>
      </w:r>
      <w:r w:rsidR="0048483D" w:rsidRPr="00785E1A">
        <w:rPr>
          <w:rFonts w:ascii="Arial" w:hAnsi="Arial" w:cs="Arial"/>
          <w:b/>
          <w:bCs/>
          <w:color w:val="000000"/>
          <w:sz w:val="20"/>
        </w:rPr>
        <w:t>5</w:t>
      </w:r>
      <w:r w:rsidRPr="00785E1A">
        <w:rPr>
          <w:rFonts w:ascii="Arial" w:hAnsi="Arial" w:cs="Arial"/>
          <w:b/>
          <w:bCs/>
          <w:color w:val="000000"/>
          <w:sz w:val="20"/>
        </w:rPr>
        <w:tab/>
        <w:t>Expert evidence</w:t>
      </w:r>
    </w:p>
    <w:p w14:paraId="07CD1798" w14:textId="77777777" w:rsidR="00495449" w:rsidRPr="00BE2ABB" w:rsidRDefault="00693223">
      <w:pPr>
        <w:jc w:val="both"/>
        <w:rPr>
          <w:rFonts w:ascii="Arial" w:hAnsi="Arial" w:cs="Arial"/>
          <w:bCs/>
          <w:color w:val="000000"/>
          <w:sz w:val="20"/>
        </w:rPr>
      </w:pPr>
      <w:r>
        <w:rPr>
          <w:rFonts w:ascii="Arial" w:hAnsi="Arial" w:cs="Arial"/>
          <w:bCs/>
          <w:sz w:val="20"/>
        </w:rPr>
        <w:t xml:space="preserve">From early times courts have been accustomed to act on the opinions of experts.  The topic is dealt with in very great detail in "Expert Evidence", a 5 volume loose-leaf service by Ian Freckleton &amp; Hugh Selby.  </w:t>
      </w:r>
      <w:r w:rsidR="00495449">
        <w:rPr>
          <w:rFonts w:ascii="Arial" w:hAnsi="Arial" w:cs="Arial"/>
          <w:bCs/>
          <w:sz w:val="20"/>
        </w:rPr>
        <w:t>The relevant</w:t>
      </w:r>
      <w:r w:rsidR="008A1184">
        <w:rPr>
          <w:rFonts w:ascii="Arial" w:hAnsi="Arial" w:cs="Arial"/>
          <w:bCs/>
          <w:sz w:val="20"/>
        </w:rPr>
        <w:t xml:space="preserve"> principles are discussed and applied </w:t>
      </w:r>
      <w:r w:rsidR="00495449">
        <w:rPr>
          <w:rFonts w:ascii="Arial" w:hAnsi="Arial" w:cs="Arial"/>
          <w:bCs/>
          <w:sz w:val="20"/>
        </w:rPr>
        <w:t xml:space="preserve">in </w:t>
      </w:r>
      <w:r w:rsidR="00495449" w:rsidRPr="00495449">
        <w:rPr>
          <w:rFonts w:ascii="Arial" w:hAnsi="Arial" w:cs="Arial"/>
          <w:bCs/>
          <w:i/>
          <w:sz w:val="20"/>
        </w:rPr>
        <w:t>HG v R</w:t>
      </w:r>
      <w:r w:rsidR="00495449">
        <w:rPr>
          <w:rFonts w:ascii="Arial" w:hAnsi="Arial" w:cs="Arial"/>
          <w:bCs/>
          <w:sz w:val="20"/>
        </w:rPr>
        <w:t xml:space="preserve"> (1999) 197 CLR 414 at [39] &amp; [44] per Gleeson CJ; </w:t>
      </w:r>
      <w:r w:rsidR="00495449" w:rsidRPr="00495449">
        <w:rPr>
          <w:rFonts w:ascii="Arial" w:hAnsi="Arial" w:cs="Arial"/>
          <w:bCs/>
          <w:i/>
          <w:sz w:val="20"/>
        </w:rPr>
        <w:t>Makita Australia Pty Ltd v Sprowles</w:t>
      </w:r>
      <w:r w:rsidR="00495449">
        <w:rPr>
          <w:rFonts w:ascii="Arial" w:hAnsi="Arial" w:cs="Arial"/>
          <w:bCs/>
          <w:sz w:val="20"/>
        </w:rPr>
        <w:t xml:space="preserve"> (2001) 52 NSWLR 705 at [85] per Heydon JA; </w:t>
      </w:r>
      <w:r w:rsidR="00495449" w:rsidRPr="00495449">
        <w:rPr>
          <w:rFonts w:ascii="Arial" w:hAnsi="Arial" w:cs="Arial"/>
          <w:bCs/>
          <w:i/>
          <w:sz w:val="20"/>
        </w:rPr>
        <w:t xml:space="preserve">Ocean Marine Mutual v Jetopay </w:t>
      </w:r>
      <w:r w:rsidR="00495449">
        <w:rPr>
          <w:rFonts w:ascii="Arial" w:hAnsi="Arial" w:cs="Arial"/>
          <w:bCs/>
          <w:sz w:val="20"/>
        </w:rPr>
        <w:t xml:space="preserve">(2000) 120 FCR 146 at [21]-[23] per Black CJ, Cooper &amp; Emmett JJ; </w:t>
      </w:r>
      <w:r w:rsidR="00495449" w:rsidRPr="00495449">
        <w:rPr>
          <w:rFonts w:ascii="Arial" w:hAnsi="Arial" w:cs="Arial"/>
          <w:bCs/>
          <w:i/>
          <w:sz w:val="20"/>
        </w:rPr>
        <w:t>Ronchi v Alcoa</w:t>
      </w:r>
      <w:r w:rsidR="00495449">
        <w:rPr>
          <w:rFonts w:ascii="Arial" w:hAnsi="Arial" w:cs="Arial"/>
          <w:bCs/>
          <w:sz w:val="20"/>
        </w:rPr>
        <w:t xml:space="preserve"> [2008] VSCA 83 at [54] per Eames JA; </w:t>
      </w:r>
      <w:r w:rsidR="00495449" w:rsidRPr="008A1184">
        <w:rPr>
          <w:rFonts w:ascii="Arial" w:hAnsi="Arial" w:cs="Arial"/>
          <w:bCs/>
          <w:i/>
          <w:sz w:val="20"/>
        </w:rPr>
        <w:t>Mackie &amp; Staff Pty Ltd v Glengollan Village for Aged People</w:t>
      </w:r>
      <w:r w:rsidR="00495449">
        <w:rPr>
          <w:rFonts w:ascii="Arial" w:hAnsi="Arial" w:cs="Arial"/>
          <w:bCs/>
          <w:sz w:val="20"/>
        </w:rPr>
        <w:t xml:space="preserve"> [2007] VSC </w:t>
      </w:r>
      <w:r w:rsidR="00D541BC">
        <w:rPr>
          <w:rFonts w:ascii="Arial" w:hAnsi="Arial" w:cs="Arial"/>
          <w:bCs/>
          <w:sz w:val="20"/>
        </w:rPr>
        <w:t xml:space="preserve">201 </w:t>
      </w:r>
      <w:r w:rsidR="00495449">
        <w:rPr>
          <w:rFonts w:ascii="Arial" w:hAnsi="Arial" w:cs="Arial"/>
          <w:bCs/>
          <w:sz w:val="20"/>
        </w:rPr>
        <w:t>at [11]</w:t>
      </w:r>
      <w:r w:rsidR="000547DB">
        <w:rPr>
          <w:rFonts w:ascii="Arial" w:hAnsi="Arial" w:cs="Arial"/>
          <w:bCs/>
          <w:sz w:val="20"/>
        </w:rPr>
        <w:t xml:space="preserve">-[14] &amp; [30] per Habersberger J; </w:t>
      </w:r>
      <w:r w:rsidR="000547DB" w:rsidRPr="000547DB">
        <w:rPr>
          <w:rFonts w:ascii="Arial" w:hAnsi="Arial" w:cs="Arial"/>
          <w:bCs/>
          <w:i/>
          <w:sz w:val="20"/>
        </w:rPr>
        <w:t>R v Dong Song Choi &amp; Ors</w:t>
      </w:r>
      <w:r w:rsidR="000547DB">
        <w:rPr>
          <w:rFonts w:ascii="Arial" w:hAnsi="Arial" w:cs="Arial"/>
          <w:bCs/>
          <w:sz w:val="20"/>
        </w:rPr>
        <w:t xml:space="preserve"> [aka </w:t>
      </w:r>
      <w:r w:rsidR="000547DB" w:rsidRPr="000547DB">
        <w:rPr>
          <w:rFonts w:ascii="Arial" w:hAnsi="Arial" w:cs="Arial"/>
          <w:bCs/>
          <w:i/>
          <w:sz w:val="20"/>
        </w:rPr>
        <w:t xml:space="preserve">In the Matter of </w:t>
      </w:r>
      <w:r w:rsidR="000547DB" w:rsidRPr="00BE2ABB">
        <w:rPr>
          <w:rFonts w:ascii="Arial" w:hAnsi="Arial" w:cs="Arial"/>
          <w:bCs/>
          <w:i/>
          <w:color w:val="000000"/>
          <w:sz w:val="20"/>
        </w:rPr>
        <w:t>the Pong Su (Ruling No. 19)</w:t>
      </w:r>
      <w:r w:rsidR="000547DB" w:rsidRPr="00BE2ABB">
        <w:rPr>
          <w:rFonts w:ascii="Arial" w:hAnsi="Arial" w:cs="Arial"/>
          <w:bCs/>
          <w:color w:val="000000"/>
          <w:sz w:val="20"/>
        </w:rPr>
        <w:t>] [2005] VSC 66 at [29]-[30] pe</w:t>
      </w:r>
      <w:r w:rsidR="007B5899" w:rsidRPr="00BE2ABB">
        <w:rPr>
          <w:rFonts w:ascii="Arial" w:hAnsi="Arial" w:cs="Arial"/>
          <w:bCs/>
          <w:color w:val="000000"/>
          <w:sz w:val="20"/>
        </w:rPr>
        <w:t xml:space="preserve">r Kellam J; </w:t>
      </w:r>
      <w:r w:rsidR="007B5899" w:rsidRPr="00BE2ABB">
        <w:rPr>
          <w:rFonts w:ascii="Arial" w:hAnsi="Arial" w:cs="Arial"/>
          <w:bCs/>
          <w:i/>
          <w:color w:val="000000"/>
          <w:sz w:val="20"/>
        </w:rPr>
        <w:t>R v Cox (Ruling No.1)</w:t>
      </w:r>
      <w:r w:rsidR="007B5899" w:rsidRPr="00BE2ABB">
        <w:rPr>
          <w:rFonts w:ascii="Arial" w:hAnsi="Arial" w:cs="Arial"/>
          <w:bCs/>
          <w:color w:val="000000"/>
          <w:sz w:val="20"/>
        </w:rPr>
        <w:t xml:space="preserve"> [2005] VSC </w:t>
      </w:r>
      <w:r w:rsidR="002D7330" w:rsidRPr="00BE2ABB">
        <w:rPr>
          <w:rFonts w:ascii="Arial" w:hAnsi="Arial" w:cs="Arial"/>
          <w:bCs/>
          <w:color w:val="000000"/>
          <w:sz w:val="20"/>
        </w:rPr>
        <w:t xml:space="preserve">157 at [11] </w:t>
      </w:r>
      <w:r w:rsidR="007B5899" w:rsidRPr="00BE2ABB">
        <w:rPr>
          <w:rFonts w:ascii="Arial" w:hAnsi="Arial" w:cs="Arial"/>
          <w:bCs/>
          <w:color w:val="000000"/>
          <w:sz w:val="20"/>
        </w:rPr>
        <w:t xml:space="preserve">&amp; </w:t>
      </w:r>
      <w:r w:rsidR="007B5899" w:rsidRPr="00BE2ABB">
        <w:rPr>
          <w:rFonts w:ascii="Arial" w:hAnsi="Arial" w:cs="Arial"/>
          <w:bCs/>
          <w:i/>
          <w:color w:val="000000"/>
          <w:sz w:val="20"/>
        </w:rPr>
        <w:t>(Ruling No.2)</w:t>
      </w:r>
      <w:r w:rsidR="007B5899" w:rsidRPr="00BE2ABB">
        <w:rPr>
          <w:rFonts w:ascii="Arial" w:hAnsi="Arial" w:cs="Arial"/>
          <w:bCs/>
          <w:color w:val="000000"/>
          <w:sz w:val="20"/>
        </w:rPr>
        <w:t xml:space="preserve"> [2005] VSC </w:t>
      </w:r>
      <w:r w:rsidR="002D7330" w:rsidRPr="00BE2ABB">
        <w:rPr>
          <w:rFonts w:ascii="Arial" w:hAnsi="Arial" w:cs="Arial"/>
          <w:bCs/>
          <w:color w:val="000000"/>
          <w:sz w:val="20"/>
        </w:rPr>
        <w:t xml:space="preserve">224 </w:t>
      </w:r>
      <w:r w:rsidR="007B5899" w:rsidRPr="00BE2ABB">
        <w:rPr>
          <w:rFonts w:ascii="Arial" w:hAnsi="Arial" w:cs="Arial"/>
          <w:bCs/>
          <w:color w:val="000000"/>
          <w:sz w:val="20"/>
        </w:rPr>
        <w:t xml:space="preserve">per Kaye J; </w:t>
      </w:r>
      <w:r w:rsidR="007B5899" w:rsidRPr="00BE2ABB">
        <w:rPr>
          <w:rFonts w:ascii="Arial" w:hAnsi="Arial" w:cs="Arial"/>
          <w:bCs/>
          <w:i/>
          <w:color w:val="000000"/>
          <w:sz w:val="20"/>
        </w:rPr>
        <w:t>R v Rich (Ruling No.1</w:t>
      </w:r>
      <w:r w:rsidR="002D7330" w:rsidRPr="00BE2ABB">
        <w:rPr>
          <w:rFonts w:ascii="Arial" w:hAnsi="Arial" w:cs="Arial"/>
          <w:bCs/>
          <w:i/>
          <w:color w:val="000000"/>
          <w:sz w:val="20"/>
        </w:rPr>
        <w:t>0</w:t>
      </w:r>
      <w:r w:rsidR="007B5899" w:rsidRPr="00BE2ABB">
        <w:rPr>
          <w:rFonts w:ascii="Arial" w:hAnsi="Arial" w:cs="Arial"/>
          <w:bCs/>
          <w:i/>
          <w:color w:val="000000"/>
          <w:sz w:val="20"/>
        </w:rPr>
        <w:t>)</w:t>
      </w:r>
      <w:r w:rsidR="007B5899" w:rsidRPr="00BE2ABB">
        <w:rPr>
          <w:rFonts w:ascii="Arial" w:hAnsi="Arial" w:cs="Arial"/>
          <w:bCs/>
          <w:color w:val="000000"/>
          <w:sz w:val="20"/>
        </w:rPr>
        <w:t xml:space="preserve"> [200</w:t>
      </w:r>
      <w:r w:rsidR="002D7330" w:rsidRPr="00BE2ABB">
        <w:rPr>
          <w:rFonts w:ascii="Arial" w:hAnsi="Arial" w:cs="Arial"/>
          <w:bCs/>
          <w:color w:val="000000"/>
          <w:sz w:val="20"/>
        </w:rPr>
        <w:t>9</w:t>
      </w:r>
      <w:r w:rsidR="007B5899" w:rsidRPr="00BE2ABB">
        <w:rPr>
          <w:rFonts w:ascii="Arial" w:hAnsi="Arial" w:cs="Arial"/>
          <w:bCs/>
          <w:color w:val="000000"/>
          <w:sz w:val="20"/>
        </w:rPr>
        <w:t>] VSC 10 at [</w:t>
      </w:r>
      <w:r w:rsidR="002D7330" w:rsidRPr="00BE2ABB">
        <w:rPr>
          <w:rFonts w:ascii="Arial" w:hAnsi="Arial" w:cs="Arial"/>
          <w:bCs/>
          <w:color w:val="000000"/>
          <w:sz w:val="20"/>
        </w:rPr>
        <w:t>26</w:t>
      </w:r>
      <w:r w:rsidR="007B5899" w:rsidRPr="00BE2ABB">
        <w:rPr>
          <w:rFonts w:ascii="Arial" w:hAnsi="Arial" w:cs="Arial"/>
          <w:bCs/>
          <w:color w:val="000000"/>
          <w:sz w:val="20"/>
        </w:rPr>
        <w:t>]-[</w:t>
      </w:r>
      <w:r w:rsidR="002D7330" w:rsidRPr="00BE2ABB">
        <w:rPr>
          <w:rFonts w:ascii="Arial" w:hAnsi="Arial" w:cs="Arial"/>
          <w:bCs/>
          <w:color w:val="000000"/>
          <w:sz w:val="20"/>
        </w:rPr>
        <w:t>34</w:t>
      </w:r>
      <w:r w:rsidR="007B5899" w:rsidRPr="00BE2ABB">
        <w:rPr>
          <w:rFonts w:ascii="Arial" w:hAnsi="Arial" w:cs="Arial"/>
          <w:bCs/>
          <w:color w:val="000000"/>
          <w:sz w:val="20"/>
        </w:rPr>
        <w:t>]</w:t>
      </w:r>
      <w:r w:rsidR="001D2A19" w:rsidRPr="00BE2ABB">
        <w:rPr>
          <w:rFonts w:ascii="Arial" w:hAnsi="Arial" w:cs="Arial"/>
          <w:bCs/>
          <w:color w:val="000000"/>
          <w:sz w:val="20"/>
        </w:rPr>
        <w:t xml:space="preserve"> per Lasry J; </w:t>
      </w:r>
      <w:r w:rsidR="001D2A19" w:rsidRPr="00BE2ABB">
        <w:rPr>
          <w:rFonts w:ascii="Arial" w:hAnsi="Arial" w:cs="Arial"/>
          <w:bCs/>
          <w:i/>
          <w:color w:val="000000"/>
          <w:sz w:val="20"/>
        </w:rPr>
        <w:t>MA v The Queen</w:t>
      </w:r>
      <w:r w:rsidR="001D2A19" w:rsidRPr="00BE2ABB">
        <w:rPr>
          <w:rFonts w:ascii="Arial" w:hAnsi="Arial" w:cs="Arial"/>
          <w:bCs/>
          <w:color w:val="000000"/>
          <w:sz w:val="20"/>
        </w:rPr>
        <w:t xml:space="preserve"> [2013] VSCA 20 at [57]-[77] per Osborn JA &amp; [89]-[100] per Redlich &amp; Whelan JJA.</w:t>
      </w:r>
    </w:p>
    <w:p w14:paraId="620EC489" w14:textId="77777777" w:rsidR="000547DB" w:rsidRDefault="000547DB">
      <w:pPr>
        <w:jc w:val="both"/>
        <w:rPr>
          <w:rFonts w:ascii="Arial" w:hAnsi="Arial" w:cs="Arial"/>
          <w:bCs/>
          <w:sz w:val="20"/>
        </w:rPr>
      </w:pPr>
    </w:p>
    <w:p w14:paraId="6B969CF3" w14:textId="77777777" w:rsidR="00D541BC" w:rsidRDefault="00D541BC" w:rsidP="00CA2663">
      <w:pPr>
        <w:jc w:val="both"/>
        <w:rPr>
          <w:rFonts w:ascii="Arial" w:hAnsi="Arial" w:cs="Arial"/>
          <w:bCs/>
          <w:sz w:val="20"/>
        </w:rPr>
      </w:pPr>
      <w:r>
        <w:rPr>
          <w:rFonts w:ascii="Arial" w:hAnsi="Arial" w:cs="Arial"/>
          <w:bCs/>
          <w:sz w:val="20"/>
        </w:rPr>
        <w:t>Whether or not a witness is qualified to give opinion evidence is a matter for the judge or magistrate who must determine:</w:t>
      </w:r>
    </w:p>
    <w:p w14:paraId="0C1006AC"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1.</w:t>
      </w:r>
      <w:r>
        <w:rPr>
          <w:rFonts w:ascii="Arial" w:hAnsi="Arial" w:cs="Arial"/>
          <w:bCs/>
          <w:sz w:val="20"/>
        </w:rPr>
        <w:tab/>
        <w:t>whether the field of knowledge in which the witness professes expertise is a recognized and organized body of knowledge (</w:t>
      </w:r>
      <w:r>
        <w:rPr>
          <w:rFonts w:ascii="Arial" w:hAnsi="Arial" w:cs="Arial"/>
          <w:bCs/>
          <w:i/>
          <w:iCs/>
          <w:sz w:val="20"/>
        </w:rPr>
        <w:t>R v Anderson</w:t>
      </w:r>
      <w:r>
        <w:rPr>
          <w:rFonts w:ascii="Arial" w:hAnsi="Arial" w:cs="Arial"/>
          <w:bCs/>
          <w:sz w:val="20"/>
        </w:rPr>
        <w:t xml:space="preserve"> (2000) 1 VR 1 per Winneke P at 22-3) which is outside the ordinary experiences of mankind (see e.g. </w:t>
      </w:r>
      <w:r>
        <w:rPr>
          <w:rFonts w:ascii="Arial" w:hAnsi="Arial" w:cs="Arial"/>
          <w:bCs/>
          <w:i/>
          <w:iCs/>
          <w:sz w:val="20"/>
        </w:rPr>
        <w:t>R v Smith</w:t>
      </w:r>
      <w:r>
        <w:rPr>
          <w:rFonts w:ascii="Arial" w:hAnsi="Arial" w:cs="Arial"/>
          <w:bCs/>
          <w:sz w:val="20"/>
        </w:rPr>
        <w:t xml:space="preserve"> [1987] VR 907 per Vincent J; </w:t>
      </w:r>
      <w:r>
        <w:rPr>
          <w:rFonts w:ascii="Arial" w:hAnsi="Arial" w:cs="Arial"/>
          <w:bCs/>
          <w:i/>
          <w:iCs/>
          <w:sz w:val="20"/>
        </w:rPr>
        <w:t>Murphy v The Queen</w:t>
      </w:r>
      <w:r>
        <w:rPr>
          <w:rFonts w:ascii="Arial" w:hAnsi="Arial" w:cs="Arial"/>
          <w:bCs/>
          <w:sz w:val="20"/>
        </w:rPr>
        <w:t xml:space="preserve"> (1989) 167 CLR 94 per Mason CJ &amp; Toohey J at 110, Deane J at 126 &amp; Dawson J at 130; </w:t>
      </w:r>
      <w:r>
        <w:rPr>
          <w:rFonts w:ascii="Arial" w:hAnsi="Arial" w:cs="Arial"/>
          <w:bCs/>
          <w:i/>
          <w:iCs/>
          <w:sz w:val="20"/>
        </w:rPr>
        <w:t>R v Perry</w:t>
      </w:r>
      <w:r>
        <w:rPr>
          <w:rFonts w:ascii="Arial" w:hAnsi="Arial" w:cs="Arial"/>
          <w:bCs/>
          <w:sz w:val="20"/>
        </w:rPr>
        <w:t xml:space="preserve"> (1990) 49 A Crim R 243 at 249 per Gleeson CJ, citing </w:t>
      </w:r>
      <w:r>
        <w:rPr>
          <w:rFonts w:ascii="Arial" w:hAnsi="Arial" w:cs="Arial"/>
          <w:bCs/>
          <w:i/>
          <w:iCs/>
          <w:sz w:val="20"/>
        </w:rPr>
        <w:t>Clark v Ryan</w:t>
      </w:r>
      <w:r>
        <w:rPr>
          <w:rFonts w:ascii="Arial" w:hAnsi="Arial" w:cs="Arial"/>
          <w:bCs/>
          <w:sz w:val="20"/>
        </w:rPr>
        <w:t xml:space="preserve"> (1960) 103 CLR 486); and</w:t>
      </w:r>
    </w:p>
    <w:p w14:paraId="5DDCB9A4"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2.</w:t>
      </w:r>
      <w:r>
        <w:rPr>
          <w:rFonts w:ascii="Arial" w:hAnsi="Arial" w:cs="Arial"/>
          <w:bCs/>
          <w:sz w:val="20"/>
        </w:rPr>
        <w:tab/>
        <w:t>whether the witness has sufficient expertise in such field as would enable him or her to assist the court (</w:t>
      </w:r>
      <w:r>
        <w:rPr>
          <w:rFonts w:ascii="Arial" w:hAnsi="Arial" w:cs="Arial"/>
          <w:bCs/>
          <w:i/>
          <w:iCs/>
          <w:sz w:val="20"/>
        </w:rPr>
        <w:t>Grace v Southern</w:t>
      </w:r>
      <w:r>
        <w:rPr>
          <w:rFonts w:ascii="Arial" w:hAnsi="Arial" w:cs="Arial"/>
          <w:bCs/>
          <w:sz w:val="20"/>
        </w:rPr>
        <w:t xml:space="preserve"> [1978] VR 75).</w:t>
      </w:r>
    </w:p>
    <w:p w14:paraId="77CABB84" w14:textId="77777777" w:rsidR="00D541BC" w:rsidRDefault="00D541BC">
      <w:pPr>
        <w:jc w:val="both"/>
        <w:rPr>
          <w:rFonts w:ascii="Arial" w:hAnsi="Arial" w:cs="Arial"/>
          <w:bCs/>
          <w:sz w:val="20"/>
        </w:rPr>
      </w:pPr>
    </w:p>
    <w:p w14:paraId="3788A938" w14:textId="77777777" w:rsidR="00495449" w:rsidRDefault="00495449" w:rsidP="00495449">
      <w:pPr>
        <w:jc w:val="both"/>
        <w:rPr>
          <w:rFonts w:ascii="Arial" w:hAnsi="Arial" w:cs="Arial"/>
          <w:bCs/>
          <w:sz w:val="20"/>
        </w:rPr>
      </w:pPr>
      <w:r>
        <w:rPr>
          <w:rFonts w:ascii="Arial" w:hAnsi="Arial" w:cs="Arial"/>
          <w:bCs/>
          <w:sz w:val="20"/>
        </w:rPr>
        <w:t xml:space="preserve">In </w:t>
      </w:r>
      <w:r w:rsidRPr="00495449">
        <w:rPr>
          <w:rFonts w:ascii="Arial" w:hAnsi="Arial" w:cs="Arial"/>
          <w:i/>
          <w:sz w:val="20"/>
        </w:rPr>
        <w:t>Baulch v Lyndoch Warrnambool &amp; Anor (Ruling No. 3)</w:t>
      </w:r>
      <w:r>
        <w:rPr>
          <w:rFonts w:ascii="Arial" w:hAnsi="Arial" w:cs="Arial"/>
          <w:sz w:val="20"/>
        </w:rPr>
        <w:t xml:space="preserve"> [2008] VSC 420 at [10]-[14] Forrest J – after citing many of the above cases – </w:t>
      </w:r>
      <w:r w:rsidR="00AA176A">
        <w:rPr>
          <w:rFonts w:ascii="Arial" w:hAnsi="Arial" w:cs="Arial"/>
          <w:sz w:val="20"/>
        </w:rPr>
        <w:t>summarized</w:t>
      </w:r>
      <w:r>
        <w:rPr>
          <w:rFonts w:ascii="Arial" w:hAnsi="Arial" w:cs="Arial"/>
          <w:sz w:val="20"/>
        </w:rPr>
        <w:t xml:space="preserve"> the relevant principles </w:t>
      </w:r>
      <w:r w:rsidR="00AA176A">
        <w:rPr>
          <w:rFonts w:ascii="Arial" w:hAnsi="Arial" w:cs="Arial"/>
          <w:sz w:val="20"/>
        </w:rPr>
        <w:t>as follows:</w:t>
      </w:r>
    </w:p>
    <w:p w14:paraId="10D0A356" w14:textId="77777777" w:rsidR="00495449" w:rsidRDefault="00D541BC" w:rsidP="00D541BC">
      <w:pPr>
        <w:tabs>
          <w:tab w:val="left" w:pos="363"/>
        </w:tabs>
        <w:ind w:left="363" w:hanging="363"/>
        <w:jc w:val="both"/>
        <w:rPr>
          <w:rFonts w:ascii="Arial" w:hAnsi="Arial" w:cs="Arial"/>
          <w:bCs/>
          <w:sz w:val="20"/>
        </w:rPr>
      </w:pPr>
      <w:r w:rsidRPr="00D541BC">
        <w:rPr>
          <w:rFonts w:ascii="Arial" w:hAnsi="Arial" w:cs="Arial"/>
          <w:bCs/>
          <w:sz w:val="20"/>
        </w:rPr>
        <w:t>(a</w:t>
      </w:r>
      <w:r>
        <w:rPr>
          <w:rFonts w:ascii="Arial" w:hAnsi="Arial" w:cs="Arial"/>
          <w:bCs/>
          <w:sz w:val="20"/>
        </w:rPr>
        <w:t>)</w:t>
      </w:r>
      <w:r>
        <w:rPr>
          <w:rFonts w:ascii="Arial" w:hAnsi="Arial" w:cs="Arial"/>
          <w:bCs/>
          <w:sz w:val="20"/>
        </w:rPr>
        <w:tab/>
        <w:t>a party wishing to call an expert witness must clearly identify the field of specialized knowledge in respect of which it is said the witness can proffer an opinion;</w:t>
      </w:r>
    </w:p>
    <w:p w14:paraId="2F16D37D"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(b)</w:t>
      </w:r>
      <w:r>
        <w:rPr>
          <w:rFonts w:ascii="Arial" w:hAnsi="Arial" w:cs="Arial"/>
          <w:bCs/>
          <w:sz w:val="20"/>
        </w:rPr>
        <w:tab/>
        <w:t>a party must then identify the expertise of the witness in that field; it must be demonstrates that by reason of specialized training, study or experience the witness is truly an expert in that area;</w:t>
      </w:r>
    </w:p>
    <w:p w14:paraId="19BC338F"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(c)</w:t>
      </w:r>
      <w:r>
        <w:rPr>
          <w:rFonts w:ascii="Arial" w:hAnsi="Arial" w:cs="Arial"/>
          <w:bCs/>
          <w:sz w:val="20"/>
        </w:rPr>
        <w:tab/>
        <w:t>the opinion expressed by the witness must be either wholly or substantially based on that specialist knowledge and not on the everyday knowledge of the common person;</w:t>
      </w:r>
    </w:p>
    <w:p w14:paraId="6412C3EC"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(d)</w:t>
      </w:r>
      <w:r>
        <w:rPr>
          <w:rFonts w:ascii="Arial" w:hAnsi="Arial" w:cs="Arial"/>
          <w:bCs/>
          <w:sz w:val="20"/>
        </w:rPr>
        <w:tab/>
        <w:t>the opinion must be based on clearly identified facts; and</w:t>
      </w:r>
    </w:p>
    <w:p w14:paraId="3EF31FCF"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(e)</w:t>
      </w:r>
      <w:r>
        <w:rPr>
          <w:rFonts w:ascii="Arial" w:hAnsi="Arial" w:cs="Arial"/>
          <w:bCs/>
          <w:sz w:val="20"/>
        </w:rPr>
        <w:tab/>
        <w:t>the onus rests on the party calling the witness to satisfied the above criteria.</w:t>
      </w:r>
    </w:p>
    <w:p w14:paraId="10181155" w14:textId="77777777" w:rsidR="00495449" w:rsidRDefault="00495449">
      <w:pPr>
        <w:jc w:val="both"/>
        <w:rPr>
          <w:rFonts w:ascii="Arial" w:hAnsi="Arial" w:cs="Arial"/>
          <w:bCs/>
          <w:sz w:val="20"/>
        </w:rPr>
      </w:pPr>
    </w:p>
    <w:p w14:paraId="065DA826" w14:textId="77777777" w:rsidR="00693223" w:rsidRDefault="00AA176A">
      <w:pPr>
        <w:jc w:val="both"/>
        <w:rPr>
          <w:rFonts w:ascii="Arial" w:hAnsi="Arial" w:cs="Arial"/>
          <w:bCs/>
          <w:sz w:val="20"/>
        </w:rPr>
      </w:pPr>
      <w:r>
        <w:rPr>
          <w:rFonts w:ascii="Arial" w:hAnsi="Arial" w:cs="Arial"/>
          <w:bCs/>
          <w:sz w:val="20"/>
        </w:rPr>
        <w:t>In</w:t>
      </w:r>
      <w:r w:rsidR="00693223">
        <w:rPr>
          <w:rFonts w:ascii="Arial" w:hAnsi="Arial" w:cs="Arial"/>
          <w:bCs/>
          <w:sz w:val="20"/>
        </w:rPr>
        <w:t xml:space="preserve"> </w:t>
      </w:r>
      <w:r w:rsidR="00693223">
        <w:rPr>
          <w:rFonts w:ascii="Arial" w:hAnsi="Arial" w:cs="Arial"/>
          <w:bCs/>
          <w:i/>
          <w:iCs/>
          <w:sz w:val="20"/>
        </w:rPr>
        <w:t xml:space="preserve">Re W and W: (Abuse allegations; Expert evidence) </w:t>
      </w:r>
      <w:r w:rsidR="00693223">
        <w:rPr>
          <w:rFonts w:ascii="Arial" w:hAnsi="Arial" w:cs="Arial"/>
          <w:bCs/>
          <w:sz w:val="20"/>
        </w:rPr>
        <w:t>[2001] FamCA 216 at [145]-[193] the Full Court of the Family Court of Australia:</w:t>
      </w:r>
    </w:p>
    <w:p w14:paraId="52086B1B" w14:textId="77777777" w:rsidR="00693223" w:rsidRDefault="00693223" w:rsidP="00281D46">
      <w:pPr>
        <w:keepNext/>
        <w:keepLines/>
        <w:numPr>
          <w:ilvl w:val="0"/>
          <w:numId w:val="17"/>
        </w:numPr>
        <w:jc w:val="both"/>
        <w:rPr>
          <w:rFonts w:ascii="Arial" w:hAnsi="Arial" w:cs="Arial"/>
          <w:bCs/>
          <w:sz w:val="20"/>
        </w:rPr>
      </w:pPr>
      <w:r>
        <w:rPr>
          <w:rFonts w:ascii="Arial" w:hAnsi="Arial" w:cs="Arial"/>
          <w:bCs/>
          <w:sz w:val="20"/>
        </w:rPr>
        <w:t xml:space="preserve">was very critical of a professional witness who "saw neither of the parties and none of the children and yet arrived at damaging conclusions about one of the parties, who happened to be on the opposite side to the party who commissioned him" (at [156]) and who had "stepped out of the role of an expert witness and assumed the role of advocate" (at [190]); </w:t>
      </w:r>
    </w:p>
    <w:p w14:paraId="2801D895" w14:textId="77777777" w:rsidR="00693223" w:rsidRDefault="00693223">
      <w:pPr>
        <w:numPr>
          <w:ilvl w:val="0"/>
          <w:numId w:val="17"/>
        </w:numPr>
        <w:jc w:val="both"/>
        <w:rPr>
          <w:rFonts w:ascii="Arial" w:hAnsi="Arial" w:cs="Arial"/>
          <w:bCs/>
          <w:sz w:val="20"/>
        </w:rPr>
      </w:pPr>
      <w:r>
        <w:rPr>
          <w:rFonts w:ascii="Arial" w:hAnsi="Arial" w:cs="Arial"/>
          <w:bCs/>
          <w:sz w:val="20"/>
        </w:rPr>
        <w:t>recommended significant reforms in the area of expert evidence (at [192]-[193]).</w:t>
      </w:r>
    </w:p>
    <w:p w14:paraId="69DE8393" w14:textId="77777777" w:rsidR="00693223" w:rsidRDefault="00693223">
      <w:pPr>
        <w:jc w:val="both"/>
        <w:rPr>
          <w:rFonts w:ascii="Arial" w:hAnsi="Arial" w:cs="Arial"/>
          <w:bCs/>
          <w:sz w:val="20"/>
        </w:rPr>
      </w:pPr>
    </w:p>
    <w:p w14:paraId="186A8821" w14:textId="77777777" w:rsidR="00693223" w:rsidRDefault="00693223">
      <w:pPr>
        <w:jc w:val="both"/>
        <w:rPr>
          <w:rFonts w:ascii="Arial" w:hAnsi="Arial" w:cs="Arial"/>
          <w:bCs/>
          <w:sz w:val="20"/>
        </w:rPr>
      </w:pPr>
      <w:r>
        <w:rPr>
          <w:rFonts w:ascii="Arial" w:hAnsi="Arial" w:cs="Arial"/>
          <w:bCs/>
          <w:sz w:val="20"/>
        </w:rPr>
        <w:t xml:space="preserve">Typical expert witnesses in the Children's Court include paediatricians, nurses, psychiatrists, psychologists, child protection or child welfare workers or persons working in the "helping professions" generally.  From such professional witnesses it is usual for </w:t>
      </w:r>
      <w:r w:rsidR="000C3AB4">
        <w:rPr>
          <w:rFonts w:ascii="Arial" w:hAnsi="Arial" w:cs="Arial"/>
          <w:bCs/>
          <w:sz w:val="20"/>
        </w:rPr>
        <w:t>two</w:t>
      </w:r>
      <w:r>
        <w:rPr>
          <w:rFonts w:ascii="Arial" w:hAnsi="Arial" w:cs="Arial"/>
          <w:bCs/>
          <w:sz w:val="20"/>
        </w:rPr>
        <w:t xml:space="preserve"> types of evidence to be adduced:</w:t>
      </w:r>
    </w:p>
    <w:p w14:paraId="49F518C7" w14:textId="77777777" w:rsidR="00693223" w:rsidRDefault="00693223" w:rsidP="00C16C56">
      <w:pPr>
        <w:keepNext/>
        <w:keepLines/>
        <w:numPr>
          <w:ilvl w:val="0"/>
          <w:numId w:val="16"/>
        </w:numPr>
        <w:jc w:val="both"/>
        <w:rPr>
          <w:rFonts w:ascii="Arial" w:hAnsi="Arial" w:cs="Arial"/>
          <w:bCs/>
          <w:sz w:val="20"/>
        </w:rPr>
      </w:pPr>
      <w:r>
        <w:rPr>
          <w:rFonts w:ascii="Arial" w:hAnsi="Arial" w:cs="Arial"/>
          <w:bCs/>
          <w:sz w:val="20"/>
        </w:rPr>
        <w:t>evidence of observed facts;</w:t>
      </w:r>
    </w:p>
    <w:p w14:paraId="5AC46C5F" w14:textId="77777777" w:rsidR="00693223" w:rsidRDefault="00693223">
      <w:pPr>
        <w:numPr>
          <w:ilvl w:val="0"/>
          <w:numId w:val="16"/>
        </w:numPr>
        <w:jc w:val="both"/>
        <w:rPr>
          <w:rFonts w:ascii="Arial" w:hAnsi="Arial" w:cs="Arial"/>
          <w:bCs/>
          <w:sz w:val="20"/>
        </w:rPr>
      </w:pPr>
      <w:r>
        <w:rPr>
          <w:rFonts w:ascii="Arial" w:hAnsi="Arial" w:cs="Arial"/>
          <w:bCs/>
          <w:sz w:val="20"/>
        </w:rPr>
        <w:t>evidence in the form of opinion and/or inference.</w:t>
      </w:r>
    </w:p>
    <w:p w14:paraId="3C7E6FCC" w14:textId="77777777" w:rsidR="00495449" w:rsidRDefault="00495449">
      <w:pPr>
        <w:jc w:val="both"/>
        <w:rPr>
          <w:rFonts w:ascii="Arial" w:hAnsi="Arial" w:cs="Arial"/>
          <w:bCs/>
          <w:sz w:val="20"/>
        </w:rPr>
      </w:pPr>
    </w:p>
    <w:p w14:paraId="5993C58A" w14:textId="77777777" w:rsidR="00693223" w:rsidRDefault="00693223">
      <w:pPr>
        <w:jc w:val="both"/>
        <w:rPr>
          <w:rFonts w:ascii="Arial" w:hAnsi="Arial" w:cs="Arial"/>
          <w:sz w:val="20"/>
        </w:rPr>
      </w:pPr>
      <w:r>
        <w:rPr>
          <w:rFonts w:ascii="Arial" w:hAnsi="Arial" w:cs="Arial"/>
          <w:bCs/>
          <w:sz w:val="20"/>
        </w:rPr>
        <w:t xml:space="preserve">Most contested cases in the Family Division of the Court involve the receipt of evidence from one or more "expert witnesses".  Indeed, in </w:t>
      </w:r>
      <w:r>
        <w:rPr>
          <w:rFonts w:ascii="Arial" w:hAnsi="Arial" w:cs="Arial"/>
          <w:i/>
          <w:iCs/>
          <w:sz w:val="20"/>
        </w:rPr>
        <w:t xml:space="preserve">Director-General of Community Services </w:t>
      </w:r>
      <w:smartTag w:uri="urn:schemas-microsoft-com:office:smarttags" w:element="State">
        <w:smartTag w:uri="urn:schemas-microsoft-com:office:smarttags" w:element="place">
          <w:r>
            <w:rPr>
              <w:rFonts w:ascii="Arial" w:hAnsi="Arial" w:cs="Arial"/>
              <w:i/>
              <w:iCs/>
              <w:sz w:val="20"/>
            </w:rPr>
            <w:t>Victoria</w:t>
          </w:r>
        </w:smartTag>
      </w:smartTag>
      <w:r>
        <w:rPr>
          <w:rFonts w:ascii="Arial" w:hAnsi="Arial" w:cs="Arial"/>
          <w:i/>
          <w:iCs/>
          <w:sz w:val="20"/>
        </w:rPr>
        <w:t xml:space="preserve"> v Buckley &amp; Others</w:t>
      </w:r>
      <w:r>
        <w:rPr>
          <w:rFonts w:ascii="Arial" w:hAnsi="Arial" w:cs="Arial"/>
          <w:sz w:val="20"/>
        </w:rPr>
        <w:t xml:space="preserve"> [Supreme Court of Victoria, unreported, </w:t>
      </w:r>
      <w:smartTag w:uri="urn:schemas-microsoft-com:office:smarttags" w:element="date">
        <w:smartTagPr>
          <w:attr w:name="Month" w:val="12"/>
          <w:attr w:name="Day" w:val="11"/>
          <w:attr w:name="Year" w:val="1992"/>
        </w:smartTagPr>
        <w:r>
          <w:rPr>
            <w:rFonts w:ascii="Arial" w:hAnsi="Arial" w:cs="Arial"/>
            <w:sz w:val="20"/>
          </w:rPr>
          <w:t>11/12/1992</w:t>
        </w:r>
      </w:smartTag>
      <w:r>
        <w:rPr>
          <w:rFonts w:ascii="Arial" w:hAnsi="Arial" w:cs="Arial"/>
          <w:sz w:val="20"/>
        </w:rPr>
        <w:t>], O'Bryan J. commented (at p.6) that it would be very difficult for a court to find that a child has suffered significant harm from emotional abuse "in the absence of credible expert evidence".</w:t>
      </w:r>
    </w:p>
    <w:p w14:paraId="150E3692" w14:textId="77777777" w:rsidR="00693223" w:rsidRDefault="00693223">
      <w:pPr>
        <w:jc w:val="both"/>
        <w:rPr>
          <w:rFonts w:ascii="Arial" w:hAnsi="Arial" w:cs="Arial"/>
          <w:sz w:val="20"/>
        </w:rPr>
      </w:pPr>
    </w:p>
    <w:p w14:paraId="5D50470B" w14:textId="77777777" w:rsidR="0041519A" w:rsidRDefault="0041519A">
      <w:pPr>
        <w:jc w:val="both"/>
        <w:rPr>
          <w:rFonts w:ascii="Arial" w:hAnsi="Arial" w:cs="Arial"/>
          <w:sz w:val="20"/>
        </w:rPr>
      </w:pPr>
      <w:r>
        <w:rPr>
          <w:rFonts w:ascii="Arial" w:hAnsi="Arial" w:cs="Arial"/>
          <w:sz w:val="20"/>
        </w:rPr>
        <w:t xml:space="preserve">In </w:t>
      </w:r>
      <w:r w:rsidRPr="0041519A">
        <w:rPr>
          <w:rFonts w:ascii="Arial" w:hAnsi="Arial" w:cs="Arial"/>
          <w:i/>
          <w:sz w:val="20"/>
        </w:rPr>
        <w:t>Re W (Sex Abuse: Standard of Proof)</w:t>
      </w:r>
      <w:r>
        <w:rPr>
          <w:rFonts w:ascii="Arial" w:hAnsi="Arial" w:cs="Arial"/>
          <w:sz w:val="20"/>
        </w:rPr>
        <w:t xml:space="preserve"> [2004] FamCA 768 </w:t>
      </w:r>
      <w:r w:rsidR="006D5042">
        <w:rPr>
          <w:rFonts w:ascii="Arial" w:hAnsi="Arial" w:cs="Arial"/>
          <w:sz w:val="20"/>
        </w:rPr>
        <w:t xml:space="preserve">the trial judge had accepted the evidence of a </w:t>
      </w:r>
      <w:r w:rsidR="005F6B53">
        <w:rPr>
          <w:rFonts w:ascii="Arial" w:hAnsi="Arial" w:cs="Arial"/>
          <w:sz w:val="20"/>
        </w:rPr>
        <w:t xml:space="preserve">child </w:t>
      </w:r>
      <w:r w:rsidR="006D5042">
        <w:rPr>
          <w:rFonts w:ascii="Arial" w:hAnsi="Arial" w:cs="Arial"/>
          <w:sz w:val="20"/>
        </w:rPr>
        <w:t>psychiatrist who was appointed by him as a Court expert to enquire into and report on:</w:t>
      </w:r>
    </w:p>
    <w:p w14:paraId="6BC26030" w14:textId="77777777" w:rsidR="006D5042" w:rsidRDefault="006D5042" w:rsidP="006D5042">
      <w:pPr>
        <w:numPr>
          <w:ilvl w:val="0"/>
          <w:numId w:val="16"/>
        </w:numPr>
        <w:jc w:val="both"/>
        <w:rPr>
          <w:rFonts w:ascii="Arial" w:hAnsi="Arial" w:cs="Arial"/>
          <w:bCs/>
          <w:sz w:val="20"/>
        </w:rPr>
      </w:pPr>
      <w:r>
        <w:rPr>
          <w:rFonts w:ascii="Arial" w:hAnsi="Arial" w:cs="Arial"/>
          <w:bCs/>
          <w:sz w:val="20"/>
        </w:rPr>
        <w:t>the nature and quality of the investigation into the allegations of child sexual abuse made in the case;</w:t>
      </w:r>
    </w:p>
    <w:p w14:paraId="1AF1008F" w14:textId="77777777" w:rsidR="006D5042" w:rsidRDefault="006D5042" w:rsidP="006D5042">
      <w:pPr>
        <w:numPr>
          <w:ilvl w:val="0"/>
          <w:numId w:val="16"/>
        </w:numPr>
        <w:jc w:val="both"/>
        <w:rPr>
          <w:rFonts w:ascii="Arial" w:hAnsi="Arial" w:cs="Arial"/>
          <w:bCs/>
          <w:sz w:val="20"/>
        </w:rPr>
      </w:pPr>
      <w:r>
        <w:rPr>
          <w:rFonts w:ascii="Arial" w:hAnsi="Arial" w:cs="Arial"/>
          <w:bCs/>
          <w:sz w:val="20"/>
        </w:rPr>
        <w:t>whether and if so, in what ways (if any) the process of investigation may have affected the integrity of the information obtained through the investigation process; and</w:t>
      </w:r>
    </w:p>
    <w:p w14:paraId="2AAF2FD0" w14:textId="77777777" w:rsidR="006D5042" w:rsidRDefault="006D5042" w:rsidP="006D5042">
      <w:pPr>
        <w:numPr>
          <w:ilvl w:val="0"/>
          <w:numId w:val="16"/>
        </w:numPr>
        <w:jc w:val="both"/>
        <w:rPr>
          <w:rFonts w:ascii="Arial" w:hAnsi="Arial" w:cs="Arial"/>
          <w:bCs/>
          <w:sz w:val="20"/>
        </w:rPr>
      </w:pPr>
      <w:r>
        <w:rPr>
          <w:rFonts w:ascii="Arial" w:hAnsi="Arial" w:cs="Arial"/>
          <w:bCs/>
          <w:sz w:val="20"/>
        </w:rPr>
        <w:t>any consequences arising therefrom.</w:t>
      </w:r>
    </w:p>
    <w:p w14:paraId="1DCA0B71" w14:textId="77777777" w:rsidR="006D5042" w:rsidRDefault="005F6B53">
      <w:pPr>
        <w:jc w:val="both"/>
        <w:rPr>
          <w:rFonts w:ascii="Arial" w:hAnsi="Arial" w:cs="Arial"/>
          <w:sz w:val="20"/>
        </w:rPr>
      </w:pPr>
      <w:r>
        <w:rPr>
          <w:rFonts w:ascii="Arial" w:hAnsi="Arial" w:cs="Arial"/>
          <w:bCs/>
          <w:sz w:val="20"/>
        </w:rPr>
        <w:t xml:space="preserve">That psychiatrist gave evidence that while he had some criticisms of the procedures followed, it was his view that on the balance of probabilities there was sufficient evidence to have significant concerns that the father had sexually abused his daughter.  </w:t>
      </w:r>
      <w:r w:rsidR="001202B2">
        <w:rPr>
          <w:rFonts w:ascii="Arial" w:hAnsi="Arial" w:cs="Arial"/>
          <w:bCs/>
          <w:sz w:val="20"/>
        </w:rPr>
        <w:t xml:space="preserve">However, he had not seen either the parties or the children.  </w:t>
      </w:r>
      <w:r>
        <w:rPr>
          <w:rFonts w:ascii="Arial" w:hAnsi="Arial" w:cs="Arial"/>
          <w:bCs/>
          <w:sz w:val="20"/>
        </w:rPr>
        <w:t>A</w:t>
      </w:r>
      <w:r w:rsidR="00557433">
        <w:rPr>
          <w:rFonts w:ascii="Arial" w:hAnsi="Arial" w:cs="Arial"/>
          <w:bCs/>
          <w:sz w:val="20"/>
        </w:rPr>
        <w:t>t [37] a</w:t>
      </w:r>
      <w:r>
        <w:rPr>
          <w:rFonts w:ascii="Arial" w:hAnsi="Arial" w:cs="Arial"/>
          <w:bCs/>
          <w:sz w:val="20"/>
        </w:rPr>
        <w:t xml:space="preserve"> </w:t>
      </w:r>
      <w:r w:rsidR="006D5042">
        <w:rPr>
          <w:rFonts w:ascii="Arial" w:hAnsi="Arial" w:cs="Arial"/>
          <w:sz w:val="20"/>
        </w:rPr>
        <w:t>Full Court of the Family Court of Australia, comprising Kay, Holden &amp; O'Ryan JJ,</w:t>
      </w:r>
      <w:r>
        <w:rPr>
          <w:rFonts w:ascii="Arial" w:hAnsi="Arial" w:cs="Arial"/>
          <w:sz w:val="20"/>
        </w:rPr>
        <w:t xml:space="preserve"> </w:t>
      </w:r>
      <w:r w:rsidR="00557433">
        <w:rPr>
          <w:rFonts w:ascii="Arial" w:hAnsi="Arial" w:cs="Arial"/>
          <w:sz w:val="20"/>
        </w:rPr>
        <w:t>described the trial judge’s reliance on the evidence of the psychiatrist as “particularly troublesome”</w:t>
      </w:r>
      <w:r w:rsidR="001A4C03">
        <w:rPr>
          <w:rFonts w:ascii="Arial" w:hAnsi="Arial" w:cs="Arial"/>
          <w:sz w:val="20"/>
        </w:rPr>
        <w:t xml:space="preserve"> and at [38]-[40] it concluded that the psychiatrist’s “evidence concerning the probabilities of something untoward having occurred should have been given very little weight” especially as he had not seen the family members</w:t>
      </w:r>
      <w:r w:rsidR="00484481">
        <w:rPr>
          <w:rFonts w:ascii="Arial" w:hAnsi="Arial" w:cs="Arial"/>
          <w:sz w:val="20"/>
        </w:rPr>
        <w:t>:</w:t>
      </w:r>
    </w:p>
    <w:p w14:paraId="6B25AF76" w14:textId="77777777" w:rsidR="000A38F6" w:rsidRDefault="000A38F6" w:rsidP="000A38F6">
      <w:pPr>
        <w:spacing w:before="60"/>
        <w:ind w:left="567" w:right="567"/>
        <w:jc w:val="both"/>
        <w:rPr>
          <w:rFonts w:ascii="Arial" w:hAnsi="Arial" w:cs="Arial"/>
          <w:sz w:val="20"/>
        </w:rPr>
      </w:pPr>
      <w:r>
        <w:rPr>
          <w:rFonts w:ascii="Arial" w:hAnsi="Arial" w:cs="Arial"/>
          <w:sz w:val="20"/>
        </w:rPr>
        <w:t xml:space="preserve">[38]  “In </w:t>
      </w:r>
      <w:r w:rsidRPr="000A38F6">
        <w:rPr>
          <w:rFonts w:ascii="Arial" w:hAnsi="Arial" w:cs="Arial"/>
          <w:i/>
          <w:sz w:val="20"/>
        </w:rPr>
        <w:t>Re W Abuse Allegations; Expert Evidence</w:t>
      </w:r>
      <w:r>
        <w:rPr>
          <w:rFonts w:ascii="Arial" w:hAnsi="Arial" w:cs="Arial"/>
          <w:sz w:val="20"/>
        </w:rPr>
        <w:t xml:space="preserve"> (2001) FLC 93-085 Nicholson CJ and O’Ryan J (with whom Kay J agreed on this point) warned of giving weight to expert evidence of a psychiatrist who had not seen the parties nor the children but had reviewed the material.  Their Honours said at [147] ‘…there are grave dangers in reliance upon expert evidence given in such circumstances’.</w:t>
      </w:r>
    </w:p>
    <w:p w14:paraId="1FC931AA" w14:textId="77777777" w:rsidR="000A38F6" w:rsidRDefault="000A38F6" w:rsidP="000A38F6">
      <w:pPr>
        <w:spacing w:before="60"/>
        <w:ind w:left="567" w:right="567"/>
        <w:jc w:val="both"/>
        <w:rPr>
          <w:rFonts w:ascii="Arial" w:hAnsi="Arial" w:cs="Arial"/>
          <w:sz w:val="20"/>
        </w:rPr>
      </w:pPr>
      <w:r>
        <w:rPr>
          <w:rFonts w:ascii="Arial" w:hAnsi="Arial" w:cs="Arial"/>
          <w:sz w:val="20"/>
        </w:rPr>
        <w:t xml:space="preserve">[39]  Whilst much of their Honours’ rejection of the evidence of the psychiatrist in </w:t>
      </w:r>
      <w:r w:rsidRPr="000A38F6">
        <w:rPr>
          <w:rFonts w:ascii="Arial" w:hAnsi="Arial" w:cs="Arial"/>
          <w:i/>
          <w:sz w:val="20"/>
        </w:rPr>
        <w:t>Re W</w:t>
      </w:r>
      <w:r>
        <w:rPr>
          <w:rFonts w:ascii="Arial" w:hAnsi="Arial" w:cs="Arial"/>
          <w:sz w:val="20"/>
        </w:rPr>
        <w:t xml:space="preserve"> appears to turn on the fact that he was retained by one side and must have brought unconscious bias to his task, in our view the criticism of relying upon an opinion about the ultimate issue from a witness who has not seen the parties nor the children remains just as valid when the witness is called by the court.  If an expert witness still purports to give an opinion as to the ultimate issue then such opinion would be expected to be heavily qualified by the expert having regard to the fact that the expert had not seen the parties nor the children.”</w:t>
      </w:r>
    </w:p>
    <w:p w14:paraId="0482FA8A" w14:textId="77777777" w:rsidR="006D5042" w:rsidRDefault="006D5042">
      <w:pPr>
        <w:jc w:val="both"/>
        <w:rPr>
          <w:rFonts w:ascii="Arial" w:hAnsi="Arial" w:cs="Arial"/>
          <w:sz w:val="20"/>
        </w:rPr>
      </w:pPr>
    </w:p>
    <w:p w14:paraId="2FD220F4" w14:textId="77777777" w:rsidR="00E14F02" w:rsidRDefault="00E14F02">
      <w:pPr>
        <w:jc w:val="both"/>
        <w:rPr>
          <w:rFonts w:ascii="Arial" w:hAnsi="Arial" w:cs="Arial"/>
          <w:sz w:val="20"/>
        </w:rPr>
      </w:pPr>
      <w:r>
        <w:rPr>
          <w:rFonts w:ascii="Arial" w:hAnsi="Arial" w:cs="Arial"/>
          <w:sz w:val="20"/>
        </w:rPr>
        <w:t xml:space="preserve">In </w:t>
      </w:r>
      <w:r w:rsidR="00ED0A0A">
        <w:rPr>
          <w:rFonts w:ascii="Arial" w:hAnsi="Arial" w:cs="Arial"/>
          <w:i/>
          <w:sz w:val="20"/>
        </w:rPr>
        <w:t>DOHS v Ms B &amp; Mr</w:t>
      </w:r>
      <w:r w:rsidR="00C16C56" w:rsidRPr="00C16C56">
        <w:rPr>
          <w:rFonts w:ascii="Arial" w:hAnsi="Arial" w:cs="Arial"/>
          <w:i/>
          <w:sz w:val="20"/>
        </w:rPr>
        <w:t xml:space="preserve"> </w:t>
      </w:r>
      <w:r w:rsidR="00ED0A0A">
        <w:rPr>
          <w:rFonts w:ascii="Arial" w:hAnsi="Arial" w:cs="Arial"/>
          <w:i/>
          <w:sz w:val="20"/>
        </w:rPr>
        <w:t>G</w:t>
      </w:r>
      <w:r w:rsidR="00C16C56">
        <w:rPr>
          <w:rFonts w:ascii="Arial" w:hAnsi="Arial" w:cs="Arial"/>
          <w:sz w:val="20"/>
        </w:rPr>
        <w:t xml:space="preserve"> </w:t>
      </w:r>
      <w:r w:rsidR="00076222">
        <w:rPr>
          <w:rFonts w:ascii="Arial" w:hAnsi="Arial" w:cs="Arial"/>
          <w:sz w:val="20"/>
        </w:rPr>
        <w:t xml:space="preserve">[2008] </w:t>
      </w:r>
      <w:r w:rsidR="00C74768">
        <w:rPr>
          <w:rFonts w:ascii="Arial" w:hAnsi="Arial" w:cs="Arial"/>
          <w:sz w:val="20"/>
        </w:rPr>
        <w:t xml:space="preserve">VChC 1 </w:t>
      </w:r>
      <w:r w:rsidR="00076222">
        <w:rPr>
          <w:rFonts w:ascii="Arial" w:hAnsi="Arial" w:cs="Arial"/>
          <w:sz w:val="20"/>
        </w:rPr>
        <w:t xml:space="preserve">Power M referred with approval to the above dicta from </w:t>
      </w:r>
      <w:r w:rsidR="00076222" w:rsidRPr="0041519A">
        <w:rPr>
          <w:rFonts w:ascii="Arial" w:hAnsi="Arial" w:cs="Arial"/>
          <w:i/>
          <w:sz w:val="20"/>
        </w:rPr>
        <w:t>Re W (Sex Abuse: Standard of Proof)</w:t>
      </w:r>
      <w:r w:rsidR="00076222">
        <w:rPr>
          <w:rFonts w:ascii="Arial" w:hAnsi="Arial" w:cs="Arial"/>
          <w:sz w:val="20"/>
        </w:rPr>
        <w:t xml:space="preserve"> [2004] FamCA 768 in a section discussing the limitations of the expert evidence </w:t>
      </w:r>
      <w:r w:rsidR="00C216B3">
        <w:rPr>
          <w:rFonts w:ascii="Arial" w:hAnsi="Arial" w:cs="Arial"/>
          <w:sz w:val="20"/>
        </w:rPr>
        <w:t>adduced</w:t>
      </w:r>
      <w:r w:rsidR="00076222">
        <w:rPr>
          <w:rFonts w:ascii="Arial" w:hAnsi="Arial" w:cs="Arial"/>
          <w:sz w:val="20"/>
        </w:rPr>
        <w:t xml:space="preserve"> in that case.  </w:t>
      </w:r>
      <w:r w:rsidR="00FC3025">
        <w:rPr>
          <w:rFonts w:ascii="Arial" w:hAnsi="Arial" w:cs="Arial"/>
          <w:sz w:val="20"/>
        </w:rPr>
        <w:t xml:space="preserve">Several clinical psychologists and an infant psychiatrist had been called to give expert evidence, part of which related to the ultimate issue, namely the frequency, duration and nature </w:t>
      </w:r>
      <w:r w:rsidR="00FC3025" w:rsidRPr="004E1436">
        <w:rPr>
          <w:rFonts w:ascii="Arial" w:hAnsi="Arial" w:cs="Arial"/>
          <w:color w:val="000000"/>
          <w:sz w:val="20"/>
        </w:rPr>
        <w:t xml:space="preserve">of </w:t>
      </w:r>
      <w:r w:rsidR="00502296" w:rsidRPr="004E1436">
        <w:rPr>
          <w:rFonts w:ascii="Arial" w:hAnsi="Arial" w:cs="Arial"/>
          <w:color w:val="000000"/>
          <w:sz w:val="20"/>
        </w:rPr>
        <w:t>contact</w:t>
      </w:r>
      <w:r w:rsidR="00FC3025" w:rsidRPr="004E1436">
        <w:rPr>
          <w:rFonts w:ascii="Arial" w:hAnsi="Arial" w:cs="Arial"/>
          <w:color w:val="000000"/>
          <w:sz w:val="20"/>
        </w:rPr>
        <w:t xml:space="preserve"> between</w:t>
      </w:r>
      <w:r w:rsidR="00FC3025">
        <w:rPr>
          <w:rFonts w:ascii="Arial" w:hAnsi="Arial" w:cs="Arial"/>
          <w:sz w:val="20"/>
        </w:rPr>
        <w:t xml:space="preserve"> the family members.  His Honour considered that “a major limitation of their evidence is that each of their observations involved only part of the overall factual matrix”.  Each of the experts had met and assessed a sub-set of the family members.  None had met and assessed the entire </w:t>
      </w:r>
      <w:r w:rsidR="00FC3025">
        <w:rPr>
          <w:rFonts w:ascii="Arial" w:hAnsi="Arial" w:cs="Arial"/>
          <w:sz w:val="20"/>
        </w:rPr>
        <w:lastRenderedPageBreak/>
        <w:t xml:space="preserve">family.  </w:t>
      </w:r>
      <w:r w:rsidR="00C216B3">
        <w:rPr>
          <w:rFonts w:ascii="Arial" w:hAnsi="Arial" w:cs="Arial"/>
          <w:sz w:val="20"/>
        </w:rPr>
        <w:t xml:space="preserve">At pp.120-121 </w:t>
      </w:r>
      <w:r w:rsidR="00FC3025">
        <w:rPr>
          <w:rFonts w:ascii="Arial" w:hAnsi="Arial" w:cs="Arial"/>
          <w:sz w:val="20"/>
        </w:rPr>
        <w:t xml:space="preserve">His Honour also commented </w:t>
      </w:r>
      <w:r w:rsidR="00C216B3">
        <w:rPr>
          <w:rFonts w:ascii="Arial" w:hAnsi="Arial" w:cs="Arial"/>
          <w:sz w:val="20"/>
        </w:rPr>
        <w:t>on the weight to be given in any particular case to relevant general research and literature</w:t>
      </w:r>
      <w:r w:rsidR="00FC3025">
        <w:rPr>
          <w:rFonts w:ascii="Arial" w:hAnsi="Arial" w:cs="Arial"/>
          <w:sz w:val="20"/>
        </w:rPr>
        <w:t>:</w:t>
      </w:r>
    </w:p>
    <w:p w14:paraId="2B46F98C" w14:textId="77777777" w:rsidR="00FC3025" w:rsidRDefault="00FC3025" w:rsidP="00C216B3">
      <w:pPr>
        <w:spacing w:before="60"/>
        <w:ind w:left="567" w:right="567"/>
        <w:jc w:val="both"/>
        <w:rPr>
          <w:rFonts w:ascii="Arial" w:hAnsi="Arial" w:cs="Arial"/>
          <w:sz w:val="20"/>
        </w:rPr>
      </w:pPr>
      <w:r>
        <w:rPr>
          <w:rFonts w:ascii="Arial" w:hAnsi="Arial" w:cs="Arial"/>
          <w:sz w:val="20"/>
        </w:rPr>
        <w:t>“</w:t>
      </w:r>
      <w:r w:rsidRPr="00FC3025">
        <w:rPr>
          <w:rFonts w:ascii="Arial" w:hAnsi="Arial" w:cs="Arial"/>
          <w:sz w:val="20"/>
        </w:rPr>
        <w:t>Part o</w:t>
      </w:r>
      <w:r>
        <w:rPr>
          <w:rFonts w:ascii="Arial" w:hAnsi="Arial" w:cs="Arial"/>
          <w:sz w:val="20"/>
        </w:rPr>
        <w:t>f the evidence of Dr M and Dr P</w:t>
      </w:r>
      <w:r w:rsidRPr="00FC3025">
        <w:rPr>
          <w:rFonts w:ascii="Arial" w:hAnsi="Arial" w:cs="Arial"/>
          <w:sz w:val="20"/>
        </w:rPr>
        <w:t xml:space="preserve"> involved a discussion of the research and literature relating to infant development, with particular emphasis on the development of attachment in infants.  I found this evidence particularly interesting and of general assistance to me in my role as a magistrate allocated to the Children’s Court.  But it is important not to over-emphasize its usefulness when applied to any particular case.  The research and the literature do have an important role.  But it is not an independent role.  It provides the framework which enables observations of the behaviour of a particular person or persons to be evaluated and predictions to be made about the likelihood of future patterns of behaviour.  Absent subjective observations of a particular caregiver and/or parent and of a particular child, preferably over a period of time, the framework – standing alone – is much less useful for it exists in a factual vacuum.  Absent observations or other relevant evidence of the quality of the particular interactions or the characteristics - including the resilience - of the particular individuals, prediction of risk of future harm and analysis of what is in the best interests of the particular child are inevitably much less certain</w:t>
      </w:r>
      <w:r>
        <w:rPr>
          <w:rFonts w:ascii="Arial" w:hAnsi="Arial" w:cs="Arial"/>
          <w:sz w:val="20"/>
        </w:rPr>
        <w:t>…</w:t>
      </w:r>
    </w:p>
    <w:p w14:paraId="5CE03F95" w14:textId="77777777" w:rsidR="00FC3025" w:rsidRDefault="00FC3025" w:rsidP="00AA176A">
      <w:pPr>
        <w:keepNext/>
        <w:keepLines/>
        <w:spacing w:before="120"/>
        <w:ind w:left="567" w:right="567"/>
        <w:jc w:val="both"/>
        <w:rPr>
          <w:rFonts w:ascii="Arial" w:hAnsi="Arial" w:cs="Arial"/>
          <w:sz w:val="20"/>
        </w:rPr>
      </w:pPr>
      <w:r w:rsidRPr="00FC3025">
        <w:rPr>
          <w:rFonts w:ascii="Arial" w:hAnsi="Arial" w:cs="Arial"/>
          <w:sz w:val="20"/>
        </w:rPr>
        <w:t xml:space="preserve">An opinion about appropriate levels of contact between </w:t>
      </w:r>
      <w:r>
        <w:rPr>
          <w:rFonts w:ascii="Arial" w:hAnsi="Arial" w:cs="Arial"/>
          <w:sz w:val="20"/>
        </w:rPr>
        <w:t>[the two older children]</w:t>
      </w:r>
      <w:r w:rsidRPr="00FC3025">
        <w:rPr>
          <w:rFonts w:ascii="Arial" w:hAnsi="Arial" w:cs="Arial"/>
          <w:sz w:val="20"/>
        </w:rPr>
        <w:t xml:space="preserve"> and their mother and siblings based on objective criteria – theoretical criteria - but made without knowledge of subjective evidence of the children’s behaviour must be treated with considerable caution.  This conclusion also follows from the </w:t>
      </w:r>
      <w:r w:rsidRPr="005C0020">
        <w:rPr>
          <w:rFonts w:ascii="Arial" w:hAnsi="Arial" w:cs="Arial"/>
          <w:sz w:val="20"/>
        </w:rPr>
        <w:t>CYFA</w:t>
      </w:r>
      <w:r w:rsidRPr="00FC3025">
        <w:rPr>
          <w:rFonts w:ascii="Arial" w:hAnsi="Arial" w:cs="Arial"/>
          <w:sz w:val="20"/>
        </w:rPr>
        <w:t xml:space="preserve"> itself.  Section 10 requires the Court to focus on – and treat as paramount – the best interests of the child, not children generally as a group but on the particular child the subject of each application.</w:t>
      </w:r>
      <w:r>
        <w:rPr>
          <w:rFonts w:ascii="Arial" w:hAnsi="Arial" w:cs="Arial"/>
          <w:sz w:val="20"/>
        </w:rPr>
        <w:t>”</w:t>
      </w:r>
    </w:p>
    <w:p w14:paraId="21F41B29" w14:textId="77777777" w:rsidR="0073609F" w:rsidRPr="00801CD5" w:rsidRDefault="0073609F">
      <w:pPr>
        <w:jc w:val="both"/>
        <w:rPr>
          <w:rFonts w:ascii="Arial" w:hAnsi="Arial" w:cs="Arial"/>
          <w:color w:val="000000"/>
          <w:sz w:val="20"/>
        </w:rPr>
      </w:pPr>
    </w:p>
    <w:p w14:paraId="2CC2BA2E" w14:textId="77777777" w:rsidR="007D7E39" w:rsidRPr="00785E1A" w:rsidRDefault="00775DC6" w:rsidP="007D7E39">
      <w:pPr>
        <w:pStyle w:val="Heading3"/>
        <w:keepNext/>
        <w:keepLines/>
        <w:spacing w:after="120" w:line="240" w:lineRule="auto"/>
        <w:rPr>
          <w:rFonts w:ascii="Arial" w:hAnsi="Arial" w:cs="Arial"/>
          <w:color w:val="000000"/>
          <w:sz w:val="20"/>
        </w:rPr>
      </w:pPr>
      <w:bookmarkStart w:id="1334" w:name="_4.8.6_Attendance_of"/>
      <w:bookmarkStart w:id="1335" w:name="B486"/>
      <w:bookmarkEnd w:id="1334"/>
      <w:bookmarkEnd w:id="1335"/>
      <w:r w:rsidRPr="00801CD5">
        <w:rPr>
          <w:rFonts w:ascii="Arial" w:hAnsi="Arial" w:cs="Arial"/>
          <w:b/>
          <w:bCs/>
          <w:color w:val="000000"/>
          <w:sz w:val="20"/>
        </w:rPr>
        <w:t>4.8.6</w:t>
      </w:r>
      <w:r w:rsidRPr="00801CD5">
        <w:rPr>
          <w:rFonts w:ascii="Arial" w:hAnsi="Arial" w:cs="Arial"/>
          <w:b/>
          <w:bCs/>
          <w:color w:val="000000"/>
          <w:sz w:val="20"/>
        </w:rPr>
        <w:tab/>
        <w:t>Attendance of child at Court</w:t>
      </w:r>
    </w:p>
    <w:p w14:paraId="456D38B9"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0A25EC06" w14:textId="77777777" w:rsidR="00775DC6" w:rsidRDefault="00775DC6" w:rsidP="00841BF2">
      <w:pPr>
        <w:numPr>
          <w:ilvl w:val="0"/>
          <w:numId w:val="54"/>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6BDC5B59" w14:textId="77777777" w:rsidR="00775DC6" w:rsidRDefault="00775DC6" w:rsidP="00841BF2">
      <w:pPr>
        <w:numPr>
          <w:ilvl w:val="0"/>
          <w:numId w:val="54"/>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7FA955DF" w14:textId="77777777" w:rsidR="00775DC6" w:rsidRPr="00BF4C4A" w:rsidRDefault="00775DC6" w:rsidP="00841BF2">
      <w:pPr>
        <w:numPr>
          <w:ilvl w:val="0"/>
          <w:numId w:val="54"/>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1E50459F" w14:textId="77777777" w:rsidR="00775DC6" w:rsidRDefault="00D5405F" w:rsidP="00775DC6">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088BB71D" w14:textId="77777777" w:rsidR="00775DC6" w:rsidRDefault="00775DC6" w:rsidP="00775DC6">
      <w:pPr>
        <w:jc w:val="both"/>
        <w:rPr>
          <w:rFonts w:ascii="Arial" w:hAnsi="Arial" w:cs="Arial"/>
          <w:sz w:val="20"/>
        </w:rPr>
      </w:pPr>
    </w:p>
    <w:p w14:paraId="72FC788C"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5AA988B8" w14:textId="77777777" w:rsidR="00775DC6" w:rsidRPr="00BF4C4A" w:rsidRDefault="00775DC6" w:rsidP="00841BF2">
      <w:pPr>
        <w:numPr>
          <w:ilvl w:val="0"/>
          <w:numId w:val="55"/>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34EEF068" w14:textId="77777777" w:rsidR="00775DC6" w:rsidRPr="00BF4C4A" w:rsidRDefault="00775DC6" w:rsidP="00841BF2">
      <w:pPr>
        <w:numPr>
          <w:ilvl w:val="0"/>
          <w:numId w:val="55"/>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4D899F65"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33B4C8D3"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3989060B" w14:textId="77777777" w:rsidR="00775DC6" w:rsidRDefault="00775DC6" w:rsidP="00775DC6">
      <w:pPr>
        <w:jc w:val="both"/>
        <w:rPr>
          <w:rFonts w:ascii="Arial" w:hAnsi="Arial" w:cs="Arial"/>
          <w:sz w:val="20"/>
        </w:rPr>
      </w:pPr>
    </w:p>
    <w:p w14:paraId="58B9A119"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4661266"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3ADCB67C"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0518E4F"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13CD4FAF"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46769E07"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4F9947E3"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4667A508"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lastRenderedPageBreak/>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11330E62"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EBB7D58"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29C49E91" w14:textId="77777777" w:rsidR="004C770E" w:rsidRPr="004C770E" w:rsidRDefault="004C770E" w:rsidP="00841BF2">
      <w:pPr>
        <w:numPr>
          <w:ilvl w:val="0"/>
          <w:numId w:val="55"/>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703F56B"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6DEAF46B"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69AF9219"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0F84B236"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70B56F05"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B7115DD"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3C60B3A6" w14:textId="77777777" w:rsidR="00775DC6" w:rsidRPr="00BF4C4A" w:rsidRDefault="00775DC6" w:rsidP="00841BF2">
      <w:pPr>
        <w:numPr>
          <w:ilvl w:val="0"/>
          <w:numId w:val="55"/>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64D8C497" w14:textId="77777777" w:rsidR="00775DC6" w:rsidRDefault="00775DC6">
      <w:pPr>
        <w:jc w:val="both"/>
        <w:rPr>
          <w:rFonts w:ascii="Arial" w:hAnsi="Arial" w:cs="Arial"/>
          <w:sz w:val="20"/>
        </w:rPr>
      </w:pPr>
    </w:p>
    <w:p w14:paraId="6AFAB429"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2EDE8AE6" w14:textId="77777777" w:rsidR="003D6315" w:rsidRDefault="003D6315">
      <w:pPr>
        <w:jc w:val="both"/>
        <w:rPr>
          <w:rFonts w:ascii="Arial" w:hAnsi="Arial" w:cs="Arial"/>
          <w:sz w:val="20"/>
        </w:rPr>
      </w:pPr>
    </w:p>
    <w:p w14:paraId="2A8352BA" w14:textId="77777777" w:rsidR="00693223" w:rsidRDefault="00693223" w:rsidP="00CB1877">
      <w:pPr>
        <w:pStyle w:val="Heading2"/>
        <w:keepNext/>
        <w:keepLines/>
        <w:tabs>
          <w:tab w:val="left" w:pos="567"/>
        </w:tabs>
        <w:spacing w:line="240" w:lineRule="auto"/>
        <w:rPr>
          <w:rFonts w:ascii="Arial" w:hAnsi="Arial" w:cs="Arial"/>
          <w:b/>
          <w:bCs/>
        </w:rPr>
      </w:pPr>
      <w:bookmarkStart w:id="1336" w:name="_4.9_Family_Division"/>
      <w:bookmarkStart w:id="1337" w:name="B49"/>
      <w:bookmarkEnd w:id="1336"/>
      <w:bookmarkEnd w:id="1337"/>
      <w:smartTag w:uri="urn:schemas-microsoft-com:office:smarttags" w:element="address">
        <w:smartTag w:uri="urn:schemas-microsoft-com:office:smarttags" w:element="Street">
          <w:r>
            <w:rPr>
              <w:rFonts w:ascii="Arial" w:hAnsi="Arial" w:cs="Arial"/>
              <w:b/>
              <w:bCs/>
            </w:rPr>
            <w:t>4.9</w:t>
          </w:r>
          <w:r>
            <w:rPr>
              <w:rFonts w:ascii="Arial" w:hAnsi="Arial" w:cs="Arial"/>
              <w:b/>
              <w:bCs/>
            </w:rPr>
            <w:tab/>
            <w:t>Family Division Court</w:t>
          </w:r>
        </w:smartTag>
      </w:smartTag>
      <w:r>
        <w:rPr>
          <w:rFonts w:ascii="Arial" w:hAnsi="Arial" w:cs="Arial"/>
          <w:b/>
          <w:bCs/>
        </w:rPr>
        <w:t xml:space="preserve"> hearings</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0B0973C1" w14:textId="77777777" w:rsidR="00693223" w:rsidRDefault="00693223" w:rsidP="00CB1877">
      <w:pPr>
        <w:keepNext/>
        <w:keepLines/>
        <w:jc w:val="both"/>
        <w:rPr>
          <w:rFonts w:ascii="Arial" w:hAnsi="Arial" w:cs="Arial"/>
          <w:sz w:val="20"/>
        </w:rPr>
      </w:pPr>
    </w:p>
    <w:p w14:paraId="04AA5FD9" w14:textId="77777777"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  The chart does not include Readiness Hearings introduced as a temporary COVID-19 measure.</w:t>
      </w:r>
    </w:p>
    <w:p w14:paraId="172BCC2B" w14:textId="77777777" w:rsidR="00BB5CD0" w:rsidRPr="00005E9C" w:rsidRDefault="00BB5CD0">
      <w:pPr>
        <w:jc w:val="both"/>
        <w:rPr>
          <w:rFonts w:ascii="Arial" w:hAnsi="Arial" w:cs="Arial"/>
          <w:sz w:val="20"/>
          <w:lang w:val="en-US"/>
        </w:rPr>
      </w:pPr>
    </w:p>
    <w:p w14:paraId="06445A47" w14:textId="354CBB08" w:rsidR="00BB5CD0" w:rsidRDefault="00200DEF">
      <w:pPr>
        <w:jc w:val="both"/>
        <w:rPr>
          <w:rFonts w:ascii="Arial" w:hAnsi="Arial" w:cs="Arial"/>
          <w:lang w:val="en-US"/>
        </w:rPr>
      </w:pPr>
      <w:r>
        <w:rPr>
          <w:rFonts w:ascii="Arial" w:hAnsi="Arial" w:cs="Arial"/>
          <w:noProof/>
          <w:lang w:eastAsia="en-AU"/>
        </w:rPr>
        <mc:AlternateContent>
          <mc:Choice Requires="wps">
            <w:drawing>
              <wp:anchor distT="0" distB="0" distL="114300" distR="114300" simplePos="0" relativeHeight="251656704" behindDoc="0" locked="0" layoutInCell="1" allowOverlap="1" wp14:anchorId="64327BC8" wp14:editId="1C3195CE">
                <wp:simplePos x="0" y="0"/>
                <wp:positionH relativeFrom="column">
                  <wp:posOffset>2341245</wp:posOffset>
                </wp:positionH>
                <wp:positionV relativeFrom="paragraph">
                  <wp:posOffset>4180840</wp:posOffset>
                </wp:positionV>
                <wp:extent cx="635" cy="158750"/>
                <wp:effectExtent l="62865" t="16510" r="60325" b="24765"/>
                <wp:wrapNone/>
                <wp:docPr id="4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71C3B" id="Line 14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" strokecolor="teal" strokeweight="1.5pt">
                <v:stroke endarrow="block"/>
              </v:line>
            </w:pict>
          </mc:Fallback>
        </mc:AlternateContent>
      </w:r>
      <w:r>
        <w:rPr>
          <w:rFonts w:ascii="Arial" w:hAnsi="Arial" w:cs="Arial"/>
          <w:noProof/>
          <w:lang w:val="en-US"/>
        </w:rPr>
        <mc:AlternateContent>
          <mc:Choice Requires="wpc">
            <w:drawing>
              <wp:inline distT="0" distB="0" distL="0" distR="0" wp14:anchorId="7FC38D55" wp14:editId="5BE836C2">
                <wp:extent cx="5278120" cy="4777105"/>
                <wp:effectExtent l="17145" t="26670" r="29210" b="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74"/>
                        <wps:cNvCnPr>
                          <a:cxnSpLocks noChangeShapeType="1"/>
                        </wps:cNvCnPr>
                        <wps:spPr bwMode="auto">
                          <a:xfrm flipH="1">
                            <a:off x="3168650" y="4030980"/>
                            <a:ext cx="757555" cy="460375"/>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2" name="Line 75"/>
                        <wps:cNvCnPr>
                          <a:cxnSpLocks noChangeShapeType="1"/>
                        </wps:cNvCnPr>
                        <wps:spPr bwMode="auto">
                          <a:xfrm>
                            <a:off x="2321560" y="3420110"/>
                            <a:ext cx="0" cy="74549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3" name="Line 76"/>
                        <wps:cNvCnPr>
                          <a:cxnSpLocks noChangeShapeType="1"/>
                        </wps:cNvCnPr>
                        <wps:spPr bwMode="auto">
                          <a:xfrm>
                            <a:off x="2066290" y="1019175"/>
                            <a:ext cx="0" cy="86677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s:wsp>
                        <wps:cNvPr id="4" name="Line 90"/>
                        <wps:cNvCnPr>
                          <a:cxnSpLocks noChangeShapeType="1"/>
                        </wps:cNvCnPr>
                        <wps:spPr bwMode="auto">
                          <a:xfrm>
                            <a:off x="4709795" y="1209040"/>
                            <a:ext cx="0" cy="189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5" name="Group 92"/>
                        <wpg:cNvGrpSpPr>
                          <a:grpSpLocks/>
                        </wpg:cNvGrpSpPr>
                        <wpg:grpSpPr bwMode="auto">
                          <a:xfrm>
                            <a:off x="1659890" y="560705"/>
                            <a:ext cx="3049905" cy="701040"/>
                            <a:chOff x="2064" y="527"/>
                            <a:chExt cx="2714" cy="624"/>
                          </a:xfrm>
                        </wpg:grpSpPr>
                        <wps:wsp>
                          <wps:cNvPr id="7" name="Line 93"/>
                          <wps:cNvCnPr>
                            <a:cxnSpLocks noChangeShapeType="1"/>
                          </wps:cNvCnPr>
                          <wps:spPr bwMode="auto">
                            <a:xfrm>
                              <a:off x="4778" y="674"/>
                              <a:ext cx="0" cy="226"/>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8" name="Line 94"/>
                          <wps:cNvCnPr>
                            <a:cxnSpLocks noChangeShapeType="1"/>
                          </wps:cNvCnPr>
                          <wps:spPr bwMode="auto">
                            <a:xfrm>
                              <a:off x="2594" y="925"/>
                              <a:ext cx="0" cy="22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 name="Line 95"/>
                          <wps:cNvCnPr>
                            <a:cxnSpLocks noChangeShapeType="1"/>
                          </wps:cNvCnPr>
                          <wps:spPr bwMode="auto">
                            <a:xfrm>
                              <a:off x="3393" y="899"/>
                              <a:ext cx="943" cy="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0" name="Line 96"/>
                          <wps:cNvCnPr>
                            <a:cxnSpLocks noChangeShapeType="1"/>
                          </wps:cNvCnPr>
                          <wps:spPr bwMode="auto">
                            <a:xfrm>
                              <a:off x="3405" y="646"/>
                              <a:ext cx="325" cy="0"/>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11" name="Line 97"/>
                          <wps:cNvCnPr>
                            <a:cxnSpLocks noChangeShapeType="1"/>
                          </wps:cNvCnPr>
                          <wps:spPr bwMode="auto">
                            <a:xfrm>
                              <a:off x="2064" y="527"/>
                              <a:ext cx="0" cy="91"/>
                            </a:xfrm>
                            <a:prstGeom prst="line">
                              <a:avLst/>
                            </a:prstGeom>
                            <a:noFill/>
                            <a:ln w="19050">
                              <a:solidFill>
                                <a:srgbClr val="000066"/>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g:wgp>
                      <wps:wsp>
                        <wps:cNvPr id="12" name="Line 99"/>
                        <wps:cNvCnPr>
                          <a:cxnSpLocks noChangeShapeType="1"/>
                        </wps:cNvCnPr>
                        <wps:spPr bwMode="auto">
                          <a:xfrm>
                            <a:off x="2626360" y="1631315"/>
                            <a:ext cx="635" cy="26727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3" name="Line 100"/>
                        <wps:cNvCnPr>
                          <a:cxnSpLocks noChangeShapeType="1"/>
                        </wps:cNvCnPr>
                        <wps:spPr bwMode="auto">
                          <a:xfrm>
                            <a:off x="3166745" y="1612265"/>
                            <a:ext cx="1059815" cy="0"/>
                          </a:xfrm>
                          <a:prstGeom prst="line">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14" name="Line 101"/>
                        <wps:cNvCnPr>
                          <a:cxnSpLocks noChangeShapeType="1"/>
                        </wps:cNvCnPr>
                        <wps:spPr bwMode="auto">
                          <a:xfrm>
                            <a:off x="3168015" y="268668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5" name="Line 102"/>
                        <wps:cNvCnPr>
                          <a:cxnSpLocks noChangeShapeType="1"/>
                        </wps:cNvCnPr>
                        <wps:spPr bwMode="auto">
                          <a:xfrm>
                            <a:off x="3166745" y="2082165"/>
                            <a:ext cx="14249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6" name="Line 103"/>
                        <wps:cNvCnPr>
                          <a:cxnSpLocks noChangeShapeType="1"/>
                        </wps:cNvCnPr>
                        <wps:spPr bwMode="auto">
                          <a:xfrm>
                            <a:off x="4587875" y="1880870"/>
                            <a:ext cx="0" cy="1618615"/>
                          </a:xfrm>
                          <a:prstGeom prst="line">
                            <a:avLst/>
                          </a:prstGeom>
                          <a:noFill/>
                          <a:ln w="1905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17" name="Line 104"/>
                        <wps:cNvCnPr>
                          <a:cxnSpLocks noChangeShapeType="1"/>
                        </wps:cNvCnPr>
                        <wps:spPr bwMode="auto">
                          <a:xfrm>
                            <a:off x="3168015" y="322516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8" name="Line 105"/>
                        <wps:cNvCnPr>
                          <a:cxnSpLocks noChangeShapeType="1"/>
                        </wps:cNvCnPr>
                        <wps:spPr bwMode="auto">
                          <a:xfrm>
                            <a:off x="2526030" y="2217420"/>
                            <a:ext cx="635" cy="20885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9" name="Line 106"/>
                        <wps:cNvCnPr>
                          <a:cxnSpLocks noChangeShapeType="1"/>
                        </wps:cNvCnPr>
                        <wps:spPr bwMode="auto">
                          <a:xfrm>
                            <a:off x="2423160" y="2849880"/>
                            <a:ext cx="635" cy="146812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g:wgp>
                        <wpg:cNvPr id="20" name="Group 150"/>
                        <wpg:cNvGrpSpPr>
                          <a:grpSpLocks/>
                        </wpg:cNvGrpSpPr>
                        <wpg:grpSpPr bwMode="auto">
                          <a:xfrm>
                            <a:off x="0" y="0"/>
                            <a:ext cx="5278120" cy="4648835"/>
                            <a:chOff x="1827" y="7928"/>
                            <a:chExt cx="8312" cy="7321"/>
                          </a:xfrm>
                        </wpg:grpSpPr>
                        <wps:wsp>
                          <wps:cNvPr id="21" name="Rectangle 108"/>
                          <wps:cNvSpPr>
                            <a:spLocks noChangeArrowheads="1"/>
                          </wps:cNvSpPr>
                          <wps:spPr bwMode="auto">
                            <a:xfrm>
                              <a:off x="2772" y="10429"/>
                              <a:ext cx="883" cy="573"/>
                            </a:xfrm>
                            <a:prstGeom prst="rect">
                              <a:avLst/>
                            </a:prstGeom>
                            <a:solidFill>
                              <a:srgbClr val="FF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58234B54"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5D0DAC0E"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708E8D6B"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wps:txbx>
                          <wps:bodyPr rot="0" vert="horz" wrap="square" lIns="33814" tIns="18034" rIns="33814" bIns="18034" anchor="t" anchorCtr="0" upright="1">
                            <a:noAutofit/>
                          </wps:bodyPr>
                        </wps:wsp>
                        <wps:wsp>
                          <wps:cNvPr id="22" name="Line 109"/>
                          <wps:cNvCnPr>
                            <a:cxnSpLocks noChangeShapeType="1"/>
                          </wps:cNvCnPr>
                          <wps:spPr bwMode="auto">
                            <a:xfrm>
                              <a:off x="2662" y="9701"/>
                              <a:ext cx="1" cy="436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 name="Line 110"/>
                          <wps:cNvCnPr>
                            <a:cxnSpLocks noChangeShapeType="1"/>
                          </wps:cNvCnPr>
                          <wps:spPr bwMode="auto">
                            <a:xfrm>
                              <a:off x="7971" y="9832"/>
                              <a:ext cx="0" cy="363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24" name="Text Box 111"/>
                          <wps:cNvSpPr txBox="1">
                            <a:spLocks noChangeArrowheads="1"/>
                          </wps:cNvSpPr>
                          <wps:spPr bwMode="auto">
                            <a:xfrm>
                              <a:off x="3699" y="14698"/>
                              <a:ext cx="3115" cy="551"/>
                            </a:xfrm>
                            <a:prstGeom prst="rect">
                              <a:avLst/>
                            </a:prstGeom>
                            <a:solidFill>
                              <a:srgbClr val="C0C0C0">
                                <a:alpha val="50000"/>
                              </a:srgbClr>
                            </a:solidFill>
                            <a:ln w="9525">
                              <a:solidFill>
                                <a:srgbClr val="000000"/>
                              </a:solidFill>
                              <a:miter lim="800000"/>
                              <a:headEnd/>
                              <a:tailEnd/>
                            </a:ln>
                          </wps:spPr>
                          <wps:txbx>
                            <w:txbxContent>
                              <w:p w14:paraId="1353F789" w14:textId="77777777"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 </w:t>
                                </w:r>
                              </w:p>
                              <w:p w14:paraId="174BF0A1"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wps:txbx>
                          <wps:bodyPr rot="0" vert="horz" wrap="square" lIns="64922" tIns="12780" rIns="64922" bIns="25560" anchor="t" anchorCtr="0" upright="1">
                            <a:noAutofit/>
                          </wps:bodyPr>
                        </wps:wsp>
                        <wps:wsp>
                          <wps:cNvPr id="25" name="Line 112"/>
                          <wps:cNvCnPr>
                            <a:cxnSpLocks noChangeShapeType="1"/>
                          </wps:cNvCnPr>
                          <wps:spPr bwMode="auto">
                            <a:xfrm>
                              <a:off x="2641" y="10255"/>
                              <a:ext cx="10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113"/>
                          <wps:cNvSpPr>
                            <a:spLocks noChangeArrowheads="1"/>
                          </wps:cNvSpPr>
                          <wps:spPr bwMode="auto">
                            <a:xfrm>
                              <a:off x="1846" y="7928"/>
                              <a:ext cx="8293" cy="501"/>
                            </a:xfrm>
                            <a:prstGeom prst="rect">
                              <a:avLst/>
                            </a:prstGeom>
                            <a:solidFill>
                              <a:srgbClr val="000000"/>
                            </a:solidFill>
                            <a:ln w="508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5AA5618A"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wps:txbx>
                          <wps:bodyPr rot="0" vert="horz" wrap="square" lIns="65373" tIns="32687" rIns="65373" bIns="32687" anchor="ctr" anchorCtr="0" upright="1">
                            <a:noAutofit/>
                          </wps:bodyPr>
                        </wps:wsp>
                        <wps:wsp>
                          <wps:cNvPr id="27" name="Text Box 114"/>
                          <wps:cNvSpPr txBox="1">
                            <a:spLocks noChangeArrowheads="1"/>
                          </wps:cNvSpPr>
                          <wps:spPr bwMode="auto">
                            <a:xfrm>
                              <a:off x="7345" y="8563"/>
                              <a:ext cx="2782" cy="508"/>
                            </a:xfrm>
                            <a:prstGeom prst="rect">
                              <a:avLst/>
                            </a:prstGeom>
                            <a:solidFill>
                              <a:srgbClr val="00FF00"/>
                            </a:solidFill>
                            <a:ln w="9525">
                              <a:solidFill>
                                <a:srgbClr val="000000"/>
                              </a:solidFill>
                              <a:miter lim="800000"/>
                              <a:headEnd/>
                              <a:tailEnd/>
                            </a:ln>
                          </wps:spPr>
                          <wps:txbx>
                            <w:txbxContent>
                              <w:p w14:paraId="13AC9876"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wps:txbx>
                          <wps:bodyPr rot="0" vert="horz" wrap="square" lIns="64922" tIns="12780" rIns="64922" bIns="25560" anchor="t" anchorCtr="0" upright="1">
                            <a:noAutofit/>
                          </wps:bodyPr>
                        </wps:wsp>
                        <wps:wsp>
                          <wps:cNvPr id="28" name="Text Box 115"/>
                          <wps:cNvSpPr txBox="1">
                            <a:spLocks noChangeArrowheads="1"/>
                          </wps:cNvSpPr>
                          <wps:spPr bwMode="auto">
                            <a:xfrm>
                              <a:off x="7568" y="9430"/>
                              <a:ext cx="2472" cy="402"/>
                            </a:xfrm>
                            <a:prstGeom prst="rect">
                              <a:avLst/>
                            </a:prstGeom>
                            <a:solidFill>
                              <a:srgbClr val="FF0000"/>
                            </a:solidFill>
                            <a:ln w="9525">
                              <a:solidFill>
                                <a:srgbClr val="000000"/>
                              </a:solidFill>
                              <a:miter lim="800000"/>
                              <a:headEnd/>
                              <a:tailEnd/>
                            </a:ln>
                          </wps:spPr>
                          <wps:txbx>
                            <w:txbxContent>
                              <w:p w14:paraId="3DF7F8D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wps:txbx>
                          <wps:bodyPr rot="0" vert="horz" wrap="square" lIns="64922" tIns="12780" rIns="64922" bIns="25560" anchor="t" anchorCtr="0" upright="1">
                            <a:noAutofit/>
                          </wps:bodyPr>
                        </wps:wsp>
                        <wps:wsp>
                          <wps:cNvPr id="29" name="Text Box 116"/>
                          <wps:cNvSpPr txBox="1">
                            <a:spLocks noChangeArrowheads="1"/>
                          </wps:cNvSpPr>
                          <wps:spPr bwMode="auto">
                            <a:xfrm>
                              <a:off x="1846" y="8986"/>
                              <a:ext cx="1545" cy="740"/>
                            </a:xfrm>
                            <a:prstGeom prst="rect">
                              <a:avLst/>
                            </a:prstGeom>
                            <a:solidFill>
                              <a:srgbClr val="C0C0C0">
                                <a:alpha val="50000"/>
                              </a:srgbClr>
                            </a:solidFill>
                            <a:ln w="9525">
                              <a:solidFill>
                                <a:srgbClr val="000000"/>
                              </a:solidFill>
                              <a:miter lim="800000"/>
                              <a:headEnd/>
                              <a:tailEnd/>
                            </a:ln>
                          </wps:spPr>
                          <wps:txbx>
                            <w:txbxContent>
                              <w:p w14:paraId="46457735" w14:textId="77777777" w:rsidR="00BB5CD0" w:rsidRPr="00153EF7" w:rsidRDefault="00BB5CD0" w:rsidP="00BB5CD0">
                                <w:pPr>
                                  <w:autoSpaceDE w:val="0"/>
                                  <w:autoSpaceDN w:val="0"/>
                                  <w:adjustRightInd w:val="0"/>
                                  <w:jc w:val="center"/>
                                  <w:rPr>
                                    <w:b/>
                                    <w:bCs/>
                                    <w:color w:val="000000"/>
                                    <w:sz w:val="17"/>
                                  </w:rPr>
                                </w:pPr>
                                <w:r w:rsidRPr="00153EF7">
                                  <w:rPr>
                                    <w:b/>
                                    <w:bCs/>
                                    <w:color w:val="000000"/>
                                    <w:sz w:val="17"/>
                                  </w:rPr>
                                  <w:t>STRUCK OUT</w:t>
                                </w:r>
                              </w:p>
                              <w:p w14:paraId="71FB11C7"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47E60437"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wps:txbx>
                          <wps:bodyPr rot="0" vert="horz" wrap="square" lIns="64922" tIns="12780" rIns="64922" bIns="25560" anchor="t" anchorCtr="0" upright="1">
                            <a:noAutofit/>
                          </wps:bodyPr>
                        </wps:wsp>
                        <wps:wsp>
                          <wps:cNvPr id="30" name="Text Box 117"/>
                          <wps:cNvSpPr txBox="1">
                            <a:spLocks noChangeArrowheads="1"/>
                          </wps:cNvSpPr>
                          <wps:spPr bwMode="auto">
                            <a:xfrm>
                              <a:off x="8470" y="10105"/>
                              <a:ext cx="1568" cy="785"/>
                            </a:xfrm>
                            <a:prstGeom prst="rect">
                              <a:avLst/>
                            </a:prstGeom>
                            <a:solidFill>
                              <a:srgbClr val="FF00FF"/>
                            </a:solidFill>
                            <a:ln w="9525">
                              <a:solidFill>
                                <a:srgbClr val="000000"/>
                              </a:solidFill>
                              <a:miter lim="800000"/>
                              <a:headEnd/>
                              <a:tailEnd/>
                            </a:ln>
                          </wps:spPr>
                          <wps:txbx>
                            <w:txbxContent>
                              <w:p w14:paraId="5525B971"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234801A3"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wps:txbx>
                          <wps:bodyPr rot="0" vert="horz" wrap="square" lIns="64922" tIns="12780" rIns="64922" bIns="25560" anchor="t" anchorCtr="0" upright="1">
                            <a:noAutofit/>
                          </wps:bodyPr>
                        </wps:wsp>
                        <wps:wsp>
                          <wps:cNvPr id="31" name="Line 118"/>
                          <wps:cNvCnPr>
                            <a:cxnSpLocks noChangeShapeType="1"/>
                          </wps:cNvCnPr>
                          <wps:spPr bwMode="auto">
                            <a:xfrm>
                              <a:off x="2641" y="12159"/>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 name="Line 119"/>
                          <wps:cNvCnPr>
                            <a:cxnSpLocks noChangeShapeType="1"/>
                          </wps:cNvCnPr>
                          <wps:spPr bwMode="auto">
                            <a:xfrm>
                              <a:off x="2641" y="11207"/>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Text Box 120"/>
                          <wps:cNvSpPr txBox="1">
                            <a:spLocks noChangeArrowheads="1"/>
                          </wps:cNvSpPr>
                          <wps:spPr bwMode="auto">
                            <a:xfrm>
                              <a:off x="7237" y="13430"/>
                              <a:ext cx="2780" cy="867"/>
                            </a:xfrm>
                            <a:prstGeom prst="rect">
                              <a:avLst/>
                            </a:prstGeom>
                            <a:solidFill>
                              <a:srgbClr val="000080"/>
                            </a:solidFill>
                            <a:ln w="9525">
                              <a:solidFill>
                                <a:srgbClr val="000000"/>
                              </a:solidFill>
                              <a:miter lim="800000"/>
                              <a:headEnd/>
                              <a:tailEnd/>
                            </a:ln>
                          </wps:spPr>
                          <wps:txbx>
                            <w:txbxContent>
                              <w:p w14:paraId="1AA8E76D"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wps:txbx>
                          <wps:bodyPr rot="0" vert="horz" wrap="square" lIns="64922" tIns="12780" rIns="64922" bIns="25560" anchor="t" anchorCtr="0" upright="1">
                            <a:noAutofit/>
                          </wps:bodyPr>
                        </wps:wsp>
                        <wps:wsp>
                          <wps:cNvPr id="34" name="Line 121"/>
                          <wps:cNvCnPr>
                            <a:cxnSpLocks noChangeShapeType="1"/>
                          </wps:cNvCnPr>
                          <wps:spPr bwMode="auto">
                            <a:xfrm>
                              <a:off x="9574" y="10844"/>
                              <a:ext cx="0" cy="259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35" name="Text Box 122"/>
                          <wps:cNvSpPr txBox="1">
                            <a:spLocks noChangeArrowheads="1"/>
                          </wps:cNvSpPr>
                          <wps:spPr bwMode="auto">
                            <a:xfrm>
                              <a:off x="1827" y="8367"/>
                              <a:ext cx="3863" cy="317"/>
                            </a:xfrm>
                            <a:prstGeom prst="rect">
                              <a:avLst/>
                            </a:prstGeom>
                            <a:solidFill>
                              <a:srgbClr val="000000"/>
                            </a:solidFill>
                            <a:ln w="9525">
                              <a:solidFill>
                                <a:srgbClr val="000000"/>
                              </a:solidFill>
                              <a:miter lim="800000"/>
                              <a:headEnd/>
                              <a:tailEnd/>
                            </a:ln>
                          </wps:spPr>
                          <wps:txbx>
                            <w:txbxContent>
                              <w:p w14:paraId="3F2B624A"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wps:txbx>
                          <wps:bodyPr rot="0" vert="horz" wrap="square" lIns="64922" tIns="32461" rIns="64922" bIns="32461" anchor="t" anchorCtr="0" upright="1">
                            <a:noAutofit/>
                          </wps:bodyPr>
                        </wps:wsp>
                        <wps:wsp>
                          <wps:cNvPr id="36" name="Line 125"/>
                          <wps:cNvCnPr>
                            <a:cxnSpLocks noChangeShapeType="1"/>
                          </wps:cNvCnPr>
                          <wps:spPr bwMode="auto">
                            <a:xfrm>
                              <a:off x="5484" y="14467"/>
                              <a:ext cx="1" cy="2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37" name="Line 126"/>
                          <wps:cNvCnPr>
                            <a:cxnSpLocks noChangeShapeType="1"/>
                          </wps:cNvCnPr>
                          <wps:spPr bwMode="auto">
                            <a:xfrm>
                              <a:off x="2643" y="13111"/>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 name="Line 127"/>
                          <wps:cNvCnPr>
                            <a:cxnSpLocks noChangeShapeType="1"/>
                          </wps:cNvCnPr>
                          <wps:spPr bwMode="auto">
                            <a:xfrm>
                              <a:off x="2643" y="14063"/>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Line 128"/>
                          <wps:cNvCnPr>
                            <a:cxnSpLocks noChangeShapeType="1"/>
                          </wps:cNvCnPr>
                          <wps:spPr bwMode="auto">
                            <a:xfrm>
                              <a:off x="3262" y="10255"/>
                              <a:ext cx="0" cy="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Line 129"/>
                          <wps:cNvCnPr>
                            <a:cxnSpLocks noChangeShapeType="1"/>
                          </wps:cNvCnPr>
                          <wps:spPr bwMode="auto">
                            <a:xfrm>
                              <a:off x="3262" y="11051"/>
                              <a:ext cx="0" cy="1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131"/>
                          <wps:cNvSpPr txBox="1">
                            <a:spLocks noChangeArrowheads="1"/>
                          </wps:cNvSpPr>
                          <wps:spPr bwMode="auto">
                            <a:xfrm>
                              <a:off x="3699" y="11842"/>
                              <a:ext cx="3115" cy="551"/>
                            </a:xfrm>
                            <a:prstGeom prst="rect">
                              <a:avLst/>
                            </a:prstGeom>
                            <a:solidFill>
                              <a:srgbClr val="339966"/>
                            </a:solidFill>
                            <a:ln w="9525">
                              <a:solidFill>
                                <a:srgbClr val="000000"/>
                              </a:solidFill>
                              <a:miter lim="800000"/>
                              <a:headEnd/>
                              <a:tailEnd/>
                            </a:ln>
                          </wps:spPr>
                          <wps:txbx>
                            <w:txbxContent>
                              <w:p w14:paraId="3DA59B3C"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wps:txbx>
                          <wps:bodyPr rot="0" vert="horz" wrap="square" lIns="64922" tIns="12780" rIns="64922" bIns="25560" anchor="t" anchorCtr="0" upright="1">
                            <a:noAutofit/>
                          </wps:bodyPr>
                        </wps:wsp>
                        <wps:wsp>
                          <wps:cNvPr id="42" name="Text Box 132"/>
                          <wps:cNvSpPr txBox="1">
                            <a:spLocks noChangeArrowheads="1"/>
                          </wps:cNvSpPr>
                          <wps:spPr bwMode="auto">
                            <a:xfrm>
                              <a:off x="3699" y="10890"/>
                              <a:ext cx="3115" cy="551"/>
                            </a:xfrm>
                            <a:prstGeom prst="rect">
                              <a:avLst/>
                            </a:prstGeom>
                            <a:solidFill>
                              <a:srgbClr val="339966"/>
                            </a:solidFill>
                            <a:ln w="9525">
                              <a:solidFill>
                                <a:srgbClr val="000000"/>
                              </a:solidFill>
                              <a:miter lim="800000"/>
                              <a:headEnd/>
                              <a:tailEnd/>
                            </a:ln>
                          </wps:spPr>
                          <wps:txbx>
                            <w:txbxContent>
                              <w:p w14:paraId="7EF59293"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wps:txbx>
                          <wps:bodyPr rot="0" vert="horz" wrap="square" lIns="64922" tIns="12780" rIns="64922" bIns="25560" anchor="t" anchorCtr="0" upright="1">
                            <a:noAutofit/>
                          </wps:bodyPr>
                        </wps:wsp>
                        <wps:wsp>
                          <wps:cNvPr id="43" name="Text Box 133"/>
                          <wps:cNvSpPr txBox="1">
                            <a:spLocks noChangeArrowheads="1"/>
                          </wps:cNvSpPr>
                          <wps:spPr bwMode="auto">
                            <a:xfrm>
                              <a:off x="3705" y="12795"/>
                              <a:ext cx="3112" cy="550"/>
                            </a:xfrm>
                            <a:prstGeom prst="rect">
                              <a:avLst/>
                            </a:prstGeom>
                            <a:solidFill>
                              <a:srgbClr val="339966"/>
                            </a:solidFill>
                            <a:ln w="9525">
                              <a:solidFill>
                                <a:srgbClr val="000000"/>
                              </a:solidFill>
                              <a:miter lim="800000"/>
                              <a:headEnd/>
                              <a:tailEnd/>
                            </a:ln>
                          </wps:spPr>
                          <wps:txbx>
                            <w:txbxContent>
                              <w:p w14:paraId="11DD8BF1" w14:textId="77777777"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0C49FD" w:rsidRPr="000C49FD">
                                  <w:rPr>
                                    <w:rFonts w:ascii="Arial Narrow" w:hAnsi="Arial Narrow" w:cs="Arial Narrow"/>
                                    <w:b/>
                                    <w:bCs/>
                                    <w:color w:val="FFFFFF"/>
                                    <w:szCs w:val="28"/>
                                  </w:rPr>
                                  <w:t>1</w:t>
                                </w:r>
                                <w:r w:rsidR="000C49FD" w:rsidRPr="000C49FD">
                                  <w:rPr>
                                    <w:rFonts w:ascii="Arial Narrow" w:hAnsi="Arial Narrow" w:cs="Arial Narrow"/>
                                    <w:b/>
                                    <w:bCs/>
                                    <w:color w:val="FFFFFF"/>
                                    <w:szCs w:val="28"/>
                                    <w:vertAlign w:val="superscript"/>
                                  </w:rPr>
                                  <w:t>st</w:t>
                                </w:r>
                                <w:r w:rsidR="000C49FD" w:rsidRPr="000C49FD">
                                  <w:rPr>
                                    <w:rFonts w:ascii="Arial Narrow" w:hAnsi="Arial Narrow" w:cs="Arial Narrow"/>
                                    <w:b/>
                                    <w:bCs/>
                                    <w:color w:val="FFFFFF"/>
                                    <w:szCs w:val="28"/>
                                  </w:rPr>
                                  <w:t xml:space="preserve"> </w:t>
                                </w:r>
                                <w:r w:rsidRPr="000C49FD">
                                  <w:rPr>
                                    <w:rFonts w:ascii="Arial Narrow" w:hAnsi="Arial Narrow" w:cs="Arial Narrow"/>
                                    <w:b/>
                                    <w:bCs/>
                                    <w:color w:val="FFFFFF"/>
                                    <w:szCs w:val="28"/>
                                  </w:rPr>
                                  <w:t>DIRECTIONS HEARING</w:t>
                                </w:r>
                              </w:p>
                            </w:txbxContent>
                          </wps:txbx>
                          <wps:bodyPr rot="0" vert="horz" wrap="square" lIns="64922" tIns="12780" rIns="64922" bIns="25560" anchor="t" anchorCtr="0" upright="1">
                            <a:noAutofit/>
                          </wps:bodyPr>
                        </wps:wsp>
                        <wps:wsp>
                          <wps:cNvPr id="44" name="Text Box 134"/>
                          <wps:cNvSpPr txBox="1">
                            <a:spLocks noChangeArrowheads="1"/>
                          </wps:cNvSpPr>
                          <wps:spPr bwMode="auto">
                            <a:xfrm>
                              <a:off x="3705" y="13747"/>
                              <a:ext cx="3112" cy="550"/>
                            </a:xfrm>
                            <a:prstGeom prst="rect">
                              <a:avLst/>
                            </a:prstGeom>
                            <a:solidFill>
                              <a:srgbClr val="339966"/>
                            </a:solidFill>
                            <a:ln w="9525">
                              <a:solidFill>
                                <a:srgbClr val="000000"/>
                              </a:solidFill>
                              <a:miter lim="800000"/>
                              <a:headEnd/>
                              <a:tailEnd/>
                            </a:ln>
                          </wps:spPr>
                          <wps:txbx>
                            <w:txbxContent>
                              <w:p w14:paraId="058957EB"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00FE87A6"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wps:txbx>
                          <wps:bodyPr rot="0" vert="horz" wrap="square" lIns="64922" tIns="12780" rIns="64922" bIns="25560" anchor="t" anchorCtr="0" upright="1">
                            <a:noAutofit/>
                          </wps:bodyPr>
                        </wps:wsp>
                        <wps:wsp>
                          <wps:cNvPr id="45" name="Text Box 135"/>
                          <wps:cNvSpPr txBox="1">
                            <a:spLocks noChangeArrowheads="1"/>
                          </wps:cNvSpPr>
                          <wps:spPr bwMode="auto">
                            <a:xfrm>
                              <a:off x="3696" y="8961"/>
                              <a:ext cx="1467" cy="538"/>
                            </a:xfrm>
                            <a:prstGeom prst="rect">
                              <a:avLst/>
                            </a:prstGeom>
                            <a:solidFill>
                              <a:srgbClr val="00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76FDC6A0"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wps:txbx>
                          <wps:bodyPr rot="0" vert="horz" wrap="square" lIns="64922" tIns="32461" rIns="64922" bIns="32461" anchor="t" anchorCtr="0" upright="1">
                            <a:noAutofit/>
                          </wps:bodyPr>
                        </wps:wsp>
                        <wps:wsp>
                          <wps:cNvPr id="46" name="Text Box 136"/>
                          <wps:cNvSpPr txBox="1">
                            <a:spLocks noChangeArrowheads="1"/>
                          </wps:cNvSpPr>
                          <wps:spPr bwMode="auto">
                            <a:xfrm>
                              <a:off x="5260" y="8961"/>
                              <a:ext cx="1549" cy="538"/>
                            </a:xfrm>
                            <a:prstGeom prst="rect">
                              <a:avLst/>
                            </a:prstGeom>
                            <a:solidFill>
                              <a:srgbClr val="FF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7865E10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wps:txbx>
                          <wps:bodyPr rot="0" vert="horz" wrap="square" lIns="64922" tIns="32461" rIns="64922" bIns="32461" anchor="t" anchorCtr="0" upright="1">
                            <a:noAutofit/>
                          </wps:bodyPr>
                        </wps:wsp>
                        <wps:wsp>
                          <wps:cNvPr id="47" name="Text Box 137"/>
                          <wps:cNvSpPr txBox="1">
                            <a:spLocks noChangeArrowheads="1"/>
                          </wps:cNvSpPr>
                          <wps:spPr bwMode="auto">
                            <a:xfrm>
                              <a:off x="3699" y="9938"/>
                              <a:ext cx="3115" cy="551"/>
                            </a:xfrm>
                            <a:prstGeom prst="rect">
                              <a:avLst/>
                            </a:prstGeom>
                            <a:solidFill>
                              <a:srgbClr val="339966"/>
                            </a:solidFill>
                            <a:ln w="9525">
                              <a:solidFill>
                                <a:srgbClr val="000000"/>
                              </a:solidFill>
                              <a:miter lim="800000"/>
                              <a:headEnd/>
                              <a:tailEnd/>
                            </a:ln>
                          </wps:spPr>
                          <wps:txbx>
                            <w:txbxContent>
                              <w:p w14:paraId="77FFD298"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3F092E"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wps:txbx>
                          <wps:bodyPr rot="0" vert="horz" wrap="square" lIns="64922" tIns="12780" rIns="64922" bIns="25560" anchor="t" anchorCtr="0" upright="1">
                            <a:noAutofit/>
                          </wps:bodyPr>
                        </wps:wsp>
                      </wpg:wgp>
                    </wpc:wpc>
                  </a:graphicData>
                </a:graphic>
              </wp:inline>
            </w:drawing>
          </mc:Choice>
          <mc:Fallback>
            <w:pict>
              <v:group w14:anchorId="7FC38D55" id="Canvas 139" o:spid="_x0000_s1035" editas="canvas" style="width:415.6pt;height:376.15pt;mso-position-horizontal-relative:char;mso-position-vertical-relative:line" coordsize="52781,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">
                <v:shape id="_x0000_s1036" type="#_x0000_t75" style="position:absolute;width:52781;height:47771;visibility:visible;mso-wrap-style:square">
                  <v:fill o:detectmouseclick="t"/>
                  <v:path o:connecttype="none"/>
                </v:shape>
                <v:line id="Line 74" o:spid="_x0000_s1037"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" strokecolor="navy" strokeweight="1.5pt">
                  <v:stroke startarrow="block"/>
                </v:line>
                <v:line id="Line 75" o:spid="_x0000_s1038"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" strokecolor="teal" strokeweight="1.5pt"/>
                <v:line id="Line 76" o:spid="_x0000_s1039"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" strokeweight="1.5pt">
                  <v:stroke startarrowwidth="narrow" startarrowlength="short" endarrow="block" endarrowwidth="narrow" endarrowlength="short"/>
                  <v:shadow color="#a0a0a0"/>
                </v:line>
                <v:line id="Line 90" o:spid="_x0000_s1040"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" strokeweight="1.5pt">
                  <v:stroke startarrow="block"/>
                </v:line>
                <v:group id="Group 92" o:spid="_x0000_s1041"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93" o:spid="_x0000_s1042"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" strokecolor="lime" strokeweight="1.5pt">
                    <v:stroke startarrow="block"/>
                  </v:line>
                  <v:line id="Line 94" o:spid="_x0000_s1043"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" strokecolor="red" strokeweight="1.5pt">
                    <v:stroke endarrow="block"/>
                  </v:line>
                  <v:line id="Line 95" o:spid="_x0000_s1044"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" strokecolor="red" strokeweight="1.5pt">
                    <v:stroke startarrow="block"/>
                  </v:line>
                  <v:line id="Line 96" o:spid="_x0000_s1045"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" strokecolor="lime" strokeweight="1.5pt">
                    <v:stroke startarrow="block"/>
                  </v:line>
                  <v:line id="Line 97" o:spid="_x0000_s1046"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" strokecolor="#006" strokeweight="1.5pt">
                    <v:stroke startarrowwidth="narrow" startarrowlength="short" endarrow="block" endarrowwidth="narrow" endarrowlength="short"/>
                    <v:shadow color="#a0a0a0"/>
                  </v:line>
                </v:group>
                <v:line id="Line 99" o:spid="_x0000_s1047"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" strokecolor="teal" strokeweight="1.5pt">
                  <v:stroke endarrow="block"/>
                </v:line>
                <v:line id="Line 100" o:spid="_x0000_s1048"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" strokecolor="fuchsia" strokeweight="1.5pt">
                  <v:stroke endarrow="block"/>
                </v:line>
                <v:line id="Line 101" o:spid="_x0000_s1049"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" strokecolor="fuchsia" strokeweight="1.5pt"/>
                <v:line id="Line 102" o:spid="_x0000_s1050"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" strokecolor="fuchsia" strokeweight="1.5pt"/>
                <v:line id="Line 103" o:spid="_x0000_s1051"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" strokecolor="fuchsia" strokeweight="1.5pt">
                  <v:stroke startarrow="block"/>
                </v:line>
                <v:line id="Line 104" o:spid="_x0000_s1052"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" strokecolor="fuchsia" strokeweight="1.5pt"/>
                <v:line id="Line 105" o:spid="_x0000_s1053"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" strokecolor="teal" strokeweight="1.5pt">
                  <v:stroke endarrow="block"/>
                </v:line>
                <v:line id="Line 106" o:spid="_x0000_s1054"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" strokecolor="teal" strokeweight="1.5pt">
                  <v:stroke endarrow="block"/>
                </v:line>
                <v:group id="Group 150" o:spid="_x0000_s1055"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108" o:spid="_x0000_s1056"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" fillcolor="red" strokeweight=".5pt">
                    <v:shadow color="#a0a0a0"/>
                    <v:textbox inset=".93928mm,1.42pt,.93928mm,1.42pt">
                      <w:txbxContent>
                        <w:p w14:paraId="58234B54"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5D0DAC0E"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708E8D6B"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1057"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" strokeweight="1.5pt">
                    <v:stroke startarrow="block"/>
                  </v:line>
                  <v:line id="Line 110" o:spid="_x0000_s1058"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" strokecolor="navy" strokeweight="1.5pt">
                    <v:stroke startarrow="block"/>
                  </v:line>
                  <v:shape id="Text Box 111" o:spid="_x0000_s1059"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" fillcolor="silver">
                    <v:fill opacity="32896f"/>
                    <v:textbox inset="1.80339mm,.355mm,1.80339mm,.71mm">
                      <w:txbxContent>
                        <w:p w14:paraId="1353F789" w14:textId="77777777"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 </w:t>
                          </w:r>
                        </w:p>
                        <w:p w14:paraId="174BF0A1"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1060"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1LwwAAANsAAAAPAAAAZHJzL2Rvd25yZXYueG1sRI9Ba8JA&#10;FITvBf/D8oTe6kZLi0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0D59S8MAAADbAAAADwAA&#10;AAAAAAAAAAAAAAAHAgAAZHJzL2Rvd25yZXYueG1sUEsFBgAAAAADAAMAtwAAAPcCAAAAAA==&#10;" strokeweight="1.5pt"/>
                  <v:rect id="Rectangle 113" o:spid="_x0000_s1061"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" fillcolor="black" strokeweight="4pt">
                    <v:shadow color="#a0a0a0"/>
                    <v:textbox inset="1.81592mm,.90797mm,1.81592mm,.90797mm">
                      <w:txbxContent>
                        <w:p w14:paraId="5AA5618A"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1062"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" fillcolor="lime">
                    <v:textbox inset="1.80339mm,.355mm,1.80339mm,.71mm">
                      <w:txbxContent>
                        <w:p w14:paraId="13AC9876"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1063"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" fillcolor="red">
                    <v:textbox inset="1.80339mm,.355mm,1.80339mm,.71mm">
                      <w:txbxContent>
                        <w:p w14:paraId="3DF7F8D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1064"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" fillcolor="silver">
                    <v:fill opacity="32896f"/>
                    <v:textbox inset="1.80339mm,.355mm,1.80339mm,.71mm">
                      <w:txbxContent>
                        <w:p w14:paraId="46457735" w14:textId="77777777" w:rsidR="00BB5CD0" w:rsidRPr="00153EF7" w:rsidRDefault="00BB5CD0" w:rsidP="00BB5CD0">
                          <w:pPr>
                            <w:autoSpaceDE w:val="0"/>
                            <w:autoSpaceDN w:val="0"/>
                            <w:adjustRightInd w:val="0"/>
                            <w:jc w:val="center"/>
                            <w:rPr>
                              <w:b/>
                              <w:bCs/>
                              <w:color w:val="000000"/>
                              <w:sz w:val="17"/>
                            </w:rPr>
                          </w:pPr>
                          <w:r w:rsidRPr="00153EF7">
                            <w:rPr>
                              <w:b/>
                              <w:bCs/>
                              <w:color w:val="000000"/>
                              <w:sz w:val="17"/>
                            </w:rPr>
                            <w:t>STRUCK OUT</w:t>
                          </w:r>
                        </w:p>
                        <w:p w14:paraId="71FB11C7"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47E60437"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1065"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" fillcolor="fuchsia">
                    <v:textbox inset="1.80339mm,.355mm,1.80339mm,.71mm">
                      <w:txbxContent>
                        <w:p w14:paraId="5525B971"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234801A3"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1066"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" strokeweight="1.5pt">
                    <v:stroke startarrow="block" endarrow="block"/>
                  </v:line>
                  <v:line id="Line 119" o:spid="_x0000_s1067"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" strokeweight="1.5pt">
                    <v:stroke startarrow="block" endarrow="block"/>
                  </v:line>
                  <v:shape id="Text Box 120" o:spid="_x0000_s1068"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" fillcolor="navy">
                    <v:textbox inset="1.80339mm,.355mm,1.80339mm,.71mm">
                      <w:txbxContent>
                        <w:p w14:paraId="1AA8E76D"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1069"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" strokecolor="navy" strokeweight="1.5pt">
                    <v:stroke startarrow="block"/>
                  </v:line>
                  <v:shape id="Text Box 122" o:spid="_x0000_s1070"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" fillcolor="black">
                    <v:textbox inset="1.80339mm,.90169mm,1.80339mm,.90169mm">
                      <w:txbxContent>
                        <w:p w14:paraId="3F2B624A"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1071"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" strokecolor="teal" strokeweight="1.5pt">
                    <v:stroke endarrow="block"/>
                  </v:line>
                  <v:line id="Line 126" o:spid="_x0000_s1072"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" strokeweight="1.5pt">
                    <v:stroke startarrow="block" endarrow="block"/>
                  </v:line>
                  <v:line id="Line 127" o:spid="_x0000_s1073"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" strokeweight="1.5pt">
                    <v:stroke startarrow="block" endarrow="block"/>
                  </v:line>
                  <v:line id="Line 128" o:spid="_x0000_s1074"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" strokeweight="1.5pt"/>
                  <v:line id="Line 129" o:spid="_x0000_s1075"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tzwAAAANsAAAAPAAAAZHJzL2Rvd25yZXYueG1sRE/Pa8Iw&#10;FL4L+x/CG+ym6VRk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HZY7c8AAAADbAAAADwAAAAAA&#10;AAAAAAAAAAAHAgAAZHJzL2Rvd25yZXYueG1sUEsFBgAAAAADAAMAtwAAAPQCAAAAAA==&#10;" strokeweight="1.5pt"/>
                  <v:shape id="Text Box 131" o:spid="_x0000_s1076"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" fillcolor="#396">
                    <v:textbox inset="1.80339mm,.355mm,1.80339mm,.71mm">
                      <w:txbxContent>
                        <w:p w14:paraId="3DA59B3C"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v:textbox>
                  </v:shape>
                  <v:shape id="Text Box 132" o:spid="_x0000_s1077"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" fillcolor="#396">
                    <v:textbox inset="1.80339mm,.355mm,1.80339mm,.71mm">
                      <w:txbxContent>
                        <w:p w14:paraId="7EF59293"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1078"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" fillcolor="#396">
                    <v:textbox inset="1.80339mm,.355mm,1.80339mm,.71mm">
                      <w:txbxContent>
                        <w:p w14:paraId="11DD8BF1" w14:textId="77777777"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0C49FD" w:rsidRPr="000C49FD">
                            <w:rPr>
                              <w:rFonts w:ascii="Arial Narrow" w:hAnsi="Arial Narrow" w:cs="Arial Narrow"/>
                              <w:b/>
                              <w:bCs/>
                              <w:color w:val="FFFFFF"/>
                              <w:szCs w:val="28"/>
                            </w:rPr>
                            <w:t>1</w:t>
                          </w:r>
                          <w:r w:rsidR="000C49FD" w:rsidRPr="000C49FD">
                            <w:rPr>
                              <w:rFonts w:ascii="Arial Narrow" w:hAnsi="Arial Narrow" w:cs="Arial Narrow"/>
                              <w:b/>
                              <w:bCs/>
                              <w:color w:val="FFFFFF"/>
                              <w:szCs w:val="28"/>
                              <w:vertAlign w:val="superscript"/>
                            </w:rPr>
                            <w:t>st</w:t>
                          </w:r>
                          <w:r w:rsidR="000C49FD" w:rsidRPr="000C49FD">
                            <w:rPr>
                              <w:rFonts w:ascii="Arial Narrow" w:hAnsi="Arial Narrow" w:cs="Arial Narrow"/>
                              <w:b/>
                              <w:bCs/>
                              <w:color w:val="FFFFFF"/>
                              <w:szCs w:val="28"/>
                            </w:rPr>
                            <w:t xml:space="preserve"> </w:t>
                          </w:r>
                          <w:r w:rsidRPr="000C49FD">
                            <w:rPr>
                              <w:rFonts w:ascii="Arial Narrow" w:hAnsi="Arial Narrow" w:cs="Arial Narrow"/>
                              <w:b/>
                              <w:bCs/>
                              <w:color w:val="FFFFFF"/>
                              <w:szCs w:val="28"/>
                            </w:rPr>
                            <w:t>DIRECTIONS HEARING</w:t>
                          </w:r>
                        </w:p>
                      </w:txbxContent>
                    </v:textbox>
                  </v:shape>
                  <v:shape id="Text Box 134" o:spid="_x0000_s1079"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" fillcolor="#396">
                    <v:textbox inset="1.80339mm,.355mm,1.80339mm,.71mm">
                      <w:txbxContent>
                        <w:p w14:paraId="058957EB"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00FE87A6"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1080"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" fillcolor="black" strokecolor="white" strokeweight="1.5pt">
                    <v:stroke startarrowwidth="narrow" startarrowlength="short" endarrowwidth="narrow" endarrowlength="short"/>
                    <v:shadow color="#a0a0a0"/>
                    <v:textbox inset="1.80339mm,.90169mm,1.80339mm,.90169mm">
                      <w:txbxContent>
                        <w:p w14:paraId="76FDC6A0"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1081"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" fillcolor="red" strokecolor="white" strokeweight="1.5pt">
                    <v:stroke startarrowwidth="narrow" startarrowlength="short" endarrowwidth="narrow" endarrowlength="short"/>
                    <v:shadow color="#a0a0a0"/>
                    <v:textbox inset="1.80339mm,.90169mm,1.80339mm,.90169mm">
                      <w:txbxContent>
                        <w:p w14:paraId="7865E10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1082"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" fillcolor="#396">
                    <v:textbox inset="1.80339mm,.355mm,1.80339mm,.71mm">
                      <w:txbxContent>
                        <w:p w14:paraId="77FFD298"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3F092E"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w10:anchorlock/>
              </v:group>
            </w:pict>
          </mc:Fallback>
        </mc:AlternateContent>
      </w:r>
    </w:p>
    <w:p w14:paraId="0748024E" w14:textId="77777777" w:rsidR="00693223" w:rsidRPr="00061DAE" w:rsidRDefault="00693223">
      <w:pPr>
        <w:jc w:val="both"/>
        <w:rPr>
          <w:rFonts w:ascii="Arial" w:hAnsi="Arial" w:cs="Arial"/>
          <w:sz w:val="20"/>
          <w:szCs w:val="20"/>
        </w:rPr>
      </w:pPr>
    </w:p>
    <w:p w14:paraId="708D19C3" w14:textId="77777777" w:rsidR="007867B3" w:rsidRDefault="007867B3" w:rsidP="00061DAE">
      <w:pPr>
        <w:keepNext/>
        <w:jc w:val="both"/>
        <w:rPr>
          <w:rFonts w:ascii="Arial" w:hAnsi="Arial" w:cs="Arial"/>
          <w:sz w:val="20"/>
        </w:rPr>
      </w:pPr>
      <w:bookmarkStart w:id="1338" w:name="_Toc30649421"/>
      <w:bookmarkStart w:id="1339" w:name="_Toc30649746"/>
      <w:bookmarkStart w:id="1340" w:name="_Toc30651686"/>
      <w:bookmarkStart w:id="1341" w:name="_Toc30652676"/>
      <w:bookmarkStart w:id="1342" w:name="_Toc30652772"/>
      <w:bookmarkStart w:id="1343" w:name="_Toc30654122"/>
      <w:bookmarkStart w:id="1344" w:name="_Toc30654473"/>
      <w:bookmarkStart w:id="1345" w:name="_Toc30655092"/>
      <w:bookmarkStart w:id="1346" w:name="_Toc30655349"/>
      <w:bookmarkStart w:id="1347" w:name="_Toc30657027"/>
      <w:bookmarkStart w:id="1348" w:name="_Toc30661776"/>
      <w:bookmarkStart w:id="1349" w:name="_Toc30666464"/>
      <w:bookmarkStart w:id="1350" w:name="_Toc30666694"/>
      <w:bookmarkStart w:id="1351" w:name="_Toc30667869"/>
      <w:bookmarkStart w:id="1352" w:name="_Toc30669247"/>
      <w:bookmarkStart w:id="1353" w:name="_Toc30671463"/>
      <w:bookmarkStart w:id="1354" w:name="_Toc30673990"/>
      <w:bookmarkStart w:id="1355" w:name="_Toc30691212"/>
      <w:bookmarkStart w:id="1356" w:name="_Toc30691585"/>
      <w:bookmarkStart w:id="1357" w:name="_Toc30691965"/>
      <w:bookmarkStart w:id="1358" w:name="_Toc30692724"/>
      <w:bookmarkStart w:id="1359" w:name="_Toc30693103"/>
      <w:bookmarkStart w:id="1360" w:name="_Toc30693481"/>
      <w:bookmarkStart w:id="1361" w:name="_Toc30693859"/>
      <w:bookmarkStart w:id="1362" w:name="_Toc30694240"/>
      <w:bookmarkStart w:id="1363" w:name="_Toc30698829"/>
      <w:bookmarkStart w:id="1364" w:name="_Toc30699207"/>
      <w:bookmarkStart w:id="1365" w:name="_Toc30699592"/>
      <w:bookmarkStart w:id="1366" w:name="_Toc30700747"/>
      <w:bookmarkStart w:id="1367" w:name="_Toc30701134"/>
      <w:bookmarkStart w:id="1368" w:name="_Toc30743743"/>
      <w:bookmarkStart w:id="1369" w:name="_Toc30754566"/>
      <w:bookmarkStart w:id="1370" w:name="_Toc30757006"/>
      <w:bookmarkStart w:id="1371" w:name="_Toc30757555"/>
      <w:bookmarkStart w:id="1372" w:name="_Toc30757955"/>
      <w:bookmarkStart w:id="1373" w:name="_Toc30762716"/>
      <w:bookmarkStart w:id="1374" w:name="_Toc30767370"/>
      <w:bookmarkStart w:id="1375" w:name="_Toc34823385"/>
      <w:r>
        <w:rPr>
          <w:rFonts w:ascii="Arial" w:hAnsi="Arial" w:cs="Arial"/>
          <w:sz w:val="20"/>
        </w:rPr>
        <w:lastRenderedPageBreak/>
        <w:t>The Secretary or his or her delegate, in the capacity of being a party to any proceeding in the Family Division, whether as a protective intervener or otherwise, may appear-</w:t>
      </w:r>
    </w:p>
    <w:p w14:paraId="70224D37" w14:textId="77777777" w:rsidR="007867B3" w:rsidRDefault="007867B3" w:rsidP="007867B3">
      <w:pPr>
        <w:keepNext/>
        <w:keepLines/>
        <w:jc w:val="both"/>
        <w:rPr>
          <w:rFonts w:ascii="Arial" w:hAnsi="Arial" w:cs="Arial"/>
          <w:sz w:val="20"/>
        </w:rPr>
      </w:pPr>
      <w:r>
        <w:rPr>
          <w:rFonts w:ascii="Arial" w:hAnsi="Arial" w:cs="Arial"/>
          <w:sz w:val="20"/>
        </w:rPr>
        <w:t>(a)</w:t>
      </w:r>
      <w:r>
        <w:rPr>
          <w:rFonts w:ascii="Arial" w:hAnsi="Arial" w:cs="Arial"/>
          <w:sz w:val="20"/>
        </w:rPr>
        <w:tab/>
        <w:t>personally; or</w:t>
      </w:r>
    </w:p>
    <w:p w14:paraId="6EF92F17"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689065C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069DC789"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comprised of legal practitioners and authorized 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6DFC7B61" w14:textId="77777777" w:rsidR="007867B3" w:rsidRPr="00801CD5" w:rsidRDefault="007867B3" w:rsidP="00287157">
      <w:pPr>
        <w:pStyle w:val="Heading3"/>
        <w:keepNext/>
        <w:keepLines/>
        <w:spacing w:after="60" w:line="240" w:lineRule="auto"/>
        <w:rPr>
          <w:rFonts w:ascii="Arial" w:hAnsi="Arial" w:cs="Arial"/>
          <w:b/>
          <w:bCs/>
          <w:color w:val="000000"/>
          <w:sz w:val="20"/>
        </w:rPr>
      </w:pPr>
    </w:p>
    <w:p w14:paraId="0A162350"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76" w:name="_4.9.1_Apprehension_–"/>
      <w:bookmarkStart w:id="1377" w:name="B491"/>
      <w:bookmarkEnd w:id="1376"/>
      <w:bookmarkEnd w:id="1377"/>
      <w:r w:rsidRPr="00801CD5">
        <w:rPr>
          <w:rFonts w:ascii="Arial" w:hAnsi="Arial" w:cs="Arial"/>
          <w:b/>
          <w:bCs/>
          <w:color w:val="000000"/>
          <w:sz w:val="20"/>
        </w:rPr>
        <w:t>4.9.</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0E557D45"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00B3854E" w14:textId="77777777" w:rsidR="005B49DC" w:rsidRDefault="005B49DC" w:rsidP="00FC40FC">
      <w:pPr>
        <w:jc w:val="both"/>
        <w:rPr>
          <w:rFonts w:ascii="Arial" w:hAnsi="Arial" w:cs="Arial"/>
          <w:sz w:val="20"/>
        </w:rPr>
      </w:pPr>
    </w:p>
    <w:p w14:paraId="020DAE86"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61ECEC19"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592A60DE"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49D317D0"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4245675F" w14:textId="77777777" w:rsidR="00D84018" w:rsidRDefault="00D84018" w:rsidP="00FC40FC">
      <w:pPr>
        <w:jc w:val="both"/>
        <w:rPr>
          <w:rFonts w:ascii="Arial" w:hAnsi="Arial" w:cs="Arial"/>
          <w:sz w:val="20"/>
        </w:rPr>
      </w:pPr>
    </w:p>
    <w:p w14:paraId="7B9B750F" w14:textId="77777777" w:rsidR="005B49DC" w:rsidRDefault="00A743CB" w:rsidP="00FC40FC">
      <w:pPr>
        <w:jc w:val="both"/>
        <w:rPr>
          <w:rFonts w:ascii="Arial" w:hAnsi="Arial" w:cs="Arial"/>
          <w:sz w:val="20"/>
        </w:rPr>
      </w:pPr>
      <w:r>
        <w:rPr>
          <w:rFonts w:ascii="Arial" w:hAnsi="Arial" w:cs="Arial"/>
          <w:sz w:val="20"/>
        </w:rPr>
        <w:t>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15E6C094" w14:textId="77777777" w:rsidR="00E3559F" w:rsidRDefault="00E3559F" w:rsidP="00FC40FC">
      <w:pPr>
        <w:jc w:val="both"/>
        <w:rPr>
          <w:rFonts w:ascii="Arial" w:hAnsi="Arial" w:cs="Arial"/>
          <w:sz w:val="20"/>
        </w:rPr>
      </w:pPr>
    </w:p>
    <w:p w14:paraId="5076B89E" w14:textId="77777777"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the judgments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P v RM &amp; Ors</w:t>
      </w:r>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759570D8"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0116FA72"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9929126" w14:textId="77777777" w:rsidR="00693223" w:rsidRDefault="00693223">
      <w:pPr>
        <w:ind w:left="363" w:hanging="363"/>
        <w:jc w:val="both"/>
        <w:rPr>
          <w:rFonts w:ascii="Arial" w:hAnsi="Arial" w:cs="Arial"/>
          <w:b/>
          <w:bCs/>
          <w:sz w:val="20"/>
        </w:rPr>
      </w:pPr>
      <w:bookmarkStart w:id="1378" w:name="_Toc30649422"/>
      <w:bookmarkStart w:id="1379" w:name="_Toc30649747"/>
      <w:bookmarkStart w:id="1380" w:name="_Toc30651687"/>
      <w:bookmarkStart w:id="1381" w:name="_Toc30652677"/>
      <w:bookmarkStart w:id="1382" w:name="_Toc30652773"/>
      <w:bookmarkStart w:id="1383" w:name="_Toc30654123"/>
      <w:bookmarkStart w:id="1384" w:name="_Toc30654474"/>
      <w:bookmarkStart w:id="1385" w:name="_Toc30655093"/>
      <w:bookmarkStart w:id="1386" w:name="_Toc30655350"/>
      <w:bookmarkStart w:id="1387" w:name="_Toc30657028"/>
      <w:bookmarkStart w:id="1388" w:name="_Toc30661777"/>
      <w:bookmarkStart w:id="1389" w:name="_Toc30666465"/>
      <w:bookmarkStart w:id="1390" w:name="_Toc30666695"/>
      <w:bookmarkStart w:id="1391" w:name="_Toc30667870"/>
      <w:bookmarkStart w:id="1392" w:name="_Toc30669248"/>
      <w:bookmarkStart w:id="1393" w:name="_Toc30671464"/>
      <w:bookmarkStart w:id="1394" w:name="_Toc30673991"/>
      <w:bookmarkStart w:id="1395" w:name="_Toc30691213"/>
      <w:bookmarkStart w:id="1396" w:name="_Toc30691586"/>
      <w:bookmarkStart w:id="1397" w:name="_Toc30691966"/>
      <w:bookmarkStart w:id="1398" w:name="_Toc30692725"/>
      <w:bookmarkStart w:id="1399" w:name="_Toc30693104"/>
      <w:bookmarkStart w:id="1400" w:name="_Toc30693482"/>
      <w:bookmarkStart w:id="1401" w:name="_Toc30693860"/>
      <w:bookmarkStart w:id="1402" w:name="_Toc30694241"/>
      <w:bookmarkStart w:id="1403" w:name="_Toc30698830"/>
      <w:bookmarkStart w:id="1404" w:name="_Toc30699208"/>
      <w:bookmarkStart w:id="1405" w:name="_Toc30699593"/>
      <w:bookmarkStart w:id="1406" w:name="_Toc30700748"/>
      <w:bookmarkStart w:id="1407" w:name="_Toc30701135"/>
      <w:bookmarkStart w:id="1408" w:name="_Toc30743744"/>
      <w:bookmarkStart w:id="1409" w:name="_Toc30754567"/>
      <w:bookmarkStart w:id="1410" w:name="_Toc30757007"/>
      <w:bookmarkStart w:id="1411" w:name="_Toc30757556"/>
      <w:bookmarkStart w:id="1412" w:name="_Toc30757956"/>
      <w:bookmarkStart w:id="1413" w:name="_Toc30762717"/>
      <w:bookmarkStart w:id="1414" w:name="_Toc30767371"/>
      <w:bookmarkStart w:id="1415" w:name="_Toc34823386"/>
    </w:p>
    <w:p w14:paraId="36D73F50" w14:textId="77777777" w:rsidR="00693223" w:rsidRDefault="00693223">
      <w:pPr>
        <w:pStyle w:val="Heading3"/>
        <w:spacing w:after="60" w:line="240" w:lineRule="auto"/>
        <w:rPr>
          <w:rFonts w:ascii="Arial" w:hAnsi="Arial" w:cs="Arial"/>
          <w:b/>
          <w:bCs/>
          <w:sz w:val="16"/>
        </w:rPr>
      </w:pPr>
      <w:bookmarkStart w:id="1416" w:name="_4.9.2_Mention"/>
      <w:bookmarkStart w:id="1417" w:name="B492"/>
      <w:bookmarkEnd w:id="1416"/>
      <w:bookmarkEnd w:id="1417"/>
      <w:r>
        <w:rPr>
          <w:rFonts w:ascii="Arial" w:hAnsi="Arial" w:cs="Arial"/>
          <w:b/>
          <w:bCs/>
          <w:sz w:val="20"/>
        </w:rPr>
        <w:t>4.9.2</w:t>
      </w:r>
      <w:r>
        <w:rPr>
          <w:rFonts w:ascii="Arial" w:hAnsi="Arial" w:cs="Arial"/>
          <w:b/>
          <w:bCs/>
          <w:sz w:val="20"/>
        </w:rPr>
        <w:tab/>
        <w:t>Mention</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7AA4C390" w14:textId="77777777" w:rsidR="00693223"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Although a proportion of cases are completed at a mention hearing by the parties consenting to or not opposing Court orders, it is more common for cases to be adjourned for "further mention" or for </w:t>
      </w:r>
      <w:r w:rsidR="000E0F91">
        <w:rPr>
          <w:rFonts w:ascii="Arial" w:hAnsi="Arial" w:cs="Arial"/>
          <w:sz w:val="20"/>
        </w:rPr>
        <w:t>a conciliation</w:t>
      </w:r>
      <w:r>
        <w:rPr>
          <w:rFonts w:ascii="Arial" w:hAnsi="Arial" w:cs="Arial"/>
          <w:sz w:val="20"/>
        </w:rPr>
        <w:t xml:space="preserve"> conference.</w:t>
      </w:r>
    </w:p>
    <w:p w14:paraId="1DEF73E9" w14:textId="77777777" w:rsidR="00693223" w:rsidRDefault="00693223">
      <w:pPr>
        <w:ind w:left="363" w:hanging="363"/>
        <w:jc w:val="both"/>
        <w:rPr>
          <w:rFonts w:ascii="Arial" w:hAnsi="Arial" w:cs="Arial"/>
          <w:b/>
          <w:bCs/>
          <w:sz w:val="20"/>
        </w:rPr>
      </w:pPr>
      <w:bookmarkStart w:id="1418" w:name="_Toc30651688"/>
      <w:bookmarkStart w:id="1419" w:name="_Toc30652678"/>
      <w:bookmarkStart w:id="1420" w:name="_Toc30652774"/>
      <w:bookmarkStart w:id="1421" w:name="_Toc30654124"/>
      <w:bookmarkStart w:id="1422" w:name="_Toc30654475"/>
      <w:bookmarkStart w:id="1423" w:name="_Toc30655094"/>
      <w:bookmarkStart w:id="1424" w:name="_Toc30655351"/>
      <w:bookmarkStart w:id="1425" w:name="_Toc30657029"/>
      <w:bookmarkStart w:id="1426" w:name="_Toc30661778"/>
      <w:bookmarkStart w:id="1427" w:name="_Toc30666466"/>
      <w:bookmarkStart w:id="1428" w:name="_Toc30666696"/>
      <w:bookmarkStart w:id="1429" w:name="_Toc30667871"/>
      <w:bookmarkStart w:id="1430" w:name="_Toc30669249"/>
      <w:bookmarkStart w:id="1431" w:name="_Toc30671465"/>
      <w:bookmarkStart w:id="1432" w:name="_Toc30673992"/>
      <w:bookmarkStart w:id="1433" w:name="_Toc30691214"/>
      <w:bookmarkStart w:id="1434" w:name="_Toc30691587"/>
      <w:bookmarkStart w:id="1435" w:name="_Toc30691967"/>
      <w:bookmarkStart w:id="1436" w:name="_Toc30692726"/>
      <w:bookmarkStart w:id="1437" w:name="_Toc30693105"/>
      <w:bookmarkStart w:id="1438" w:name="_Toc30693483"/>
      <w:bookmarkStart w:id="1439" w:name="_Toc30693861"/>
      <w:bookmarkStart w:id="1440" w:name="_Toc30694242"/>
      <w:bookmarkStart w:id="1441" w:name="_Toc30698831"/>
      <w:bookmarkStart w:id="1442" w:name="_Toc30699209"/>
      <w:bookmarkStart w:id="1443" w:name="_Toc30699594"/>
      <w:bookmarkStart w:id="1444" w:name="_Toc30700749"/>
      <w:bookmarkStart w:id="1445" w:name="_Toc30701136"/>
      <w:bookmarkStart w:id="1446" w:name="_Toc30743745"/>
      <w:bookmarkStart w:id="1447" w:name="_Toc30754568"/>
      <w:bookmarkStart w:id="1448" w:name="_Toc30757008"/>
      <w:bookmarkStart w:id="1449" w:name="_Toc30757557"/>
      <w:bookmarkStart w:id="1450" w:name="_Toc30757957"/>
      <w:bookmarkStart w:id="1451" w:name="_Toc30762718"/>
      <w:bookmarkStart w:id="1452" w:name="_Toc30767372"/>
      <w:bookmarkStart w:id="1453" w:name="_Toc34823387"/>
    </w:p>
    <w:p w14:paraId="063E6A38" w14:textId="77777777" w:rsidR="00693223" w:rsidRPr="00801CD5" w:rsidRDefault="00693223" w:rsidP="007867B3">
      <w:pPr>
        <w:pStyle w:val="Heading3"/>
        <w:keepNext/>
        <w:spacing w:line="240" w:lineRule="auto"/>
        <w:rPr>
          <w:rFonts w:ascii="Arial" w:hAnsi="Arial" w:cs="Arial"/>
          <w:b/>
          <w:bCs/>
          <w:color w:val="000000"/>
          <w:sz w:val="20"/>
        </w:rPr>
      </w:pPr>
      <w:bookmarkStart w:id="1454" w:name="_4.9.3_Conciliation"/>
      <w:bookmarkStart w:id="1455" w:name="B493"/>
      <w:bookmarkEnd w:id="1454"/>
      <w:bookmarkEnd w:id="1455"/>
      <w:r w:rsidRPr="00785E1A">
        <w:rPr>
          <w:rFonts w:ascii="Arial" w:hAnsi="Arial" w:cs="Arial"/>
          <w:b/>
          <w:bCs/>
          <w:color w:val="000000"/>
          <w:sz w:val="20"/>
        </w:rPr>
        <w:lastRenderedPageBreak/>
        <w:t>4.9.3</w:t>
      </w:r>
      <w:r w:rsidRPr="00801CD5">
        <w:rPr>
          <w:rFonts w:ascii="Arial" w:hAnsi="Arial" w:cs="Arial"/>
          <w:b/>
          <w:bCs/>
          <w:color w:val="000000"/>
          <w:sz w:val="20"/>
        </w:rPr>
        <w:tab/>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00484481" w:rsidRPr="00801CD5">
        <w:rPr>
          <w:rFonts w:ascii="Arial" w:hAnsi="Arial" w:cs="Arial"/>
          <w:b/>
          <w:bCs/>
          <w:color w:val="000000"/>
          <w:sz w:val="20"/>
        </w:rPr>
        <w:t>Conciliation</w:t>
      </w:r>
    </w:p>
    <w:p w14:paraId="237D9F24"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If a </w:t>
      </w:r>
      <w:r w:rsidR="007C7752" w:rsidRPr="00785E1A">
        <w:rPr>
          <w:rFonts w:ascii="Arial" w:hAnsi="Arial" w:cs="Arial"/>
          <w:color w:val="000000"/>
          <w:sz w:val="20"/>
        </w:rPr>
        <w:t>Family Division</w:t>
      </w:r>
      <w:r w:rsidRPr="00785E1A">
        <w:rPr>
          <w:rFonts w:ascii="Arial" w:hAnsi="Arial" w:cs="Arial"/>
          <w:color w:val="000000"/>
          <w:sz w:val="20"/>
        </w:rPr>
        <w:t xml:space="preserve"> application is unable to be resolved at a "mention" hearing, it is generally adjourned </w:t>
      </w:r>
      <w:r w:rsidR="00AF5500" w:rsidRPr="00785E1A">
        <w:rPr>
          <w:rFonts w:ascii="Arial" w:hAnsi="Arial" w:cs="Arial"/>
          <w:color w:val="000000"/>
          <w:sz w:val="20"/>
        </w:rPr>
        <w:t>and referred to</w:t>
      </w:r>
      <w:r w:rsidRPr="00785E1A">
        <w:rPr>
          <w:rFonts w:ascii="Arial" w:hAnsi="Arial" w:cs="Arial"/>
          <w:color w:val="000000"/>
          <w:sz w:val="20"/>
        </w:rPr>
        <w:t xml:space="preserve"> </w:t>
      </w:r>
      <w:r w:rsidR="009B6762">
        <w:rPr>
          <w:rFonts w:ascii="Arial" w:hAnsi="Arial" w:cs="Arial"/>
          <w:color w:val="000000"/>
          <w:sz w:val="20"/>
        </w:rPr>
        <w:t>Court ordered conciliation</w:t>
      </w:r>
      <w:r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Pr="00785E1A">
        <w:rPr>
          <w:rFonts w:ascii="Arial" w:hAnsi="Arial" w:cs="Arial"/>
          <w:color w:val="000000"/>
          <w:sz w:val="20"/>
        </w:rPr>
        <w:t>.</w:t>
      </w:r>
      <w:r w:rsidR="00450E55" w:rsidRPr="00785E1A">
        <w:rPr>
          <w:rFonts w:ascii="Arial" w:hAnsi="Arial" w:cs="Arial"/>
          <w:color w:val="000000"/>
          <w:sz w:val="20"/>
        </w:rPr>
        <w:t xml:space="preserve">  [These were formerly called “</w:t>
      </w:r>
      <w:r w:rsidR="009B6762">
        <w:rPr>
          <w:rFonts w:ascii="Arial" w:hAnsi="Arial" w:cs="Arial"/>
          <w:color w:val="000000"/>
          <w:sz w:val="20"/>
        </w:rPr>
        <w:t>dispute resolution</w:t>
      </w:r>
      <w:r w:rsidR="00450E55" w:rsidRPr="00785E1A">
        <w:rPr>
          <w:rFonts w:ascii="Arial" w:hAnsi="Arial" w:cs="Arial"/>
          <w:color w:val="000000"/>
          <w:sz w:val="20"/>
        </w:rPr>
        <w:t xml:space="preserve"> conferences”</w:t>
      </w:r>
      <w:r w:rsidR="009B6762">
        <w:rPr>
          <w:rFonts w:ascii="Arial" w:hAnsi="Arial" w:cs="Arial"/>
          <w:color w:val="000000"/>
          <w:sz w:val="20"/>
        </w:rPr>
        <w:t>.</w:t>
      </w:r>
      <w:r w:rsidR="006D2D55" w:rsidRPr="00785E1A">
        <w:rPr>
          <w:rFonts w:ascii="Arial" w:hAnsi="Arial" w:cs="Arial"/>
          <w:color w:val="000000"/>
          <w:sz w:val="20"/>
        </w:rPr>
        <w:t>]</w:t>
      </w:r>
      <w:r w:rsidR="006D3360" w:rsidRPr="00785E1A">
        <w:rPr>
          <w:rFonts w:ascii="Arial" w:hAnsi="Arial" w:cs="Arial"/>
          <w:color w:val="000000"/>
          <w:sz w:val="20"/>
        </w:rPr>
        <w:t xml:space="preserve">  Very occasionally, a case is adjourned for a judicial resolution conference under </w:t>
      </w:r>
      <w:r w:rsidR="00F05A0A">
        <w:rPr>
          <w:rFonts w:ascii="Arial" w:hAnsi="Arial" w:cs="Arial"/>
          <w:color w:val="000000"/>
          <w:sz w:val="20"/>
        </w:rPr>
        <w:t xml:space="preserve">s.527A of the CYFA, inserted by </w:t>
      </w:r>
      <w:r w:rsidR="006D3360" w:rsidRPr="00785E1A">
        <w:rPr>
          <w:rFonts w:ascii="Arial" w:hAnsi="Arial" w:cs="Arial"/>
          <w:color w:val="000000"/>
          <w:sz w:val="20"/>
        </w:rPr>
        <w:t xml:space="preserve">the </w:t>
      </w:r>
      <w:r w:rsidR="006D3360" w:rsidRPr="00785E1A">
        <w:rPr>
          <w:rFonts w:ascii="Arial" w:hAnsi="Arial" w:cs="Arial"/>
          <w:bCs/>
          <w:color w:val="000000"/>
          <w:sz w:val="20"/>
          <w:u w:val="single"/>
        </w:rPr>
        <w:t>Courts Legislation Amendment (Judicial Resolution Conference) Act 2009 (Vic)</w:t>
      </w:r>
      <w:r w:rsidR="006D3360" w:rsidRPr="00785E1A">
        <w:rPr>
          <w:rFonts w:ascii="Arial" w:hAnsi="Arial" w:cs="Arial"/>
          <w:color w:val="000000"/>
          <w:sz w:val="20"/>
        </w:rPr>
        <w:t>.</w:t>
      </w:r>
    </w:p>
    <w:p w14:paraId="254EF5C8"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It is </w:t>
      </w:r>
      <w:r w:rsidR="00D441CB">
        <w:rPr>
          <w:rFonts w:ascii="Arial" w:hAnsi="Arial" w:cs="Arial"/>
          <w:color w:val="000000"/>
          <w:sz w:val="20"/>
        </w:rPr>
        <w:t>fairl</w:t>
      </w:r>
      <w:r w:rsidRPr="00785E1A">
        <w:rPr>
          <w:rFonts w:ascii="Arial" w:hAnsi="Arial" w:cs="Arial"/>
          <w:color w:val="000000"/>
          <w:sz w:val="20"/>
        </w:rPr>
        <w:t xml:space="preserve">y rare for the Court to bypass the </w:t>
      </w:r>
      <w:r w:rsidR="00484481">
        <w:rPr>
          <w:rFonts w:ascii="Arial" w:hAnsi="Arial" w:cs="Arial"/>
          <w:color w:val="000000"/>
          <w:sz w:val="20"/>
        </w:rPr>
        <w:t>conciliat</w:t>
      </w:r>
      <w:r w:rsidR="006D2D55" w:rsidRPr="00785E1A">
        <w:rPr>
          <w:rFonts w:ascii="Arial" w:hAnsi="Arial" w:cs="Arial"/>
          <w:color w:val="000000"/>
          <w:sz w:val="20"/>
        </w:rPr>
        <w:t>ion</w:t>
      </w:r>
      <w:r w:rsidRPr="00785E1A">
        <w:rPr>
          <w:rFonts w:ascii="Arial" w:hAnsi="Arial" w:cs="Arial"/>
          <w:color w:val="000000"/>
          <w:sz w:val="20"/>
        </w:rPr>
        <w:t xml:space="preserve"> stage in a contested case.  This is omitted only if the Court considers t</w:t>
      </w:r>
      <w:r w:rsidR="007C7752" w:rsidRPr="00785E1A">
        <w:rPr>
          <w:rFonts w:ascii="Arial" w:hAnsi="Arial" w:cs="Arial"/>
          <w:color w:val="000000"/>
          <w:sz w:val="20"/>
        </w:rPr>
        <w:t xml:space="preserve">hat </w:t>
      </w:r>
      <w:r w:rsidR="00484481">
        <w:rPr>
          <w:rFonts w:ascii="Arial" w:hAnsi="Arial" w:cs="Arial"/>
          <w:color w:val="000000"/>
          <w:sz w:val="20"/>
        </w:rPr>
        <w:t>concilia</w:t>
      </w:r>
      <w:r w:rsidRPr="00785E1A">
        <w:rPr>
          <w:rFonts w:ascii="Arial" w:hAnsi="Arial" w:cs="Arial"/>
          <w:color w:val="000000"/>
          <w:sz w:val="20"/>
        </w:rPr>
        <w:t>tion is most unlikely to resolve or narrow the issues in t</w:t>
      </w:r>
      <w:r w:rsidR="006D3360" w:rsidRPr="00785E1A">
        <w:rPr>
          <w:rFonts w:ascii="Arial" w:hAnsi="Arial" w:cs="Arial"/>
          <w:color w:val="000000"/>
          <w:sz w:val="20"/>
        </w:rPr>
        <w:t xml:space="preserve">he case, so that the time </w:t>
      </w:r>
      <w:r w:rsidRPr="00785E1A">
        <w:rPr>
          <w:rFonts w:ascii="Arial" w:hAnsi="Arial" w:cs="Arial"/>
          <w:color w:val="000000"/>
          <w:sz w:val="20"/>
        </w:rPr>
        <w:t xml:space="preserve">involved in </w:t>
      </w:r>
      <w:r w:rsidR="006D3360" w:rsidRPr="00785E1A">
        <w:rPr>
          <w:rFonts w:ascii="Arial" w:hAnsi="Arial" w:cs="Arial"/>
          <w:color w:val="000000"/>
          <w:sz w:val="20"/>
        </w:rPr>
        <w:t>an a</w:t>
      </w:r>
      <w:r w:rsidR="007C7752" w:rsidRPr="00785E1A">
        <w:rPr>
          <w:rFonts w:ascii="Arial" w:hAnsi="Arial" w:cs="Arial"/>
          <w:color w:val="000000"/>
          <w:sz w:val="20"/>
        </w:rPr>
        <w:t>ppropriat</w:t>
      </w:r>
      <w:r w:rsidR="006D3360" w:rsidRPr="00785E1A">
        <w:rPr>
          <w:rFonts w:ascii="Arial" w:hAnsi="Arial" w:cs="Arial"/>
          <w:color w:val="000000"/>
          <w:sz w:val="20"/>
        </w:rPr>
        <w:t xml:space="preserve">e </w:t>
      </w:r>
      <w:r w:rsidR="002C1D45" w:rsidRPr="00785E1A">
        <w:rPr>
          <w:rFonts w:ascii="Arial" w:hAnsi="Arial" w:cs="Arial"/>
          <w:color w:val="000000"/>
          <w:sz w:val="20"/>
        </w:rPr>
        <w:t>conference</w:t>
      </w:r>
      <w:r w:rsidRPr="00785E1A">
        <w:rPr>
          <w:rFonts w:ascii="Arial" w:hAnsi="Arial" w:cs="Arial"/>
          <w:color w:val="000000"/>
          <w:sz w:val="20"/>
        </w:rPr>
        <w:t xml:space="preserve"> is not justified.</w:t>
      </w:r>
    </w:p>
    <w:p w14:paraId="6137BAFE"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A convenor has no power to make Family Division orders.  Whether or not the case is resolved, it is returned to court at the end of the conference for a judicial officer to make appropriate orders.  If a case does not resolve at </w:t>
      </w:r>
      <w:r w:rsidR="00484481">
        <w:rPr>
          <w:rFonts w:ascii="Arial" w:hAnsi="Arial" w:cs="Arial"/>
          <w:color w:val="000000"/>
          <w:sz w:val="20"/>
        </w:rPr>
        <w:t>this stage</w:t>
      </w:r>
      <w:r w:rsidRPr="00785E1A">
        <w:rPr>
          <w:rFonts w:ascii="Arial" w:hAnsi="Arial" w:cs="Arial"/>
          <w:color w:val="000000"/>
          <w:sz w:val="20"/>
        </w:rPr>
        <w:t xml:space="preserve">, it is usually adjourned for a </w:t>
      </w:r>
      <w:r w:rsidR="00484481">
        <w:rPr>
          <w:rFonts w:ascii="Arial" w:hAnsi="Arial" w:cs="Arial"/>
          <w:color w:val="000000"/>
          <w:sz w:val="20"/>
        </w:rPr>
        <w:t xml:space="preserve">“first directions hearing” </w:t>
      </w:r>
      <w:r w:rsidR="009B6762">
        <w:rPr>
          <w:rFonts w:ascii="Arial" w:hAnsi="Arial" w:cs="Arial"/>
          <w:color w:val="000000"/>
          <w:sz w:val="20"/>
        </w:rPr>
        <w:t>conducted by a judicial officer</w:t>
      </w:r>
      <w:r w:rsidRPr="00785E1A">
        <w:rPr>
          <w:rFonts w:ascii="Arial" w:hAnsi="Arial" w:cs="Arial"/>
          <w:color w:val="000000"/>
          <w:sz w:val="20"/>
        </w:rPr>
        <w:t>.  Occasionally</w:t>
      </w:r>
      <w:r w:rsidR="002C1D45" w:rsidRPr="00785E1A">
        <w:rPr>
          <w:rFonts w:ascii="Arial" w:hAnsi="Arial" w:cs="Arial"/>
          <w:color w:val="000000"/>
          <w:sz w:val="20"/>
        </w:rPr>
        <w:t xml:space="preserve"> a case will be adjourned for </w:t>
      </w:r>
      <w:r w:rsidR="009B6762">
        <w:rPr>
          <w:rFonts w:ascii="Arial" w:hAnsi="Arial" w:cs="Arial"/>
          <w:color w:val="000000"/>
          <w:sz w:val="20"/>
        </w:rPr>
        <w:t xml:space="preserve">a </w:t>
      </w:r>
      <w:r w:rsidRPr="00785E1A">
        <w:rPr>
          <w:rFonts w:ascii="Arial" w:hAnsi="Arial" w:cs="Arial"/>
          <w:color w:val="000000"/>
          <w:sz w:val="20"/>
        </w:rPr>
        <w:t xml:space="preserve">further </w:t>
      </w:r>
      <w:r w:rsidR="009B6762">
        <w:rPr>
          <w:rFonts w:ascii="Arial" w:hAnsi="Arial" w:cs="Arial"/>
          <w:color w:val="000000"/>
          <w:sz w:val="20"/>
        </w:rPr>
        <w:t>conciliation conference</w:t>
      </w:r>
      <w:r w:rsidR="00B455AB" w:rsidRPr="00785E1A">
        <w:rPr>
          <w:rFonts w:ascii="Arial" w:hAnsi="Arial" w:cs="Arial"/>
          <w:color w:val="000000"/>
          <w:sz w:val="20"/>
        </w:rPr>
        <w:t xml:space="preserve"> </w:t>
      </w:r>
      <w:r w:rsidR="002C1D45" w:rsidRPr="00785E1A">
        <w:rPr>
          <w:rFonts w:ascii="Arial" w:hAnsi="Arial" w:cs="Arial"/>
          <w:color w:val="000000"/>
          <w:sz w:val="20"/>
        </w:rPr>
        <w:t>or</w:t>
      </w:r>
      <w:r w:rsidR="00B455AB" w:rsidRPr="00785E1A">
        <w:rPr>
          <w:rFonts w:ascii="Arial" w:hAnsi="Arial" w:cs="Arial"/>
          <w:color w:val="000000"/>
          <w:sz w:val="20"/>
        </w:rPr>
        <w:t xml:space="preserve"> </w:t>
      </w:r>
      <w:r w:rsidRPr="00785E1A">
        <w:rPr>
          <w:rFonts w:ascii="Arial" w:hAnsi="Arial" w:cs="Arial"/>
          <w:color w:val="000000"/>
          <w:sz w:val="20"/>
        </w:rPr>
        <w:t>for further "mention"</w:t>
      </w:r>
      <w:r w:rsidR="00B455AB" w:rsidRPr="00785E1A">
        <w:rPr>
          <w:rFonts w:ascii="Arial" w:hAnsi="Arial" w:cs="Arial"/>
          <w:color w:val="000000"/>
          <w:sz w:val="20"/>
        </w:rPr>
        <w:t>.</w:t>
      </w:r>
    </w:p>
    <w:p w14:paraId="320D8B19" w14:textId="77777777" w:rsidR="00DB5203" w:rsidRDefault="00DB5203">
      <w:pPr>
        <w:ind w:left="363" w:hanging="363"/>
        <w:jc w:val="both"/>
        <w:rPr>
          <w:rFonts w:ascii="Arial" w:hAnsi="Arial" w:cs="Arial"/>
          <w:b/>
          <w:bCs/>
          <w:sz w:val="20"/>
        </w:rPr>
      </w:pPr>
    </w:p>
    <w:p w14:paraId="4C9E1C57" w14:textId="77777777" w:rsidR="00693223" w:rsidRDefault="00693223" w:rsidP="00CA2663">
      <w:pPr>
        <w:pStyle w:val="Heading3"/>
        <w:keepNext/>
        <w:keepLines/>
        <w:spacing w:line="240" w:lineRule="auto"/>
        <w:rPr>
          <w:rFonts w:ascii="Arial" w:hAnsi="Arial" w:cs="Arial"/>
          <w:b/>
          <w:bCs/>
          <w:sz w:val="20"/>
        </w:rPr>
      </w:pPr>
      <w:bookmarkStart w:id="1456" w:name="_Toc30651689"/>
      <w:bookmarkStart w:id="1457" w:name="_Toc30652679"/>
      <w:bookmarkStart w:id="1458" w:name="_Toc30652775"/>
      <w:bookmarkStart w:id="1459" w:name="_Toc30654125"/>
      <w:bookmarkStart w:id="1460" w:name="_Toc30654476"/>
      <w:bookmarkStart w:id="1461" w:name="_Toc30655095"/>
      <w:bookmarkStart w:id="1462" w:name="_Toc30655352"/>
      <w:bookmarkStart w:id="1463" w:name="_Toc30657030"/>
      <w:bookmarkStart w:id="1464" w:name="_Toc30661779"/>
      <w:bookmarkStart w:id="1465" w:name="_Toc30666467"/>
      <w:bookmarkStart w:id="1466" w:name="_Toc30666697"/>
      <w:bookmarkStart w:id="1467" w:name="_Toc30667872"/>
      <w:bookmarkStart w:id="1468" w:name="_Toc30669250"/>
      <w:bookmarkStart w:id="1469" w:name="_Toc30671466"/>
      <w:bookmarkStart w:id="1470" w:name="_Toc30673993"/>
      <w:bookmarkStart w:id="1471" w:name="_Toc30691215"/>
      <w:bookmarkStart w:id="1472" w:name="_Toc30691588"/>
      <w:bookmarkStart w:id="1473" w:name="_Toc30691968"/>
      <w:bookmarkStart w:id="1474" w:name="_Toc30692727"/>
      <w:bookmarkStart w:id="1475" w:name="_Toc30693106"/>
      <w:bookmarkStart w:id="1476" w:name="_Toc30693484"/>
      <w:bookmarkStart w:id="1477" w:name="_Toc30693862"/>
      <w:bookmarkStart w:id="1478" w:name="_Toc30694243"/>
      <w:bookmarkStart w:id="1479" w:name="_Toc30698832"/>
      <w:bookmarkStart w:id="1480" w:name="_Toc30699210"/>
      <w:bookmarkStart w:id="1481" w:name="_Toc30699595"/>
      <w:bookmarkStart w:id="1482" w:name="_Toc30700750"/>
      <w:bookmarkStart w:id="1483" w:name="_Toc30701137"/>
      <w:bookmarkStart w:id="1484" w:name="_Toc30743746"/>
      <w:bookmarkStart w:id="1485" w:name="_Toc30754569"/>
      <w:bookmarkStart w:id="1486" w:name="_Toc30757009"/>
      <w:bookmarkStart w:id="1487" w:name="_Toc30757558"/>
      <w:bookmarkStart w:id="1488" w:name="_Toc30757958"/>
      <w:bookmarkStart w:id="1489" w:name="_Toc30762719"/>
      <w:bookmarkStart w:id="1490" w:name="_Toc30767373"/>
      <w:bookmarkStart w:id="1491" w:name="_Toc34823388"/>
      <w:bookmarkStart w:id="1492" w:name="_4.9.4_First_directions"/>
      <w:bookmarkStart w:id="1493" w:name="B494"/>
      <w:bookmarkEnd w:id="1492"/>
      <w:bookmarkEnd w:id="1493"/>
      <w:r>
        <w:rPr>
          <w:rFonts w:ascii="Arial" w:hAnsi="Arial" w:cs="Arial"/>
          <w:b/>
          <w:bCs/>
          <w:sz w:val="20"/>
        </w:rPr>
        <w:t>4.9</w:t>
      </w:r>
      <w:r w:rsidR="00DB5203">
        <w:rPr>
          <w:rFonts w:ascii="Arial" w:hAnsi="Arial" w:cs="Arial"/>
          <w:b/>
          <w:bCs/>
          <w:sz w:val="20"/>
        </w:rPr>
        <w:t>.4</w:t>
      </w:r>
      <w:r>
        <w:rPr>
          <w:rFonts w:ascii="Arial" w:hAnsi="Arial" w:cs="Arial"/>
          <w:b/>
          <w:bCs/>
          <w:sz w:val="20"/>
        </w:rPr>
        <w:tab/>
      </w:r>
      <w:r w:rsidR="00DB5203">
        <w:rPr>
          <w:rFonts w:ascii="Arial" w:hAnsi="Arial" w:cs="Arial"/>
          <w:b/>
          <w:bCs/>
          <w:sz w:val="20"/>
        </w:rPr>
        <w:t xml:space="preserve">First </w:t>
      </w:r>
      <w:r w:rsidR="009B53F7">
        <w:rPr>
          <w:rFonts w:ascii="Arial" w:hAnsi="Arial" w:cs="Arial"/>
          <w:b/>
          <w:bCs/>
          <w:sz w:val="20"/>
        </w:rPr>
        <w:t>d</w:t>
      </w:r>
      <w:r w:rsidR="00DB5203">
        <w:rPr>
          <w:rFonts w:ascii="Arial" w:hAnsi="Arial" w:cs="Arial"/>
          <w:b/>
          <w:bCs/>
          <w:sz w:val="20"/>
        </w:rPr>
        <w:t xml:space="preserve">irections hearing &amp; </w:t>
      </w:r>
      <w:r>
        <w:rPr>
          <w:rFonts w:ascii="Arial" w:hAnsi="Arial" w:cs="Arial"/>
          <w:b/>
          <w:bCs/>
          <w:sz w:val="20"/>
        </w:rPr>
        <w:t>Directions hearing</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r w:rsidR="00DB5203">
        <w:rPr>
          <w:rFonts w:ascii="Arial" w:hAnsi="Arial" w:cs="Arial"/>
          <w:b/>
          <w:bCs/>
          <w:sz w:val="20"/>
        </w:rPr>
        <w:t xml:space="preserve"> preceding a contest</w:t>
      </w:r>
    </w:p>
    <w:p w14:paraId="68B222C6" w14:textId="77777777" w:rsidR="00DB5203" w:rsidRDefault="00693223">
      <w:pPr>
        <w:spacing w:before="120"/>
        <w:jc w:val="both"/>
        <w:rPr>
          <w:rFonts w:ascii="Arial" w:hAnsi="Arial" w:cs="Arial"/>
          <w:sz w:val="20"/>
        </w:rPr>
      </w:pPr>
      <w:r>
        <w:rPr>
          <w:rFonts w:ascii="Arial" w:hAnsi="Arial" w:cs="Arial"/>
          <w:sz w:val="20"/>
        </w:rPr>
        <w:t xml:space="preserve">If any party wishes to contest any aspect of the Department's recommended disposition, the case is </w:t>
      </w:r>
      <w:r w:rsidR="00DB5203">
        <w:rPr>
          <w:rFonts w:ascii="Arial" w:hAnsi="Arial" w:cs="Arial"/>
          <w:sz w:val="20"/>
        </w:rPr>
        <w:t xml:space="preserve">usually adjourned for a First </w:t>
      </w:r>
      <w:r w:rsidR="009B53F7">
        <w:rPr>
          <w:rFonts w:ascii="Arial" w:hAnsi="Arial" w:cs="Arial"/>
          <w:sz w:val="20"/>
        </w:rPr>
        <w:t>d</w:t>
      </w:r>
      <w:r w:rsidR="00DB5203">
        <w:rPr>
          <w:rFonts w:ascii="Arial" w:hAnsi="Arial" w:cs="Arial"/>
          <w:sz w:val="20"/>
        </w:rPr>
        <w:t>irections hearing.  There are two major purposes of such a hearing:</w:t>
      </w:r>
    </w:p>
    <w:p w14:paraId="14ECF8B9" w14:textId="77777777" w:rsidR="00DB5203" w:rsidRDefault="00DB5203" w:rsidP="00DB5203">
      <w:pPr>
        <w:numPr>
          <w:ilvl w:val="0"/>
          <w:numId w:val="3"/>
        </w:numPr>
        <w:tabs>
          <w:tab w:val="num" w:leader="none" w:pos="720"/>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620E8F2C" w14:textId="77777777" w:rsidR="00DB5203" w:rsidRDefault="00DB5203" w:rsidP="00DB5203">
      <w:pPr>
        <w:numPr>
          <w:ilvl w:val="0"/>
          <w:numId w:val="3"/>
        </w:numPr>
        <w:tabs>
          <w:tab w:val="num" w:leader="none" w:pos="720"/>
        </w:tabs>
        <w:jc w:val="both"/>
        <w:rPr>
          <w:rFonts w:ascii="Arial" w:hAnsi="Arial" w:cs="Arial"/>
          <w:sz w:val="20"/>
        </w:rPr>
      </w:pPr>
      <w:r>
        <w:rPr>
          <w:rFonts w:ascii="Arial" w:hAnsi="Arial" w:cs="Arial"/>
          <w:sz w:val="20"/>
        </w:rPr>
        <w:t xml:space="preserve">to enable an informal conciliation to be conducted by a </w:t>
      </w:r>
      <w:r w:rsidR="00752155">
        <w:rPr>
          <w:rFonts w:ascii="Arial" w:hAnsi="Arial" w:cs="Arial"/>
          <w:sz w:val="20"/>
        </w:rPr>
        <w:t>judicial officer</w:t>
      </w:r>
      <w:r>
        <w:rPr>
          <w:rFonts w:ascii="Arial" w:hAnsi="Arial" w:cs="Arial"/>
          <w:sz w:val="20"/>
        </w:rPr>
        <w:t xml:space="preserve"> with the aim of enabling the case to be resolved without a fully contested hearing; as this </w:t>
      </w:r>
      <w:r w:rsidR="00752155">
        <w:rPr>
          <w:rFonts w:ascii="Arial" w:hAnsi="Arial" w:cs="Arial"/>
          <w:sz w:val="20"/>
        </w:rPr>
        <w:t xml:space="preserve">process </w:t>
      </w:r>
      <w:r>
        <w:rPr>
          <w:rFonts w:ascii="Arial" w:hAnsi="Arial" w:cs="Arial"/>
          <w:sz w:val="20"/>
        </w:rPr>
        <w:t xml:space="preserve">often involves the </w:t>
      </w:r>
      <w:r w:rsidR="00752155">
        <w:rPr>
          <w:rFonts w:ascii="Arial" w:hAnsi="Arial" w:cs="Arial"/>
          <w:sz w:val="20"/>
        </w:rPr>
        <w:t>judicial officer</w:t>
      </w:r>
      <w:r>
        <w:rPr>
          <w:rFonts w:ascii="Arial" w:hAnsi="Arial" w:cs="Arial"/>
          <w:sz w:val="20"/>
        </w:rPr>
        <w:t xml:space="preserve"> expressing strong views about the likely outcome of any contest, </w:t>
      </w:r>
      <w:r w:rsidR="00752155">
        <w:rPr>
          <w:rFonts w:ascii="Arial" w:hAnsi="Arial" w:cs="Arial"/>
          <w:sz w:val="20"/>
        </w:rPr>
        <w:t>that judicial officer may declare that any ensuing contest will be heard by a different judicial officer.</w:t>
      </w:r>
    </w:p>
    <w:p w14:paraId="63976D23" w14:textId="77777777" w:rsidR="00DB5203" w:rsidRDefault="00DB5203" w:rsidP="009B53F7">
      <w:pPr>
        <w:jc w:val="both"/>
        <w:rPr>
          <w:rFonts w:ascii="Arial" w:hAnsi="Arial" w:cs="Arial"/>
          <w:sz w:val="20"/>
        </w:rPr>
      </w:pPr>
    </w:p>
    <w:p w14:paraId="4342D5F8" w14:textId="77777777" w:rsidR="00693223" w:rsidRDefault="009B53F7" w:rsidP="009B53F7">
      <w:pPr>
        <w:jc w:val="both"/>
        <w:rPr>
          <w:rFonts w:ascii="Arial" w:hAnsi="Arial" w:cs="Arial"/>
          <w:sz w:val="20"/>
        </w:rPr>
      </w:pPr>
      <w:r>
        <w:rPr>
          <w:rFonts w:ascii="Arial" w:hAnsi="Arial" w:cs="Arial"/>
          <w:sz w:val="20"/>
        </w:rPr>
        <w:t>If a case does not resolve at this stage, it is usually a</w:t>
      </w:r>
      <w:r w:rsidR="00693223">
        <w:rPr>
          <w:rFonts w:ascii="Arial" w:hAnsi="Arial" w:cs="Arial"/>
          <w:sz w:val="20"/>
        </w:rPr>
        <w:t xml:space="preserve">djourned for a contest, preceded by a </w:t>
      </w:r>
      <w:r w:rsidR="007867B3">
        <w:rPr>
          <w:rFonts w:ascii="Arial" w:hAnsi="Arial" w:cs="Arial"/>
          <w:sz w:val="20"/>
        </w:rPr>
        <w:t xml:space="preserve">further </w:t>
      </w:r>
      <w:r w:rsidR="00693223">
        <w:rPr>
          <w:rFonts w:ascii="Arial" w:hAnsi="Arial" w:cs="Arial"/>
          <w:sz w:val="20"/>
        </w:rPr>
        <w:t xml:space="preserve">directions hearing.  There are </w:t>
      </w:r>
      <w:r w:rsidR="004814C0">
        <w:rPr>
          <w:rFonts w:ascii="Arial" w:hAnsi="Arial" w:cs="Arial"/>
          <w:sz w:val="20"/>
        </w:rPr>
        <w:t>three</w:t>
      </w:r>
      <w:r w:rsidR="00693223">
        <w:rPr>
          <w:rFonts w:ascii="Arial" w:hAnsi="Arial" w:cs="Arial"/>
          <w:sz w:val="20"/>
        </w:rPr>
        <w:t xml:space="preserve"> purposes of </w:t>
      </w:r>
      <w:r>
        <w:rPr>
          <w:rFonts w:ascii="Arial" w:hAnsi="Arial" w:cs="Arial"/>
          <w:sz w:val="20"/>
        </w:rPr>
        <w:t xml:space="preserve">such </w:t>
      </w:r>
      <w:r w:rsidR="00693223">
        <w:rPr>
          <w:rFonts w:ascii="Arial" w:hAnsi="Arial" w:cs="Arial"/>
          <w:sz w:val="20"/>
        </w:rPr>
        <w:t>a directions hearing:</w:t>
      </w:r>
    </w:p>
    <w:p w14:paraId="76176767" w14:textId="77777777" w:rsidR="009B53F7" w:rsidRDefault="009B53F7" w:rsidP="000C54CD">
      <w:pPr>
        <w:numPr>
          <w:ilvl w:val="0"/>
          <w:numId w:val="56"/>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7AE6D23A" w14:textId="77777777" w:rsidR="009B53F7" w:rsidRDefault="009B53F7" w:rsidP="000C54CD">
      <w:pPr>
        <w:numPr>
          <w:ilvl w:val="0"/>
          <w:numId w:val="56"/>
        </w:numPr>
        <w:tabs>
          <w:tab w:val="clear" w:pos="1083"/>
        </w:tabs>
        <w:jc w:val="both"/>
        <w:rPr>
          <w:rFonts w:ascii="Arial" w:hAnsi="Arial" w:cs="Arial"/>
          <w:sz w:val="20"/>
        </w:rPr>
      </w:pPr>
      <w:r>
        <w:rPr>
          <w:rFonts w:ascii="Arial" w:hAnsi="Arial" w:cs="Arial"/>
          <w:sz w:val="20"/>
        </w:rPr>
        <w:t>to enable an informal conciliation to be conducted by a judicial officer with the aim of enabling the case to be resolved without a fully contested hearing; if the judicial officer conducting this directions hearing is also listed to hear the contest, this process will usually not be as rigorous as that in a first directions hearing;</w:t>
      </w:r>
    </w:p>
    <w:p w14:paraId="041BE5FF" w14:textId="77777777" w:rsidR="00693223" w:rsidRDefault="00693223" w:rsidP="000C54CD">
      <w:pPr>
        <w:numPr>
          <w:ilvl w:val="0"/>
          <w:numId w:val="56"/>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3D5322E8" w14:textId="77777777" w:rsidR="0030237B" w:rsidRDefault="0030237B" w:rsidP="0030237B">
      <w:pPr>
        <w:ind w:left="363" w:hanging="363"/>
        <w:jc w:val="both"/>
        <w:rPr>
          <w:rFonts w:ascii="Arial" w:hAnsi="Arial" w:cs="Arial"/>
          <w:b/>
          <w:bCs/>
          <w:sz w:val="20"/>
        </w:rPr>
      </w:pPr>
    </w:p>
    <w:p w14:paraId="396EEBC2" w14:textId="77777777" w:rsidR="0030237B" w:rsidRDefault="0030237B" w:rsidP="00061DAE">
      <w:pPr>
        <w:pStyle w:val="Heading3"/>
        <w:widowControl/>
        <w:spacing w:line="240" w:lineRule="auto"/>
        <w:rPr>
          <w:rFonts w:ascii="Arial" w:hAnsi="Arial" w:cs="Arial"/>
          <w:b/>
          <w:bCs/>
          <w:sz w:val="20"/>
        </w:rPr>
      </w:pPr>
      <w:bookmarkStart w:id="1494" w:name="_4.9.4A_Readiness_Hearing"/>
      <w:bookmarkStart w:id="1495" w:name="B494A"/>
      <w:bookmarkEnd w:id="1494"/>
      <w:bookmarkEnd w:id="1495"/>
      <w:r>
        <w:rPr>
          <w:rFonts w:ascii="Arial" w:hAnsi="Arial" w:cs="Arial"/>
          <w:b/>
          <w:bCs/>
          <w:sz w:val="20"/>
        </w:rPr>
        <w:t>4.9.4A</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6F574445" w14:textId="77777777" w:rsidR="004C1D81" w:rsidRPr="00D33D51" w:rsidRDefault="003B555B" w:rsidP="004C1D81">
      <w:pPr>
        <w:shd w:val="clear" w:color="auto" w:fill="FFFFFF"/>
        <w:spacing w:before="120"/>
        <w:jc w:val="both"/>
        <w:textAlignment w:val="baseline"/>
        <w:rPr>
          <w:rFonts w:ascii="Arial" w:hAnsi="Arial" w:cs="Arial"/>
          <w:color w:val="353535"/>
          <w:sz w:val="14"/>
          <w:szCs w:val="14"/>
          <w:lang w:eastAsia="en-AU"/>
        </w:rPr>
      </w:pPr>
      <w:r>
        <w:rPr>
          <w:rFonts w:ascii="Arial" w:hAnsi="Arial" w:cs="Arial"/>
          <w:color w:val="353535"/>
          <w:sz w:val="20"/>
          <w:szCs w:val="20"/>
          <w:lang w:eastAsia="en-AU"/>
        </w:rPr>
        <w:t>P</w:t>
      </w:r>
      <w:r w:rsidR="00DD0300">
        <w:rPr>
          <w:rFonts w:ascii="Arial" w:hAnsi="Arial" w:cs="Arial"/>
          <w:color w:val="353535"/>
          <w:sz w:val="20"/>
          <w:lang w:eastAsia="en-AU"/>
        </w:rPr>
        <w:t xml:space="preserve">ractice </w:t>
      </w:r>
      <w:r>
        <w:rPr>
          <w:rFonts w:ascii="Arial" w:hAnsi="Arial" w:cs="Arial"/>
          <w:color w:val="353535"/>
          <w:sz w:val="20"/>
          <w:szCs w:val="20"/>
          <w:lang w:eastAsia="en-AU"/>
        </w:rPr>
        <w:t>D</w:t>
      </w:r>
      <w:r w:rsidR="00DD0300">
        <w:rPr>
          <w:rFonts w:ascii="Arial" w:hAnsi="Arial" w:cs="Arial"/>
          <w:color w:val="353535"/>
          <w:sz w:val="20"/>
          <w:lang w:eastAsia="en-AU"/>
        </w:rPr>
        <w:t>irection</w:t>
      </w:r>
      <w:r>
        <w:rPr>
          <w:rFonts w:ascii="Arial" w:hAnsi="Arial" w:cs="Arial"/>
          <w:color w:val="353535"/>
          <w:sz w:val="20"/>
          <w:lang w:eastAsia="en-AU"/>
        </w:rPr>
        <w:t xml:space="preserve"> No.6 of 2020</w:t>
      </w:r>
      <w:r w:rsidR="00906F5E">
        <w:rPr>
          <w:rFonts w:ascii="Arial" w:hAnsi="Arial" w:cs="Arial"/>
          <w:color w:val="353535"/>
          <w:sz w:val="20"/>
          <w:lang w:eastAsia="en-AU"/>
        </w:rPr>
        <w:t xml:space="preserve">, </w:t>
      </w:r>
      <w:r>
        <w:rPr>
          <w:rFonts w:ascii="Arial" w:hAnsi="Arial" w:cs="Arial"/>
          <w:color w:val="353535"/>
          <w:sz w:val="20"/>
          <w:szCs w:val="20"/>
          <w:lang w:eastAsia="en-AU"/>
        </w:rPr>
        <w:t>commencing from 16/06/2020</w:t>
      </w:r>
      <w:r w:rsidR="00906F5E">
        <w:rPr>
          <w:rFonts w:ascii="Arial" w:hAnsi="Arial" w:cs="Arial"/>
          <w:color w:val="353535"/>
          <w:sz w:val="20"/>
          <w:lang w:eastAsia="en-AU"/>
        </w:rPr>
        <w:t>,</w:t>
      </w:r>
      <w:r>
        <w:rPr>
          <w:rFonts w:ascii="Arial" w:hAnsi="Arial" w:cs="Arial"/>
          <w:color w:val="353535"/>
          <w:sz w:val="20"/>
          <w:lang w:eastAsia="en-AU"/>
        </w:rPr>
        <w:t xml:space="preserve"> </w:t>
      </w:r>
      <w:r w:rsidRPr="0047445C">
        <w:rPr>
          <w:rFonts w:ascii="Arial" w:hAnsi="Arial" w:cs="Arial"/>
          <w:color w:val="353535"/>
          <w:sz w:val="20"/>
          <w:szCs w:val="20"/>
          <w:lang w:eastAsia="en-AU"/>
        </w:rPr>
        <w:t>introduce</w:t>
      </w:r>
      <w:r>
        <w:rPr>
          <w:rFonts w:ascii="Arial" w:hAnsi="Arial" w:cs="Arial"/>
          <w:color w:val="353535"/>
          <w:sz w:val="20"/>
          <w:lang w:eastAsia="en-AU"/>
        </w:rPr>
        <w:t>d</w:t>
      </w:r>
      <w:r w:rsidRPr="0047445C">
        <w:rPr>
          <w:rFonts w:ascii="Arial" w:hAnsi="Arial" w:cs="Arial"/>
          <w:color w:val="353535"/>
          <w:sz w:val="20"/>
          <w:szCs w:val="20"/>
          <w:lang w:eastAsia="en-AU"/>
        </w:rPr>
        <w:t xml:space="preserve"> a new type of hearing – known as a </w:t>
      </w:r>
      <w:r w:rsidRPr="00717B0C">
        <w:rPr>
          <w:rFonts w:ascii="Arial" w:hAnsi="Arial" w:cs="Arial"/>
          <w:b/>
          <w:bCs/>
          <w:color w:val="353535"/>
          <w:sz w:val="20"/>
          <w:szCs w:val="20"/>
          <w:lang w:eastAsia="en-AU"/>
        </w:rPr>
        <w:t>Readiness Hearing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as a temporary measure necessitated by the COVID-19 pandemic </w:t>
      </w:r>
      <w:r>
        <w:rPr>
          <w:rFonts w:ascii="Arial" w:hAnsi="Arial" w:cs="Arial"/>
          <w:color w:val="353535"/>
          <w:sz w:val="20"/>
          <w:lang w:eastAsia="en-AU"/>
        </w:rPr>
        <w:t xml:space="preserve">for the management of proceedings in the Family Division.  It applies </w:t>
      </w:r>
      <w:r w:rsidRPr="00726EDB">
        <w:rPr>
          <w:rFonts w:ascii="Arial" w:hAnsi="Arial" w:cs="Arial"/>
          <w:sz w:val="20"/>
          <w:szCs w:val="20"/>
        </w:rPr>
        <w:t xml:space="preserve">to matters listed at Melbourne, Moorabbin or Broadmeadows Children’s Court (including regional directions hearings and fixtures that are being case managed by Melbourne Children’s Court) </w:t>
      </w:r>
      <w:r w:rsidR="004C1D81">
        <w:rPr>
          <w:rFonts w:ascii="Arial" w:hAnsi="Arial" w:cs="Arial"/>
          <w:sz w:val="20"/>
          <w:szCs w:val="20"/>
        </w:rPr>
        <w:t>where-</w:t>
      </w:r>
    </w:p>
    <w:p w14:paraId="01E30042" w14:textId="77777777" w:rsidR="004C1D81" w:rsidRPr="00D33D51" w:rsidRDefault="004C1D81" w:rsidP="004C1D81">
      <w:pPr>
        <w:numPr>
          <w:ilvl w:val="0"/>
          <w:numId w:val="65"/>
        </w:numPr>
        <w:shd w:val="clear" w:color="auto" w:fill="FFFFFF"/>
        <w:ind w:left="357" w:hanging="357"/>
        <w:jc w:val="both"/>
        <w:textAlignment w:val="baseline"/>
        <w:rPr>
          <w:rFonts w:ascii="Arial" w:hAnsi="Arial" w:cs="Arial"/>
          <w:color w:val="353535"/>
          <w:sz w:val="14"/>
          <w:szCs w:val="14"/>
          <w:lang w:eastAsia="en-AU"/>
        </w:rPr>
      </w:pPr>
      <w:r>
        <w:rPr>
          <w:rFonts w:ascii="Arial" w:hAnsi="Arial" w:cs="Arial"/>
          <w:sz w:val="20"/>
          <w:szCs w:val="20"/>
        </w:rPr>
        <w:t xml:space="preserve">a Directions hearing, IAO contest or final contest </w:t>
      </w:r>
      <w:r w:rsidRPr="00726EDB">
        <w:rPr>
          <w:rFonts w:ascii="Arial" w:hAnsi="Arial" w:cs="Arial"/>
          <w:sz w:val="20"/>
          <w:szCs w:val="20"/>
        </w:rPr>
        <w:t>ha</w:t>
      </w:r>
      <w:r>
        <w:rPr>
          <w:rFonts w:ascii="Arial" w:hAnsi="Arial" w:cs="Arial"/>
          <w:sz w:val="20"/>
          <w:szCs w:val="20"/>
        </w:rPr>
        <w:t>s</w:t>
      </w:r>
      <w:r w:rsidRPr="00726EDB">
        <w:rPr>
          <w:rFonts w:ascii="Arial" w:hAnsi="Arial" w:cs="Arial"/>
          <w:sz w:val="20"/>
          <w:szCs w:val="20"/>
        </w:rPr>
        <w:t xml:space="preserve"> been adjourned </w:t>
      </w:r>
      <w:r>
        <w:rPr>
          <w:rFonts w:ascii="Arial" w:hAnsi="Arial" w:cs="Arial"/>
          <w:sz w:val="20"/>
          <w:szCs w:val="20"/>
        </w:rPr>
        <w:t xml:space="preserve">for special mention </w:t>
      </w:r>
      <w:r w:rsidRPr="00726EDB">
        <w:rPr>
          <w:rFonts w:ascii="Arial" w:hAnsi="Arial" w:cs="Arial"/>
          <w:sz w:val="20"/>
          <w:szCs w:val="20"/>
        </w:rPr>
        <w:t>in accordance with Practice Direction No.1 of 2020</w:t>
      </w:r>
      <w:r>
        <w:rPr>
          <w:rFonts w:ascii="Arial" w:hAnsi="Arial" w:cs="Arial"/>
          <w:sz w:val="20"/>
          <w:szCs w:val="20"/>
        </w:rPr>
        <w:t>; or</w:t>
      </w:r>
    </w:p>
    <w:p w14:paraId="7C8D9ABF" w14:textId="77777777" w:rsidR="004C1D81" w:rsidRPr="00D33D51" w:rsidRDefault="004C1D81" w:rsidP="004C1D81">
      <w:pPr>
        <w:numPr>
          <w:ilvl w:val="0"/>
          <w:numId w:val="65"/>
        </w:numPr>
        <w:shd w:val="clear" w:color="auto" w:fill="FFFFFF"/>
        <w:ind w:left="357" w:hanging="357"/>
        <w:jc w:val="both"/>
        <w:textAlignment w:val="baseline"/>
        <w:rPr>
          <w:rFonts w:ascii="Arial" w:hAnsi="Arial" w:cs="Arial"/>
          <w:color w:val="353535"/>
          <w:sz w:val="14"/>
          <w:szCs w:val="14"/>
          <w:lang w:eastAsia="en-AU"/>
        </w:rPr>
      </w:pPr>
      <w:r>
        <w:rPr>
          <w:rFonts w:ascii="Arial" w:hAnsi="Arial" w:cs="Arial"/>
          <w:sz w:val="20"/>
          <w:szCs w:val="20"/>
        </w:rPr>
        <w:t>a matter has been listed for mention on or after 16/06/2020 and it has already had a conciliation conference or the Court considers it is not suitable for a conciliation conference.</w:t>
      </w:r>
    </w:p>
    <w:p w14:paraId="5F76891F" w14:textId="77777777" w:rsidR="007D2F69" w:rsidRDefault="00906F5E" w:rsidP="007D2F69">
      <w:pPr>
        <w:jc w:val="both"/>
        <w:rPr>
          <w:rFonts w:ascii="Arial" w:hAnsi="Arial" w:cs="Arial"/>
          <w:sz w:val="20"/>
        </w:rPr>
      </w:pPr>
      <w:r>
        <w:rPr>
          <w:rFonts w:ascii="Arial" w:hAnsi="Arial" w:cs="Arial"/>
          <w:sz w:val="20"/>
        </w:rPr>
        <w:t xml:space="preserve">A Readiness Hearing </w:t>
      </w:r>
      <w:r w:rsidR="003B555B" w:rsidRPr="0047445C">
        <w:rPr>
          <w:rFonts w:ascii="Arial" w:hAnsi="Arial" w:cs="Arial"/>
          <w:color w:val="353535"/>
          <w:sz w:val="20"/>
          <w:lang w:eastAsia="en-AU"/>
        </w:rPr>
        <w:t xml:space="preserve">aims to explore the possible resolution of a matter by incorporating the features of a First </w:t>
      </w:r>
      <w:r w:rsidR="004C1D81">
        <w:rPr>
          <w:rFonts w:ascii="Arial" w:hAnsi="Arial" w:cs="Arial"/>
          <w:color w:val="353535"/>
          <w:sz w:val="20"/>
          <w:lang w:eastAsia="en-AU"/>
        </w:rPr>
        <w:t>d</w:t>
      </w:r>
      <w:r w:rsidR="003B555B" w:rsidRPr="0047445C">
        <w:rPr>
          <w:rFonts w:ascii="Arial" w:hAnsi="Arial" w:cs="Arial"/>
          <w:color w:val="353535"/>
          <w:sz w:val="20"/>
          <w:lang w:eastAsia="en-AU"/>
        </w:rPr>
        <w:t xml:space="preserve">irections </w:t>
      </w:r>
      <w:r w:rsidR="004C1D81">
        <w:rPr>
          <w:rFonts w:ascii="Arial" w:hAnsi="Arial" w:cs="Arial"/>
          <w:color w:val="353535"/>
          <w:sz w:val="20"/>
          <w:lang w:eastAsia="en-AU"/>
        </w:rPr>
        <w:t>h</w:t>
      </w:r>
      <w:r w:rsidR="003B555B" w:rsidRPr="0047445C">
        <w:rPr>
          <w:rFonts w:ascii="Arial" w:hAnsi="Arial" w:cs="Arial"/>
          <w:color w:val="353535"/>
          <w:sz w:val="20"/>
          <w:lang w:eastAsia="en-AU"/>
        </w:rPr>
        <w:t xml:space="preserve">earing and a pre-contest Directions </w:t>
      </w:r>
      <w:r w:rsidR="004C1D81">
        <w:rPr>
          <w:rFonts w:ascii="Arial" w:hAnsi="Arial" w:cs="Arial"/>
          <w:color w:val="353535"/>
          <w:sz w:val="20"/>
          <w:lang w:eastAsia="en-AU"/>
        </w:rPr>
        <w:t>h</w:t>
      </w:r>
      <w:r w:rsidR="003B555B" w:rsidRPr="0047445C">
        <w:rPr>
          <w:rFonts w:ascii="Arial" w:hAnsi="Arial" w:cs="Arial"/>
          <w:color w:val="353535"/>
          <w:sz w:val="20"/>
          <w:lang w:eastAsia="en-AU"/>
        </w:rPr>
        <w:t xml:space="preserve">earing as well as judicially led dispute resolution processes.  </w:t>
      </w:r>
      <w:r w:rsidR="003B555B" w:rsidRPr="0047445C">
        <w:rPr>
          <w:rFonts w:ascii="Arial" w:hAnsi="Arial" w:cs="Arial"/>
          <w:sz w:val="20"/>
        </w:rPr>
        <w:t xml:space="preserve">If a matter does not resolve at a Readiness </w:t>
      </w:r>
      <w:r>
        <w:rPr>
          <w:rFonts w:ascii="Arial" w:hAnsi="Arial" w:cs="Arial"/>
          <w:sz w:val="20"/>
        </w:rPr>
        <w:t>H</w:t>
      </w:r>
      <w:r w:rsidR="003B555B" w:rsidRPr="0047445C">
        <w:rPr>
          <w:rFonts w:ascii="Arial" w:hAnsi="Arial" w:cs="Arial"/>
          <w:sz w:val="20"/>
        </w:rPr>
        <w:t>earing, the Court will explore whether it is feasible to hear a contested IAO or final hearing, facilitated through audio visual link or otherwise, in a manner that meets the requirements of fairness and justice and is also consistent with the safety advice of the Chief Health Officer.  Priority is likely to be given to 1</w:t>
      </w:r>
      <w:r w:rsidR="003B555B">
        <w:rPr>
          <w:rFonts w:ascii="Arial" w:hAnsi="Arial" w:cs="Arial"/>
          <w:sz w:val="20"/>
        </w:rPr>
        <w:noBreakHyphen/>
      </w:r>
      <w:r w:rsidR="003B555B" w:rsidRPr="0047445C">
        <w:rPr>
          <w:rFonts w:ascii="Arial" w:hAnsi="Arial" w:cs="Arial"/>
          <w:sz w:val="20"/>
        </w:rPr>
        <w:t>3 day hearings.</w:t>
      </w:r>
    </w:p>
    <w:p w14:paraId="61776538" w14:textId="77777777" w:rsidR="004C1D81" w:rsidRDefault="004C1D81" w:rsidP="00061DAE">
      <w:pPr>
        <w:pStyle w:val="Heading3"/>
        <w:widowControl/>
        <w:spacing w:line="240" w:lineRule="auto"/>
        <w:rPr>
          <w:rFonts w:ascii="Arial" w:hAnsi="Arial" w:cs="Arial"/>
          <w:b/>
          <w:bCs/>
          <w:sz w:val="20"/>
        </w:rPr>
      </w:pPr>
    </w:p>
    <w:p w14:paraId="3C72F1F5" w14:textId="77777777" w:rsidR="007D7E39" w:rsidRPr="00785E1A" w:rsidRDefault="00693223" w:rsidP="007D7E39">
      <w:pPr>
        <w:pStyle w:val="Heading3"/>
        <w:keepNext/>
        <w:keepLines/>
        <w:spacing w:after="120" w:line="240" w:lineRule="auto"/>
        <w:rPr>
          <w:rFonts w:ascii="Arial" w:hAnsi="Arial" w:cs="Arial"/>
          <w:color w:val="000000"/>
          <w:sz w:val="20"/>
        </w:rPr>
      </w:pPr>
      <w:bookmarkStart w:id="1496" w:name="_4.9.5_Contested_hearing"/>
      <w:bookmarkStart w:id="1497" w:name="B495"/>
      <w:bookmarkEnd w:id="1496"/>
      <w:bookmarkEnd w:id="1497"/>
      <w:r>
        <w:rPr>
          <w:rFonts w:ascii="Arial" w:hAnsi="Arial" w:cs="Arial"/>
          <w:b/>
          <w:bCs/>
          <w:sz w:val="20"/>
        </w:rPr>
        <w:lastRenderedPageBreak/>
        <w:t>4.9</w:t>
      </w:r>
      <w:r w:rsidR="009B53F7">
        <w:rPr>
          <w:rFonts w:ascii="Arial" w:hAnsi="Arial" w:cs="Arial"/>
          <w:b/>
          <w:bCs/>
          <w:sz w:val="20"/>
        </w:rPr>
        <w:t>.5</w:t>
      </w:r>
      <w:r>
        <w:rPr>
          <w:rFonts w:ascii="Arial" w:hAnsi="Arial" w:cs="Arial"/>
          <w:b/>
          <w:bCs/>
          <w:sz w:val="20"/>
        </w:rPr>
        <w:tab/>
        <w:t>Contested hearing</w:t>
      </w:r>
    </w:p>
    <w:p w14:paraId="20B90AF7" w14:textId="77777777"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p>
    <w:p w14:paraId="75E659BA" w14:textId="77777777" w:rsidR="00705C9E" w:rsidRDefault="00705C9E" w:rsidP="00705C9E">
      <w:pPr>
        <w:ind w:left="363" w:hanging="363"/>
        <w:jc w:val="both"/>
        <w:rPr>
          <w:rFonts w:ascii="Arial" w:hAnsi="Arial" w:cs="Arial"/>
          <w:b/>
          <w:bCs/>
          <w:sz w:val="20"/>
        </w:rPr>
      </w:pPr>
    </w:p>
    <w:p w14:paraId="210D3706" w14:textId="77777777" w:rsidR="007D7E39" w:rsidRPr="00785E1A" w:rsidRDefault="00705C9E" w:rsidP="007D7E39">
      <w:pPr>
        <w:pStyle w:val="Heading3"/>
        <w:keepNext/>
        <w:keepLines/>
        <w:spacing w:after="120" w:line="240" w:lineRule="auto"/>
        <w:rPr>
          <w:rFonts w:ascii="Arial" w:hAnsi="Arial" w:cs="Arial"/>
          <w:color w:val="000000"/>
          <w:sz w:val="20"/>
        </w:rPr>
      </w:pPr>
      <w:bookmarkStart w:id="1498" w:name="_4.9.6_Marram-Ngala_Ganbu"/>
      <w:bookmarkStart w:id="1499" w:name="B496"/>
      <w:bookmarkEnd w:id="1498"/>
      <w:bookmarkEnd w:id="1499"/>
      <w:r>
        <w:rPr>
          <w:rFonts w:ascii="Arial" w:hAnsi="Arial" w:cs="Arial"/>
          <w:b/>
          <w:bCs/>
          <w:sz w:val="20"/>
        </w:rPr>
        <w:t>4.9.6</w:t>
      </w:r>
      <w:r>
        <w:rPr>
          <w:rFonts w:ascii="Arial" w:hAnsi="Arial" w:cs="Arial"/>
          <w:b/>
          <w:bCs/>
          <w:sz w:val="20"/>
        </w:rPr>
        <w:tab/>
        <w:t>Marram-Ngala Ganbu Program</w:t>
      </w:r>
    </w:p>
    <w:p w14:paraId="13049DCD"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332672ED" w14:textId="77777777" w:rsidR="00D441CB" w:rsidRPr="00F51496" w:rsidRDefault="00D441CB" w:rsidP="000C54CD">
      <w:pPr>
        <w:numPr>
          <w:ilvl w:val="0"/>
          <w:numId w:val="62"/>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Aborigine or Torres Strait Islander; and</w:t>
      </w:r>
    </w:p>
    <w:p w14:paraId="6513C370" w14:textId="77777777" w:rsidR="00D441CB" w:rsidRPr="00F51496" w:rsidRDefault="00D441CB" w:rsidP="000C54CD">
      <w:pPr>
        <w:numPr>
          <w:ilvl w:val="0"/>
          <w:numId w:val="62"/>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Aborigine or Torres Strait Islander; and</w:t>
      </w:r>
    </w:p>
    <w:p w14:paraId="423D9B9E" w14:textId="77777777" w:rsidR="00D441CB" w:rsidRPr="00F51496" w:rsidRDefault="00D441CB" w:rsidP="000C54CD">
      <w:pPr>
        <w:numPr>
          <w:ilvl w:val="0"/>
          <w:numId w:val="62"/>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Aborigine or Torres Strait Islander by an Aboriginal or Torres Strait Islander community.</w:t>
      </w:r>
    </w:p>
    <w:p w14:paraId="5087E6DF" w14:textId="77777777" w:rsidR="00D441CB" w:rsidRDefault="00D441CB" w:rsidP="00132E50">
      <w:pPr>
        <w:ind w:left="363" w:hanging="363"/>
        <w:jc w:val="both"/>
        <w:rPr>
          <w:rFonts w:ascii="Arial" w:hAnsi="Arial" w:cs="Arial"/>
          <w:b/>
          <w:bCs/>
          <w:sz w:val="20"/>
        </w:rPr>
      </w:pPr>
    </w:p>
    <w:p w14:paraId="08B0D720" w14:textId="77777777"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03399F80" w14:textId="77777777" w:rsidR="00816B30" w:rsidRDefault="00816B30" w:rsidP="00132E50">
      <w:pPr>
        <w:ind w:left="363" w:hanging="363"/>
        <w:jc w:val="both"/>
        <w:rPr>
          <w:rFonts w:ascii="Arial" w:hAnsi="Arial" w:cs="Arial"/>
          <w:b/>
          <w:bCs/>
          <w:sz w:val="20"/>
        </w:rPr>
      </w:pPr>
    </w:p>
    <w:p w14:paraId="54A89FCE" w14:textId="77777777"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Ganbu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Ganbu means “We are one” in the Woiwurrung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Evaluation of Marram-Ngala Ganbu</w:t>
      </w:r>
      <w:r w:rsidR="00DD3832">
        <w:rPr>
          <w:rFonts w:ascii="Arial" w:hAnsi="Arial" w:cs="Arial"/>
          <w:color w:val="000000"/>
          <w:sz w:val="20"/>
        </w:rPr>
        <w:t xml:space="preserve"> (November 2019)</w:t>
      </w:r>
      <w:r w:rsidR="008D0BD2">
        <w:rPr>
          <w:rFonts w:ascii="Arial" w:hAnsi="Arial" w:cs="Arial"/>
          <w:color w:val="000000"/>
          <w:sz w:val="20"/>
        </w:rPr>
        <w:t>.</w:t>
      </w:r>
    </w:p>
    <w:p w14:paraId="6407856B" w14:textId="77777777" w:rsidR="00DD3832" w:rsidRDefault="00DD3832" w:rsidP="00705C9E">
      <w:pPr>
        <w:jc w:val="both"/>
        <w:rPr>
          <w:rFonts w:ascii="Arial" w:hAnsi="Arial" w:cs="Arial"/>
          <w:color w:val="000000"/>
          <w:sz w:val="20"/>
        </w:rPr>
      </w:pPr>
    </w:p>
    <w:p w14:paraId="0F9633B7" w14:textId="77777777"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‘Marram-Ngala Ganbu: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non-indigenous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104A9ECB" w14:textId="77777777" w:rsidR="00705C9E" w:rsidRDefault="00705C9E" w:rsidP="00705C9E">
      <w:pPr>
        <w:jc w:val="both"/>
        <w:rPr>
          <w:rFonts w:ascii="Arial" w:hAnsi="Arial" w:cs="Arial"/>
          <w:color w:val="000000"/>
          <w:sz w:val="20"/>
        </w:rPr>
      </w:pPr>
    </w:p>
    <w:p w14:paraId="19BA84C6" w14:textId="77777777"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Ganbu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23846E28" w14:textId="77777777" w:rsidR="00112297" w:rsidRDefault="00112297" w:rsidP="000C54CD">
      <w:pPr>
        <w:numPr>
          <w:ilvl w:val="0"/>
          <w:numId w:val="63"/>
        </w:numPr>
        <w:ind w:left="357" w:hanging="357"/>
        <w:jc w:val="both"/>
        <w:rPr>
          <w:rFonts w:ascii="Arial" w:hAnsi="Arial" w:cs="Arial"/>
          <w:color w:val="000000"/>
          <w:sz w:val="20"/>
        </w:rPr>
      </w:pPr>
      <w:r w:rsidRPr="001A5C38">
        <w:rPr>
          <w:rFonts w:ascii="Arial" w:hAnsi="Arial" w:cs="Arial"/>
          <w:b/>
          <w:bCs/>
          <w:color w:val="000000"/>
          <w:sz w:val="20"/>
        </w:rPr>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2A82C049" w14:textId="77777777" w:rsidR="003155E1" w:rsidRDefault="003155E1" w:rsidP="000C54CD">
      <w:pPr>
        <w:numPr>
          <w:ilvl w:val="0"/>
          <w:numId w:val="63"/>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5177C7E" w14:textId="77777777" w:rsidR="00AA3936" w:rsidRPr="00AA3936" w:rsidRDefault="003155E1" w:rsidP="000C54CD">
      <w:pPr>
        <w:numPr>
          <w:ilvl w:val="0"/>
          <w:numId w:val="63"/>
        </w:numPr>
        <w:ind w:left="357" w:hanging="357"/>
        <w:jc w:val="both"/>
        <w:rPr>
          <w:rFonts w:ascii="Arial" w:hAnsi="Arial" w:cs="Arial"/>
          <w:color w:val="000000"/>
          <w:sz w:val="20"/>
        </w:rPr>
      </w:pPr>
      <w:r w:rsidRPr="001A5C38">
        <w:rPr>
          <w:rFonts w:ascii="Arial" w:hAnsi="Arial" w:cs="Arial"/>
          <w:b/>
          <w:bCs/>
          <w:color w:val="000000"/>
          <w:sz w:val="20"/>
        </w:rPr>
        <w:lastRenderedPageBreak/>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210FF505" w14:textId="77777777" w:rsidR="00062A4F" w:rsidRDefault="00062A4F" w:rsidP="000C54CD">
      <w:pPr>
        <w:numPr>
          <w:ilvl w:val="0"/>
          <w:numId w:val="63"/>
        </w:numPr>
        <w:ind w:left="357" w:hanging="357"/>
        <w:jc w:val="both"/>
        <w:rPr>
          <w:rFonts w:ascii="Arial" w:hAnsi="Arial" w:cs="Arial"/>
          <w:color w:val="000000"/>
          <w:sz w:val="20"/>
        </w:rPr>
      </w:pPr>
      <w:r w:rsidRPr="00FB6D2C">
        <w:rPr>
          <w:rFonts w:ascii="Arial" w:hAnsi="Arial" w:cs="Arial"/>
          <w:b/>
          <w:bCs/>
          <w:color w:val="000000"/>
          <w:sz w:val="20"/>
        </w:rPr>
        <w:t>Fewer cases</w:t>
      </w:r>
      <w:r>
        <w:rPr>
          <w:rFonts w:ascii="Arial" w:hAnsi="Arial" w:cs="Arial"/>
          <w:color w:val="000000"/>
          <w:sz w:val="20"/>
        </w:rPr>
        <w:t xml:space="preserve"> (typically 10-12) are listed on a Marram-Ngala Ganbu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 and conciliation conferences.</w:t>
      </w:r>
    </w:p>
    <w:p w14:paraId="7C379568" w14:textId="77777777" w:rsidR="00062A4F" w:rsidRPr="00F51496" w:rsidRDefault="00062A4F" w:rsidP="000C54CD">
      <w:pPr>
        <w:numPr>
          <w:ilvl w:val="0"/>
          <w:numId w:val="63"/>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7B6BB9C1" w14:textId="77777777" w:rsidR="00705C9E" w:rsidRPr="00816B30" w:rsidRDefault="00705C9E" w:rsidP="00816B30">
      <w:pPr>
        <w:jc w:val="both"/>
        <w:rPr>
          <w:rFonts w:ascii="Arial" w:hAnsi="Arial" w:cs="Arial"/>
          <w:sz w:val="20"/>
        </w:rPr>
      </w:pPr>
    </w:p>
    <w:p w14:paraId="6EC20E6E" w14:textId="77777777"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Ganbu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Ganbu Court sits </w:t>
      </w:r>
      <w:r w:rsidR="00FB6D2C">
        <w:rPr>
          <w:rFonts w:ascii="Arial" w:hAnsi="Arial" w:cs="Arial"/>
          <w:color w:val="000000"/>
          <w:sz w:val="20"/>
        </w:rPr>
        <w:t>weekly</w:t>
      </w:r>
      <w:r w:rsidR="00816B30">
        <w:rPr>
          <w:rFonts w:ascii="Arial" w:hAnsi="Arial" w:cs="Arial"/>
          <w:color w:val="000000"/>
          <w:sz w:val="20"/>
        </w:rPr>
        <w:t xml:space="preserve"> at Broadmeadows and on one day every 3 weeks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every family with a Koori child whose case is listed at Broadmeadows or Shepparton Children’s Courts is heard at MNG unless the family wishes to opt out</w:t>
      </w:r>
      <w:r w:rsidR="00FB6D2C">
        <w:rPr>
          <w:rFonts w:ascii="Arial" w:hAnsi="Arial" w:cs="Arial"/>
          <w:color w:val="000000"/>
          <w:sz w:val="20"/>
        </w:rPr>
        <w:t>.</w:t>
      </w:r>
    </w:p>
    <w:p w14:paraId="25B092C4" w14:textId="77777777" w:rsidR="008534CC" w:rsidRDefault="008534CC" w:rsidP="00AA3936">
      <w:pPr>
        <w:jc w:val="both"/>
        <w:rPr>
          <w:rFonts w:ascii="Arial" w:hAnsi="Arial" w:cs="Arial"/>
          <w:color w:val="000000"/>
          <w:sz w:val="20"/>
        </w:rPr>
      </w:pPr>
    </w:p>
    <w:p w14:paraId="01FB25F9" w14:textId="77777777" w:rsidR="00816B30" w:rsidRDefault="00816B30" w:rsidP="00AA3936">
      <w:pPr>
        <w:jc w:val="both"/>
        <w:rPr>
          <w:rFonts w:ascii="Arial" w:hAnsi="Arial" w:cs="Arial"/>
          <w:sz w:val="20"/>
          <w:szCs w:val="20"/>
        </w:rPr>
      </w:pPr>
      <w:r>
        <w:rPr>
          <w:rFonts w:ascii="Arial" w:hAnsi="Arial" w:cs="Arial"/>
          <w:color w:val="000000"/>
          <w:sz w:val="20"/>
        </w:rPr>
        <w:t xml:space="preserve">The Koori Services Coordinator (KSC) is </w:t>
      </w:r>
      <w:r w:rsidRPr="00816B30">
        <w:rPr>
          <w:rFonts w:ascii="Arial" w:hAnsi="Arial" w:cs="Arial"/>
          <w:sz w:val="20"/>
          <w:szCs w:val="20"/>
        </w:rPr>
        <w:t xml:space="preserve">responsible for co-ordination of the Koori Family Hearing Day. The KSC </w:t>
      </w:r>
      <w:r w:rsidR="008534CC">
        <w:rPr>
          <w:rFonts w:ascii="Arial" w:hAnsi="Arial" w:cs="Arial"/>
          <w:sz w:val="20"/>
          <w:szCs w:val="20"/>
        </w:rPr>
        <w:t xml:space="preserve">is </w:t>
      </w:r>
      <w:r w:rsidRPr="00816B30">
        <w:rPr>
          <w:rFonts w:ascii="Arial" w:hAnsi="Arial" w:cs="Arial"/>
          <w:sz w:val="20"/>
          <w:szCs w:val="20"/>
        </w:rPr>
        <w:t>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1AEC80D9" w14:textId="77777777" w:rsidR="00816B30" w:rsidRDefault="00816B30" w:rsidP="00AA3936">
      <w:pPr>
        <w:jc w:val="both"/>
        <w:rPr>
          <w:rFonts w:ascii="Arial" w:hAnsi="Arial" w:cs="Arial"/>
          <w:sz w:val="20"/>
          <w:szCs w:val="20"/>
        </w:rPr>
      </w:pPr>
    </w:p>
    <w:p w14:paraId="7E17D1EF" w14:textId="77777777" w:rsidR="00816B30" w:rsidRDefault="00816B30" w:rsidP="00AA3936">
      <w:pPr>
        <w:jc w:val="both"/>
        <w:rPr>
          <w:rFonts w:ascii="Arial" w:hAnsi="Arial" w:cs="Arial"/>
          <w:sz w:val="20"/>
          <w:szCs w:val="20"/>
        </w:rPr>
      </w:pPr>
      <w:r w:rsidRPr="00816B30">
        <w:rPr>
          <w:rFonts w:ascii="Arial" w:hAnsi="Arial" w:cs="Arial"/>
          <w:sz w:val="20"/>
          <w:szCs w:val="20"/>
        </w:rPr>
        <w:t>Subject to the direction of the presiding judicial officer</w:t>
      </w:r>
      <w:r>
        <w:rPr>
          <w:rFonts w:ascii="Arial" w:hAnsi="Arial" w:cs="Arial"/>
          <w:sz w:val="20"/>
          <w:szCs w:val="20"/>
        </w:rPr>
        <w:t>:</w:t>
      </w:r>
    </w:p>
    <w:p w14:paraId="72DDAB24" w14:textId="77777777" w:rsidR="00816B30" w:rsidRPr="00816B30" w:rsidRDefault="00816B30" w:rsidP="00816B30">
      <w:pPr>
        <w:numPr>
          <w:ilvl w:val="0"/>
          <w:numId w:val="73"/>
        </w:numPr>
        <w:ind w:left="357" w:hanging="357"/>
        <w:jc w:val="both"/>
        <w:rPr>
          <w:rFonts w:ascii="Arial" w:hAnsi="Arial" w:cs="Arial"/>
          <w:color w:val="000000"/>
          <w:sz w:val="20"/>
        </w:rPr>
      </w:pPr>
      <w:r w:rsidRPr="00816B30">
        <w:rPr>
          <w:rFonts w:ascii="Arial" w:hAnsi="Arial" w:cs="Arial"/>
          <w:sz w:val="20"/>
          <w:szCs w:val="20"/>
        </w:rPr>
        <w:t xml:space="preserve">proceedings </w:t>
      </w:r>
      <w:r w:rsidR="00C75E68">
        <w:rPr>
          <w:rFonts w:ascii="Arial" w:hAnsi="Arial" w:cs="Arial"/>
          <w:sz w:val="20"/>
          <w:szCs w:val="20"/>
        </w:rPr>
        <w:t>i</w:t>
      </w:r>
      <w:r w:rsidRPr="00816B30">
        <w:rPr>
          <w:rFonts w:ascii="Arial" w:hAnsi="Arial" w:cs="Arial"/>
          <w:sz w:val="20"/>
          <w:szCs w:val="20"/>
        </w:rPr>
        <w:t xml:space="preserve">n the Koori Family Hearing Day </w:t>
      </w:r>
      <w:r>
        <w:rPr>
          <w:rFonts w:ascii="Arial" w:hAnsi="Arial" w:cs="Arial"/>
          <w:sz w:val="20"/>
          <w:szCs w:val="20"/>
        </w:rPr>
        <w:t xml:space="preserve">are </w:t>
      </w:r>
      <w:r w:rsidRPr="00816B30">
        <w:rPr>
          <w:rFonts w:ascii="Arial" w:hAnsi="Arial" w:cs="Arial"/>
          <w:sz w:val="20"/>
          <w:szCs w:val="20"/>
        </w:rPr>
        <w:t>conducted at the bar table where all participants are seated</w:t>
      </w:r>
      <w:r>
        <w:rPr>
          <w:rFonts w:ascii="Arial" w:hAnsi="Arial" w:cs="Arial"/>
          <w:sz w:val="20"/>
          <w:szCs w:val="20"/>
        </w:rPr>
        <w:t>; however, d</w:t>
      </w:r>
      <w:r w:rsidRPr="00816B30">
        <w:rPr>
          <w:rFonts w:ascii="Arial" w:hAnsi="Arial" w:cs="Arial"/>
          <w:sz w:val="20"/>
          <w:szCs w:val="20"/>
        </w:rPr>
        <w:t>ue to COVID-19 restrictions some or all the parties and service providers may be required to appear by audio visual link</w:t>
      </w:r>
      <w:r>
        <w:rPr>
          <w:rFonts w:ascii="Arial" w:hAnsi="Arial" w:cs="Arial"/>
          <w:sz w:val="20"/>
          <w:szCs w:val="20"/>
        </w:rPr>
        <w:t>;</w:t>
      </w:r>
    </w:p>
    <w:p w14:paraId="3CFB84E1" w14:textId="77777777" w:rsidR="00816B30" w:rsidRPr="00816B30" w:rsidRDefault="00816B30" w:rsidP="00816B30">
      <w:pPr>
        <w:numPr>
          <w:ilvl w:val="0"/>
          <w:numId w:val="73"/>
        </w:numPr>
        <w:ind w:left="357" w:hanging="357"/>
        <w:jc w:val="both"/>
        <w:rPr>
          <w:rFonts w:ascii="Arial" w:hAnsi="Arial" w:cs="Arial"/>
          <w:color w:val="000000"/>
          <w:sz w:val="20"/>
        </w:rPr>
      </w:pPr>
      <w:r w:rsidRPr="00816B30">
        <w:rPr>
          <w:rFonts w:ascii="Arial" w:hAnsi="Arial" w:cs="Arial"/>
          <w:sz w:val="20"/>
          <w:szCs w:val="20"/>
        </w:rPr>
        <w:t>participants in the Koori Family Hearing Day will include the parties and their legal representatives, the case worker, a Lakidjeka/ACSASS4 worker and, where appropriate, the KSC and representatives from service providers utilised by the child or family</w:t>
      </w:r>
      <w:r w:rsidR="00517EC1">
        <w:rPr>
          <w:rFonts w:ascii="Arial" w:hAnsi="Arial" w:cs="Arial"/>
          <w:sz w:val="20"/>
          <w:szCs w:val="20"/>
        </w:rPr>
        <w:t>; the Lakidjeka Aboriginal Child Specialist Advice and Support Service (ACSASS) program provides culturally appropriate advice and consultation on decisions that determine the future of at-risk Aboriginal children.</w:t>
      </w:r>
    </w:p>
    <w:p w14:paraId="18258EDF" w14:textId="77777777" w:rsidR="00816B30" w:rsidRPr="00816B30" w:rsidRDefault="00816B30" w:rsidP="00816B30">
      <w:pPr>
        <w:jc w:val="both"/>
        <w:rPr>
          <w:rFonts w:ascii="Arial" w:hAnsi="Arial" w:cs="Arial"/>
          <w:color w:val="000000"/>
          <w:sz w:val="20"/>
        </w:rPr>
      </w:pPr>
    </w:p>
    <w:p w14:paraId="73E6C066" w14:textId="77777777" w:rsidR="00816B30" w:rsidRDefault="00816B30" w:rsidP="00816B30">
      <w:pPr>
        <w:jc w:val="both"/>
        <w:rPr>
          <w:rFonts w:ascii="Arial" w:hAnsi="Arial" w:cs="Arial"/>
          <w:color w:val="000000"/>
          <w:sz w:val="20"/>
        </w:rPr>
      </w:pPr>
      <w:r w:rsidRPr="00816B30">
        <w:rPr>
          <w:rFonts w:ascii="Arial" w:hAnsi="Arial" w:cs="Arial"/>
          <w:sz w:val="20"/>
          <w:szCs w:val="20"/>
        </w:rPr>
        <w:t xml:space="preserve">Where practicable, child protection applications heard in the Koori Family Hearing Day </w:t>
      </w:r>
      <w:r>
        <w:rPr>
          <w:rFonts w:ascii="Arial" w:hAnsi="Arial" w:cs="Arial"/>
          <w:sz w:val="20"/>
          <w:szCs w:val="20"/>
        </w:rPr>
        <w:t>are</w:t>
      </w:r>
      <w:r w:rsidRPr="00816B30">
        <w:rPr>
          <w:rFonts w:ascii="Arial" w:hAnsi="Arial" w:cs="Arial"/>
          <w:sz w:val="20"/>
          <w:szCs w:val="20"/>
        </w:rPr>
        <w:t xml:space="preserve"> listed before the one judicial officer. Where a child protection application is referred for a conciliation conference under s217 of the Act, a conciliation conference </w:t>
      </w:r>
      <w:r>
        <w:rPr>
          <w:rFonts w:ascii="Arial" w:hAnsi="Arial" w:cs="Arial"/>
          <w:sz w:val="20"/>
          <w:szCs w:val="20"/>
        </w:rPr>
        <w:t>is</w:t>
      </w:r>
      <w:r w:rsidRPr="00816B30">
        <w:rPr>
          <w:rFonts w:ascii="Arial" w:hAnsi="Arial" w:cs="Arial"/>
          <w:sz w:val="20"/>
          <w:szCs w:val="20"/>
        </w:rPr>
        <w:t xml:space="preserve"> conducted, where practicable, by a Koori convener appointed under s227 of the Act on a Koori Family Hearing Day.</w:t>
      </w:r>
    </w:p>
    <w:p w14:paraId="766FFC84" w14:textId="77777777" w:rsidR="00816B30" w:rsidRDefault="00816B30" w:rsidP="00AA3936">
      <w:pPr>
        <w:jc w:val="both"/>
        <w:rPr>
          <w:rFonts w:ascii="Arial" w:hAnsi="Arial" w:cs="Arial"/>
          <w:color w:val="000000"/>
          <w:sz w:val="20"/>
        </w:rPr>
      </w:pPr>
    </w:p>
    <w:p w14:paraId="413750B6" w14:textId="77777777" w:rsidR="001B14AB"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Ganbu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The number of </w:t>
      </w:r>
      <w:r w:rsidR="00775B9E">
        <w:rPr>
          <w:rFonts w:ascii="Arial" w:hAnsi="Arial" w:cs="Arial"/>
          <w:color w:val="000000"/>
          <w:sz w:val="20"/>
        </w:rPr>
        <w:t xml:space="preserve">times a family came before </w:t>
      </w:r>
      <w:r w:rsidR="008534CC">
        <w:rPr>
          <w:rFonts w:ascii="Arial" w:hAnsi="Arial" w:cs="Arial"/>
          <w:color w:val="000000"/>
          <w:sz w:val="20"/>
        </w:rPr>
        <w:t xml:space="preserve">MNG </w:t>
      </w:r>
      <w:r w:rsidR="00775B9E">
        <w:rPr>
          <w:rFonts w:ascii="Arial" w:hAnsi="Arial" w:cs="Arial"/>
          <w:color w:val="000000"/>
          <w:sz w:val="20"/>
        </w:rPr>
        <w:t>during each month in the financial year 2019/20 is shown in the table below”</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565"/>
        <w:gridCol w:w="2699"/>
        <w:gridCol w:w="1565"/>
      </w:tblGrid>
      <w:tr w:rsidR="00775B9E" w:rsidRPr="00D15CA3" w14:paraId="42458801" w14:textId="77777777" w:rsidTr="00D15CA3">
        <w:tc>
          <w:tcPr>
            <w:tcW w:w="2699" w:type="dxa"/>
            <w:shd w:val="clear" w:color="auto" w:fill="auto"/>
          </w:tcPr>
          <w:p w14:paraId="02201A3B" w14:textId="77777777" w:rsidR="00775B9E" w:rsidRPr="00D15CA3" w:rsidRDefault="00775B9E" w:rsidP="00D15CA3">
            <w:pPr>
              <w:jc w:val="both"/>
              <w:rPr>
                <w:rFonts w:ascii="Arial" w:hAnsi="Arial" w:cs="Arial"/>
                <w:color w:val="000000"/>
                <w:sz w:val="20"/>
              </w:rPr>
            </w:pPr>
            <w:r w:rsidRPr="00D15CA3">
              <w:rPr>
                <w:rFonts w:ascii="Arial" w:hAnsi="Arial" w:cs="Arial"/>
                <w:color w:val="000000"/>
                <w:sz w:val="20"/>
              </w:rPr>
              <w:t>July 2019 [5 sittings]</w:t>
            </w:r>
          </w:p>
        </w:tc>
        <w:tc>
          <w:tcPr>
            <w:tcW w:w="1565" w:type="dxa"/>
            <w:shd w:val="clear" w:color="auto" w:fill="auto"/>
          </w:tcPr>
          <w:p w14:paraId="249B012F" w14:textId="77777777" w:rsidR="00775B9E" w:rsidRPr="00D15CA3" w:rsidRDefault="00775B9E" w:rsidP="00D15CA3">
            <w:pPr>
              <w:jc w:val="center"/>
              <w:rPr>
                <w:rFonts w:ascii="Arial" w:hAnsi="Arial" w:cs="Arial"/>
                <w:color w:val="000000"/>
                <w:sz w:val="20"/>
              </w:rPr>
            </w:pPr>
            <w:r w:rsidRPr="00D15CA3">
              <w:rPr>
                <w:rFonts w:ascii="Arial" w:hAnsi="Arial" w:cs="Arial"/>
                <w:color w:val="000000"/>
                <w:sz w:val="20"/>
              </w:rPr>
              <w:t>47</w:t>
            </w:r>
          </w:p>
        </w:tc>
        <w:tc>
          <w:tcPr>
            <w:tcW w:w="2699" w:type="dxa"/>
            <w:shd w:val="clear" w:color="auto" w:fill="auto"/>
          </w:tcPr>
          <w:p w14:paraId="698920F2" w14:textId="77777777" w:rsidR="00775B9E" w:rsidRPr="00D15CA3" w:rsidRDefault="00775B9E" w:rsidP="00D15CA3">
            <w:pPr>
              <w:jc w:val="both"/>
              <w:rPr>
                <w:rFonts w:ascii="Arial" w:hAnsi="Arial" w:cs="Arial"/>
                <w:color w:val="000000"/>
                <w:sz w:val="20"/>
              </w:rPr>
            </w:pPr>
            <w:r w:rsidRPr="00D15CA3">
              <w:rPr>
                <w:rFonts w:ascii="Arial" w:hAnsi="Arial" w:cs="Arial"/>
                <w:color w:val="000000"/>
                <w:sz w:val="20"/>
              </w:rPr>
              <w:t>January 2020 [4 sittings]</w:t>
            </w:r>
          </w:p>
        </w:tc>
        <w:tc>
          <w:tcPr>
            <w:tcW w:w="1565" w:type="dxa"/>
            <w:shd w:val="clear" w:color="auto" w:fill="auto"/>
          </w:tcPr>
          <w:p w14:paraId="4CC1CF96" w14:textId="77777777" w:rsidR="00775B9E" w:rsidRPr="00D15CA3" w:rsidRDefault="00775B9E" w:rsidP="00D15CA3">
            <w:pPr>
              <w:jc w:val="center"/>
              <w:rPr>
                <w:rFonts w:ascii="Arial" w:hAnsi="Arial" w:cs="Arial"/>
                <w:color w:val="000000"/>
                <w:sz w:val="20"/>
              </w:rPr>
            </w:pPr>
            <w:r w:rsidRPr="00D15CA3">
              <w:rPr>
                <w:rFonts w:ascii="Arial" w:hAnsi="Arial" w:cs="Arial"/>
                <w:color w:val="000000"/>
                <w:sz w:val="20"/>
              </w:rPr>
              <w:t>47</w:t>
            </w:r>
          </w:p>
        </w:tc>
      </w:tr>
      <w:tr w:rsidR="00775B9E" w:rsidRPr="00D15CA3" w14:paraId="65344100" w14:textId="77777777" w:rsidTr="00D15CA3">
        <w:tc>
          <w:tcPr>
            <w:tcW w:w="2699" w:type="dxa"/>
            <w:shd w:val="clear" w:color="auto" w:fill="auto"/>
          </w:tcPr>
          <w:p w14:paraId="007F7864" w14:textId="77777777" w:rsidR="00775B9E" w:rsidRPr="00D15CA3" w:rsidRDefault="00775B9E" w:rsidP="00D15CA3">
            <w:pPr>
              <w:jc w:val="both"/>
              <w:rPr>
                <w:rFonts w:ascii="Arial" w:hAnsi="Arial" w:cs="Arial"/>
                <w:color w:val="000000"/>
                <w:sz w:val="20"/>
              </w:rPr>
            </w:pPr>
            <w:r w:rsidRPr="00D15CA3">
              <w:rPr>
                <w:rFonts w:ascii="Arial" w:hAnsi="Arial" w:cs="Arial"/>
                <w:color w:val="000000"/>
                <w:sz w:val="20"/>
              </w:rPr>
              <w:t>August 2019 [4 sittings]</w:t>
            </w:r>
          </w:p>
        </w:tc>
        <w:tc>
          <w:tcPr>
            <w:tcW w:w="1565" w:type="dxa"/>
            <w:shd w:val="clear" w:color="auto" w:fill="auto"/>
          </w:tcPr>
          <w:p w14:paraId="353A48A1" w14:textId="77777777" w:rsidR="00775B9E" w:rsidRPr="00D15CA3" w:rsidRDefault="00775B9E" w:rsidP="00D15CA3">
            <w:pPr>
              <w:jc w:val="center"/>
              <w:rPr>
                <w:rFonts w:ascii="Arial" w:hAnsi="Arial" w:cs="Arial"/>
                <w:color w:val="000000"/>
                <w:sz w:val="20"/>
              </w:rPr>
            </w:pPr>
            <w:r w:rsidRPr="00D15CA3">
              <w:rPr>
                <w:rFonts w:ascii="Arial" w:hAnsi="Arial" w:cs="Arial"/>
                <w:color w:val="000000"/>
                <w:sz w:val="20"/>
              </w:rPr>
              <w:t>48</w:t>
            </w:r>
          </w:p>
        </w:tc>
        <w:tc>
          <w:tcPr>
            <w:tcW w:w="2699" w:type="dxa"/>
            <w:shd w:val="clear" w:color="auto" w:fill="auto"/>
          </w:tcPr>
          <w:p w14:paraId="18011A17" w14:textId="77777777" w:rsidR="00775B9E" w:rsidRPr="00D15CA3" w:rsidRDefault="00775B9E" w:rsidP="00D15CA3">
            <w:pPr>
              <w:jc w:val="both"/>
              <w:rPr>
                <w:rFonts w:ascii="Arial" w:hAnsi="Arial" w:cs="Arial"/>
                <w:color w:val="000000"/>
                <w:sz w:val="20"/>
              </w:rPr>
            </w:pPr>
            <w:r w:rsidRPr="00D15CA3">
              <w:rPr>
                <w:rFonts w:ascii="Arial" w:hAnsi="Arial" w:cs="Arial"/>
                <w:color w:val="000000"/>
                <w:sz w:val="20"/>
              </w:rPr>
              <w:t>February 2020 [5 sittings]</w:t>
            </w:r>
          </w:p>
        </w:tc>
        <w:tc>
          <w:tcPr>
            <w:tcW w:w="1565" w:type="dxa"/>
            <w:shd w:val="clear" w:color="auto" w:fill="auto"/>
          </w:tcPr>
          <w:p w14:paraId="7D529BE9" w14:textId="77777777" w:rsidR="00775B9E" w:rsidRPr="00D15CA3" w:rsidRDefault="00775B9E" w:rsidP="00D15CA3">
            <w:pPr>
              <w:jc w:val="center"/>
              <w:rPr>
                <w:rFonts w:ascii="Arial" w:hAnsi="Arial" w:cs="Arial"/>
                <w:color w:val="000000"/>
                <w:sz w:val="20"/>
              </w:rPr>
            </w:pPr>
            <w:r w:rsidRPr="00D15CA3">
              <w:rPr>
                <w:rFonts w:ascii="Arial" w:hAnsi="Arial" w:cs="Arial"/>
                <w:color w:val="000000"/>
                <w:sz w:val="20"/>
              </w:rPr>
              <w:t>52</w:t>
            </w:r>
          </w:p>
        </w:tc>
      </w:tr>
      <w:tr w:rsidR="00775B9E" w:rsidRPr="00D15CA3" w14:paraId="5FC61784" w14:textId="77777777" w:rsidTr="00D15CA3">
        <w:tc>
          <w:tcPr>
            <w:tcW w:w="2699" w:type="dxa"/>
            <w:shd w:val="clear" w:color="auto" w:fill="auto"/>
          </w:tcPr>
          <w:p w14:paraId="20AE8F45" w14:textId="77777777" w:rsidR="00775B9E" w:rsidRPr="00D15CA3" w:rsidRDefault="00775B9E" w:rsidP="00D15CA3">
            <w:pPr>
              <w:jc w:val="both"/>
              <w:rPr>
                <w:rFonts w:ascii="Arial" w:hAnsi="Arial" w:cs="Arial"/>
                <w:color w:val="000000"/>
                <w:sz w:val="20"/>
              </w:rPr>
            </w:pPr>
            <w:r w:rsidRPr="00D15CA3">
              <w:rPr>
                <w:rFonts w:ascii="Arial" w:hAnsi="Arial" w:cs="Arial"/>
                <w:color w:val="000000"/>
                <w:sz w:val="20"/>
              </w:rPr>
              <w:t>September 2019 [4 sittings]</w:t>
            </w:r>
          </w:p>
        </w:tc>
        <w:tc>
          <w:tcPr>
            <w:tcW w:w="1565" w:type="dxa"/>
            <w:shd w:val="clear" w:color="auto" w:fill="auto"/>
          </w:tcPr>
          <w:p w14:paraId="63BAFD9D" w14:textId="77777777" w:rsidR="00775B9E" w:rsidRPr="00D15CA3" w:rsidRDefault="00775B9E" w:rsidP="00D15CA3">
            <w:pPr>
              <w:jc w:val="center"/>
              <w:rPr>
                <w:rFonts w:ascii="Arial" w:hAnsi="Arial" w:cs="Arial"/>
                <w:color w:val="000000"/>
                <w:sz w:val="20"/>
              </w:rPr>
            </w:pPr>
            <w:r w:rsidRPr="00D15CA3">
              <w:rPr>
                <w:rFonts w:ascii="Arial" w:hAnsi="Arial" w:cs="Arial"/>
                <w:color w:val="000000"/>
                <w:sz w:val="20"/>
              </w:rPr>
              <w:t>44</w:t>
            </w:r>
          </w:p>
        </w:tc>
        <w:tc>
          <w:tcPr>
            <w:tcW w:w="2699" w:type="dxa"/>
            <w:shd w:val="clear" w:color="auto" w:fill="auto"/>
          </w:tcPr>
          <w:p w14:paraId="17A06F0B" w14:textId="77777777" w:rsidR="00775B9E" w:rsidRPr="00D15CA3" w:rsidRDefault="00775B9E" w:rsidP="00D15CA3">
            <w:pPr>
              <w:jc w:val="both"/>
              <w:rPr>
                <w:rFonts w:ascii="Arial" w:hAnsi="Arial" w:cs="Arial"/>
                <w:color w:val="000000"/>
                <w:sz w:val="20"/>
              </w:rPr>
            </w:pPr>
            <w:r w:rsidRPr="00D15CA3">
              <w:rPr>
                <w:rFonts w:ascii="Arial" w:hAnsi="Arial" w:cs="Arial"/>
                <w:color w:val="000000"/>
                <w:sz w:val="20"/>
              </w:rPr>
              <w:t>March 2020 [5 sittings]</w:t>
            </w:r>
          </w:p>
        </w:tc>
        <w:tc>
          <w:tcPr>
            <w:tcW w:w="1565" w:type="dxa"/>
            <w:shd w:val="clear" w:color="auto" w:fill="auto"/>
          </w:tcPr>
          <w:p w14:paraId="00D0A7E8" w14:textId="77777777" w:rsidR="00775B9E" w:rsidRPr="00D15CA3" w:rsidRDefault="00775B9E" w:rsidP="00D15CA3">
            <w:pPr>
              <w:jc w:val="center"/>
              <w:rPr>
                <w:rFonts w:ascii="Arial" w:hAnsi="Arial" w:cs="Arial"/>
                <w:color w:val="000000"/>
                <w:sz w:val="20"/>
              </w:rPr>
            </w:pPr>
            <w:r w:rsidRPr="00D15CA3">
              <w:rPr>
                <w:rFonts w:ascii="Arial" w:hAnsi="Arial" w:cs="Arial"/>
                <w:color w:val="000000"/>
                <w:sz w:val="20"/>
              </w:rPr>
              <w:t>64</w:t>
            </w:r>
          </w:p>
        </w:tc>
      </w:tr>
      <w:tr w:rsidR="00775B9E" w:rsidRPr="00D15CA3" w14:paraId="77E03588" w14:textId="77777777" w:rsidTr="00D15CA3">
        <w:tc>
          <w:tcPr>
            <w:tcW w:w="2699" w:type="dxa"/>
            <w:shd w:val="clear" w:color="auto" w:fill="auto"/>
          </w:tcPr>
          <w:p w14:paraId="4D81118C" w14:textId="77777777" w:rsidR="00775B9E" w:rsidRPr="00D15CA3" w:rsidRDefault="00775B9E" w:rsidP="00D15CA3">
            <w:pPr>
              <w:jc w:val="both"/>
              <w:rPr>
                <w:rFonts w:ascii="Arial" w:hAnsi="Arial" w:cs="Arial"/>
                <w:color w:val="000000"/>
                <w:sz w:val="20"/>
              </w:rPr>
            </w:pPr>
            <w:r w:rsidRPr="00D15CA3">
              <w:rPr>
                <w:rFonts w:ascii="Arial" w:hAnsi="Arial" w:cs="Arial"/>
                <w:color w:val="000000"/>
                <w:sz w:val="20"/>
              </w:rPr>
              <w:t>October 2019 [5 sittings]</w:t>
            </w:r>
          </w:p>
        </w:tc>
        <w:tc>
          <w:tcPr>
            <w:tcW w:w="1565" w:type="dxa"/>
            <w:shd w:val="clear" w:color="auto" w:fill="auto"/>
          </w:tcPr>
          <w:p w14:paraId="6B8B110E" w14:textId="77777777" w:rsidR="00775B9E" w:rsidRPr="00D15CA3" w:rsidRDefault="00775B9E" w:rsidP="00D15CA3">
            <w:pPr>
              <w:jc w:val="center"/>
              <w:rPr>
                <w:rFonts w:ascii="Arial" w:hAnsi="Arial" w:cs="Arial"/>
                <w:color w:val="000000"/>
                <w:sz w:val="20"/>
              </w:rPr>
            </w:pPr>
            <w:r w:rsidRPr="00D15CA3">
              <w:rPr>
                <w:rFonts w:ascii="Arial" w:hAnsi="Arial" w:cs="Arial"/>
                <w:color w:val="000000"/>
                <w:sz w:val="20"/>
              </w:rPr>
              <w:t>53</w:t>
            </w:r>
          </w:p>
        </w:tc>
        <w:tc>
          <w:tcPr>
            <w:tcW w:w="2699" w:type="dxa"/>
            <w:shd w:val="clear" w:color="auto" w:fill="auto"/>
          </w:tcPr>
          <w:p w14:paraId="511A4730" w14:textId="77777777" w:rsidR="00775B9E" w:rsidRPr="00D15CA3" w:rsidRDefault="00775B9E" w:rsidP="00D15CA3">
            <w:pPr>
              <w:jc w:val="both"/>
              <w:rPr>
                <w:rFonts w:ascii="Arial" w:hAnsi="Arial" w:cs="Arial"/>
                <w:color w:val="000000"/>
                <w:sz w:val="20"/>
              </w:rPr>
            </w:pPr>
            <w:r w:rsidRPr="00D15CA3">
              <w:rPr>
                <w:rFonts w:ascii="Arial" w:hAnsi="Arial" w:cs="Arial"/>
                <w:color w:val="000000"/>
                <w:sz w:val="20"/>
              </w:rPr>
              <w:t>April 2020 [4 sittings]</w:t>
            </w:r>
          </w:p>
        </w:tc>
        <w:tc>
          <w:tcPr>
            <w:tcW w:w="1565" w:type="dxa"/>
            <w:shd w:val="clear" w:color="auto" w:fill="auto"/>
          </w:tcPr>
          <w:p w14:paraId="7829D513" w14:textId="77777777" w:rsidR="00775B9E" w:rsidRPr="00D15CA3" w:rsidRDefault="00775B9E" w:rsidP="00D15CA3">
            <w:pPr>
              <w:jc w:val="center"/>
              <w:rPr>
                <w:rFonts w:ascii="Arial" w:hAnsi="Arial" w:cs="Arial"/>
                <w:color w:val="000000"/>
                <w:sz w:val="20"/>
              </w:rPr>
            </w:pPr>
            <w:r w:rsidRPr="00D15CA3">
              <w:rPr>
                <w:rFonts w:ascii="Arial" w:hAnsi="Arial" w:cs="Arial"/>
                <w:color w:val="000000"/>
                <w:sz w:val="20"/>
              </w:rPr>
              <w:t>30</w:t>
            </w:r>
          </w:p>
        </w:tc>
      </w:tr>
      <w:tr w:rsidR="00775B9E" w:rsidRPr="00D15CA3" w14:paraId="1A6E0B8B" w14:textId="77777777" w:rsidTr="00D15CA3">
        <w:tc>
          <w:tcPr>
            <w:tcW w:w="2699" w:type="dxa"/>
            <w:shd w:val="clear" w:color="auto" w:fill="auto"/>
          </w:tcPr>
          <w:p w14:paraId="6F729784" w14:textId="77777777" w:rsidR="00775B9E" w:rsidRPr="00D15CA3" w:rsidRDefault="00775B9E" w:rsidP="00D15CA3">
            <w:pPr>
              <w:jc w:val="both"/>
              <w:rPr>
                <w:rFonts w:ascii="Arial" w:hAnsi="Arial" w:cs="Arial"/>
                <w:color w:val="000000"/>
                <w:sz w:val="20"/>
              </w:rPr>
            </w:pPr>
            <w:r w:rsidRPr="00D15CA3">
              <w:rPr>
                <w:rFonts w:ascii="Arial" w:hAnsi="Arial" w:cs="Arial"/>
                <w:color w:val="000000"/>
                <w:sz w:val="20"/>
              </w:rPr>
              <w:t>November 2019 [3 sittings]</w:t>
            </w:r>
          </w:p>
        </w:tc>
        <w:tc>
          <w:tcPr>
            <w:tcW w:w="1565" w:type="dxa"/>
            <w:shd w:val="clear" w:color="auto" w:fill="auto"/>
          </w:tcPr>
          <w:p w14:paraId="1A2B9F90" w14:textId="77777777" w:rsidR="00775B9E" w:rsidRPr="00D15CA3" w:rsidRDefault="00775B9E" w:rsidP="00D15CA3">
            <w:pPr>
              <w:jc w:val="center"/>
              <w:rPr>
                <w:rFonts w:ascii="Arial" w:hAnsi="Arial" w:cs="Arial"/>
                <w:color w:val="000000"/>
                <w:sz w:val="20"/>
              </w:rPr>
            </w:pPr>
            <w:r w:rsidRPr="00D15CA3">
              <w:rPr>
                <w:rFonts w:ascii="Arial" w:hAnsi="Arial" w:cs="Arial"/>
                <w:color w:val="000000"/>
                <w:sz w:val="20"/>
              </w:rPr>
              <w:t>29</w:t>
            </w:r>
          </w:p>
        </w:tc>
        <w:tc>
          <w:tcPr>
            <w:tcW w:w="2699" w:type="dxa"/>
            <w:shd w:val="clear" w:color="auto" w:fill="auto"/>
          </w:tcPr>
          <w:p w14:paraId="16950D7D" w14:textId="77777777" w:rsidR="00775B9E" w:rsidRPr="00D15CA3" w:rsidRDefault="00775B9E" w:rsidP="00D15CA3">
            <w:pPr>
              <w:jc w:val="both"/>
              <w:rPr>
                <w:rFonts w:ascii="Arial" w:hAnsi="Arial" w:cs="Arial"/>
                <w:color w:val="000000"/>
                <w:sz w:val="20"/>
              </w:rPr>
            </w:pPr>
            <w:r w:rsidRPr="00D15CA3">
              <w:rPr>
                <w:rFonts w:ascii="Arial" w:hAnsi="Arial" w:cs="Arial"/>
                <w:color w:val="000000"/>
                <w:sz w:val="20"/>
              </w:rPr>
              <w:t>May 2020 [4 sittings]</w:t>
            </w:r>
          </w:p>
        </w:tc>
        <w:tc>
          <w:tcPr>
            <w:tcW w:w="1565" w:type="dxa"/>
            <w:shd w:val="clear" w:color="auto" w:fill="auto"/>
          </w:tcPr>
          <w:p w14:paraId="6F333465" w14:textId="77777777" w:rsidR="00775B9E" w:rsidRPr="00D15CA3" w:rsidRDefault="00775B9E" w:rsidP="00D15CA3">
            <w:pPr>
              <w:jc w:val="center"/>
              <w:rPr>
                <w:rFonts w:ascii="Arial" w:hAnsi="Arial" w:cs="Arial"/>
                <w:color w:val="000000"/>
                <w:sz w:val="20"/>
              </w:rPr>
            </w:pPr>
            <w:r w:rsidRPr="00D15CA3">
              <w:rPr>
                <w:rFonts w:ascii="Arial" w:hAnsi="Arial" w:cs="Arial"/>
                <w:color w:val="000000"/>
                <w:sz w:val="20"/>
              </w:rPr>
              <w:t>21</w:t>
            </w:r>
          </w:p>
        </w:tc>
      </w:tr>
      <w:tr w:rsidR="00775B9E" w:rsidRPr="00D15CA3" w14:paraId="06538EBB" w14:textId="77777777" w:rsidTr="00D15CA3">
        <w:tc>
          <w:tcPr>
            <w:tcW w:w="2699" w:type="dxa"/>
            <w:shd w:val="clear" w:color="auto" w:fill="auto"/>
          </w:tcPr>
          <w:p w14:paraId="0ABD88EC" w14:textId="77777777" w:rsidR="00775B9E" w:rsidRPr="00D15CA3" w:rsidRDefault="00775B9E" w:rsidP="00D15CA3">
            <w:pPr>
              <w:jc w:val="both"/>
              <w:rPr>
                <w:rFonts w:ascii="Arial" w:hAnsi="Arial" w:cs="Arial"/>
                <w:color w:val="000000"/>
                <w:sz w:val="20"/>
              </w:rPr>
            </w:pPr>
            <w:r w:rsidRPr="00D15CA3">
              <w:rPr>
                <w:rFonts w:ascii="Arial" w:hAnsi="Arial" w:cs="Arial"/>
                <w:color w:val="000000"/>
                <w:sz w:val="20"/>
              </w:rPr>
              <w:t>December 2019 [3sittings]</w:t>
            </w:r>
          </w:p>
        </w:tc>
        <w:tc>
          <w:tcPr>
            <w:tcW w:w="1565" w:type="dxa"/>
            <w:shd w:val="clear" w:color="auto" w:fill="auto"/>
          </w:tcPr>
          <w:p w14:paraId="243A8CC5" w14:textId="77777777" w:rsidR="00775B9E" w:rsidRPr="00D15CA3" w:rsidRDefault="00775B9E" w:rsidP="00D15CA3">
            <w:pPr>
              <w:jc w:val="center"/>
              <w:rPr>
                <w:rFonts w:ascii="Arial" w:hAnsi="Arial" w:cs="Arial"/>
                <w:color w:val="000000"/>
                <w:sz w:val="20"/>
              </w:rPr>
            </w:pPr>
            <w:r w:rsidRPr="00D15CA3">
              <w:rPr>
                <w:rFonts w:ascii="Arial" w:hAnsi="Arial" w:cs="Arial"/>
                <w:color w:val="000000"/>
                <w:sz w:val="20"/>
              </w:rPr>
              <w:t>27</w:t>
            </w:r>
          </w:p>
        </w:tc>
        <w:tc>
          <w:tcPr>
            <w:tcW w:w="2699" w:type="dxa"/>
            <w:shd w:val="clear" w:color="auto" w:fill="auto"/>
          </w:tcPr>
          <w:p w14:paraId="75371C88" w14:textId="77777777" w:rsidR="00775B9E" w:rsidRPr="00D15CA3" w:rsidRDefault="00775B9E" w:rsidP="00D15CA3">
            <w:pPr>
              <w:jc w:val="both"/>
              <w:rPr>
                <w:rFonts w:ascii="Arial" w:hAnsi="Arial" w:cs="Arial"/>
                <w:color w:val="000000"/>
                <w:sz w:val="20"/>
              </w:rPr>
            </w:pPr>
            <w:r w:rsidRPr="00D15CA3">
              <w:rPr>
                <w:rFonts w:ascii="Arial" w:hAnsi="Arial" w:cs="Arial"/>
                <w:color w:val="000000"/>
                <w:sz w:val="20"/>
              </w:rPr>
              <w:t>June 2020 [4 sittings]</w:t>
            </w:r>
          </w:p>
        </w:tc>
        <w:tc>
          <w:tcPr>
            <w:tcW w:w="1565" w:type="dxa"/>
            <w:shd w:val="clear" w:color="auto" w:fill="auto"/>
          </w:tcPr>
          <w:p w14:paraId="5E4E8BBC" w14:textId="77777777" w:rsidR="00775B9E" w:rsidRPr="00D15CA3" w:rsidRDefault="00775B9E" w:rsidP="00D15CA3">
            <w:pPr>
              <w:jc w:val="center"/>
              <w:rPr>
                <w:rFonts w:ascii="Arial" w:hAnsi="Arial" w:cs="Arial"/>
                <w:color w:val="000000"/>
                <w:sz w:val="20"/>
              </w:rPr>
            </w:pPr>
            <w:r w:rsidRPr="00D15CA3">
              <w:rPr>
                <w:rFonts w:ascii="Arial" w:hAnsi="Arial" w:cs="Arial"/>
                <w:color w:val="000000"/>
                <w:sz w:val="20"/>
              </w:rPr>
              <w:t>40</w:t>
            </w:r>
          </w:p>
        </w:tc>
      </w:tr>
    </w:tbl>
    <w:p w14:paraId="4E9750D5" w14:textId="77777777" w:rsidR="008534CC" w:rsidRDefault="008534CC" w:rsidP="00AA3936">
      <w:pPr>
        <w:jc w:val="both"/>
        <w:rPr>
          <w:rFonts w:ascii="Arial" w:hAnsi="Arial" w:cs="Arial"/>
          <w:color w:val="000000"/>
          <w:sz w:val="20"/>
        </w:rPr>
      </w:pPr>
    </w:p>
    <w:p w14:paraId="1E04DE5D" w14:textId="77777777" w:rsidR="008628E2" w:rsidRPr="008628E2" w:rsidRDefault="008628E2" w:rsidP="008628E2">
      <w:pPr>
        <w:jc w:val="both"/>
        <w:rPr>
          <w:rFonts w:ascii="Arial" w:hAnsi="Arial" w:cs="Arial"/>
          <w:sz w:val="20"/>
        </w:rPr>
      </w:pPr>
      <w:r w:rsidRPr="008628E2">
        <w:rPr>
          <w:rFonts w:ascii="Arial" w:hAnsi="Arial" w:cs="Arial"/>
          <w:sz w:val="20"/>
        </w:rPr>
        <w:t>For further information see Practice Direction No.1 of 2021 – Koori Family Hearing Day – Broadmeadows and Shepparton Children’s Courts</w:t>
      </w:r>
    </w:p>
    <w:p w14:paraId="3BD3473D" w14:textId="77777777" w:rsidR="008628E2" w:rsidRDefault="008628E2" w:rsidP="00132E50">
      <w:pPr>
        <w:ind w:left="363" w:hanging="363"/>
        <w:jc w:val="both"/>
        <w:rPr>
          <w:rFonts w:ascii="Arial" w:hAnsi="Arial" w:cs="Arial"/>
          <w:b/>
          <w:bCs/>
          <w:sz w:val="20"/>
        </w:rPr>
      </w:pPr>
      <w:bookmarkStart w:id="1500" w:name="_4.10_Alternative_Dispute"/>
      <w:bookmarkEnd w:id="1500"/>
    </w:p>
    <w:p w14:paraId="3360C481" w14:textId="77777777" w:rsidR="00132E50" w:rsidRPr="00132E50" w:rsidRDefault="00132E50" w:rsidP="00AA3936">
      <w:pPr>
        <w:pStyle w:val="Heading2"/>
        <w:keepNext/>
        <w:keepLines/>
        <w:widowControl/>
        <w:tabs>
          <w:tab w:val="left" w:pos="567"/>
        </w:tabs>
        <w:spacing w:line="240" w:lineRule="auto"/>
        <w:rPr>
          <w:rFonts w:ascii="Arial" w:hAnsi="Arial" w:cs="Arial"/>
          <w:b/>
          <w:bCs/>
          <w:color w:val="000000"/>
        </w:rPr>
      </w:pPr>
      <w:bookmarkStart w:id="1501" w:name="B410"/>
      <w:bookmarkEnd w:id="1501"/>
      <w:r w:rsidRPr="00132E50">
        <w:rPr>
          <w:rFonts w:ascii="Arial" w:hAnsi="Arial" w:cs="Arial"/>
          <w:b/>
          <w:bCs/>
          <w:color w:val="000000"/>
        </w:rPr>
        <w:lastRenderedPageBreak/>
        <w:t>4.10</w:t>
      </w:r>
      <w:r w:rsidRPr="00132E50">
        <w:rPr>
          <w:rFonts w:ascii="Arial" w:hAnsi="Arial" w:cs="Arial"/>
          <w:b/>
          <w:bCs/>
          <w:color w:val="000000"/>
        </w:rPr>
        <w:tab/>
        <w:t>Alternative Dispute Resolution</w:t>
      </w:r>
    </w:p>
    <w:p w14:paraId="225F5E6F" w14:textId="77777777" w:rsidR="00132E50" w:rsidRPr="00132E50" w:rsidRDefault="00132E50" w:rsidP="00AA3936">
      <w:pPr>
        <w:keepNext/>
        <w:keepLines/>
        <w:jc w:val="both"/>
        <w:rPr>
          <w:rFonts w:ascii="Arial" w:hAnsi="Arial" w:cs="Arial"/>
          <w:color w:val="000000"/>
          <w:sz w:val="20"/>
        </w:rPr>
      </w:pPr>
    </w:p>
    <w:p w14:paraId="3FB68C6F"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 xml:space="preserve">There are presently two different </w:t>
      </w:r>
      <w:r w:rsidR="00D6777A">
        <w:rPr>
          <w:rFonts w:ascii="Arial" w:hAnsi="Arial" w:cs="Arial"/>
          <w:color w:val="000000"/>
          <w:sz w:val="20"/>
        </w:rPr>
        <w:t>type</w:t>
      </w:r>
      <w:r w:rsidRPr="00132E50">
        <w:rPr>
          <w:rFonts w:ascii="Arial" w:hAnsi="Arial" w:cs="Arial"/>
          <w:color w:val="000000"/>
          <w:sz w:val="20"/>
        </w:rPr>
        <w:t>s of Alternative Dispute Resolution used in the Family Division.  These are:</w:t>
      </w:r>
    </w:p>
    <w:p w14:paraId="59365C6F" w14:textId="77777777" w:rsidR="00132E50" w:rsidRPr="00132E50" w:rsidRDefault="00132E50" w:rsidP="00132E50">
      <w:pPr>
        <w:numPr>
          <w:ilvl w:val="0"/>
          <w:numId w:val="44"/>
        </w:numPr>
        <w:jc w:val="both"/>
        <w:rPr>
          <w:rFonts w:ascii="Arial" w:hAnsi="Arial" w:cs="Arial"/>
          <w:color w:val="000000"/>
          <w:sz w:val="20"/>
        </w:rPr>
      </w:pPr>
      <w:r w:rsidRPr="00132E50">
        <w:rPr>
          <w:rFonts w:ascii="Arial" w:hAnsi="Arial" w:cs="Arial"/>
          <w:color w:val="000000"/>
          <w:sz w:val="20"/>
        </w:rPr>
        <w:t>a Conciliation Conference [‘CC’]; and</w:t>
      </w:r>
    </w:p>
    <w:p w14:paraId="1584ED90" w14:textId="77777777" w:rsidR="00132E50" w:rsidRPr="00132E50" w:rsidRDefault="00132E50" w:rsidP="00132E50">
      <w:pPr>
        <w:numPr>
          <w:ilvl w:val="0"/>
          <w:numId w:val="44"/>
        </w:numPr>
        <w:jc w:val="both"/>
        <w:rPr>
          <w:rFonts w:ascii="Arial" w:hAnsi="Arial" w:cs="Arial"/>
          <w:color w:val="000000"/>
          <w:sz w:val="20"/>
        </w:rPr>
      </w:pPr>
      <w:r w:rsidRPr="00132E50">
        <w:rPr>
          <w:rFonts w:ascii="Arial" w:hAnsi="Arial" w:cs="Arial"/>
          <w:color w:val="000000"/>
          <w:sz w:val="20"/>
        </w:rPr>
        <w:t>a Judicial Resolution Conference [‘JRC’].</w:t>
      </w:r>
    </w:p>
    <w:p w14:paraId="279A5B9F"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Court has a strong commitment to the on-going development and strengthening of its ADR processes.</w:t>
      </w:r>
    </w:p>
    <w:p w14:paraId="67B99FFA" w14:textId="77777777" w:rsidR="00132E50" w:rsidRPr="00132E50" w:rsidRDefault="00132E50" w:rsidP="00132E50">
      <w:pPr>
        <w:jc w:val="both"/>
        <w:rPr>
          <w:rFonts w:ascii="Arial" w:hAnsi="Arial" w:cs="Arial"/>
          <w:color w:val="000000"/>
          <w:sz w:val="20"/>
        </w:rPr>
      </w:pPr>
    </w:p>
    <w:p w14:paraId="573B2305" w14:textId="77777777" w:rsidR="00132E50" w:rsidRPr="00132E50" w:rsidRDefault="00132E50" w:rsidP="00132E50">
      <w:pPr>
        <w:pStyle w:val="Heading3"/>
        <w:keepNext/>
        <w:keepLines/>
        <w:spacing w:after="120" w:line="240" w:lineRule="auto"/>
        <w:rPr>
          <w:rFonts w:ascii="Arial" w:hAnsi="Arial" w:cs="Arial"/>
          <w:b/>
          <w:bCs/>
          <w:color w:val="000000"/>
          <w:sz w:val="20"/>
        </w:rPr>
      </w:pPr>
      <w:bookmarkStart w:id="1502" w:name="_4.10.1_Conciliation_Conferences"/>
      <w:bookmarkStart w:id="1503" w:name="B4101"/>
      <w:bookmarkEnd w:id="1502"/>
      <w:bookmarkEnd w:id="1503"/>
      <w:r w:rsidRPr="00132E50">
        <w:rPr>
          <w:rFonts w:ascii="Arial" w:hAnsi="Arial" w:cs="Arial"/>
          <w:b/>
          <w:bCs/>
          <w:color w:val="000000"/>
          <w:sz w:val="20"/>
        </w:rPr>
        <w:t>4.10.1</w:t>
      </w:r>
      <w:r w:rsidRPr="00132E50">
        <w:rPr>
          <w:rFonts w:ascii="Arial" w:hAnsi="Arial" w:cs="Arial"/>
          <w:b/>
          <w:bCs/>
          <w:color w:val="000000"/>
          <w:sz w:val="20"/>
        </w:rPr>
        <w:tab/>
        <w:t>Conciliation Conferences</w:t>
      </w:r>
    </w:p>
    <w:p w14:paraId="12BB518F"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Pr="00132E50">
        <w:rPr>
          <w:rFonts w:ascii="Arial" w:hAnsi="Arial" w:cs="Arial"/>
          <w:color w:val="000000"/>
          <w:sz w:val="20"/>
        </w:rPr>
        <w:t>are court ordered conciliations presided over by one or two convenors appointed by the President of the Children’s Court.</w:t>
      </w:r>
    </w:p>
    <w:p w14:paraId="37348D27" w14:textId="77777777" w:rsidR="00B87BB0" w:rsidRPr="00132E50" w:rsidRDefault="00B87BB0" w:rsidP="00B87BB0">
      <w:pPr>
        <w:jc w:val="both"/>
        <w:rPr>
          <w:rFonts w:ascii="Arial" w:hAnsi="Arial" w:cs="Arial"/>
          <w:color w:val="000000"/>
          <w:sz w:val="20"/>
        </w:rPr>
      </w:pPr>
    </w:p>
    <w:p w14:paraId="7617DF77" w14:textId="77777777" w:rsidR="00B87BB0" w:rsidRPr="00B87BB0" w:rsidRDefault="00B87BB0" w:rsidP="00B87BB0">
      <w:pP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Pr>
          <w:rFonts w:ascii="Arial" w:hAnsi="Arial" w:cs="Arial"/>
          <w:color w:val="000000"/>
          <w:sz w:val="20"/>
        </w:rPr>
        <w:t>s</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give</w:t>
      </w:r>
      <w:r>
        <w:rPr>
          <w:rFonts w:ascii="Arial" w:hAnsi="Arial" w:cs="Arial"/>
          <w:color w:val="000000"/>
          <w:sz w:val="20"/>
        </w:rPr>
        <w:t>s</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do traditional court proceedings in the adversarial environment of the courtroom.</w:t>
      </w:r>
    </w:p>
    <w:p w14:paraId="0CE4D151" w14:textId="77777777" w:rsidR="00B87BB0" w:rsidRPr="00B87BB0" w:rsidRDefault="00B87BB0" w:rsidP="00B87BB0">
      <w:pPr>
        <w:jc w:val="both"/>
        <w:rPr>
          <w:rFonts w:ascii="Arial" w:hAnsi="Arial" w:cs="Arial"/>
          <w:color w:val="000000"/>
          <w:sz w:val="20"/>
        </w:rPr>
      </w:pPr>
    </w:p>
    <w:p w14:paraId="413ED848" w14:textId="77777777" w:rsidR="00132E50" w:rsidRPr="00132E50" w:rsidRDefault="00DC3FFE" w:rsidP="00132E50">
      <w:pP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w:t>
      </w:r>
      <w:r w:rsidR="003B4C54">
        <w:rPr>
          <w:rFonts w:ascii="Arial" w:hAnsi="Arial" w:cs="Arial"/>
          <w:color w:val="000000"/>
          <w:sz w:val="20"/>
        </w:rPr>
        <w:t xml:space="preserve">current </w:t>
      </w:r>
      <w:r>
        <w:rPr>
          <w:rFonts w:ascii="Arial" w:hAnsi="Arial" w:cs="Arial"/>
          <w:color w:val="000000"/>
          <w:sz w:val="20"/>
        </w:rPr>
        <w:t>model for its conciliation conferences</w:t>
      </w:r>
      <w:r w:rsidR="00132E50" w:rsidRPr="00132E50">
        <w:rPr>
          <w:rFonts w:ascii="Arial" w:hAnsi="Arial" w:cs="Arial"/>
          <w:color w:val="000000"/>
          <w:sz w:val="20"/>
        </w:rPr>
        <w:t>:</w:t>
      </w:r>
    </w:p>
    <w:p w14:paraId="22FC236A" w14:textId="77777777" w:rsidR="00132E50" w:rsidRPr="00785E1A" w:rsidRDefault="00132E50" w:rsidP="00132E50">
      <w:pPr>
        <w:numPr>
          <w:ilvl w:val="0"/>
          <w:numId w:val="45"/>
        </w:numPr>
        <w:jc w:val="both"/>
        <w:rPr>
          <w:rFonts w:ascii="Arial" w:hAnsi="Arial" w:cs="Arial"/>
          <w:color w:val="000000"/>
          <w:sz w:val="20"/>
        </w:rPr>
      </w:pPr>
      <w:r w:rsidRPr="00785E1A">
        <w:rPr>
          <w:rFonts w:ascii="Arial" w:hAnsi="Arial" w:cs="Arial"/>
          <w:color w:val="000000"/>
          <w:sz w:val="20"/>
        </w:rPr>
        <w:t>requires conferences to be conducted at the earliest practical point in the process (the guidelines require the Court to use the second</w:t>
      </w:r>
      <w:r>
        <w:rPr>
          <w:rFonts w:ascii="Arial" w:hAnsi="Arial" w:cs="Arial"/>
          <w:color w:val="000000"/>
          <w:sz w:val="20"/>
        </w:rPr>
        <w:t xml:space="preserve"> or third</w:t>
      </w:r>
      <w:r w:rsidRPr="00785E1A">
        <w:rPr>
          <w:rFonts w:ascii="Arial" w:hAnsi="Arial" w:cs="Arial"/>
          <w:color w:val="000000"/>
          <w:sz w:val="20"/>
        </w:rPr>
        <w:t xml:space="preserve"> mention as the trigger point for consideration of referral to </w:t>
      </w:r>
      <w:r>
        <w:rPr>
          <w:rFonts w:ascii="Arial" w:hAnsi="Arial" w:cs="Arial"/>
          <w:color w:val="000000"/>
          <w:sz w:val="20"/>
        </w:rPr>
        <w:t>C</w:t>
      </w:r>
      <w:r w:rsidRPr="00785E1A">
        <w:rPr>
          <w:rFonts w:ascii="Arial" w:hAnsi="Arial" w:cs="Arial"/>
          <w:color w:val="000000"/>
          <w:sz w:val="20"/>
        </w:rPr>
        <w:t>C);</w:t>
      </w:r>
    </w:p>
    <w:p w14:paraId="3DE76A81" w14:textId="77777777" w:rsidR="00132E50" w:rsidRPr="00785E1A" w:rsidRDefault="00132E50" w:rsidP="00132E50">
      <w:pPr>
        <w:numPr>
          <w:ilvl w:val="0"/>
          <w:numId w:val="45"/>
        </w:numPr>
        <w:jc w:val="both"/>
        <w:rPr>
          <w:rFonts w:ascii="Arial" w:hAnsi="Arial" w:cs="Arial"/>
          <w:color w:val="000000"/>
          <w:sz w:val="20"/>
        </w:rPr>
      </w:pPr>
      <w:r w:rsidRPr="00785E1A">
        <w:rPr>
          <w:rFonts w:ascii="Arial" w:hAnsi="Arial" w:cs="Arial"/>
          <w:color w:val="000000"/>
          <w:sz w:val="20"/>
        </w:rPr>
        <w:t xml:space="preserve">makes more time available for discussion in an appropriate environment (at a venue away from the Court </w:t>
      </w:r>
      <w:r>
        <w:rPr>
          <w:rFonts w:ascii="Arial" w:hAnsi="Arial" w:cs="Arial"/>
          <w:color w:val="000000"/>
          <w:sz w:val="20"/>
        </w:rPr>
        <w:t xml:space="preserve">wherever possible </w:t>
      </w:r>
      <w:r w:rsidRPr="00785E1A">
        <w:rPr>
          <w:rFonts w:ascii="Arial" w:hAnsi="Arial" w:cs="Arial"/>
          <w:color w:val="000000"/>
          <w:sz w:val="20"/>
        </w:rPr>
        <w:t>unless there are identified security issues or a party is in custody);</w:t>
      </w:r>
    </w:p>
    <w:p w14:paraId="71EDBE43" w14:textId="77777777" w:rsidR="00132E50" w:rsidRPr="00785E1A" w:rsidRDefault="00132E50" w:rsidP="00132E50">
      <w:pPr>
        <w:numPr>
          <w:ilvl w:val="0"/>
          <w:numId w:val="45"/>
        </w:numPr>
        <w:jc w:val="both"/>
        <w:rPr>
          <w:rFonts w:ascii="Arial" w:hAnsi="Arial" w:cs="Arial"/>
          <w:color w:val="000000"/>
          <w:sz w:val="20"/>
        </w:rPr>
      </w:pPr>
      <w:r w:rsidRPr="00785E1A">
        <w:rPr>
          <w:rFonts w:ascii="Arial" w:hAnsi="Arial" w:cs="Arial"/>
          <w:color w:val="000000"/>
          <w:sz w:val="20"/>
        </w:rPr>
        <w:t>supports convenors to exercise appropriate authority;</w:t>
      </w:r>
    </w:p>
    <w:p w14:paraId="48A903A7" w14:textId="77777777" w:rsidR="00132E50" w:rsidRPr="00785E1A" w:rsidRDefault="00132E50" w:rsidP="00132E50">
      <w:pPr>
        <w:numPr>
          <w:ilvl w:val="0"/>
          <w:numId w:val="45"/>
        </w:numP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16FE0C7D" w14:textId="77777777" w:rsidR="00132E50" w:rsidRPr="00785E1A" w:rsidRDefault="00132E50" w:rsidP="00132E50">
      <w:pPr>
        <w:numPr>
          <w:ilvl w:val="0"/>
          <w:numId w:val="45"/>
        </w:numP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2B31E3B0" w14:textId="77777777" w:rsidR="00132E50" w:rsidRPr="00785E1A" w:rsidRDefault="00132E50" w:rsidP="00132E50">
      <w:pPr>
        <w:numPr>
          <w:ilvl w:val="0"/>
          <w:numId w:val="45"/>
        </w:numP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33F8AD55" w14:textId="77777777" w:rsidR="00132E50" w:rsidRPr="00785E1A" w:rsidRDefault="00132E50" w:rsidP="00132E50">
      <w:pPr>
        <w:numPr>
          <w:ilvl w:val="0"/>
          <w:numId w:val="45"/>
        </w:numP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661E59E9" w14:textId="77777777" w:rsidR="00132E50" w:rsidRPr="00785E1A" w:rsidRDefault="00132E50" w:rsidP="00132E50">
      <w:pPr>
        <w:numPr>
          <w:ilvl w:val="0"/>
          <w:numId w:val="45"/>
        </w:numP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356C3D26" w14:textId="77777777" w:rsidR="00132E50" w:rsidRPr="00785E1A" w:rsidRDefault="00132E50" w:rsidP="00132E50">
      <w:pPr>
        <w:numPr>
          <w:ilvl w:val="0"/>
          <w:numId w:val="45"/>
        </w:numPr>
        <w:jc w:val="both"/>
        <w:rPr>
          <w:rFonts w:ascii="Arial" w:hAnsi="Arial" w:cs="Arial"/>
          <w:color w:val="000000"/>
          <w:sz w:val="20"/>
        </w:rPr>
      </w:pPr>
      <w:r w:rsidRPr="00785E1A">
        <w:rPr>
          <w:rFonts w:ascii="Arial" w:hAnsi="Arial" w:cs="Arial"/>
          <w:color w:val="000000"/>
          <w:sz w:val="20"/>
        </w:rPr>
        <w:t>provides an appropriate process for those children who wish to attend and participate;</w:t>
      </w:r>
    </w:p>
    <w:p w14:paraId="1472BE2A" w14:textId="77777777" w:rsidR="00132E50" w:rsidRPr="00785E1A" w:rsidRDefault="00132E50" w:rsidP="00132E50">
      <w:pPr>
        <w:numPr>
          <w:ilvl w:val="0"/>
          <w:numId w:val="45"/>
        </w:numP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10F5FF31" w14:textId="77777777" w:rsidR="00132E50" w:rsidRPr="00785E1A" w:rsidRDefault="00132E50" w:rsidP="00132E50">
      <w:pPr>
        <w:numPr>
          <w:ilvl w:val="0"/>
          <w:numId w:val="45"/>
        </w:numPr>
        <w:jc w:val="both"/>
        <w:rPr>
          <w:rFonts w:ascii="Arial" w:hAnsi="Arial" w:cs="Arial"/>
          <w:color w:val="000000"/>
          <w:sz w:val="20"/>
        </w:rPr>
      </w:pPr>
      <w:r w:rsidRPr="00785E1A">
        <w:rPr>
          <w:rFonts w:ascii="Arial" w:hAnsi="Arial" w:cs="Arial"/>
          <w:color w:val="000000"/>
          <w:sz w:val="20"/>
        </w:rPr>
        <w:t>reduces Court delay.</w:t>
      </w:r>
    </w:p>
    <w:p w14:paraId="484BBB8A" w14:textId="77777777" w:rsidR="00132E50" w:rsidRPr="00785E1A" w:rsidRDefault="00132E50" w:rsidP="00132E50">
      <w:pPr>
        <w:jc w:val="both"/>
        <w:rPr>
          <w:rFonts w:ascii="Arial" w:hAnsi="Arial" w:cs="Arial"/>
          <w:color w:val="000000"/>
          <w:sz w:val="20"/>
        </w:rPr>
      </w:pPr>
    </w:p>
    <w:p w14:paraId="1C667494" w14:textId="77777777" w:rsidR="00132E50" w:rsidRPr="00132E50" w:rsidRDefault="00DC3FFE" w:rsidP="00132E50">
      <w:pP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is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creates a less adversarial dynamic.</w:t>
      </w:r>
    </w:p>
    <w:p w14:paraId="21930445" w14:textId="77777777" w:rsidR="00132E50" w:rsidRPr="00132E50" w:rsidRDefault="00132E50" w:rsidP="00132E50">
      <w:pPr>
        <w:jc w:val="both"/>
        <w:rPr>
          <w:rFonts w:ascii="Arial" w:hAnsi="Arial" w:cs="Arial"/>
          <w:color w:val="000000"/>
          <w:sz w:val="20"/>
        </w:rPr>
      </w:pPr>
    </w:p>
    <w:p w14:paraId="20178EE1"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has been – and will continue to be – conducted.</w:t>
      </w:r>
    </w:p>
    <w:p w14:paraId="42D10FFA" w14:textId="77777777" w:rsidR="00132E50" w:rsidRPr="00132E50" w:rsidRDefault="00132E50" w:rsidP="00132E50">
      <w:pPr>
        <w:jc w:val="both"/>
        <w:rPr>
          <w:rFonts w:ascii="Arial" w:hAnsi="Arial" w:cs="Arial"/>
          <w:color w:val="000000"/>
          <w:sz w:val="20"/>
        </w:rPr>
      </w:pPr>
    </w:p>
    <w:p w14:paraId="695EB32C" w14:textId="77777777" w:rsidR="0090541F" w:rsidRDefault="00DC3FFE" w:rsidP="00132E50">
      <w:pPr>
        <w:jc w:val="both"/>
        <w:rPr>
          <w:rFonts w:ascii="Arial" w:hAnsi="Arial" w:cs="Arial"/>
          <w:color w:val="000000"/>
          <w:sz w:val="20"/>
        </w:rPr>
      </w:pPr>
      <w:r>
        <w:rPr>
          <w:rFonts w:ascii="Arial" w:hAnsi="Arial" w:cs="Arial"/>
          <w:color w:val="000000"/>
          <w:sz w:val="20"/>
        </w:rPr>
        <w:t xml:space="preserve">The Children’s Court </w:t>
      </w:r>
      <w:r w:rsidR="00132E50" w:rsidRPr="00132E50">
        <w:rPr>
          <w:rFonts w:ascii="Arial" w:hAnsi="Arial" w:cs="Arial"/>
          <w:color w:val="000000"/>
          <w:sz w:val="20"/>
        </w:rPr>
        <w:t>C</w:t>
      </w:r>
      <w:r>
        <w:rPr>
          <w:rFonts w:ascii="Arial" w:hAnsi="Arial" w:cs="Arial"/>
          <w:color w:val="000000"/>
          <w:sz w:val="20"/>
        </w:rPr>
        <w:t xml:space="preserve">onference staff </w:t>
      </w:r>
      <w:r w:rsidR="00132E50" w:rsidRPr="00132E50">
        <w:rPr>
          <w:rFonts w:ascii="Arial" w:hAnsi="Arial" w:cs="Arial"/>
          <w:color w:val="000000"/>
          <w:sz w:val="20"/>
        </w:rPr>
        <w:t>consist</w:t>
      </w:r>
      <w:r>
        <w:rPr>
          <w:rFonts w:ascii="Arial" w:hAnsi="Arial" w:cs="Arial"/>
          <w:color w:val="000000"/>
          <w:sz w:val="20"/>
        </w:rPr>
        <w:t>s</w:t>
      </w:r>
      <w:r w:rsidR="00132E50" w:rsidRPr="00132E50">
        <w:rPr>
          <w:rFonts w:ascii="Arial" w:hAnsi="Arial" w:cs="Arial"/>
          <w:color w:val="000000"/>
          <w:sz w:val="20"/>
        </w:rPr>
        <w:t xml:space="preserve"> of</w:t>
      </w:r>
      <w:r w:rsidR="0090541F">
        <w:rPr>
          <w:rFonts w:ascii="Arial" w:hAnsi="Arial" w:cs="Arial"/>
          <w:color w:val="000000"/>
          <w:sz w:val="20"/>
        </w:rPr>
        <w:t>:</w:t>
      </w:r>
    </w:p>
    <w:p w14:paraId="710C9884" w14:textId="77777777" w:rsidR="0090541F" w:rsidRDefault="00DC3FFE" w:rsidP="0090541F">
      <w:pPr>
        <w:numPr>
          <w:ilvl w:val="0"/>
          <w:numId w:val="45"/>
        </w:numPr>
        <w:jc w:val="both"/>
        <w:rPr>
          <w:rFonts w:ascii="Arial" w:hAnsi="Arial" w:cs="Arial"/>
          <w:color w:val="000000"/>
          <w:sz w:val="20"/>
        </w:rPr>
      </w:pPr>
      <w:r>
        <w:rPr>
          <w:rFonts w:ascii="Arial" w:hAnsi="Arial" w:cs="Arial"/>
          <w:color w:val="000000"/>
          <w:sz w:val="20"/>
        </w:rPr>
        <w:t>8</w:t>
      </w:r>
      <w:r w:rsidR="00132E50" w:rsidRPr="00132E50">
        <w:rPr>
          <w:rFonts w:ascii="Arial" w:hAnsi="Arial" w:cs="Arial"/>
          <w:color w:val="000000"/>
          <w:sz w:val="20"/>
        </w:rPr>
        <w:t xml:space="preserve"> Conference Intake Officers and 1</w:t>
      </w:r>
      <w:r>
        <w:rPr>
          <w:rFonts w:ascii="Arial" w:hAnsi="Arial" w:cs="Arial"/>
          <w:color w:val="000000"/>
          <w:sz w:val="20"/>
        </w:rPr>
        <w:t>3 </w:t>
      </w:r>
      <w:r w:rsidR="00132E50" w:rsidRPr="00132E50">
        <w:rPr>
          <w:rFonts w:ascii="Arial" w:hAnsi="Arial" w:cs="Arial"/>
          <w:color w:val="000000"/>
          <w:sz w:val="20"/>
        </w:rPr>
        <w:t>convenors located in Melbourne</w:t>
      </w:r>
      <w:r w:rsidR="0090541F">
        <w:rPr>
          <w:rFonts w:ascii="Arial" w:hAnsi="Arial" w:cs="Arial"/>
          <w:color w:val="000000"/>
          <w:sz w:val="20"/>
        </w:rPr>
        <w:t>; and</w:t>
      </w:r>
    </w:p>
    <w:p w14:paraId="0B43F19F" w14:textId="77777777" w:rsidR="0090541F" w:rsidRPr="00785E1A" w:rsidRDefault="0090541F" w:rsidP="0090541F">
      <w:pPr>
        <w:numPr>
          <w:ilvl w:val="0"/>
          <w:numId w:val="45"/>
        </w:numPr>
        <w:jc w:val="both"/>
        <w:rPr>
          <w:rFonts w:ascii="Arial" w:hAnsi="Arial" w:cs="Arial"/>
          <w:color w:val="000000"/>
          <w:sz w:val="20"/>
        </w:rPr>
      </w:pPr>
      <w:r w:rsidRPr="00132E50">
        <w:rPr>
          <w:rFonts w:ascii="Arial" w:hAnsi="Arial" w:cs="Arial"/>
          <w:color w:val="000000"/>
          <w:sz w:val="20"/>
        </w:rPr>
        <w:t>5 Conference Intake Officers and 5</w:t>
      </w:r>
      <w:r>
        <w:rPr>
          <w:rFonts w:ascii="Arial" w:hAnsi="Arial" w:cs="Arial"/>
          <w:color w:val="000000"/>
          <w:sz w:val="20"/>
        </w:rPr>
        <w:t> </w:t>
      </w:r>
      <w:r w:rsidRPr="00132E50">
        <w:rPr>
          <w:rFonts w:ascii="Arial" w:hAnsi="Arial" w:cs="Arial"/>
          <w:color w:val="000000"/>
          <w:sz w:val="20"/>
        </w:rPr>
        <w:t>convenors regionally based</w:t>
      </w:r>
      <w:r>
        <w:rPr>
          <w:rFonts w:ascii="Arial" w:hAnsi="Arial" w:cs="Arial"/>
          <w:color w:val="000000"/>
          <w:sz w:val="20"/>
        </w:rPr>
        <w:t>.</w:t>
      </w:r>
    </w:p>
    <w:p w14:paraId="4899295E"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All convenors are nationally accredited mediators and are provided with ongoing training and professional development opportunities.</w:t>
      </w:r>
      <w:r w:rsidR="00DC3FFE">
        <w:rPr>
          <w:rFonts w:ascii="Arial" w:hAnsi="Arial" w:cs="Arial"/>
          <w:color w:val="000000"/>
          <w:sz w:val="20"/>
        </w:rPr>
        <w:t xml:space="preserve">  All Conference staff are now required to be trained in the Common Risk Assessment Framework for assessing risk in cases involving Family Violence.</w:t>
      </w:r>
    </w:p>
    <w:p w14:paraId="36D4D55D" w14:textId="77777777" w:rsidR="00132E50" w:rsidRPr="00132E50" w:rsidRDefault="00132E50" w:rsidP="00132E50">
      <w:pPr>
        <w:jc w:val="both"/>
        <w:rPr>
          <w:rFonts w:ascii="Arial" w:hAnsi="Arial" w:cs="Arial"/>
          <w:color w:val="000000"/>
          <w:sz w:val="20"/>
        </w:rPr>
      </w:pPr>
    </w:p>
    <w:p w14:paraId="1E0A1EF0"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 xml:space="preserve">Funding received in 2012/13 also extended to the construction of a purpose-built off-site Children’s Court Conference Centre which was officially opened in April 2013 and which accommodates the majority of </w:t>
      </w:r>
      <w:r w:rsidR="003B4C54">
        <w:rPr>
          <w:rFonts w:ascii="Arial" w:hAnsi="Arial" w:cs="Arial"/>
          <w:color w:val="000000"/>
          <w:sz w:val="20"/>
        </w:rPr>
        <w:t>CC</w:t>
      </w:r>
      <w:r w:rsidRPr="00132E50">
        <w:rPr>
          <w:rFonts w:ascii="Arial" w:hAnsi="Arial" w:cs="Arial"/>
          <w:color w:val="000000"/>
          <w:sz w:val="20"/>
        </w:rPr>
        <w:t xml:space="preserve">s conducted in the metropolitan area.  This is located on level 5 at </w:t>
      </w:r>
      <w:smartTag w:uri="urn:schemas-microsoft-com:office:smarttags" w:element="address">
        <w:smartTag w:uri="urn:schemas-microsoft-com:office:smarttags" w:element="Street">
          <w:r w:rsidRPr="00132E50">
            <w:rPr>
              <w:rFonts w:ascii="Arial" w:hAnsi="Arial" w:cs="Arial"/>
              <w:color w:val="000000"/>
              <w:sz w:val="20"/>
            </w:rPr>
            <w:t>436 Lonsdale Street</w:t>
          </w:r>
        </w:smartTag>
        <w:r w:rsidRPr="00132E50">
          <w:rPr>
            <w:rFonts w:ascii="Arial" w:hAnsi="Arial" w:cs="Arial"/>
            <w:color w:val="000000"/>
            <w:sz w:val="20"/>
          </w:rPr>
          <w:t xml:space="preserve"> </w:t>
        </w:r>
        <w:smartTag w:uri="urn:schemas-microsoft-com:office:smarttags" w:element="City">
          <w:r w:rsidRPr="00132E50">
            <w:rPr>
              <w:rFonts w:ascii="Arial" w:hAnsi="Arial" w:cs="Arial"/>
              <w:color w:val="000000"/>
              <w:sz w:val="20"/>
            </w:rPr>
            <w:t>Melbourne</w:t>
          </w:r>
        </w:smartTag>
      </w:smartTag>
      <w:r w:rsidRPr="00132E50">
        <w:rPr>
          <w:rFonts w:ascii="Arial" w:hAnsi="Arial" w:cs="Arial"/>
          <w:color w:val="000000"/>
          <w:sz w:val="20"/>
        </w:rPr>
        <w:t>.</w:t>
      </w:r>
    </w:p>
    <w:p w14:paraId="0551A1FA" w14:textId="77777777" w:rsidR="00132E50" w:rsidRPr="00132E50" w:rsidRDefault="00132E50" w:rsidP="00132E50">
      <w:pPr>
        <w:jc w:val="both"/>
        <w:rPr>
          <w:rFonts w:ascii="Arial" w:hAnsi="Arial" w:cs="Arial"/>
          <w:color w:val="000000"/>
          <w:sz w:val="20"/>
        </w:rPr>
      </w:pPr>
    </w:p>
    <w:p w14:paraId="27BF9D8F"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In June 2013 the Court also introduced Koori Conciliation Conferences for Melbourne matters involving children of Aboriginal or Torres Strait Island</w:t>
      </w:r>
      <w:r w:rsidR="006A28AD">
        <w:rPr>
          <w:rFonts w:ascii="Arial" w:hAnsi="Arial" w:cs="Arial"/>
          <w:color w:val="000000"/>
          <w:sz w:val="20"/>
        </w:rPr>
        <w:t>ER</w:t>
      </w:r>
      <w:r w:rsidRPr="00132E50">
        <w:rPr>
          <w:rFonts w:ascii="Arial" w:hAnsi="Arial" w:cs="Arial"/>
          <w:color w:val="000000"/>
          <w:sz w:val="20"/>
        </w:rPr>
        <w:t xml:space="preserve"> heritage. These conferences involve a Koori co-convenor whose role is to provide appropriate cultural support and input to the process.</w:t>
      </w:r>
    </w:p>
    <w:p w14:paraId="7D0C3117" w14:textId="77777777" w:rsidR="00132E50" w:rsidRPr="00132E50" w:rsidRDefault="00132E50" w:rsidP="00132E50">
      <w:pPr>
        <w:jc w:val="both"/>
        <w:rPr>
          <w:rFonts w:ascii="Arial" w:hAnsi="Arial" w:cs="Arial"/>
          <w:color w:val="000000"/>
          <w:sz w:val="20"/>
        </w:rPr>
      </w:pPr>
    </w:p>
    <w:p w14:paraId="57C43DC2" w14:textId="77777777" w:rsidR="00132E50" w:rsidRPr="00B87BB0" w:rsidRDefault="00132E50" w:rsidP="00132E50">
      <w:pPr>
        <w:pStyle w:val="Heading3"/>
        <w:keepNext/>
        <w:keepLines/>
        <w:spacing w:after="120" w:line="240" w:lineRule="auto"/>
        <w:rPr>
          <w:rFonts w:ascii="Arial" w:hAnsi="Arial" w:cs="Arial"/>
          <w:b/>
          <w:color w:val="000000"/>
          <w:sz w:val="20"/>
        </w:rPr>
      </w:pPr>
      <w:bookmarkStart w:id="1504" w:name="_4.10.2_Jurisdiction_&amp;"/>
      <w:bookmarkStart w:id="1505" w:name="B4102"/>
      <w:bookmarkEnd w:id="1504"/>
      <w:bookmarkEnd w:id="1505"/>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1E8225CD"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01F0F9A6" w14:textId="77777777" w:rsidR="00132E50" w:rsidRPr="00785E1A" w:rsidRDefault="00132E50" w:rsidP="00132E50">
      <w:pPr>
        <w:jc w:val="both"/>
        <w:rPr>
          <w:rFonts w:ascii="Arial" w:hAnsi="Arial" w:cs="Arial"/>
          <w:color w:val="000000"/>
          <w:sz w:val="20"/>
        </w:rPr>
      </w:pPr>
    </w:p>
    <w:p w14:paraId="14A6166C" w14:textId="77777777" w:rsidR="00132E50" w:rsidRPr="00B87BB0" w:rsidRDefault="00132E50" w:rsidP="0090541F">
      <w:pPr>
        <w:keepNext/>
        <w:keepLines/>
        <w:jc w:val="both"/>
        <w:rPr>
          <w:rFonts w:ascii="Arial" w:hAnsi="Arial" w:cs="Arial"/>
          <w:color w:val="000000"/>
          <w:sz w:val="20"/>
        </w:rPr>
      </w:pPr>
      <w:r w:rsidRPr="00B87BB0">
        <w:rPr>
          <w:rFonts w:ascii="Arial" w:hAnsi="Arial" w:cs="Arial"/>
          <w:color w:val="000000"/>
          <w:sz w:val="20"/>
        </w:rPr>
        <w:t xml:space="preserve">Under the CYPA the Court had no power to order what was then called a “pre-hearing conference” in relation to any application other than a protection application.  There was no bar to a pre-hearing conference being held in respect of any other application {e.g. breach, variation or extension} if all parties consented and this was usually what happened in practice.  Under the CYFA the Court may refer </w:t>
      </w:r>
      <w:r w:rsidRPr="00B87BB0">
        <w:rPr>
          <w:rFonts w:ascii="Arial" w:hAnsi="Arial" w:cs="Arial"/>
          <w:color w:val="000000"/>
          <w:sz w:val="20"/>
          <w:u w:val="single"/>
        </w:rPr>
        <w:t>any</w:t>
      </w:r>
      <w:r w:rsidRPr="00B87BB0">
        <w:rPr>
          <w:rFonts w:ascii="Arial" w:hAnsi="Arial" w:cs="Arial"/>
          <w:color w:val="000000"/>
          <w:sz w:val="20"/>
        </w:rPr>
        <w:t xml:space="preserve"> application under the CYFA to a CC.  This is clearly broad enough to include irreconcilable difference applications and applications for permanent care orders as well as secondary applications such as breaches, variations or extensions of existing protection orders.  It is also broad enough to allow the referral of applications for intervention orders which - although deriving from the </w:t>
      </w:r>
      <w:r w:rsidRPr="00B87BB0">
        <w:rPr>
          <w:rFonts w:ascii="Arial" w:hAnsi="Arial" w:cs="Arial"/>
          <w:color w:val="000000"/>
          <w:sz w:val="20"/>
          <w:u w:val="single"/>
        </w:rPr>
        <w:t>Family Violence Protection Act 2008 (Vic)</w:t>
      </w:r>
      <w:r w:rsidRPr="00B87BB0">
        <w:rPr>
          <w:rFonts w:ascii="Arial" w:hAnsi="Arial" w:cs="Arial"/>
          <w:color w:val="000000"/>
          <w:sz w:val="20"/>
        </w:rPr>
        <w:t xml:space="preserve"> and the </w:t>
      </w:r>
      <w:r w:rsidRPr="00B87BB0">
        <w:rPr>
          <w:rFonts w:ascii="Arial" w:hAnsi="Arial" w:cs="Arial"/>
          <w:color w:val="000000"/>
          <w:sz w:val="20"/>
          <w:u w:val="single"/>
        </w:rPr>
        <w:t>Personal Safety Intervention Orders Act 2010 (Vic)</w:t>
      </w:r>
      <w:r w:rsidRPr="00B87BB0">
        <w:rPr>
          <w:rFonts w:ascii="Arial" w:hAnsi="Arial" w:cs="Arial"/>
          <w:color w:val="000000"/>
          <w:sz w:val="20"/>
        </w:rPr>
        <w:t xml:space="preserve"> – are matters which fall within the jurisdiction of the Family Division: see s.515(2) of the CYFA.</w:t>
      </w:r>
    </w:p>
    <w:p w14:paraId="42B6DACB" w14:textId="77777777" w:rsidR="00132E50" w:rsidRPr="00B87BB0" w:rsidRDefault="00132E50" w:rsidP="00132E50">
      <w:pPr>
        <w:jc w:val="both"/>
        <w:rPr>
          <w:rFonts w:ascii="Arial" w:hAnsi="Arial" w:cs="Arial"/>
          <w:color w:val="000000"/>
          <w:sz w:val="20"/>
        </w:rPr>
      </w:pPr>
    </w:p>
    <w:p w14:paraId="7BF47901"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Section 217(2) of the CYFA provides that the purpose of a CC is to give the parties to the application an opportunity to agree or advise on the action that should be taken in the best interests of the child.  Section 218 provides that the purpose of a CC is to enable the parties with the assistance of the convenor(s)-</w:t>
      </w:r>
    </w:p>
    <w:p w14:paraId="6CD324B4"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7B340BA4"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16AF9555" w14:textId="77777777" w:rsidR="00132E50" w:rsidRPr="00B87BB0" w:rsidRDefault="00132E50" w:rsidP="00132E50">
      <w:pP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69009001" w14:textId="77777777" w:rsidR="00132E50" w:rsidRPr="00B87BB0" w:rsidRDefault="00132E50" w:rsidP="00132E50">
      <w:pPr>
        <w:jc w:val="both"/>
        <w:rPr>
          <w:rFonts w:ascii="Arial" w:hAnsi="Arial" w:cs="Arial"/>
          <w:color w:val="000000"/>
          <w:sz w:val="20"/>
        </w:rPr>
      </w:pPr>
    </w:p>
    <w:p w14:paraId="55A1640F" w14:textId="77777777" w:rsidR="00132E50" w:rsidRPr="00B87BB0" w:rsidRDefault="00132E50" w:rsidP="00132E50">
      <w:pPr>
        <w:keepNext/>
        <w:keepLines/>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2B886A4B" w14:textId="77777777" w:rsidR="00132E50" w:rsidRPr="00B87BB0" w:rsidRDefault="00132E50" w:rsidP="00132E50">
      <w:pPr>
        <w:numPr>
          <w:ilvl w:val="0"/>
          <w:numId w:val="16"/>
        </w:numPr>
        <w:jc w:val="both"/>
        <w:rPr>
          <w:rFonts w:ascii="Arial" w:hAnsi="Arial" w:cs="Arial"/>
          <w:bCs/>
          <w:color w:val="000000"/>
          <w:sz w:val="20"/>
        </w:rPr>
      </w:pPr>
      <w:r w:rsidRPr="00B87BB0">
        <w:rPr>
          <w:rFonts w:ascii="Arial" w:hAnsi="Arial" w:cs="Arial"/>
          <w:bCs/>
          <w:color w:val="000000"/>
          <w:sz w:val="20"/>
        </w:rPr>
        <w:t>identify and clarify disputed issues;</w:t>
      </w:r>
    </w:p>
    <w:p w14:paraId="2B6286BB" w14:textId="77777777" w:rsidR="00132E50" w:rsidRPr="00B87BB0" w:rsidRDefault="00132E50" w:rsidP="00132E50">
      <w:pPr>
        <w:numPr>
          <w:ilvl w:val="0"/>
          <w:numId w:val="16"/>
        </w:numPr>
        <w:jc w:val="both"/>
        <w:rPr>
          <w:rFonts w:ascii="Arial" w:hAnsi="Arial" w:cs="Arial"/>
          <w:bCs/>
          <w:color w:val="000000"/>
          <w:sz w:val="20"/>
        </w:rPr>
      </w:pPr>
      <w:r w:rsidRPr="00B87BB0">
        <w:rPr>
          <w:rFonts w:ascii="Arial" w:hAnsi="Arial" w:cs="Arial"/>
          <w:bCs/>
          <w:color w:val="000000"/>
          <w:sz w:val="20"/>
        </w:rPr>
        <w:t>identify and clarify areas of agreement;</w:t>
      </w:r>
    </w:p>
    <w:p w14:paraId="7DD77258" w14:textId="77777777" w:rsidR="00132E50" w:rsidRPr="00B87BB0" w:rsidRDefault="00132E50" w:rsidP="00132E50">
      <w:pPr>
        <w:numPr>
          <w:ilvl w:val="0"/>
          <w:numId w:val="16"/>
        </w:numPr>
        <w:jc w:val="both"/>
        <w:rPr>
          <w:rFonts w:ascii="Arial" w:hAnsi="Arial" w:cs="Arial"/>
          <w:bCs/>
          <w:color w:val="000000"/>
          <w:sz w:val="20"/>
        </w:rPr>
      </w:pPr>
      <w:r w:rsidRPr="00B87BB0">
        <w:rPr>
          <w:rFonts w:ascii="Arial" w:hAnsi="Arial" w:cs="Arial"/>
          <w:bCs/>
          <w:color w:val="000000"/>
          <w:sz w:val="20"/>
        </w:rPr>
        <w:t>develop options and consider alternatives;</w:t>
      </w:r>
    </w:p>
    <w:p w14:paraId="4D4AA5EF" w14:textId="77777777" w:rsidR="00132E50" w:rsidRPr="00B87BB0" w:rsidRDefault="00132E50" w:rsidP="00132E50">
      <w:pPr>
        <w:numPr>
          <w:ilvl w:val="0"/>
          <w:numId w:val="16"/>
        </w:numPr>
        <w:jc w:val="both"/>
        <w:rPr>
          <w:rFonts w:ascii="Arial" w:hAnsi="Arial" w:cs="Arial"/>
          <w:bCs/>
          <w:color w:val="000000"/>
          <w:sz w:val="20"/>
        </w:rPr>
      </w:pPr>
      <w:r w:rsidRPr="00B87BB0">
        <w:rPr>
          <w:rFonts w:ascii="Arial" w:hAnsi="Arial" w:cs="Arial"/>
          <w:bCs/>
          <w:color w:val="000000"/>
          <w:sz w:val="20"/>
        </w:rPr>
        <w:t>enhance communication; and</w:t>
      </w:r>
    </w:p>
    <w:p w14:paraId="43CCA75A" w14:textId="77777777" w:rsidR="00132E50" w:rsidRPr="00B87BB0" w:rsidRDefault="00132E50" w:rsidP="00132E50">
      <w:pPr>
        <w:numPr>
          <w:ilvl w:val="0"/>
          <w:numId w:val="16"/>
        </w:numP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1D3D0642" w14:textId="77777777" w:rsidR="007229AB" w:rsidRDefault="007229AB" w:rsidP="007229AB">
      <w:pPr>
        <w:jc w:val="both"/>
        <w:rPr>
          <w:rFonts w:ascii="Arial" w:hAnsi="Arial" w:cs="Arial"/>
          <w:b/>
          <w:bCs/>
          <w:color w:val="000000"/>
          <w:sz w:val="20"/>
        </w:rPr>
      </w:pPr>
      <w:bookmarkStart w:id="1506" w:name="_4.10.3_Convenor"/>
      <w:bookmarkEnd w:id="1506"/>
    </w:p>
    <w:p w14:paraId="4925CE4B" w14:textId="77777777" w:rsidR="00132E50" w:rsidRPr="00785E1A" w:rsidRDefault="00132E50" w:rsidP="007229AB">
      <w:pPr>
        <w:spacing w:after="120"/>
        <w:jc w:val="both"/>
        <w:rPr>
          <w:rFonts w:ascii="Arial" w:hAnsi="Arial" w:cs="Arial"/>
          <w:color w:val="000000"/>
          <w:sz w:val="20"/>
        </w:rPr>
      </w:pPr>
      <w:bookmarkStart w:id="1507" w:name="B4103"/>
      <w:bookmarkEnd w:id="1507"/>
      <w:r w:rsidRPr="00785E1A">
        <w:rPr>
          <w:rFonts w:ascii="Arial" w:hAnsi="Arial" w:cs="Arial"/>
          <w:b/>
          <w:bCs/>
          <w:color w:val="000000"/>
          <w:sz w:val="20"/>
        </w:rPr>
        <w:t>4.10.3</w:t>
      </w:r>
      <w:r w:rsidRPr="00785E1A">
        <w:rPr>
          <w:rFonts w:ascii="Arial" w:hAnsi="Arial" w:cs="Arial"/>
          <w:b/>
          <w:bCs/>
          <w:color w:val="000000"/>
          <w:sz w:val="20"/>
        </w:rPr>
        <w:tab/>
        <w:t>Convenor</w:t>
      </w:r>
    </w:p>
    <w:p w14:paraId="4A67F58D" w14:textId="77777777" w:rsidR="00132E50" w:rsidRPr="00D00CAA" w:rsidRDefault="00132E50" w:rsidP="00132E50">
      <w:pPr>
        <w:keepNext/>
        <w:keepLines/>
        <w:jc w:val="both"/>
        <w:rPr>
          <w:rFonts w:ascii="Arial" w:hAnsi="Arial" w:cs="Arial"/>
          <w:color w:val="000000"/>
          <w:sz w:val="20"/>
        </w:rPr>
      </w:pPr>
      <w:r w:rsidRPr="00D00CAA">
        <w:rPr>
          <w:rFonts w:ascii="Arial" w:hAnsi="Arial" w:cs="Arial"/>
          <w:color w:val="000000"/>
          <w:sz w:val="20"/>
        </w:rPr>
        <w:t>Under ss.227(1) &amp; 227(2) of the CYPA a convenor is appointed by the President of the Children’s Court on the terms and conditions set out in the instrument of appointment.  Under s.227(3), the Attorney-General must not recommend a person for appointment as a convenor unless satisfied that the person is of good character and has appropriate qualifications and experience.  Under s.227(4) the President may remove a convenor from office at any time.</w:t>
      </w:r>
    </w:p>
    <w:p w14:paraId="1144080E" w14:textId="77777777" w:rsidR="00132E50" w:rsidRPr="00D00CAA" w:rsidRDefault="00132E50" w:rsidP="00132E50">
      <w:pPr>
        <w:jc w:val="both"/>
        <w:rPr>
          <w:rFonts w:ascii="Arial" w:hAnsi="Arial" w:cs="Arial"/>
          <w:color w:val="000000"/>
          <w:sz w:val="20"/>
        </w:rPr>
      </w:pPr>
    </w:p>
    <w:p w14:paraId="79F5AECA"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613F73F1" w14:textId="77777777" w:rsidR="00132E50" w:rsidRDefault="00132E50" w:rsidP="00132E50">
      <w:pPr>
        <w:jc w:val="both"/>
        <w:rPr>
          <w:rFonts w:ascii="Arial" w:hAnsi="Arial" w:cs="Arial"/>
          <w:color w:val="000000"/>
          <w:sz w:val="20"/>
        </w:rPr>
      </w:pPr>
    </w:p>
    <w:p w14:paraId="5A4FC86E" w14:textId="77777777" w:rsidR="00132E50" w:rsidRPr="00785E1A" w:rsidRDefault="00132E50" w:rsidP="00132E50">
      <w:pP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41C902AC"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57784ABD"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3CD80EB9"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47B9B5C9" w14:textId="77777777" w:rsidR="00132E50" w:rsidRPr="00785E1A" w:rsidRDefault="00132E50" w:rsidP="00132E50">
      <w:pPr>
        <w:jc w:val="both"/>
        <w:rPr>
          <w:rFonts w:ascii="Arial" w:hAnsi="Arial" w:cs="Arial"/>
          <w:color w:val="000000"/>
          <w:sz w:val="20"/>
        </w:rPr>
      </w:pPr>
    </w:p>
    <w:p w14:paraId="3A7FAD0C" w14:textId="77777777" w:rsidR="00132E50" w:rsidRPr="001544BF" w:rsidRDefault="00132E50" w:rsidP="00132E50">
      <w:pPr>
        <w:pStyle w:val="Heading3"/>
        <w:keepNext/>
        <w:spacing w:after="120" w:line="240" w:lineRule="auto"/>
        <w:rPr>
          <w:rFonts w:ascii="Arial" w:hAnsi="Arial" w:cs="Arial"/>
          <w:color w:val="000000"/>
          <w:sz w:val="20"/>
        </w:rPr>
      </w:pPr>
      <w:bookmarkStart w:id="1508" w:name="_4.10.4_Repeal_of"/>
      <w:bookmarkStart w:id="1509" w:name="B4104"/>
      <w:bookmarkEnd w:id="1508"/>
      <w:bookmarkEnd w:id="1509"/>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4F1E74B5"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5E702B4E" w14:textId="77777777" w:rsidR="00132E50" w:rsidRPr="001544BF" w:rsidRDefault="00132E50" w:rsidP="000C54CD">
      <w:pPr>
        <w:numPr>
          <w:ilvl w:val="0"/>
          <w:numId w:val="57"/>
        </w:numPr>
        <w:tabs>
          <w:tab w:val="clear" w:pos="1634"/>
        </w:tabs>
        <w:ind w:left="289" w:hanging="289"/>
        <w:jc w:val="both"/>
        <w:rPr>
          <w:rFonts w:ascii="Arial" w:hAnsi="Arial" w:cs="Arial"/>
          <w:color w:val="000000"/>
          <w:sz w:val="20"/>
        </w:rPr>
      </w:pPr>
      <w:r w:rsidRPr="001544BF">
        <w:rPr>
          <w:rFonts w:ascii="Arial" w:hAnsi="Arial" w:cs="Arial"/>
          <w:color w:val="000000"/>
          <w:sz w:val="20"/>
        </w:rPr>
        <w:lastRenderedPageBreak/>
        <w:t>“a facilitative conference” whose primary purpose was to try to reach an agreement as to the action to be taken in the best interests of the child [s.218(1)(c)]; or</w:t>
      </w:r>
    </w:p>
    <w:p w14:paraId="103A2A3A" w14:textId="77777777" w:rsidR="00132E50" w:rsidRPr="001544BF" w:rsidRDefault="00132E50" w:rsidP="000C54CD">
      <w:pPr>
        <w:numPr>
          <w:ilvl w:val="0"/>
          <w:numId w:val="57"/>
        </w:numP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2272B336" w14:textId="77777777" w:rsidR="00132E50" w:rsidRPr="001544BF" w:rsidRDefault="00132E50" w:rsidP="00132E50">
      <w:pPr>
        <w:jc w:val="both"/>
        <w:rPr>
          <w:rFonts w:ascii="Arial" w:hAnsi="Arial" w:cs="Arial"/>
          <w:color w:val="000000"/>
          <w:sz w:val="20"/>
        </w:rPr>
      </w:pPr>
    </w:p>
    <w:p w14:paraId="2551E4AD"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51BE9451" w14:textId="77777777" w:rsidR="00132E50" w:rsidRPr="00785E1A" w:rsidRDefault="00132E50" w:rsidP="00132E50">
      <w:pPr>
        <w:jc w:val="both"/>
        <w:rPr>
          <w:rFonts w:ascii="Arial" w:hAnsi="Arial" w:cs="Arial"/>
          <w:color w:val="000000"/>
          <w:sz w:val="20"/>
        </w:rPr>
      </w:pPr>
    </w:p>
    <w:p w14:paraId="174CCE9B" w14:textId="77777777" w:rsidR="00132E50" w:rsidRPr="00677920" w:rsidRDefault="00132E50" w:rsidP="00132E50">
      <w:pPr>
        <w:pStyle w:val="Heading3"/>
        <w:keepNext/>
        <w:spacing w:after="120" w:line="240" w:lineRule="auto"/>
        <w:rPr>
          <w:rFonts w:ascii="Arial" w:hAnsi="Arial" w:cs="Arial"/>
          <w:color w:val="000000"/>
          <w:sz w:val="20"/>
        </w:rPr>
      </w:pPr>
      <w:bookmarkStart w:id="1510" w:name="_4.10.5_Attendance_at"/>
      <w:bookmarkStart w:id="1511" w:name="B4105"/>
      <w:bookmarkEnd w:id="1510"/>
      <w:bookmarkEnd w:id="1511"/>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89EC85A"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7E791FCD" w14:textId="77777777" w:rsidR="00132E50" w:rsidRPr="00677920" w:rsidRDefault="00132E50" w:rsidP="00132E50">
      <w:pPr>
        <w:jc w:val="both"/>
        <w:rPr>
          <w:rFonts w:ascii="Arial" w:hAnsi="Arial" w:cs="Arial"/>
          <w:color w:val="000000"/>
          <w:sz w:val="20"/>
        </w:rPr>
      </w:pPr>
    </w:p>
    <w:p w14:paraId="07C5E619"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In the past the Secretary ha</w:t>
      </w:r>
      <w:r w:rsidR="003B4C54">
        <w:rPr>
          <w:rFonts w:ascii="Arial" w:hAnsi="Arial" w:cs="Arial"/>
          <w:color w:val="000000"/>
          <w:sz w:val="20"/>
        </w:rPr>
        <w:t>d</w:t>
      </w:r>
      <w:r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Pr="00677920">
        <w:rPr>
          <w:rFonts w:ascii="Arial" w:hAnsi="Arial" w:cs="Arial"/>
          <w:color w:val="000000"/>
          <w:sz w:val="20"/>
        </w:rPr>
        <w:t>s a decision of the Secretary, not a legislative bar or something desired by the Court.  The</w:t>
      </w:r>
      <w:r w:rsidR="00677920">
        <w:rPr>
          <w:rFonts w:ascii="Arial" w:hAnsi="Arial" w:cs="Arial"/>
          <w:color w:val="000000"/>
          <w:sz w:val="20"/>
        </w:rPr>
        <w:t xml:space="preserve"> guidelines for the </w:t>
      </w:r>
      <w:r w:rsidR="0090541F">
        <w:rPr>
          <w:rFonts w:ascii="Arial" w:hAnsi="Arial" w:cs="Arial"/>
          <w:color w:val="000000"/>
          <w:sz w:val="20"/>
        </w:rPr>
        <w:t>current</w:t>
      </w:r>
      <w:r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Pr="00677920">
        <w:rPr>
          <w:rFonts w:ascii="Arial" w:hAnsi="Arial" w:cs="Arial"/>
          <w:color w:val="000000"/>
          <w:sz w:val="20"/>
        </w:rPr>
        <w:t>conference</w:t>
      </w:r>
      <w:r w:rsidR="00677920">
        <w:rPr>
          <w:rFonts w:ascii="Arial" w:hAnsi="Arial" w:cs="Arial"/>
          <w:color w:val="000000"/>
          <w:sz w:val="20"/>
        </w:rPr>
        <w:t xml:space="preserve"> </w:t>
      </w:r>
      <w:r w:rsidRPr="00677920">
        <w:rPr>
          <w:rFonts w:ascii="Arial" w:hAnsi="Arial" w:cs="Arial"/>
          <w:color w:val="000000"/>
          <w:sz w:val="20"/>
        </w:rPr>
        <w:t>state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4E1912D7" w14:textId="77777777" w:rsidR="00132E50" w:rsidRPr="00785E1A" w:rsidRDefault="00132E50" w:rsidP="00132E50">
      <w:pPr>
        <w:jc w:val="both"/>
        <w:rPr>
          <w:rFonts w:ascii="Arial" w:hAnsi="Arial" w:cs="Arial"/>
          <w:color w:val="000000"/>
          <w:sz w:val="20"/>
        </w:rPr>
      </w:pPr>
    </w:p>
    <w:p w14:paraId="32F4A011" w14:textId="77777777" w:rsidR="00132E50" w:rsidRPr="00677920" w:rsidRDefault="00132E50" w:rsidP="00132E50">
      <w:pPr>
        <w:jc w:val="both"/>
        <w:rPr>
          <w:rFonts w:ascii="Arial" w:hAnsi="Arial" w:cs="Arial"/>
          <w:color w:val="000000"/>
          <w:sz w:val="20"/>
        </w:rPr>
      </w:pPr>
      <w:r w:rsidRPr="00785E1A">
        <w:rPr>
          <w:rFonts w:ascii="Arial" w:hAnsi="Arial" w:cs="Arial"/>
          <w:color w:val="000000"/>
          <w:sz w:val="20"/>
        </w:rPr>
        <w:t xml:space="preserve">A legal representative of the parent may attend: s.222(3).  If the child is mature enough to give instructions, a separate legal representative of the child may attend: s.222(4).  If, in exceptional circumstances, the Court determines that it is in the best interests of a child who, in the opinion of the Court is not mature enough to give instructions, for the child to be legally </w:t>
      </w:r>
      <w:r w:rsidRPr="00677920">
        <w:rPr>
          <w:rFonts w:ascii="Arial" w:hAnsi="Arial" w:cs="Arial"/>
          <w:color w:val="000000"/>
          <w:sz w:val="20"/>
        </w:rPr>
        <w:t>represented at a conference, such legal representative may attend: s.222(5).</w:t>
      </w:r>
    </w:p>
    <w:p w14:paraId="6DAD7D78" w14:textId="77777777" w:rsidR="00132E50" w:rsidRPr="00785E1A" w:rsidRDefault="00132E50" w:rsidP="00132E50">
      <w:pPr>
        <w:jc w:val="both"/>
        <w:rPr>
          <w:rFonts w:ascii="Arial" w:hAnsi="Arial" w:cs="Arial"/>
          <w:color w:val="000000"/>
          <w:sz w:val="20"/>
        </w:rPr>
      </w:pPr>
    </w:p>
    <w:p w14:paraId="33B367DF"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In addition, under s.222(2), the Court may order the attendance of-</w:t>
      </w:r>
    </w:p>
    <w:p w14:paraId="04A4927C" w14:textId="77777777" w:rsidR="00132E50" w:rsidRPr="00785E1A" w:rsidRDefault="00132E50" w:rsidP="00132E50">
      <w:pPr>
        <w:numPr>
          <w:ilvl w:val="0"/>
          <w:numId w:val="14"/>
        </w:numPr>
        <w:tabs>
          <w:tab w:val="clear" w:pos="420"/>
          <w:tab w:val="num" w:leader="none" w:pos="363"/>
        </w:tabs>
        <w:ind w:left="0"/>
        <w:jc w:val="both"/>
        <w:rPr>
          <w:rFonts w:ascii="Arial" w:hAnsi="Arial" w:cs="Arial"/>
          <w:color w:val="000000"/>
          <w:sz w:val="20"/>
        </w:rPr>
      </w:pPr>
      <w:r w:rsidRPr="00785E1A">
        <w:rPr>
          <w:rFonts w:ascii="Arial" w:hAnsi="Arial" w:cs="Arial"/>
          <w:color w:val="000000"/>
          <w:sz w:val="20"/>
        </w:rPr>
        <w:t>the child;</w:t>
      </w:r>
    </w:p>
    <w:p w14:paraId="38944290" w14:textId="77777777" w:rsidR="00132E50" w:rsidRPr="00785E1A" w:rsidRDefault="00132E50" w:rsidP="00132E50">
      <w:pPr>
        <w:numPr>
          <w:ilvl w:val="0"/>
          <w:numId w:val="14"/>
        </w:numPr>
        <w:tabs>
          <w:tab w:val="clear" w:pos="420"/>
          <w:tab w:val="num" w:leader="none" w:pos="363"/>
        </w:tabs>
        <w:ind w:left="0"/>
        <w:jc w:val="both"/>
        <w:rPr>
          <w:rFonts w:ascii="Arial" w:hAnsi="Arial" w:cs="Arial"/>
          <w:color w:val="000000"/>
          <w:sz w:val="20"/>
        </w:rPr>
      </w:pPr>
      <w:r w:rsidRPr="00785E1A">
        <w:rPr>
          <w:rFonts w:ascii="Arial" w:hAnsi="Arial" w:cs="Arial"/>
          <w:color w:val="000000"/>
          <w:sz w:val="20"/>
        </w:rPr>
        <w:t>his or her relative(s);</w:t>
      </w:r>
    </w:p>
    <w:p w14:paraId="2ACA6BE6" w14:textId="77777777" w:rsidR="00132E50" w:rsidRPr="00785E1A" w:rsidRDefault="00132E50" w:rsidP="00132E50">
      <w:pPr>
        <w:numPr>
          <w:ilvl w:val="0"/>
          <w:numId w:val="14"/>
        </w:numPr>
        <w:tabs>
          <w:tab w:val="clear" w:pos="420"/>
          <w:tab w:val="num" w:leader="none"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329A2B60" w14:textId="77777777" w:rsidR="00132E50" w:rsidRPr="00785E1A" w:rsidRDefault="00132E50" w:rsidP="00132E50">
      <w:pPr>
        <w:numPr>
          <w:ilvl w:val="0"/>
          <w:numId w:val="14"/>
        </w:numPr>
        <w:tabs>
          <w:tab w:val="clear" w:pos="420"/>
          <w:tab w:val="num" w:leader="none"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5F7ECD07" w14:textId="77777777" w:rsidR="00132E50" w:rsidRPr="00785E1A" w:rsidRDefault="00132E50" w:rsidP="00132E50">
      <w:pPr>
        <w:numPr>
          <w:ilvl w:val="0"/>
          <w:numId w:val="14"/>
        </w:numPr>
        <w:tabs>
          <w:tab w:val="clear" w:pos="420"/>
          <w:tab w:val="num" w:leader="none"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1E8C6681" w14:textId="77777777" w:rsidR="00132E50" w:rsidRPr="00785E1A" w:rsidRDefault="00132E50" w:rsidP="00132E50">
      <w:pPr>
        <w:numPr>
          <w:ilvl w:val="0"/>
          <w:numId w:val="14"/>
        </w:numPr>
        <w:tabs>
          <w:tab w:val="clear" w:pos="420"/>
          <w:tab w:val="num" w:leader="none"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0B4517FE" w14:textId="77777777" w:rsidR="00132E50" w:rsidRPr="00785E1A" w:rsidRDefault="00132E50" w:rsidP="00132E50">
      <w:pPr>
        <w:numPr>
          <w:ilvl w:val="0"/>
          <w:numId w:val="14"/>
        </w:numPr>
        <w:tabs>
          <w:tab w:val="clear" w:pos="420"/>
          <w:tab w:val="num" w:leader="none"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74B6166E" w14:textId="77777777" w:rsidR="00132E50" w:rsidRPr="00785E1A" w:rsidRDefault="00132E50" w:rsidP="00132E50">
      <w:pPr>
        <w:numPr>
          <w:ilvl w:val="0"/>
          <w:numId w:val="14"/>
        </w:numPr>
        <w:tabs>
          <w:tab w:val="clear" w:pos="420"/>
          <w:tab w:val="num" w:leader="none"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08876BC8" w14:textId="77777777" w:rsidR="00132E50" w:rsidRDefault="00132E50" w:rsidP="00132E50">
      <w:pPr>
        <w:jc w:val="both"/>
        <w:rPr>
          <w:rFonts w:ascii="Arial" w:hAnsi="Arial" w:cs="Arial"/>
          <w:color w:val="000000"/>
          <w:sz w:val="20"/>
        </w:rPr>
      </w:pPr>
    </w:p>
    <w:p w14:paraId="4E3E87D6" w14:textId="77777777" w:rsidR="00132E50" w:rsidRPr="00677920" w:rsidRDefault="0090541F" w:rsidP="00132E50">
      <w:pP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p>
    <w:p w14:paraId="4FEDEEB7"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75EBB161"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6E00BA57"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2CF98F39"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7CF83BAB" w14:textId="77777777" w:rsidR="00132E50" w:rsidRPr="00677920" w:rsidRDefault="00132E50" w:rsidP="00132E50">
      <w:pPr>
        <w:jc w:val="both"/>
        <w:rPr>
          <w:rFonts w:ascii="Arial" w:hAnsi="Arial" w:cs="Arial"/>
          <w:color w:val="000000"/>
          <w:sz w:val="20"/>
        </w:rPr>
      </w:pPr>
    </w:p>
    <w:p w14:paraId="5A1617A4" w14:textId="77777777" w:rsidR="00132E50" w:rsidRPr="00785E1A" w:rsidRDefault="00132E50" w:rsidP="00132E50">
      <w:pPr>
        <w:pStyle w:val="Heading3"/>
        <w:keepNext/>
        <w:spacing w:after="120" w:line="240" w:lineRule="auto"/>
        <w:rPr>
          <w:rFonts w:ascii="Arial" w:hAnsi="Arial" w:cs="Arial"/>
          <w:color w:val="000000"/>
          <w:sz w:val="20"/>
        </w:rPr>
      </w:pPr>
      <w:bookmarkStart w:id="1512" w:name="_4.10.6_Guidelines_&amp;"/>
      <w:bookmarkStart w:id="1513" w:name="B4106"/>
      <w:bookmarkEnd w:id="1512"/>
      <w:bookmarkEnd w:id="1513"/>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1C95C69F" w14:textId="77777777" w:rsidR="00132E50" w:rsidRPr="00862BCE" w:rsidRDefault="00132E50" w:rsidP="00132E50">
      <w:pP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r w:rsidRPr="00862BCE">
        <w:rPr>
          <w:rFonts w:ascii="Arial" w:hAnsi="Arial" w:cs="Arial"/>
          <w:color w:val="000000"/>
          <w:sz w:val="20"/>
        </w:rPr>
        <w:t xml:space="preserve">guidelines </w:t>
      </w:r>
      <w:r w:rsidR="00862BCE" w:rsidRPr="00862BCE">
        <w:rPr>
          <w:rFonts w:ascii="Arial" w:hAnsi="Arial" w:cs="Arial"/>
          <w:color w:val="000000"/>
          <w:sz w:val="20"/>
        </w:rPr>
        <w:t xml:space="preserve">for the </w:t>
      </w:r>
      <w:r w:rsidR="0090541F">
        <w:rPr>
          <w:rFonts w:ascii="Arial" w:hAnsi="Arial" w:cs="Arial"/>
          <w:color w:val="000000"/>
          <w:sz w:val="20"/>
        </w:rPr>
        <w:t>current</w:t>
      </w:r>
      <w:r w:rsidR="00862BCE" w:rsidRPr="00862BCE">
        <w:rPr>
          <w:rFonts w:ascii="Arial" w:hAnsi="Arial" w:cs="Arial"/>
          <w:color w:val="000000"/>
          <w:sz w:val="20"/>
        </w:rPr>
        <w:t xml:space="preserve"> model of conciliation conferenc</w:t>
      </w:r>
      <w:r w:rsidR="0090541F">
        <w:rPr>
          <w:rFonts w:ascii="Arial" w:hAnsi="Arial" w:cs="Arial"/>
          <w:color w:val="000000"/>
          <w:sz w:val="20"/>
        </w:rPr>
        <w:t>ing</w:t>
      </w:r>
      <w:r w:rsidR="00862BCE" w:rsidRPr="00862BCE">
        <w:rPr>
          <w:rFonts w:ascii="Arial" w:hAnsi="Arial" w:cs="Arial"/>
          <w:color w:val="000000"/>
          <w:sz w:val="20"/>
        </w:rPr>
        <w:t xml:space="preserve"> </w:t>
      </w:r>
      <w:r w:rsidRPr="00862BCE">
        <w:rPr>
          <w:rFonts w:ascii="Arial" w:hAnsi="Arial" w:cs="Arial"/>
          <w:color w:val="000000"/>
          <w:sz w:val="20"/>
        </w:rPr>
        <w:t xml:space="preserve">issued by the Court and effective from 09/09/2013 can be downloaded from the Court’s website.  These guidelines set out, </w:t>
      </w:r>
      <w:r w:rsidRPr="00862BCE">
        <w:rPr>
          <w:rFonts w:ascii="Arial" w:hAnsi="Arial" w:cs="Arial"/>
          <w:i/>
          <w:color w:val="000000"/>
          <w:sz w:val="20"/>
        </w:rPr>
        <w:t>inter alia</w:t>
      </w:r>
      <w:r w:rsidRPr="00862BCE">
        <w:rPr>
          <w:rFonts w:ascii="Arial" w:hAnsi="Arial" w:cs="Arial"/>
          <w:color w:val="000000"/>
          <w:sz w:val="20"/>
        </w:rPr>
        <w:t>-</w:t>
      </w:r>
    </w:p>
    <w:p w14:paraId="38F185A6" w14:textId="77777777" w:rsidR="00132E50" w:rsidRPr="00862BCE" w:rsidRDefault="00132E50" w:rsidP="00132E50">
      <w:pPr>
        <w:numPr>
          <w:ilvl w:val="0"/>
          <w:numId w:val="16"/>
        </w:numPr>
        <w:tabs>
          <w:tab w:val="num" w:leader="none" w:pos="363"/>
        </w:tabs>
        <w:jc w:val="both"/>
        <w:rPr>
          <w:rFonts w:ascii="Arial" w:hAnsi="Arial" w:cs="Arial"/>
          <w:bCs/>
          <w:color w:val="000000"/>
          <w:sz w:val="20"/>
        </w:rPr>
      </w:pPr>
      <w:r w:rsidRPr="00862BCE">
        <w:rPr>
          <w:rFonts w:ascii="Arial" w:hAnsi="Arial" w:cs="Arial"/>
          <w:bCs/>
          <w:color w:val="000000"/>
          <w:sz w:val="20"/>
        </w:rPr>
        <w:t>when the Court will order an CC;</w:t>
      </w:r>
    </w:p>
    <w:p w14:paraId="24A0FA83" w14:textId="77777777" w:rsidR="00132E50" w:rsidRPr="00862BCE" w:rsidRDefault="00132E50" w:rsidP="00132E50">
      <w:pPr>
        <w:numPr>
          <w:ilvl w:val="0"/>
          <w:numId w:val="16"/>
        </w:numPr>
        <w:tabs>
          <w:tab w:val="num" w:leader="none" w:pos="363"/>
        </w:tabs>
        <w:jc w:val="both"/>
        <w:rPr>
          <w:rFonts w:ascii="Arial" w:hAnsi="Arial" w:cs="Arial"/>
          <w:bCs/>
          <w:color w:val="000000"/>
          <w:sz w:val="20"/>
        </w:rPr>
      </w:pPr>
      <w:r w:rsidRPr="00862BCE">
        <w:rPr>
          <w:rFonts w:ascii="Arial" w:hAnsi="Arial" w:cs="Arial"/>
          <w:bCs/>
          <w:color w:val="000000"/>
          <w:sz w:val="20"/>
        </w:rPr>
        <w:t>the preliminary process and the role of the Conference Intake Officer, including the conduct of a risk assessment for parties other than the children;</w:t>
      </w:r>
    </w:p>
    <w:p w14:paraId="4EB738D3" w14:textId="77777777" w:rsidR="00132E50" w:rsidRPr="00862BCE" w:rsidRDefault="00132E50" w:rsidP="00132E50">
      <w:pPr>
        <w:numPr>
          <w:ilvl w:val="0"/>
          <w:numId w:val="16"/>
        </w:numPr>
        <w:tabs>
          <w:tab w:val="num" w:leader="none" w:pos="363"/>
        </w:tabs>
        <w:jc w:val="both"/>
        <w:rPr>
          <w:rFonts w:ascii="Arial" w:hAnsi="Arial" w:cs="Arial"/>
          <w:bCs/>
          <w:color w:val="000000"/>
          <w:sz w:val="20"/>
        </w:rPr>
      </w:pPr>
      <w:r w:rsidRPr="00862BCE">
        <w:rPr>
          <w:rFonts w:ascii="Arial" w:hAnsi="Arial" w:cs="Arial"/>
          <w:bCs/>
          <w:color w:val="000000"/>
          <w:sz w:val="20"/>
        </w:rPr>
        <w:t>information exchange requirements;</w:t>
      </w:r>
    </w:p>
    <w:p w14:paraId="660BCA32" w14:textId="77777777" w:rsidR="00132E50" w:rsidRPr="00862BCE" w:rsidRDefault="00132E50" w:rsidP="00132E50">
      <w:pPr>
        <w:numPr>
          <w:ilvl w:val="0"/>
          <w:numId w:val="16"/>
        </w:numPr>
        <w:tabs>
          <w:tab w:val="num" w:leader="none" w:pos="363"/>
        </w:tabs>
        <w:jc w:val="both"/>
        <w:rPr>
          <w:rFonts w:ascii="Arial" w:hAnsi="Arial" w:cs="Arial"/>
          <w:bCs/>
          <w:color w:val="000000"/>
          <w:sz w:val="20"/>
        </w:rPr>
      </w:pPr>
      <w:r w:rsidRPr="00862BCE">
        <w:rPr>
          <w:rFonts w:ascii="Arial" w:hAnsi="Arial" w:cs="Arial"/>
          <w:bCs/>
          <w:color w:val="000000"/>
          <w:sz w:val="20"/>
        </w:rPr>
        <w:t>the conference is to be conducted at a venue away from the Court unless there are identified security issues or a party is in custody;</w:t>
      </w:r>
    </w:p>
    <w:p w14:paraId="6D58CE4E" w14:textId="77777777" w:rsidR="00132E50" w:rsidRPr="00862BCE" w:rsidRDefault="00132E50" w:rsidP="00132E50">
      <w:pPr>
        <w:numPr>
          <w:ilvl w:val="0"/>
          <w:numId w:val="16"/>
        </w:numPr>
        <w:tabs>
          <w:tab w:val="num" w:leader="none" w:pos="363"/>
        </w:tabs>
        <w:jc w:val="both"/>
        <w:rPr>
          <w:rFonts w:ascii="Arial" w:hAnsi="Arial" w:cs="Arial"/>
          <w:bCs/>
          <w:color w:val="000000"/>
          <w:sz w:val="20"/>
        </w:rPr>
      </w:pPr>
      <w:r w:rsidRPr="00862BCE">
        <w:rPr>
          <w:rFonts w:ascii="Arial" w:hAnsi="Arial" w:cs="Arial"/>
          <w:bCs/>
          <w:color w:val="000000"/>
          <w:sz w:val="20"/>
        </w:rPr>
        <w:t>the purpose of an CC;</w:t>
      </w:r>
    </w:p>
    <w:p w14:paraId="02EF86FE" w14:textId="77777777" w:rsidR="00132E50" w:rsidRPr="00862BCE" w:rsidRDefault="00132E50" w:rsidP="00132E50">
      <w:pPr>
        <w:numPr>
          <w:ilvl w:val="0"/>
          <w:numId w:val="16"/>
        </w:numPr>
        <w:tabs>
          <w:tab w:val="num" w:leader="none" w:pos="363"/>
        </w:tabs>
        <w:jc w:val="both"/>
        <w:rPr>
          <w:rFonts w:ascii="Arial" w:hAnsi="Arial" w:cs="Arial"/>
          <w:bCs/>
          <w:color w:val="000000"/>
          <w:sz w:val="20"/>
        </w:rPr>
      </w:pPr>
      <w:r w:rsidRPr="00862BCE">
        <w:rPr>
          <w:rFonts w:ascii="Arial" w:hAnsi="Arial" w:cs="Arial"/>
          <w:bCs/>
          <w:color w:val="000000"/>
          <w:sz w:val="20"/>
        </w:rPr>
        <w:t>the responsibilities of all participants in a CC;</w:t>
      </w:r>
    </w:p>
    <w:p w14:paraId="3A1A6D1B" w14:textId="77777777" w:rsidR="00132E50" w:rsidRPr="00862BCE" w:rsidRDefault="00132E50" w:rsidP="00132E50">
      <w:pPr>
        <w:numPr>
          <w:ilvl w:val="0"/>
          <w:numId w:val="16"/>
        </w:numPr>
        <w:jc w:val="both"/>
        <w:rPr>
          <w:rFonts w:ascii="Arial" w:hAnsi="Arial" w:cs="Arial"/>
          <w:bCs/>
          <w:color w:val="000000"/>
          <w:sz w:val="20"/>
        </w:rPr>
      </w:pPr>
      <w:r w:rsidRPr="00862BCE">
        <w:rPr>
          <w:rFonts w:ascii="Arial" w:hAnsi="Arial" w:cs="Arial"/>
          <w:bCs/>
          <w:color w:val="000000"/>
          <w:sz w:val="20"/>
        </w:rPr>
        <w:lastRenderedPageBreak/>
        <w:t>the roles of convenors, lawyers, child protection practitioners, family &amp; community members; and</w:t>
      </w:r>
    </w:p>
    <w:p w14:paraId="22D86C72" w14:textId="77777777" w:rsidR="00132E50" w:rsidRPr="00862BCE" w:rsidRDefault="00132E50" w:rsidP="00132E50">
      <w:pPr>
        <w:numPr>
          <w:ilvl w:val="0"/>
          <w:numId w:val="16"/>
        </w:numPr>
        <w:jc w:val="both"/>
        <w:rPr>
          <w:rFonts w:ascii="Arial" w:hAnsi="Arial" w:cs="Arial"/>
          <w:bCs/>
          <w:color w:val="000000"/>
          <w:sz w:val="20"/>
        </w:rPr>
      </w:pPr>
      <w:r w:rsidRPr="00862BCE">
        <w:rPr>
          <w:rFonts w:ascii="Arial" w:hAnsi="Arial" w:cs="Arial"/>
          <w:bCs/>
          <w:color w:val="000000"/>
          <w:sz w:val="20"/>
        </w:rPr>
        <w:t>the process for conducting the conference.</w:t>
      </w:r>
    </w:p>
    <w:p w14:paraId="63C50E67" w14:textId="77777777" w:rsidR="00132E50" w:rsidRPr="00862BCE" w:rsidRDefault="00132E50" w:rsidP="00132E50">
      <w:pPr>
        <w:jc w:val="both"/>
        <w:rPr>
          <w:rFonts w:ascii="Arial" w:hAnsi="Arial" w:cs="Arial"/>
          <w:color w:val="000000"/>
          <w:sz w:val="20"/>
        </w:rPr>
      </w:pPr>
    </w:p>
    <w:p w14:paraId="19C68014"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These guidelines specify [at p.5] that all those participating in a CC-</w:t>
      </w:r>
    </w:p>
    <w:p w14:paraId="6F2C4000" w14:textId="77777777" w:rsidR="00132E50" w:rsidRPr="00785E1A" w:rsidRDefault="00132E50" w:rsidP="00132E50">
      <w:pPr>
        <w:numPr>
          <w:ilvl w:val="0"/>
          <w:numId w:val="43"/>
        </w:numPr>
        <w:ind w:left="357" w:hanging="357"/>
        <w:jc w:val="both"/>
        <w:rPr>
          <w:rFonts w:ascii="Arial" w:hAnsi="Arial" w:cs="Arial"/>
          <w:bCs/>
          <w:color w:val="000000"/>
          <w:sz w:val="20"/>
        </w:rPr>
      </w:pPr>
      <w:r w:rsidRPr="00785E1A">
        <w:rPr>
          <w:rFonts w:ascii="Arial" w:hAnsi="Arial" w:cs="Arial"/>
          <w:color w:val="000000"/>
          <w:sz w:val="20"/>
        </w:rPr>
        <w:t>must respect the authority of the convenor;</w:t>
      </w:r>
    </w:p>
    <w:p w14:paraId="0FA03DCF" w14:textId="77777777" w:rsidR="00132E50" w:rsidRPr="00862BCE" w:rsidRDefault="00132E50" w:rsidP="00132E50">
      <w:pPr>
        <w:numPr>
          <w:ilvl w:val="0"/>
          <w:numId w:val="43"/>
        </w:numPr>
        <w:ind w:left="357" w:hanging="357"/>
        <w:jc w:val="both"/>
        <w:rPr>
          <w:rFonts w:ascii="Arial" w:hAnsi="Arial" w:cs="Arial"/>
          <w:bCs/>
          <w:color w:val="000000"/>
          <w:sz w:val="20"/>
        </w:rPr>
      </w:pPr>
      <w:r w:rsidRPr="00862BCE">
        <w:rPr>
          <w:rFonts w:ascii="Arial" w:hAnsi="Arial" w:cs="Arial"/>
          <w:color w:val="000000"/>
          <w:sz w:val="20"/>
        </w:rPr>
        <w:t>must respect the roles and responsibilities of all other participants in an CC;</w:t>
      </w:r>
    </w:p>
    <w:p w14:paraId="116FE0C7" w14:textId="77777777" w:rsidR="00132E50" w:rsidRPr="00785E1A" w:rsidRDefault="00132E50" w:rsidP="00132E50">
      <w:pPr>
        <w:numPr>
          <w:ilvl w:val="0"/>
          <w:numId w:val="43"/>
        </w:numPr>
        <w:ind w:left="357" w:hanging="357"/>
        <w:jc w:val="both"/>
        <w:rPr>
          <w:rFonts w:ascii="Arial" w:hAnsi="Arial" w:cs="Arial"/>
          <w:bCs/>
          <w:color w:val="000000"/>
          <w:sz w:val="20"/>
        </w:rPr>
      </w:pPr>
      <w:r w:rsidRPr="00785E1A">
        <w:rPr>
          <w:rFonts w:ascii="Arial" w:hAnsi="Arial" w:cs="Arial"/>
          <w:color w:val="000000"/>
          <w:sz w:val="20"/>
        </w:rPr>
        <w:t>must clearly state their point of view and listen to and discuss the views of others;</w:t>
      </w:r>
    </w:p>
    <w:p w14:paraId="0C0EFD13" w14:textId="77777777" w:rsidR="00132E50" w:rsidRPr="00785E1A" w:rsidRDefault="00132E50" w:rsidP="00132E50">
      <w:pPr>
        <w:numPr>
          <w:ilvl w:val="0"/>
          <w:numId w:val="43"/>
        </w:numPr>
        <w:ind w:left="357" w:hanging="357"/>
        <w:jc w:val="both"/>
        <w:rPr>
          <w:rFonts w:ascii="Arial" w:hAnsi="Arial" w:cs="Arial"/>
          <w:bCs/>
          <w:color w:val="000000"/>
          <w:sz w:val="20"/>
        </w:rPr>
      </w:pPr>
      <w:r w:rsidRPr="00785E1A">
        <w:rPr>
          <w:rFonts w:ascii="Arial" w:hAnsi="Arial" w:cs="Arial"/>
          <w:color w:val="000000"/>
          <w:sz w:val="20"/>
        </w:rPr>
        <w:t>must highlight the strengths within the family;</w:t>
      </w:r>
    </w:p>
    <w:p w14:paraId="360F8005" w14:textId="77777777" w:rsidR="00132E50" w:rsidRPr="00785E1A" w:rsidRDefault="00132E50" w:rsidP="00132E50">
      <w:pPr>
        <w:numPr>
          <w:ilvl w:val="0"/>
          <w:numId w:val="43"/>
        </w:numPr>
        <w:ind w:left="357" w:hanging="357"/>
        <w:jc w:val="both"/>
        <w:rPr>
          <w:rFonts w:ascii="Arial" w:hAnsi="Arial" w:cs="Arial"/>
          <w:bCs/>
          <w:color w:val="000000"/>
          <w:sz w:val="20"/>
        </w:rPr>
      </w:pPr>
      <w:r w:rsidRPr="00785E1A">
        <w:rPr>
          <w:rFonts w:ascii="Arial" w:hAnsi="Arial" w:cs="Arial"/>
          <w:color w:val="000000"/>
          <w:sz w:val="20"/>
        </w:rPr>
        <w:t xml:space="preserve">must consider the options </w:t>
      </w:r>
      <w:r w:rsidRPr="00785E1A">
        <w:rPr>
          <w:rFonts w:ascii="Arial" w:hAnsi="Arial" w:cs="Arial"/>
          <w:bCs/>
          <w:color w:val="000000"/>
          <w:sz w:val="20"/>
        </w:rPr>
        <w:t>for resolving the protective concerns which gave rise to the application; and</w:t>
      </w:r>
    </w:p>
    <w:p w14:paraId="0BAF098D" w14:textId="77777777" w:rsidR="00132E50" w:rsidRPr="00785E1A" w:rsidRDefault="00132E50" w:rsidP="00132E50">
      <w:pPr>
        <w:numPr>
          <w:ilvl w:val="0"/>
          <w:numId w:val="43"/>
        </w:numPr>
        <w:ind w:left="357" w:hanging="357"/>
        <w:jc w:val="both"/>
        <w:rPr>
          <w:rFonts w:ascii="Arial" w:hAnsi="Arial" w:cs="Arial"/>
          <w:bCs/>
          <w:color w:val="000000"/>
          <w:sz w:val="20"/>
        </w:rPr>
      </w:pPr>
      <w:r w:rsidRPr="00785E1A">
        <w:rPr>
          <w:rFonts w:ascii="Arial" w:hAnsi="Arial" w:cs="Arial"/>
          <w:bCs/>
          <w:color w:val="000000"/>
          <w:sz w:val="20"/>
        </w:rPr>
        <w:t>must consider the arrangements that are in the best interests of the child.</w:t>
      </w:r>
    </w:p>
    <w:p w14:paraId="550E0F82" w14:textId="77777777" w:rsidR="00132E50" w:rsidRPr="00785E1A" w:rsidRDefault="00132E50" w:rsidP="00132E50">
      <w:pPr>
        <w:jc w:val="both"/>
        <w:rPr>
          <w:rFonts w:ascii="Arial" w:hAnsi="Arial" w:cs="Arial"/>
          <w:color w:val="000000"/>
          <w:sz w:val="20"/>
        </w:rPr>
      </w:pPr>
    </w:p>
    <w:p w14:paraId="1775CB4A"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Annexed to these guidelines are a number of documents including:</w:t>
      </w:r>
    </w:p>
    <w:p w14:paraId="1D04A04A" w14:textId="77777777" w:rsidR="00132E50" w:rsidRPr="00862BCE" w:rsidRDefault="00132E50" w:rsidP="00132E50">
      <w:pPr>
        <w:numPr>
          <w:ilvl w:val="0"/>
          <w:numId w:val="46"/>
        </w:numPr>
        <w:tabs>
          <w:tab w:val="clear" w:pos="720"/>
        </w:tabs>
        <w:ind w:left="357" w:hanging="357"/>
        <w:jc w:val="both"/>
        <w:rPr>
          <w:rFonts w:ascii="Arial" w:hAnsi="Arial" w:cs="Arial"/>
          <w:color w:val="000000"/>
          <w:sz w:val="20"/>
        </w:rPr>
      </w:pPr>
      <w:r w:rsidRPr="00862BCE">
        <w:rPr>
          <w:rFonts w:ascii="Arial" w:hAnsi="Arial" w:cs="Arial"/>
          <w:color w:val="000000"/>
          <w:sz w:val="20"/>
        </w:rPr>
        <w:t>Information Exchange Documents to be filed and served by all parties or their lawyers prior to each CC</w:t>
      </w:r>
    </w:p>
    <w:p w14:paraId="5585F885" w14:textId="77777777" w:rsidR="00132E50" w:rsidRPr="00862BCE" w:rsidRDefault="00132E50" w:rsidP="00132E50">
      <w:pPr>
        <w:numPr>
          <w:ilvl w:val="0"/>
          <w:numId w:val="4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A CC Addendum report to be filed and served by </w:t>
      </w:r>
      <w:r w:rsidR="00785D2D">
        <w:rPr>
          <w:rFonts w:ascii="Arial" w:hAnsi="Arial" w:cs="Arial"/>
          <w:color w:val="000000"/>
          <w:sz w:val="20"/>
        </w:rPr>
        <w:t>DFFH</w:t>
      </w:r>
      <w:r w:rsidRPr="00862BCE">
        <w:rPr>
          <w:rFonts w:ascii="Arial" w:hAnsi="Arial" w:cs="Arial"/>
          <w:color w:val="000000"/>
          <w:sz w:val="20"/>
        </w:rPr>
        <w:t>.</w:t>
      </w:r>
    </w:p>
    <w:p w14:paraId="0F9BE4A8" w14:textId="77777777" w:rsidR="00132E50" w:rsidRPr="00862BCE" w:rsidRDefault="00132E50" w:rsidP="00132E50">
      <w:pPr>
        <w:numPr>
          <w:ilvl w:val="0"/>
          <w:numId w:val="46"/>
        </w:numPr>
        <w:tabs>
          <w:tab w:val="clear" w:pos="720"/>
        </w:tabs>
        <w:ind w:left="357" w:hanging="357"/>
        <w:jc w:val="both"/>
        <w:rPr>
          <w:rFonts w:ascii="Arial" w:hAnsi="Arial" w:cs="Arial"/>
          <w:color w:val="000000"/>
          <w:sz w:val="20"/>
        </w:rPr>
      </w:pPr>
      <w:r w:rsidRPr="00862BCE">
        <w:rPr>
          <w:rFonts w:ascii="Arial" w:hAnsi="Arial" w:cs="Arial"/>
          <w:color w:val="000000"/>
          <w:sz w:val="20"/>
        </w:rPr>
        <w:t>Convenor’s report form.</w:t>
      </w:r>
    </w:p>
    <w:p w14:paraId="6A9FA871" w14:textId="77777777" w:rsidR="00132E50" w:rsidRPr="00785E1A" w:rsidRDefault="00132E50" w:rsidP="00132E50">
      <w:pPr>
        <w:jc w:val="both"/>
        <w:rPr>
          <w:rFonts w:ascii="Arial" w:hAnsi="Arial" w:cs="Arial"/>
          <w:color w:val="000000"/>
          <w:sz w:val="20"/>
        </w:rPr>
      </w:pPr>
    </w:p>
    <w:p w14:paraId="0A0DE5B9"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The roles of the various participants in a CC are discussed in the guidelines [at pp.6-9] and may be summarized as follows-</w:t>
      </w:r>
    </w:p>
    <w:p w14:paraId="5232A88C" w14:textId="77777777" w:rsidR="00132E50" w:rsidRPr="00785E1A" w:rsidRDefault="00132E50" w:rsidP="00132E50">
      <w:pPr>
        <w:jc w:val="both"/>
        <w:rPr>
          <w:rFonts w:ascii="Arial" w:hAnsi="Arial" w:cs="Arial"/>
          <w:color w:val="000000"/>
          <w:sz w:val="20"/>
        </w:rPr>
      </w:pPr>
    </w:p>
    <w:tbl>
      <w:tblPr>
        <w:tblW w:w="8278"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5"/>
        <w:gridCol w:w="6573"/>
      </w:tblGrid>
      <w:tr w:rsidR="00132E50" w:rsidRPr="00DB31F5" w14:paraId="05D17593" w14:textId="77777777" w:rsidTr="004767BE">
        <w:tc>
          <w:tcPr>
            <w:tcW w:w="1000" w:type="pct"/>
            <w:tcBorders>
              <w:top w:val="single" w:sz="12" w:space="0" w:color="auto"/>
              <w:bottom w:val="single" w:sz="12" w:space="0" w:color="auto"/>
              <w:right w:val="single" w:sz="12" w:space="0" w:color="auto"/>
            </w:tcBorders>
            <w:shd w:val="clear" w:color="auto" w:fill="D9D9D9"/>
          </w:tcPr>
          <w:p w14:paraId="7C78E17E" w14:textId="77777777" w:rsidR="00132E50" w:rsidRPr="00DB31F5" w:rsidRDefault="00132E50" w:rsidP="00DB31F5">
            <w:pPr>
              <w:keepNext/>
              <w:jc w:val="center"/>
              <w:rPr>
                <w:rFonts w:ascii="Arial" w:hAnsi="Arial" w:cs="Arial"/>
                <w:b/>
                <w:color w:val="000000"/>
              </w:rPr>
            </w:pPr>
            <w:r w:rsidRPr="00DB31F5">
              <w:rPr>
                <w:rFonts w:ascii="Arial" w:hAnsi="Arial" w:cs="Arial"/>
                <w:b/>
                <w:color w:val="000000"/>
              </w:rPr>
              <w:t>PERSON</w:t>
            </w:r>
          </w:p>
        </w:tc>
        <w:tc>
          <w:tcPr>
            <w:tcW w:w="4000" w:type="pct"/>
            <w:tcBorders>
              <w:left w:val="single" w:sz="12" w:space="0" w:color="auto"/>
              <w:bottom w:val="single" w:sz="12" w:space="0" w:color="auto"/>
            </w:tcBorders>
            <w:shd w:val="clear" w:color="auto" w:fill="D9D9D9"/>
          </w:tcPr>
          <w:p w14:paraId="446F886C" w14:textId="77777777" w:rsidR="00132E50" w:rsidRPr="00DB31F5" w:rsidRDefault="00132E50" w:rsidP="00DB31F5">
            <w:pPr>
              <w:keepNext/>
              <w:jc w:val="center"/>
              <w:rPr>
                <w:rFonts w:ascii="Arial" w:hAnsi="Arial" w:cs="Arial"/>
                <w:b/>
                <w:color w:val="000000"/>
              </w:rPr>
            </w:pPr>
            <w:r w:rsidRPr="00DB31F5">
              <w:rPr>
                <w:rFonts w:ascii="Arial" w:hAnsi="Arial" w:cs="Arial"/>
                <w:b/>
                <w:color w:val="000000"/>
              </w:rPr>
              <w:t>ROLE</w:t>
            </w:r>
          </w:p>
        </w:tc>
      </w:tr>
      <w:tr w:rsidR="00132E50" w:rsidRPr="00DB31F5" w14:paraId="70271522" w14:textId="77777777" w:rsidTr="00DB31F5">
        <w:tc>
          <w:tcPr>
            <w:tcW w:w="1000" w:type="pct"/>
            <w:tcBorders>
              <w:top w:val="single" w:sz="12" w:space="0" w:color="auto"/>
              <w:bottom w:val="single" w:sz="4" w:space="0" w:color="auto"/>
              <w:right w:val="single" w:sz="12" w:space="0" w:color="auto"/>
            </w:tcBorders>
            <w:shd w:val="clear" w:color="auto" w:fill="auto"/>
          </w:tcPr>
          <w:p w14:paraId="4F982FD0" w14:textId="77777777" w:rsidR="00132E50" w:rsidRPr="00DB31F5" w:rsidRDefault="00132E50" w:rsidP="00DB31F5">
            <w:pPr>
              <w:keepNext/>
              <w:spacing w:before="640"/>
              <w:jc w:val="center"/>
              <w:rPr>
                <w:rFonts w:ascii="Arial" w:hAnsi="Arial" w:cs="Arial"/>
                <w:color w:val="000000"/>
                <w:sz w:val="20"/>
              </w:rPr>
            </w:pPr>
            <w:r w:rsidRPr="00DB31F5">
              <w:rPr>
                <w:rFonts w:ascii="Arial" w:hAnsi="Arial" w:cs="Arial"/>
                <w:color w:val="000000"/>
                <w:sz w:val="20"/>
              </w:rPr>
              <w:t>CONVENOR</w:t>
            </w:r>
          </w:p>
        </w:tc>
        <w:tc>
          <w:tcPr>
            <w:tcW w:w="4000" w:type="pct"/>
            <w:tcBorders>
              <w:top w:val="single" w:sz="12" w:space="0" w:color="auto"/>
              <w:left w:val="single" w:sz="12" w:space="0" w:color="auto"/>
              <w:bottom w:val="single" w:sz="4" w:space="0" w:color="auto"/>
            </w:tcBorders>
            <w:shd w:val="clear" w:color="auto" w:fill="auto"/>
          </w:tcPr>
          <w:p w14:paraId="1C6F2D3C" w14:textId="77777777" w:rsidR="00132E50" w:rsidRPr="00DB31F5" w:rsidRDefault="00132E50" w:rsidP="00DB31F5">
            <w:pPr>
              <w:keepNext/>
              <w:jc w:val="both"/>
              <w:rPr>
                <w:rFonts w:ascii="Arial" w:hAnsi="Arial" w:cs="Arial"/>
                <w:color w:val="000000"/>
                <w:sz w:val="20"/>
              </w:rPr>
            </w:pPr>
            <w:r w:rsidRPr="00DB31F5">
              <w:rPr>
                <w:rFonts w:ascii="Arial" w:hAnsi="Arial" w:cs="Arial"/>
                <w:color w:val="000000"/>
                <w:sz w:val="20"/>
              </w:rPr>
              <w:t xml:space="preserve">As an independent chairperson </w:t>
            </w:r>
            <w:r w:rsidRPr="00DB31F5">
              <w:rPr>
                <w:rFonts w:ascii="Arial" w:hAnsi="Arial" w:cs="Arial"/>
                <w:i/>
                <w:color w:val="000000"/>
                <w:sz w:val="20"/>
              </w:rPr>
              <w:t>acting with the authority of the Court</w:t>
            </w:r>
            <w:r w:rsidRPr="00DB31F5">
              <w:rPr>
                <w:rFonts w:ascii="Arial" w:hAnsi="Arial" w:cs="Arial"/>
                <w:color w:val="000000"/>
                <w:sz w:val="20"/>
              </w:rPr>
              <w:t>, the convenor is responsible for controlling the proceedings and ensuring that each participant has the opportunity to participate fully.  A convenor must adopt an independent and objective approach, free of bias.  He or she should accept the participation of the parties in shaping decisions that are fair, practical and achievable and made in the child’s best interests.</w:t>
            </w:r>
          </w:p>
        </w:tc>
      </w:tr>
      <w:tr w:rsidR="00132E50" w:rsidRPr="00DB31F5" w14:paraId="24E56C3E" w14:textId="77777777" w:rsidTr="00DB31F5">
        <w:tc>
          <w:tcPr>
            <w:tcW w:w="1000" w:type="pct"/>
            <w:tcBorders>
              <w:top w:val="single" w:sz="4" w:space="0" w:color="auto"/>
              <w:right w:val="single" w:sz="12" w:space="0" w:color="auto"/>
            </w:tcBorders>
            <w:shd w:val="clear" w:color="auto" w:fill="auto"/>
          </w:tcPr>
          <w:p w14:paraId="2662BE5A" w14:textId="77777777" w:rsidR="00132E50" w:rsidRPr="00DB31F5" w:rsidRDefault="00132E50" w:rsidP="00DB31F5">
            <w:pPr>
              <w:spacing w:before="360"/>
              <w:jc w:val="center"/>
              <w:rPr>
                <w:rFonts w:ascii="Arial" w:hAnsi="Arial" w:cs="Arial"/>
                <w:color w:val="000000"/>
                <w:sz w:val="20"/>
              </w:rPr>
            </w:pPr>
            <w:r w:rsidRPr="00DB31F5">
              <w:rPr>
                <w:rFonts w:ascii="Arial" w:hAnsi="Arial" w:cs="Arial"/>
                <w:color w:val="000000"/>
                <w:sz w:val="20"/>
              </w:rPr>
              <w:t>LAWYER</w:t>
            </w:r>
          </w:p>
        </w:tc>
        <w:tc>
          <w:tcPr>
            <w:tcW w:w="4000" w:type="pct"/>
            <w:tcBorders>
              <w:top w:val="single" w:sz="4" w:space="0" w:color="auto"/>
              <w:left w:val="single" w:sz="12" w:space="0" w:color="auto"/>
            </w:tcBorders>
            <w:shd w:val="clear" w:color="auto" w:fill="auto"/>
          </w:tcPr>
          <w:p w14:paraId="352D460F" w14:textId="77777777" w:rsidR="00132E50" w:rsidRPr="00DB31F5" w:rsidRDefault="00132E50" w:rsidP="00DB31F5">
            <w:pPr>
              <w:jc w:val="both"/>
              <w:rPr>
                <w:rFonts w:ascii="Arial" w:hAnsi="Arial" w:cs="Arial"/>
                <w:color w:val="000000"/>
                <w:sz w:val="20"/>
              </w:rPr>
            </w:pPr>
            <w:r w:rsidRPr="00DB31F5">
              <w:rPr>
                <w:rFonts w:ascii="Arial" w:hAnsi="Arial" w:cs="Arial"/>
                <w:color w:val="000000"/>
                <w:sz w:val="20"/>
              </w:rPr>
              <w:t>A lawyer is required to adopt a non-adversarial role while representing his or her client in facilitated negotiations that take place in a problem-solving environment.  The lawyer must have an understanding of the CC process and should have participated in appropriate training.</w:t>
            </w:r>
          </w:p>
        </w:tc>
      </w:tr>
      <w:tr w:rsidR="00132E50" w:rsidRPr="00DB31F5" w14:paraId="33BB96D9" w14:textId="77777777" w:rsidTr="00DB31F5">
        <w:tc>
          <w:tcPr>
            <w:tcW w:w="1000" w:type="pct"/>
            <w:tcBorders>
              <w:right w:val="single" w:sz="12" w:space="0" w:color="auto"/>
            </w:tcBorders>
            <w:shd w:val="clear" w:color="auto" w:fill="auto"/>
          </w:tcPr>
          <w:p w14:paraId="1076423F" w14:textId="77777777" w:rsidR="00132E50" w:rsidRPr="00DB31F5" w:rsidRDefault="00132E50" w:rsidP="00DB31F5">
            <w:pPr>
              <w:keepNext/>
              <w:keepLines/>
              <w:spacing w:before="240"/>
              <w:jc w:val="center"/>
              <w:rPr>
                <w:rFonts w:ascii="Arial" w:hAnsi="Arial" w:cs="Arial"/>
                <w:color w:val="000000"/>
                <w:sz w:val="20"/>
              </w:rPr>
            </w:pPr>
            <w:r w:rsidRPr="00DB31F5">
              <w:rPr>
                <w:rFonts w:ascii="Arial" w:hAnsi="Arial" w:cs="Arial"/>
                <w:color w:val="000000"/>
                <w:sz w:val="20"/>
              </w:rPr>
              <w:t>CHILD PROTECTION PRACTITIONER</w:t>
            </w:r>
          </w:p>
        </w:tc>
        <w:tc>
          <w:tcPr>
            <w:tcW w:w="4000" w:type="pct"/>
            <w:tcBorders>
              <w:left w:val="single" w:sz="12" w:space="0" w:color="auto"/>
            </w:tcBorders>
            <w:shd w:val="clear" w:color="auto" w:fill="auto"/>
          </w:tcPr>
          <w:p w14:paraId="23D81573" w14:textId="77777777" w:rsidR="00132E50" w:rsidRPr="00DB31F5" w:rsidRDefault="00132E50" w:rsidP="00DB31F5">
            <w:pPr>
              <w:keepNext/>
              <w:keepLines/>
              <w:jc w:val="both"/>
              <w:rPr>
                <w:rFonts w:ascii="Arial" w:hAnsi="Arial" w:cs="Arial"/>
                <w:color w:val="000000"/>
                <w:sz w:val="20"/>
              </w:rPr>
            </w:pPr>
            <w:r w:rsidRPr="00DB31F5">
              <w:rPr>
                <w:rFonts w:ascii="Arial" w:hAnsi="Arial" w:cs="Arial"/>
                <w:color w:val="000000"/>
                <w:sz w:val="20"/>
              </w:rPr>
              <w:t>The protective worker is required to adopt a non-adversarial role and to promote the child’s safety and best interests in facilitated negotiations that take place in a problem-solving environment.  He or she must have an understanding of the CC process and should have participated in appropriate training.</w:t>
            </w:r>
          </w:p>
        </w:tc>
      </w:tr>
      <w:tr w:rsidR="00132E50" w:rsidRPr="00DB31F5" w14:paraId="755866B6" w14:textId="77777777" w:rsidTr="00DB31F5">
        <w:tc>
          <w:tcPr>
            <w:tcW w:w="1000" w:type="pct"/>
            <w:tcBorders>
              <w:bottom w:val="single" w:sz="12" w:space="0" w:color="auto"/>
              <w:right w:val="single" w:sz="12" w:space="0" w:color="auto"/>
            </w:tcBorders>
            <w:shd w:val="clear" w:color="auto" w:fill="auto"/>
          </w:tcPr>
          <w:p w14:paraId="3E96D3E8" w14:textId="77777777" w:rsidR="00132E50" w:rsidRPr="00DB31F5" w:rsidRDefault="00132E50" w:rsidP="00DB31F5">
            <w:pPr>
              <w:spacing w:before="240"/>
              <w:jc w:val="center"/>
              <w:rPr>
                <w:rFonts w:ascii="Arial" w:hAnsi="Arial" w:cs="Arial"/>
                <w:color w:val="000000"/>
                <w:sz w:val="20"/>
              </w:rPr>
            </w:pPr>
            <w:r w:rsidRPr="00DB31F5">
              <w:rPr>
                <w:rFonts w:ascii="Arial" w:hAnsi="Arial" w:cs="Arial"/>
                <w:color w:val="000000"/>
                <w:sz w:val="20"/>
              </w:rPr>
              <w:t>FAMILY &amp; COMMUNITY MEMBERS</w:t>
            </w:r>
          </w:p>
        </w:tc>
        <w:tc>
          <w:tcPr>
            <w:tcW w:w="4000" w:type="pct"/>
            <w:tcBorders>
              <w:left w:val="single" w:sz="12" w:space="0" w:color="auto"/>
            </w:tcBorders>
            <w:shd w:val="clear" w:color="auto" w:fill="auto"/>
          </w:tcPr>
          <w:p w14:paraId="3B4C334A" w14:textId="77777777" w:rsidR="00132E50" w:rsidRPr="00DB31F5" w:rsidRDefault="00132E50" w:rsidP="00DB31F5">
            <w:pPr>
              <w:jc w:val="both"/>
              <w:rPr>
                <w:rFonts w:ascii="Arial" w:hAnsi="Arial" w:cs="Arial"/>
                <w:color w:val="000000"/>
                <w:sz w:val="20"/>
              </w:rPr>
            </w:pPr>
            <w:r w:rsidRPr="00DB31F5">
              <w:rPr>
                <w:rFonts w:ascii="Arial" w:hAnsi="Arial" w:cs="Arial"/>
                <w:color w:val="000000"/>
                <w:sz w:val="20"/>
              </w:rPr>
              <w:t>A CC aims to encourage families and relevant community members to be involved and empowered in the decisions made about children.  Family or community members may contribute to the resolution of protective concerns or act as a support to the child and/or the family.  They are not to act as an advocate for one party against another.</w:t>
            </w:r>
          </w:p>
        </w:tc>
      </w:tr>
    </w:tbl>
    <w:p w14:paraId="5B69433C" w14:textId="77777777" w:rsidR="00132E50" w:rsidRPr="00785E1A" w:rsidRDefault="00132E50" w:rsidP="00132E50">
      <w:pPr>
        <w:jc w:val="both"/>
        <w:rPr>
          <w:rFonts w:ascii="Arial" w:hAnsi="Arial" w:cs="Arial"/>
          <w:color w:val="000000"/>
          <w:sz w:val="20"/>
        </w:rPr>
      </w:pPr>
    </w:p>
    <w:p w14:paraId="70453D05" w14:textId="77777777" w:rsidR="00132E50" w:rsidRPr="00862BCE" w:rsidRDefault="00132E50" w:rsidP="00132E50">
      <w:pPr>
        <w:keepNext/>
        <w:keepLines/>
        <w:jc w:val="both"/>
        <w:rPr>
          <w:rFonts w:ascii="Arial" w:hAnsi="Arial" w:cs="Arial"/>
          <w:color w:val="000000"/>
          <w:sz w:val="20"/>
        </w:rPr>
      </w:pPr>
      <w:r w:rsidRPr="00862BCE">
        <w:rPr>
          <w:rFonts w:ascii="Arial" w:hAnsi="Arial" w:cs="Arial"/>
          <w:color w:val="000000"/>
          <w:sz w:val="20"/>
        </w:rPr>
        <w:t>The procedure adopted at CCs is set out in section 9 of the guidelines and may be summarized as follows-</w:t>
      </w:r>
    </w:p>
    <w:p w14:paraId="2B42DC0F" w14:textId="77777777" w:rsidR="00132E50" w:rsidRPr="00862BCE" w:rsidRDefault="00132E50" w:rsidP="0090541F">
      <w:pPr>
        <w:numPr>
          <w:ilvl w:val="0"/>
          <w:numId w:val="48"/>
        </w:numPr>
        <w:spacing w:before="80"/>
        <w:jc w:val="both"/>
        <w:rPr>
          <w:rFonts w:ascii="Arial" w:hAnsi="Arial" w:cs="Arial"/>
          <w:color w:val="000000"/>
          <w:sz w:val="20"/>
        </w:rPr>
      </w:pPr>
      <w:r w:rsidRPr="00862BCE">
        <w:rPr>
          <w:rFonts w:ascii="Arial" w:hAnsi="Arial" w:cs="Arial"/>
          <w:b/>
          <w:color w:val="000000"/>
          <w:sz w:val="20"/>
          <w:u w:val="single"/>
        </w:rPr>
        <w:t>Commencing a CC</w:t>
      </w:r>
      <w:r w:rsidRPr="00862BCE">
        <w:rPr>
          <w:rFonts w:ascii="Arial" w:hAnsi="Arial" w:cs="Arial"/>
          <w:color w:val="000000"/>
          <w:sz w:val="20"/>
        </w:rPr>
        <w:t>: After resolving any question that may arise regarding the appropriateness of a person’s participation in the CC, the convenor explains her or his independent role, the way in which the conference will be conducted and circumstances in which the conference will be concluded.  During this process the convenor explains to the parties that one purpose of the CC is to attempt to reach agreement about the resolution of the application(s) through the parties discussing their respective points of view and negotiating.  However if agreement cannot be reached, it remains the purpose of a CC to identify what has been agreed and what are the points of disagreement.</w:t>
      </w:r>
    </w:p>
    <w:p w14:paraId="3F00ED03" w14:textId="77777777" w:rsidR="00132E50" w:rsidRPr="00862BCE" w:rsidRDefault="00132E50" w:rsidP="0090541F">
      <w:pPr>
        <w:numPr>
          <w:ilvl w:val="0"/>
          <w:numId w:val="48"/>
        </w:numPr>
        <w:spacing w:before="80"/>
        <w:jc w:val="both"/>
        <w:rPr>
          <w:rFonts w:ascii="Arial" w:hAnsi="Arial" w:cs="Arial"/>
          <w:color w:val="000000"/>
          <w:sz w:val="20"/>
        </w:rPr>
      </w:pPr>
      <w:r w:rsidRPr="00862BCE">
        <w:rPr>
          <w:rFonts w:ascii="Arial" w:hAnsi="Arial" w:cs="Arial"/>
          <w:b/>
          <w:color w:val="000000"/>
          <w:sz w:val="20"/>
          <w:u w:val="single"/>
        </w:rPr>
        <w:t>Statement of interests</w:t>
      </w:r>
      <w:r w:rsidRPr="00862BCE">
        <w:rPr>
          <w:rFonts w:ascii="Arial" w:hAnsi="Arial" w:cs="Arial"/>
          <w:color w:val="000000"/>
          <w:sz w:val="20"/>
        </w:rPr>
        <w:t>: In discussion with the participants the convenor establishes what are-</w:t>
      </w:r>
    </w:p>
    <w:p w14:paraId="21916375" w14:textId="77777777" w:rsidR="00132E50" w:rsidRPr="00862BCE" w:rsidRDefault="00132E50" w:rsidP="00132E50">
      <w:pPr>
        <w:numPr>
          <w:ilvl w:val="1"/>
          <w:numId w:val="48"/>
        </w:numPr>
        <w:jc w:val="both"/>
        <w:rPr>
          <w:rFonts w:ascii="Arial" w:hAnsi="Arial" w:cs="Arial"/>
          <w:color w:val="000000"/>
          <w:sz w:val="20"/>
        </w:rPr>
      </w:pPr>
      <w:r w:rsidRPr="00862BCE">
        <w:rPr>
          <w:rFonts w:ascii="Arial" w:hAnsi="Arial" w:cs="Arial"/>
          <w:color w:val="000000"/>
          <w:sz w:val="20"/>
        </w:rPr>
        <w:t>the current application(s) before the Court;</w:t>
      </w:r>
    </w:p>
    <w:p w14:paraId="61A15166" w14:textId="77777777" w:rsidR="00132E50" w:rsidRPr="00862BCE" w:rsidRDefault="00132E50" w:rsidP="00132E50">
      <w:pPr>
        <w:numPr>
          <w:ilvl w:val="1"/>
          <w:numId w:val="48"/>
        </w:numPr>
        <w:jc w:val="both"/>
        <w:rPr>
          <w:rFonts w:ascii="Arial" w:hAnsi="Arial" w:cs="Arial"/>
          <w:color w:val="000000"/>
          <w:sz w:val="20"/>
        </w:rPr>
      </w:pPr>
      <w:r w:rsidRPr="00862BCE">
        <w:rPr>
          <w:rFonts w:ascii="Arial" w:hAnsi="Arial" w:cs="Arial"/>
          <w:color w:val="000000"/>
          <w:sz w:val="20"/>
        </w:rPr>
        <w:t>the current situation regarding placement of the child(ren);</w:t>
      </w:r>
    </w:p>
    <w:p w14:paraId="04BCA45A" w14:textId="77777777" w:rsidR="00132E50" w:rsidRPr="00862BCE" w:rsidRDefault="00132E50" w:rsidP="00132E50">
      <w:pPr>
        <w:numPr>
          <w:ilvl w:val="1"/>
          <w:numId w:val="48"/>
        </w:numPr>
        <w:jc w:val="both"/>
        <w:rPr>
          <w:rFonts w:ascii="Arial" w:hAnsi="Arial" w:cs="Arial"/>
          <w:color w:val="000000"/>
          <w:sz w:val="20"/>
        </w:rPr>
      </w:pPr>
      <w:r w:rsidRPr="00862BCE">
        <w:rPr>
          <w:rFonts w:ascii="Arial" w:hAnsi="Arial" w:cs="Arial"/>
          <w:color w:val="000000"/>
          <w:sz w:val="20"/>
        </w:rPr>
        <w:t>any current Court orders;</w:t>
      </w:r>
    </w:p>
    <w:p w14:paraId="53F9D28E" w14:textId="77777777" w:rsidR="00132E50" w:rsidRPr="00862BCE" w:rsidRDefault="00132E50" w:rsidP="00132E50">
      <w:pPr>
        <w:numPr>
          <w:ilvl w:val="1"/>
          <w:numId w:val="48"/>
        </w:numPr>
        <w:jc w:val="both"/>
        <w:rPr>
          <w:rFonts w:ascii="Arial" w:hAnsi="Arial" w:cs="Arial"/>
          <w:color w:val="000000"/>
          <w:sz w:val="20"/>
        </w:rPr>
      </w:pPr>
      <w:r w:rsidRPr="00862BCE">
        <w:rPr>
          <w:rFonts w:ascii="Arial" w:hAnsi="Arial" w:cs="Arial"/>
          <w:color w:val="000000"/>
          <w:sz w:val="20"/>
        </w:rPr>
        <w:lastRenderedPageBreak/>
        <w:t xml:space="preserve">the disposition and conditions sought by </w:t>
      </w:r>
      <w:r w:rsidR="00785D2D">
        <w:rPr>
          <w:rFonts w:ascii="Arial" w:hAnsi="Arial" w:cs="Arial"/>
          <w:color w:val="000000"/>
          <w:sz w:val="20"/>
        </w:rPr>
        <w:t>DFFH</w:t>
      </w:r>
      <w:r w:rsidRPr="00862BCE">
        <w:rPr>
          <w:rFonts w:ascii="Arial" w:hAnsi="Arial" w:cs="Arial"/>
          <w:color w:val="000000"/>
          <w:sz w:val="20"/>
        </w:rPr>
        <w:t>;</w:t>
      </w:r>
    </w:p>
    <w:p w14:paraId="320F84D4" w14:textId="77777777" w:rsidR="00132E50" w:rsidRPr="00862BCE" w:rsidRDefault="00132E50" w:rsidP="00132E50">
      <w:pPr>
        <w:numPr>
          <w:ilvl w:val="1"/>
          <w:numId w:val="48"/>
        </w:numPr>
        <w:jc w:val="both"/>
        <w:rPr>
          <w:rFonts w:ascii="Arial" w:hAnsi="Arial" w:cs="Arial"/>
          <w:color w:val="000000"/>
          <w:sz w:val="20"/>
        </w:rPr>
      </w:pPr>
      <w:r w:rsidRPr="00862BCE">
        <w:rPr>
          <w:rFonts w:ascii="Arial" w:hAnsi="Arial" w:cs="Arial"/>
          <w:color w:val="000000"/>
          <w:sz w:val="20"/>
        </w:rPr>
        <w:t>the position of each party in relation to the applications.</w:t>
      </w:r>
    </w:p>
    <w:p w14:paraId="18677A6E" w14:textId="77777777" w:rsidR="00132E50" w:rsidRPr="00862BCE" w:rsidRDefault="00132E50" w:rsidP="0090541F">
      <w:pPr>
        <w:numPr>
          <w:ilvl w:val="0"/>
          <w:numId w:val="48"/>
        </w:numPr>
        <w:spacing w:before="80"/>
        <w:jc w:val="both"/>
        <w:rPr>
          <w:rFonts w:ascii="Arial" w:hAnsi="Arial" w:cs="Arial"/>
          <w:color w:val="000000"/>
          <w:sz w:val="20"/>
        </w:rPr>
      </w:pPr>
      <w:r w:rsidRPr="00862BCE">
        <w:rPr>
          <w:rFonts w:ascii="Arial" w:hAnsi="Arial" w:cs="Arial"/>
          <w:b/>
          <w:color w:val="000000"/>
          <w:sz w:val="20"/>
          <w:u w:val="single"/>
        </w:rPr>
        <w:t>Identifying and discussing key issues</w:t>
      </w:r>
      <w:r w:rsidRPr="00862BCE">
        <w:rPr>
          <w:rFonts w:ascii="Arial" w:hAnsi="Arial" w:cs="Arial"/>
          <w:color w:val="000000"/>
          <w:sz w:val="20"/>
        </w:rPr>
        <w:t>: After assisting the participants to develop a list of key issues for discussing at the CC and leading a discussion identifying the strengths within the family, the convenor will encourage the parties to discuss the agreed list of key issues.  Family members will be encouraged by the convenor to engage and express their views during the conference process wherever possible.</w:t>
      </w:r>
    </w:p>
    <w:p w14:paraId="54D09764" w14:textId="77777777" w:rsidR="00132E50" w:rsidRPr="00862BCE" w:rsidRDefault="00132E50" w:rsidP="003B4C54">
      <w:pPr>
        <w:keepNext/>
        <w:keepLines/>
        <w:numPr>
          <w:ilvl w:val="0"/>
          <w:numId w:val="48"/>
        </w:numPr>
        <w:spacing w:before="80"/>
        <w:jc w:val="both"/>
        <w:rPr>
          <w:rFonts w:ascii="Arial" w:hAnsi="Arial" w:cs="Arial"/>
          <w:color w:val="000000"/>
          <w:sz w:val="20"/>
        </w:rPr>
      </w:pPr>
      <w:r w:rsidRPr="00862BCE">
        <w:rPr>
          <w:rFonts w:ascii="Arial" w:hAnsi="Arial" w:cs="Arial"/>
          <w:b/>
          <w:color w:val="000000"/>
          <w:sz w:val="20"/>
          <w:u w:val="single"/>
        </w:rPr>
        <w:t>Identifying and generating options</w:t>
      </w:r>
      <w:r w:rsidRPr="00862BCE">
        <w:rPr>
          <w:rFonts w:ascii="Arial" w:hAnsi="Arial" w:cs="Arial"/>
          <w:color w:val="000000"/>
          <w:sz w:val="20"/>
        </w:rPr>
        <w:t xml:space="preserve">: At this point </w:t>
      </w:r>
      <w:r w:rsidR="00785D2D">
        <w:rPr>
          <w:rFonts w:ascii="Arial" w:hAnsi="Arial" w:cs="Arial"/>
          <w:color w:val="000000"/>
          <w:sz w:val="20"/>
        </w:rPr>
        <w:t>DFFH</w:t>
      </w:r>
      <w:r w:rsidRPr="00862BCE">
        <w:rPr>
          <w:rFonts w:ascii="Arial" w:hAnsi="Arial" w:cs="Arial"/>
          <w:color w:val="000000"/>
          <w:sz w:val="20"/>
        </w:rPr>
        <w:t xml:space="preserve"> will be given the opportunity to obtain legal representation if not already represented.  The convenor will assist the parties to explore options for settlement.  In this process, the convenor may give a ‘court perspective’ to help parties ‘reality test’ their respective positions.</w:t>
      </w:r>
    </w:p>
    <w:p w14:paraId="614CB177" w14:textId="77777777" w:rsidR="00132E50" w:rsidRPr="00862BCE" w:rsidRDefault="00132E50" w:rsidP="003B4C54">
      <w:pPr>
        <w:numPr>
          <w:ilvl w:val="0"/>
          <w:numId w:val="48"/>
        </w:numPr>
        <w:spacing w:before="80"/>
        <w:jc w:val="both"/>
        <w:rPr>
          <w:rFonts w:ascii="Arial" w:hAnsi="Arial" w:cs="Arial"/>
          <w:color w:val="000000"/>
          <w:sz w:val="20"/>
        </w:rPr>
      </w:pPr>
      <w:r w:rsidRPr="00862BCE">
        <w:rPr>
          <w:rFonts w:ascii="Arial" w:hAnsi="Arial" w:cs="Arial"/>
          <w:b/>
          <w:color w:val="000000"/>
          <w:sz w:val="20"/>
          <w:u w:val="single"/>
        </w:rPr>
        <w:t>Establishing agreements</w:t>
      </w:r>
      <w:r w:rsidRPr="00862BCE">
        <w:rPr>
          <w:rFonts w:ascii="Arial" w:hAnsi="Arial" w:cs="Arial"/>
          <w:color w:val="000000"/>
          <w:sz w:val="20"/>
        </w:rPr>
        <w:t>: The convenor will work with the participants to reach an outcome that is in the best interests of the child(ren) and is one which the Court is empowered to order.  In this process, the convenor will ensure that all parties appreciate that the agreement is accurate, fair, realistic and appropriate.  If the agreement is to recommend a further CC, the convenor will identify with the participants the issues for a further conference.  If the agreement is to proceed to a contested hearing, the convenor will identify with the parties any case issues which are not in dispute.  The convenor ensures that minutes of proposed orders are prepared that accurately reflect the agreement reached at the CC.</w:t>
      </w:r>
    </w:p>
    <w:p w14:paraId="56410FC6" w14:textId="77777777" w:rsidR="00132E50" w:rsidRPr="00862BCE" w:rsidRDefault="00862BCE" w:rsidP="003B4C54">
      <w:pPr>
        <w:numPr>
          <w:ilvl w:val="0"/>
          <w:numId w:val="48"/>
        </w:numPr>
        <w:spacing w:before="80"/>
        <w:jc w:val="both"/>
        <w:rPr>
          <w:rFonts w:ascii="Arial" w:hAnsi="Arial" w:cs="Arial"/>
          <w:color w:val="000000"/>
          <w:sz w:val="20"/>
        </w:rPr>
      </w:pPr>
      <w:r>
        <w:rPr>
          <w:rFonts w:ascii="Arial" w:hAnsi="Arial" w:cs="Arial"/>
          <w:b/>
          <w:color w:val="000000"/>
          <w:sz w:val="20"/>
          <w:u w:val="single"/>
        </w:rPr>
        <w:t>C</w:t>
      </w:r>
      <w:r w:rsidR="00132E50" w:rsidRPr="00862BCE">
        <w:rPr>
          <w:rFonts w:ascii="Arial" w:hAnsi="Arial" w:cs="Arial"/>
          <w:b/>
          <w:color w:val="000000"/>
          <w:sz w:val="20"/>
          <w:u w:val="single"/>
        </w:rPr>
        <w:t>C report</w:t>
      </w:r>
      <w:r w:rsidR="00132E50" w:rsidRPr="00862BCE">
        <w:rPr>
          <w:rFonts w:ascii="Arial" w:hAnsi="Arial" w:cs="Arial"/>
          <w:color w:val="000000"/>
          <w:sz w:val="20"/>
        </w:rPr>
        <w:t>: The convenor will provide to the Court a written report (in the form in Attachment C to the guidelines) of the conclusions reached at the CC.</w:t>
      </w:r>
    </w:p>
    <w:p w14:paraId="19070E33" w14:textId="77777777" w:rsidR="00132E50" w:rsidRPr="00862BCE" w:rsidRDefault="00132E50" w:rsidP="00132E50">
      <w:pPr>
        <w:jc w:val="both"/>
        <w:rPr>
          <w:rFonts w:ascii="Arial" w:hAnsi="Arial" w:cs="Arial"/>
          <w:color w:val="000000"/>
          <w:sz w:val="20"/>
        </w:rPr>
      </w:pPr>
    </w:p>
    <w:p w14:paraId="3EB88A40" w14:textId="77777777" w:rsidR="00132E50" w:rsidRPr="00862BCE" w:rsidRDefault="00132E50" w:rsidP="00132E50">
      <w:pPr>
        <w:pStyle w:val="Heading3"/>
        <w:keepNext/>
        <w:spacing w:after="120" w:line="240" w:lineRule="auto"/>
        <w:rPr>
          <w:rFonts w:ascii="Arial" w:hAnsi="Arial" w:cs="Arial"/>
          <w:color w:val="000000"/>
          <w:sz w:val="20"/>
        </w:rPr>
      </w:pPr>
      <w:bookmarkStart w:id="1514" w:name="_4.10.7_Reports_&amp;"/>
      <w:bookmarkStart w:id="1515" w:name="B4107"/>
      <w:bookmarkEnd w:id="1514"/>
      <w:bookmarkEnd w:id="1515"/>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489C9D47"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3B4A9971" w14:textId="77777777" w:rsidR="00132E50" w:rsidRPr="00862BCE" w:rsidRDefault="00132E50" w:rsidP="00132E50">
      <w:pPr>
        <w:jc w:val="both"/>
        <w:rPr>
          <w:rFonts w:ascii="Arial" w:hAnsi="Arial" w:cs="Arial"/>
          <w:color w:val="000000"/>
          <w:sz w:val="20"/>
        </w:rPr>
      </w:pPr>
    </w:p>
    <w:p w14:paraId="37ED4610"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24A5AEA1" w14:textId="77777777" w:rsidR="00132E50" w:rsidRPr="00862BCE" w:rsidRDefault="00132E50" w:rsidP="00132E50">
      <w:pPr>
        <w:jc w:val="both"/>
        <w:rPr>
          <w:rFonts w:ascii="Arial" w:hAnsi="Arial" w:cs="Arial"/>
          <w:color w:val="000000"/>
          <w:sz w:val="20"/>
        </w:rPr>
      </w:pPr>
    </w:p>
    <w:p w14:paraId="03290FAA" w14:textId="77777777" w:rsidR="00132E50" w:rsidRPr="00785E1A" w:rsidRDefault="00132E50" w:rsidP="00132E50">
      <w:pPr>
        <w:pStyle w:val="Heading3"/>
        <w:keepNext/>
        <w:keepLines/>
        <w:spacing w:after="120" w:line="240" w:lineRule="auto"/>
        <w:rPr>
          <w:rFonts w:ascii="Arial" w:hAnsi="Arial" w:cs="Arial"/>
          <w:color w:val="000000"/>
          <w:sz w:val="20"/>
        </w:rPr>
      </w:pPr>
      <w:bookmarkStart w:id="1516" w:name="_4.10.8_Court_orders"/>
      <w:bookmarkStart w:id="1517" w:name="B4108"/>
      <w:bookmarkEnd w:id="1516"/>
      <w:bookmarkEnd w:id="1517"/>
      <w:r w:rsidRPr="00785E1A">
        <w:rPr>
          <w:rFonts w:ascii="Arial" w:hAnsi="Arial" w:cs="Arial"/>
          <w:b/>
          <w:bCs/>
          <w:color w:val="000000"/>
          <w:sz w:val="20"/>
        </w:rPr>
        <w:t>4.10.8</w:t>
      </w:r>
      <w:r w:rsidRPr="00785E1A">
        <w:rPr>
          <w:rFonts w:ascii="Arial" w:hAnsi="Arial" w:cs="Arial"/>
          <w:b/>
          <w:bCs/>
          <w:color w:val="000000"/>
          <w:sz w:val="20"/>
        </w:rPr>
        <w:tab/>
        <w:t>Court orders</w:t>
      </w:r>
    </w:p>
    <w:p w14:paraId="594A9093"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A convenor has no power to make Family Division orders.  Accordingly</w:t>
      </w:r>
      <w:r w:rsidR="00D6777A">
        <w:rPr>
          <w:rFonts w:ascii="Arial" w:hAnsi="Arial" w:cs="Arial"/>
          <w:color w:val="000000"/>
          <w:sz w:val="20"/>
        </w:rPr>
        <w:t>, at the end of the conference</w:t>
      </w:r>
      <w:r w:rsidRPr="00785E1A">
        <w:rPr>
          <w:rFonts w:ascii="Arial" w:hAnsi="Arial" w:cs="Arial"/>
          <w:color w:val="000000"/>
          <w:sz w:val="20"/>
        </w:rPr>
        <w:t xml:space="preserve"> the case </w:t>
      </w:r>
      <w:r w:rsidR="00D6777A">
        <w:rPr>
          <w:rFonts w:ascii="Arial" w:hAnsi="Arial" w:cs="Arial"/>
          <w:color w:val="000000"/>
          <w:sz w:val="20"/>
        </w:rPr>
        <w:t>is</w:t>
      </w:r>
      <w:r w:rsidRPr="00785E1A">
        <w:rPr>
          <w:rFonts w:ascii="Arial" w:hAnsi="Arial" w:cs="Arial"/>
          <w:color w:val="000000"/>
          <w:sz w:val="20"/>
        </w:rPr>
        <w:t xml:space="preserve"> returned to co</w:t>
      </w:r>
      <w:r w:rsidR="00D6777A">
        <w:rPr>
          <w:rFonts w:ascii="Arial" w:hAnsi="Arial" w:cs="Arial"/>
          <w:color w:val="000000"/>
          <w:sz w:val="20"/>
        </w:rPr>
        <w:t xml:space="preserve">urt and a judicial officer </w:t>
      </w:r>
      <w:r w:rsidRPr="00785E1A">
        <w:rPr>
          <w:rFonts w:ascii="Arial" w:hAnsi="Arial" w:cs="Arial"/>
          <w:color w:val="000000"/>
          <w:sz w:val="20"/>
        </w:rPr>
        <w:t>make</w:t>
      </w:r>
      <w:r w:rsidR="00D6777A">
        <w:rPr>
          <w:rFonts w:ascii="Arial" w:hAnsi="Arial" w:cs="Arial"/>
          <w:color w:val="000000"/>
          <w:sz w:val="20"/>
        </w:rPr>
        <w:t>s</w:t>
      </w:r>
      <w:r w:rsidRPr="00785E1A">
        <w:rPr>
          <w:rFonts w:ascii="Arial" w:hAnsi="Arial" w:cs="Arial"/>
          <w:color w:val="000000"/>
          <w:sz w:val="20"/>
        </w:rPr>
        <w:t xml:space="preserve"> the appropriate orders.  These will usually, though not always, be the orders to which all of the parties at the conference have agreed - or at least have agreed not to oppose.  Sometimes, but rarely, the Court is not prepared to endorse the parties' agreement.  Occasionally this is because the Court considers it has no power in law to make the orders sought or because the Court considers that the orders sought are not in the best interests of an absent party, usually a child.</w:t>
      </w:r>
    </w:p>
    <w:p w14:paraId="1C992A81" w14:textId="77777777" w:rsidR="00132E50" w:rsidRPr="00785E1A" w:rsidRDefault="00132E50" w:rsidP="00132E50">
      <w:pPr>
        <w:jc w:val="both"/>
        <w:rPr>
          <w:rFonts w:ascii="Arial" w:hAnsi="Arial" w:cs="Arial"/>
          <w:b/>
          <w:bCs/>
          <w:color w:val="000000"/>
          <w:sz w:val="20"/>
        </w:rPr>
      </w:pPr>
    </w:p>
    <w:p w14:paraId="3B004BD7" w14:textId="77777777" w:rsidR="00132E50" w:rsidRPr="00785E1A" w:rsidRDefault="00132E50" w:rsidP="00132E50">
      <w:pPr>
        <w:pStyle w:val="Heading3"/>
        <w:spacing w:after="120" w:line="240" w:lineRule="auto"/>
        <w:rPr>
          <w:rFonts w:ascii="Arial" w:hAnsi="Arial" w:cs="Arial"/>
          <w:color w:val="000000"/>
          <w:sz w:val="20"/>
        </w:rPr>
      </w:pPr>
      <w:bookmarkStart w:id="1518" w:name="_4.10.9_Statistics"/>
      <w:bookmarkStart w:id="1519" w:name="B4109"/>
      <w:bookmarkEnd w:id="1518"/>
      <w:bookmarkEnd w:id="1519"/>
      <w:r w:rsidRPr="00785E1A">
        <w:rPr>
          <w:rFonts w:ascii="Arial" w:hAnsi="Arial" w:cs="Arial"/>
          <w:b/>
          <w:bCs/>
          <w:color w:val="000000"/>
          <w:sz w:val="20"/>
        </w:rPr>
        <w:t>4.10.9</w:t>
      </w:r>
      <w:r w:rsidRPr="00785E1A">
        <w:rPr>
          <w:rFonts w:ascii="Arial" w:hAnsi="Arial" w:cs="Arial"/>
          <w:b/>
          <w:bCs/>
          <w:color w:val="000000"/>
          <w:sz w:val="20"/>
        </w:rPr>
        <w:tab/>
        <w:t>Statistics</w:t>
      </w:r>
    </w:p>
    <w:p w14:paraId="156A3AB2" w14:textId="77777777" w:rsidR="00132E50" w:rsidRDefault="00132E50" w:rsidP="00132E50">
      <w:pP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275A6BFF" w14:textId="77777777" w:rsidR="003B4C54" w:rsidRPr="00D6777A" w:rsidRDefault="003B4C54" w:rsidP="00132E50">
      <w:pPr>
        <w:jc w:val="both"/>
        <w:rPr>
          <w:rFonts w:ascii="Arial" w:hAnsi="Arial" w:cs="Arial"/>
          <w:b/>
          <w:bCs/>
          <w:color w:val="000000"/>
          <w:sz w:val="20"/>
        </w:rPr>
      </w:pPr>
    </w:p>
    <w:p w14:paraId="52EDEB5B" w14:textId="77777777" w:rsidR="003B4C54" w:rsidRDefault="00132E50" w:rsidP="00132E50">
      <w:pPr>
        <w:jc w:val="both"/>
        <w:rPr>
          <w:rFonts w:ascii="Arial" w:hAnsi="Arial" w:cs="Arial"/>
          <w:color w:val="000000"/>
          <w:sz w:val="20"/>
        </w:rPr>
      </w:pPr>
      <w:r w:rsidRPr="00D6777A">
        <w:rPr>
          <w:rFonts w:ascii="Arial" w:hAnsi="Arial" w:cs="Arial"/>
          <w:color w:val="000000"/>
          <w:sz w:val="20"/>
        </w:rPr>
        <w:t xml:space="preserve">The </w:t>
      </w:r>
      <w:r w:rsidR="003B4C54">
        <w:rPr>
          <w:rFonts w:ascii="Arial" w:hAnsi="Arial" w:cs="Arial"/>
          <w:color w:val="000000"/>
          <w:sz w:val="20"/>
        </w:rPr>
        <w:t>current</w:t>
      </w:r>
      <w:r w:rsidRPr="00D6777A">
        <w:rPr>
          <w:rFonts w:ascii="Arial" w:hAnsi="Arial" w:cs="Arial"/>
          <w:color w:val="000000"/>
          <w:sz w:val="20"/>
        </w:rPr>
        <w:t xml:space="preserve"> 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extremely positive. The first CC involving the </w:t>
      </w:r>
      <w:r w:rsidR="009970EC">
        <w:rPr>
          <w:rFonts w:ascii="Arial" w:hAnsi="Arial" w:cs="Arial"/>
          <w:color w:val="000000"/>
          <w:sz w:val="20"/>
        </w:rPr>
        <w:t>current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0C6AD41C" w14:textId="77777777" w:rsidR="00D6777A" w:rsidRDefault="00FC191C" w:rsidP="000C54CD">
      <w:pPr>
        <w:numPr>
          <w:ilvl w:val="0"/>
          <w:numId w:val="58"/>
        </w:numP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7957E5AC" w14:textId="77777777" w:rsidR="00FC191C" w:rsidRDefault="00FC191C" w:rsidP="000C54CD">
      <w:pPr>
        <w:numPr>
          <w:ilvl w:val="0"/>
          <w:numId w:val="58"/>
        </w:numP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3C12FDD5" w14:textId="77777777" w:rsidR="00132E50" w:rsidRPr="00D6777A" w:rsidRDefault="00FC191C" w:rsidP="000C54CD">
      <w:pPr>
        <w:numPr>
          <w:ilvl w:val="0"/>
          <w:numId w:val="58"/>
        </w:numP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3FA0A214" w14:textId="77777777" w:rsidR="004518FB" w:rsidRDefault="004518FB">
      <w:pPr>
        <w:jc w:val="both"/>
        <w:rPr>
          <w:rFonts w:ascii="Arial" w:hAnsi="Arial" w:cs="Arial"/>
          <w:color w:val="000000"/>
          <w:sz w:val="20"/>
        </w:rPr>
      </w:pPr>
    </w:p>
    <w:p w14:paraId="1076C0F8" w14:textId="77777777" w:rsidR="00FC191C" w:rsidRDefault="003B4C54" w:rsidP="003B4C54">
      <w:pPr>
        <w:jc w:val="both"/>
        <w:rPr>
          <w:rFonts w:ascii="Arial" w:hAnsi="Arial" w:cs="Arial"/>
          <w:color w:val="000000"/>
          <w:sz w:val="20"/>
        </w:rPr>
      </w:pPr>
      <w:r w:rsidRPr="00785E1A">
        <w:rPr>
          <w:rFonts w:ascii="Arial" w:hAnsi="Arial" w:cs="Arial"/>
          <w:color w:val="000000"/>
          <w:sz w:val="20"/>
        </w:rPr>
        <w:t xml:space="preserve">However, these figures do not reveal, nor should one under-estimate, the contribution of </w:t>
      </w:r>
      <w:r w:rsidR="009970EC">
        <w:rPr>
          <w:rFonts w:ascii="Arial" w:hAnsi="Arial" w:cs="Arial"/>
          <w:color w:val="000000"/>
          <w:sz w:val="20"/>
        </w:rPr>
        <w:t>conciliation</w:t>
      </w:r>
      <w:r w:rsidRPr="00785E1A">
        <w:rPr>
          <w:rFonts w:ascii="Arial" w:hAnsi="Arial" w:cs="Arial"/>
          <w:color w:val="000000"/>
          <w:sz w:val="20"/>
        </w:rPr>
        <w:t xml:space="preserve"> conferences to the </w:t>
      </w:r>
      <w:r w:rsidR="00FC191C">
        <w:rPr>
          <w:rFonts w:ascii="Arial" w:hAnsi="Arial" w:cs="Arial"/>
          <w:color w:val="000000"/>
          <w:sz w:val="20"/>
        </w:rPr>
        <w:t>subsequent</w:t>
      </w:r>
      <w:r w:rsidRPr="00785E1A">
        <w:rPr>
          <w:rFonts w:ascii="Arial" w:hAnsi="Arial" w:cs="Arial"/>
          <w:color w:val="000000"/>
          <w:sz w:val="20"/>
        </w:rPr>
        <w:t xml:space="preserve"> settlement of cases</w:t>
      </w:r>
      <w:r w:rsidR="00FC191C">
        <w:rPr>
          <w:rFonts w:ascii="Arial" w:hAnsi="Arial" w:cs="Arial"/>
          <w:color w:val="000000"/>
          <w:sz w:val="20"/>
        </w:rPr>
        <w:t xml:space="preserve">.  In particular, where CCs are part-heard or listed for mention or result in IPOs, a number of issues have </w:t>
      </w:r>
      <w:r w:rsidR="009970EC">
        <w:rPr>
          <w:rFonts w:ascii="Arial" w:hAnsi="Arial" w:cs="Arial"/>
          <w:color w:val="000000"/>
          <w:sz w:val="20"/>
        </w:rPr>
        <w:t xml:space="preserve">been clarified and </w:t>
      </w:r>
      <w:r w:rsidR="00FC191C">
        <w:rPr>
          <w:rFonts w:ascii="Arial" w:hAnsi="Arial" w:cs="Arial"/>
          <w:color w:val="000000"/>
          <w:sz w:val="20"/>
        </w:rPr>
        <w:t xml:space="preserve">parties </w:t>
      </w:r>
      <w:r w:rsidR="009970EC">
        <w:rPr>
          <w:rFonts w:ascii="Arial" w:hAnsi="Arial" w:cs="Arial"/>
          <w:color w:val="000000"/>
          <w:sz w:val="20"/>
        </w:rPr>
        <w:t xml:space="preserve">have </w:t>
      </w:r>
      <w:r w:rsidR="00FC191C">
        <w:rPr>
          <w:rFonts w:ascii="Arial" w:hAnsi="Arial" w:cs="Arial"/>
          <w:color w:val="000000"/>
          <w:sz w:val="20"/>
        </w:rPr>
        <w:t>agree</w:t>
      </w:r>
      <w:r w:rsidR="009970EC">
        <w:rPr>
          <w:rFonts w:ascii="Arial" w:hAnsi="Arial" w:cs="Arial"/>
          <w:color w:val="000000"/>
          <w:sz w:val="20"/>
        </w:rPr>
        <w:t>d</w:t>
      </w:r>
      <w:r w:rsidR="00FC191C">
        <w:rPr>
          <w:rFonts w:ascii="Arial" w:hAnsi="Arial" w:cs="Arial"/>
          <w:color w:val="000000"/>
          <w:sz w:val="20"/>
        </w:rPr>
        <w:t xml:space="preserve"> on a course of action in the best interests of the subject children.  These </w:t>
      </w:r>
      <w:r w:rsidR="009970EC">
        <w:rPr>
          <w:rFonts w:ascii="Arial" w:hAnsi="Arial" w:cs="Arial"/>
          <w:color w:val="000000"/>
          <w:sz w:val="20"/>
        </w:rPr>
        <w:t xml:space="preserve">cases </w:t>
      </w:r>
      <w:r w:rsidR="00FC191C">
        <w:rPr>
          <w:rFonts w:ascii="Arial" w:hAnsi="Arial" w:cs="Arial"/>
          <w:color w:val="000000"/>
          <w:sz w:val="20"/>
        </w:rPr>
        <w:t xml:space="preserve">frequently resolve without requiring a traditional evidence-based contest.  And where a case has been adjourned for directions hearing </w:t>
      </w:r>
      <w:r w:rsidR="009970EC">
        <w:rPr>
          <w:rFonts w:ascii="Arial" w:hAnsi="Arial" w:cs="Arial"/>
          <w:color w:val="000000"/>
          <w:sz w:val="20"/>
        </w:rPr>
        <w:t>&amp; contest, the discussions at CC often result either in a subsequent settlement or in a narrowing of issues for resolution in a contest.</w:t>
      </w:r>
    </w:p>
    <w:p w14:paraId="36D5AC8E" w14:textId="77777777" w:rsidR="003B4C54" w:rsidRPr="00785E1A" w:rsidRDefault="003B4C54">
      <w:pPr>
        <w:jc w:val="both"/>
        <w:rPr>
          <w:rFonts w:ascii="Arial" w:hAnsi="Arial" w:cs="Arial"/>
          <w:color w:val="000000"/>
          <w:sz w:val="20"/>
        </w:rPr>
      </w:pPr>
    </w:p>
    <w:p w14:paraId="3E49A1D9" w14:textId="77777777" w:rsidR="00EC3E40" w:rsidRPr="00785E1A" w:rsidRDefault="00EC3E40" w:rsidP="00EC3E40">
      <w:pPr>
        <w:pStyle w:val="Heading3"/>
        <w:spacing w:after="120" w:line="240" w:lineRule="auto"/>
        <w:rPr>
          <w:rFonts w:ascii="Arial" w:hAnsi="Arial" w:cs="Arial"/>
          <w:color w:val="000000"/>
          <w:sz w:val="20"/>
        </w:rPr>
      </w:pPr>
      <w:bookmarkStart w:id="1520" w:name="_4.10.10__Judicial"/>
      <w:bookmarkStart w:id="1521" w:name="B41010"/>
      <w:bookmarkEnd w:id="1520"/>
      <w:bookmarkEnd w:id="1521"/>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29D2C8A4"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p>
    <w:p w14:paraId="16680802" w14:textId="77777777" w:rsidR="005623CD" w:rsidRDefault="005623CD" w:rsidP="007D7E39">
      <w:pPr>
        <w:numPr>
          <w:ilvl w:val="0"/>
          <w:numId w:val="67"/>
        </w:numPr>
        <w:tabs>
          <w:tab w:val="clear" w:pos="1647"/>
        </w:tabs>
        <w:ind w:left="357" w:hanging="357"/>
        <w:rPr>
          <w:rFonts w:ascii="Arial" w:hAnsi="Arial" w:cs="Arial"/>
          <w:sz w:val="20"/>
          <w:szCs w:val="20"/>
        </w:rPr>
      </w:pPr>
      <w:r w:rsidRPr="007D7E39">
        <w:rPr>
          <w:rFonts w:ascii="Arial" w:hAnsi="Arial" w:cs="Arial"/>
          <w:sz w:val="20"/>
          <w:szCs w:val="20"/>
        </w:rPr>
        <w:t>to make provision for the conduct of judicial resolution conferences in the Family Division of the Children’s Court by the President and magistrates; and</w:t>
      </w:r>
    </w:p>
    <w:p w14:paraId="3007F2B2" w14:textId="77777777" w:rsidR="007D7E39" w:rsidRPr="007D7E39" w:rsidRDefault="007D7E39" w:rsidP="007D7E39">
      <w:pPr>
        <w:numPr>
          <w:ilvl w:val="0"/>
          <w:numId w:val="67"/>
        </w:numPr>
        <w:tabs>
          <w:tab w:val="clear" w:pos="1647"/>
        </w:tabs>
        <w:ind w:left="357" w:hanging="357"/>
        <w:rPr>
          <w:rFonts w:ascii="Arial" w:hAnsi="Arial" w:cs="Arial"/>
          <w:sz w:val="20"/>
          <w:szCs w:val="20"/>
        </w:rPr>
      </w:pPr>
      <w:r w:rsidRPr="007D7E39">
        <w:rPr>
          <w:rFonts w:ascii="Arial" w:hAnsi="Arial" w:cs="Arial"/>
          <w:sz w:val="20"/>
          <w:szCs w:val="20"/>
        </w:rPr>
        <w:t>to clarify that judicial immunity applies to the President and magistrates when carrying out judicial resolution conferences.</w:t>
      </w:r>
    </w:p>
    <w:p w14:paraId="3BF65275" w14:textId="77777777" w:rsidR="005623CD" w:rsidRPr="00785E1A" w:rsidRDefault="005623CD" w:rsidP="005623CD">
      <w:pPr>
        <w:pStyle w:val="Heading3"/>
        <w:spacing w:line="240" w:lineRule="auto"/>
        <w:rPr>
          <w:rFonts w:ascii="Arial" w:hAnsi="Arial" w:cs="Arial"/>
          <w:bCs/>
          <w:color w:val="000000"/>
          <w:sz w:val="20"/>
        </w:rPr>
      </w:pPr>
    </w:p>
    <w:p w14:paraId="73C62A64"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Under s.3(1) of the CYFA [as amended] “judicial resolution conference” [hereinafter ‘JRC’] means a resolution process in the Family Division of the Court (other than a </w:t>
      </w:r>
      <w:r w:rsidR="005C7996">
        <w:rPr>
          <w:rFonts w:ascii="Arial" w:hAnsi="Arial" w:cs="Arial"/>
          <w:bCs/>
          <w:color w:val="000000"/>
          <w:sz w:val="20"/>
        </w:rPr>
        <w:t>conciliation</w:t>
      </w:r>
      <w:r w:rsidRPr="00785E1A">
        <w:rPr>
          <w:rFonts w:ascii="Arial" w:hAnsi="Arial" w:cs="Arial"/>
          <w:bCs/>
          <w:color w:val="000000"/>
          <w:sz w:val="20"/>
        </w:rPr>
        <w:t xml:space="preserve"> conference under s.217) which is presided over by the President or a magistrate for the purposes of negotiating a settlement of a dispute including, but not limited to-</w:t>
      </w:r>
    </w:p>
    <w:p w14:paraId="14554102"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25AB94D0"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4278B4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2BA00AF3"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35D0D6E8" w14:textId="77777777" w:rsidR="005623CD" w:rsidRPr="00785E1A" w:rsidRDefault="005623CD" w:rsidP="005623CD">
      <w:pPr>
        <w:pStyle w:val="Heading3"/>
        <w:spacing w:line="240" w:lineRule="auto"/>
        <w:rPr>
          <w:rFonts w:ascii="Arial" w:hAnsi="Arial" w:cs="Arial"/>
          <w:bCs/>
          <w:color w:val="000000"/>
          <w:sz w:val="20"/>
        </w:rPr>
      </w:pPr>
    </w:p>
    <w:p w14:paraId="27D158D3"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254968A0" w14:textId="77777777" w:rsidR="005623CD" w:rsidRPr="003400E4" w:rsidRDefault="005623CD" w:rsidP="005623CD">
      <w:pPr>
        <w:pStyle w:val="Heading3"/>
        <w:spacing w:line="240" w:lineRule="auto"/>
        <w:rPr>
          <w:rFonts w:ascii="Arial" w:hAnsi="Arial" w:cs="Arial"/>
          <w:bCs/>
          <w:color w:val="000000"/>
          <w:sz w:val="20"/>
          <w:lang w:val="en-AU"/>
        </w:rPr>
      </w:pPr>
    </w:p>
    <w:p w14:paraId="0C3F9107"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523(1) of the CYFA [as amended] provides that proceedings in the Court are, subject to s.523(2) &amp; 527A, to be conducted in open court.</w:t>
      </w:r>
    </w:p>
    <w:p w14:paraId="7DAB7748" w14:textId="77777777" w:rsidR="005623CD" w:rsidRPr="00785E1A" w:rsidRDefault="005623CD" w:rsidP="005623CD">
      <w:pPr>
        <w:pStyle w:val="Heading3"/>
        <w:spacing w:line="240" w:lineRule="auto"/>
        <w:rPr>
          <w:rFonts w:ascii="Arial" w:hAnsi="Arial" w:cs="Arial"/>
          <w:bCs/>
          <w:color w:val="000000"/>
          <w:sz w:val="20"/>
        </w:rPr>
      </w:pPr>
    </w:p>
    <w:p w14:paraId="360BF8C6"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045381E6" w14:textId="77777777" w:rsidR="005623CD" w:rsidRPr="00785E1A" w:rsidRDefault="005623CD" w:rsidP="005623CD">
      <w:pPr>
        <w:pStyle w:val="Heading3"/>
        <w:spacing w:line="240" w:lineRule="auto"/>
        <w:rPr>
          <w:rFonts w:ascii="Arial" w:hAnsi="Arial" w:cs="Arial"/>
          <w:bCs/>
          <w:color w:val="000000"/>
          <w:sz w:val="20"/>
        </w:rPr>
      </w:pPr>
    </w:p>
    <w:p w14:paraId="12AB105A"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There is no reason why a JRC could not be conducted at any time between the commencement and the final determination of a case in the Family Division of the Court.  As the Court has not yet been provided with the requisite training or resources, the President has not as yet issued any formal guidelines as to the preferred position of a JRC in the flow-chart of hearing types.  However it should be noted that for many years the Court has conducted Directions Hearing which are sometimes in the nature of a mini-JRC.</w:t>
      </w:r>
    </w:p>
    <w:p w14:paraId="479EFE39" w14:textId="77777777" w:rsidR="00411866" w:rsidRPr="00785E1A" w:rsidRDefault="00411866">
      <w:pPr>
        <w:jc w:val="both"/>
        <w:rPr>
          <w:rFonts w:ascii="Arial" w:hAnsi="Arial" w:cs="Arial"/>
          <w:color w:val="000000"/>
        </w:rPr>
      </w:pPr>
    </w:p>
    <w:p w14:paraId="398BAD05" w14:textId="77777777" w:rsidR="00693223" w:rsidRDefault="00693223" w:rsidP="00BB1A34">
      <w:pPr>
        <w:pStyle w:val="Heading2"/>
        <w:keepNext/>
        <w:keepLines/>
        <w:tabs>
          <w:tab w:val="left" w:pos="567"/>
        </w:tabs>
        <w:spacing w:line="240" w:lineRule="auto"/>
        <w:rPr>
          <w:rFonts w:ascii="Arial" w:hAnsi="Arial" w:cs="Arial"/>
          <w:b/>
          <w:bCs/>
        </w:rPr>
      </w:pPr>
      <w:bookmarkStart w:id="1522" w:name="_Toc30649085"/>
      <w:bookmarkStart w:id="1523" w:name="_Toc30649161"/>
      <w:bookmarkStart w:id="1524" w:name="_Toc30649424"/>
      <w:bookmarkStart w:id="1525" w:name="_Toc30649749"/>
      <w:bookmarkStart w:id="1526" w:name="_Toc30651693"/>
      <w:bookmarkStart w:id="1527" w:name="_Toc30652683"/>
      <w:bookmarkStart w:id="1528" w:name="_Toc30652779"/>
      <w:bookmarkStart w:id="1529" w:name="_Toc30654129"/>
      <w:bookmarkStart w:id="1530" w:name="_Toc30654486"/>
      <w:bookmarkStart w:id="1531" w:name="_Toc30655105"/>
      <w:bookmarkStart w:id="1532" w:name="_Toc30655362"/>
      <w:bookmarkStart w:id="1533" w:name="_Toc30657040"/>
      <w:bookmarkStart w:id="1534" w:name="_Toc30661789"/>
      <w:bookmarkStart w:id="1535" w:name="_Toc30666477"/>
      <w:bookmarkStart w:id="1536" w:name="_Toc30666707"/>
      <w:bookmarkStart w:id="1537" w:name="_Toc30667882"/>
      <w:bookmarkStart w:id="1538" w:name="_Toc30669260"/>
      <w:bookmarkStart w:id="1539" w:name="_Toc30671476"/>
      <w:bookmarkStart w:id="1540" w:name="_Toc30674003"/>
      <w:bookmarkStart w:id="1541" w:name="_Toc30691225"/>
      <w:bookmarkStart w:id="1542" w:name="_Toc30691598"/>
      <w:bookmarkStart w:id="1543" w:name="_Toc30691978"/>
      <w:bookmarkStart w:id="1544" w:name="_Toc30692737"/>
      <w:bookmarkStart w:id="1545" w:name="_Toc30693116"/>
      <w:bookmarkStart w:id="1546" w:name="_Toc30693494"/>
      <w:bookmarkStart w:id="1547" w:name="_Toc30693872"/>
      <w:bookmarkStart w:id="1548" w:name="_Toc30694253"/>
      <w:bookmarkStart w:id="1549" w:name="_Toc30698842"/>
      <w:bookmarkStart w:id="1550" w:name="_Toc30699220"/>
      <w:bookmarkStart w:id="1551" w:name="_Toc30699605"/>
      <w:bookmarkStart w:id="1552" w:name="_Toc30700760"/>
      <w:bookmarkStart w:id="1553" w:name="_Toc30701147"/>
      <w:bookmarkStart w:id="1554" w:name="_Toc30743756"/>
      <w:bookmarkStart w:id="1555" w:name="_Toc30754579"/>
      <w:bookmarkStart w:id="1556" w:name="_Toc30757019"/>
      <w:bookmarkStart w:id="1557" w:name="_Toc30757567"/>
      <w:bookmarkStart w:id="1558" w:name="_Toc30757967"/>
      <w:bookmarkStart w:id="1559" w:name="_Toc30762728"/>
      <w:bookmarkStart w:id="1560" w:name="_Toc30767382"/>
      <w:bookmarkStart w:id="1561" w:name="_Toc34823397"/>
      <w:bookmarkStart w:id="1562" w:name="_4.11_Children's_Court"/>
      <w:bookmarkStart w:id="1563" w:name="B411"/>
      <w:bookmarkEnd w:id="1562"/>
      <w:bookmarkEnd w:id="1563"/>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3E796A44" w14:textId="77777777" w:rsidR="00693223" w:rsidRDefault="00693223" w:rsidP="00BB1A34">
      <w:pPr>
        <w:keepNext/>
        <w:keepLines/>
        <w:widowControl w:val="0"/>
        <w:rPr>
          <w:rFonts w:ascii="Arial" w:hAnsi="Arial" w:cs="Arial"/>
        </w:rPr>
      </w:pPr>
    </w:p>
    <w:p w14:paraId="52EE7730" w14:textId="77777777" w:rsidR="00693223" w:rsidRDefault="00693223" w:rsidP="00BB1A34">
      <w:pPr>
        <w:pStyle w:val="Heading3"/>
        <w:keepNext/>
        <w:keepLines/>
        <w:spacing w:after="120" w:line="240" w:lineRule="auto"/>
        <w:rPr>
          <w:rFonts w:ascii="Arial" w:hAnsi="Arial" w:cs="Arial"/>
          <w:sz w:val="20"/>
        </w:rPr>
      </w:pPr>
      <w:bookmarkStart w:id="1564" w:name="_Toc30743757"/>
      <w:bookmarkStart w:id="1565" w:name="_Toc30754580"/>
      <w:bookmarkStart w:id="1566" w:name="_Toc30757020"/>
      <w:bookmarkStart w:id="1567" w:name="_Toc30757568"/>
      <w:bookmarkStart w:id="1568" w:name="_Toc30757968"/>
      <w:bookmarkStart w:id="1569" w:name="_Toc30762729"/>
      <w:bookmarkStart w:id="1570" w:name="_Toc30767383"/>
      <w:bookmarkStart w:id="1571" w:name="_Toc34823398"/>
      <w:bookmarkStart w:id="1572" w:name="_4.11.1__Public"/>
      <w:bookmarkStart w:id="1573" w:name="B4111"/>
      <w:bookmarkEnd w:id="1572"/>
      <w:bookmarkEnd w:id="1573"/>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64"/>
      <w:bookmarkEnd w:id="1565"/>
      <w:bookmarkEnd w:id="1566"/>
      <w:bookmarkEnd w:id="1567"/>
      <w:bookmarkEnd w:id="1568"/>
      <w:bookmarkEnd w:id="1569"/>
      <w:bookmarkEnd w:id="1570"/>
      <w:bookmarkEnd w:id="1571"/>
    </w:p>
    <w:p w14:paraId="215F4707"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5F34A22C" w14:textId="77777777" w:rsidR="00693223" w:rsidRDefault="00693223">
      <w:pPr>
        <w:widowControl w:val="0"/>
        <w:jc w:val="both"/>
        <w:rPr>
          <w:rFonts w:ascii="Arial" w:hAnsi="Arial" w:cs="Arial"/>
          <w:sz w:val="20"/>
        </w:rPr>
      </w:pPr>
    </w:p>
    <w:p w14:paraId="013E4888"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4D713504" w14:textId="77777777" w:rsidR="00693223" w:rsidRDefault="00693223">
      <w:pPr>
        <w:widowControl w:val="0"/>
        <w:rPr>
          <w:rFonts w:ascii="Arial" w:hAnsi="Arial" w:cs="Arial"/>
          <w:sz w:val="20"/>
        </w:rPr>
      </w:pPr>
    </w:p>
    <w:p w14:paraId="0B0BA95B" w14:textId="77777777" w:rsidR="00693223" w:rsidRDefault="00693223" w:rsidP="009970EC">
      <w:pPr>
        <w:pStyle w:val="Heading3"/>
        <w:keepNext/>
        <w:keepLines/>
        <w:widowControl/>
        <w:spacing w:after="120" w:line="240" w:lineRule="auto"/>
        <w:rPr>
          <w:rFonts w:ascii="Arial" w:hAnsi="Arial" w:cs="Arial"/>
          <w:sz w:val="20"/>
        </w:rPr>
      </w:pPr>
      <w:bookmarkStart w:id="1574" w:name="_Toc30649086"/>
      <w:bookmarkStart w:id="1575" w:name="_Toc30649162"/>
      <w:bookmarkStart w:id="1576" w:name="_Toc30649425"/>
      <w:bookmarkStart w:id="1577" w:name="_Toc30649750"/>
      <w:bookmarkStart w:id="1578" w:name="_Toc30651694"/>
      <w:bookmarkStart w:id="1579" w:name="_Toc30652684"/>
      <w:bookmarkStart w:id="1580" w:name="_Toc30652780"/>
      <w:bookmarkStart w:id="1581" w:name="_Toc30654130"/>
      <w:bookmarkStart w:id="1582" w:name="_Toc30654487"/>
      <w:bookmarkStart w:id="1583" w:name="_Toc30655106"/>
      <w:bookmarkStart w:id="1584" w:name="_Toc30655363"/>
      <w:bookmarkStart w:id="1585" w:name="_Toc30657041"/>
      <w:bookmarkStart w:id="1586" w:name="_Toc30661790"/>
      <w:bookmarkStart w:id="1587" w:name="_Toc30666478"/>
      <w:bookmarkStart w:id="1588" w:name="_Toc30666708"/>
      <w:bookmarkStart w:id="1589" w:name="_Toc30667883"/>
      <w:bookmarkStart w:id="1590" w:name="_Toc30669261"/>
      <w:bookmarkStart w:id="1591" w:name="_Toc30671477"/>
      <w:bookmarkStart w:id="1592" w:name="_Toc30674004"/>
      <w:bookmarkStart w:id="1593" w:name="_Toc30691226"/>
      <w:bookmarkStart w:id="1594" w:name="_Toc30691599"/>
      <w:bookmarkStart w:id="1595" w:name="_Toc30691979"/>
      <w:bookmarkStart w:id="1596" w:name="_Toc30692738"/>
      <w:bookmarkStart w:id="1597" w:name="_Toc30693117"/>
      <w:bookmarkStart w:id="1598" w:name="_Toc30693495"/>
      <w:bookmarkStart w:id="1599" w:name="_Toc30693873"/>
      <w:bookmarkStart w:id="1600" w:name="_Toc30694254"/>
      <w:bookmarkStart w:id="1601" w:name="_Toc30698843"/>
      <w:bookmarkStart w:id="1602" w:name="_Toc30699221"/>
      <w:bookmarkStart w:id="1603" w:name="_Toc30699606"/>
      <w:bookmarkStart w:id="1604" w:name="_Toc30700761"/>
      <w:bookmarkStart w:id="1605" w:name="_Toc30701148"/>
      <w:bookmarkStart w:id="1606" w:name="_Toc30743758"/>
      <w:bookmarkStart w:id="1607" w:name="_Toc30754581"/>
      <w:bookmarkStart w:id="1608" w:name="_Toc30757021"/>
      <w:bookmarkStart w:id="1609" w:name="_Toc30757569"/>
      <w:bookmarkStart w:id="1610" w:name="_Toc30757969"/>
      <w:bookmarkStart w:id="1611" w:name="_Toc30762730"/>
      <w:bookmarkStart w:id="1612" w:name="_Toc30767384"/>
      <w:bookmarkStart w:id="1613" w:name="_Toc34823399"/>
      <w:bookmarkStart w:id="1614" w:name="_4.11.2__Responsibilities"/>
      <w:bookmarkStart w:id="1615" w:name="B4112"/>
      <w:bookmarkEnd w:id="1614"/>
      <w:bookmarkEnd w:id="1615"/>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14:paraId="596CD143"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(Cth) and were summarized in </w:t>
      </w:r>
      <w:r>
        <w:rPr>
          <w:rFonts w:ascii="Arial" w:hAnsi="Arial" w:cs="Arial"/>
          <w:i/>
          <w:iCs/>
          <w:sz w:val="20"/>
        </w:rPr>
        <w:t>B and B</w:t>
      </w:r>
      <w:r>
        <w:rPr>
          <w:rFonts w:ascii="Arial" w:hAnsi="Arial" w:cs="Arial"/>
          <w:sz w:val="20"/>
        </w:rPr>
        <w:t xml:space="preserve"> (1993) FLC 92-271 as follows:</w:t>
      </w:r>
    </w:p>
    <w:p w14:paraId="3EA4E2F0" w14:textId="77777777" w:rsidR="00693223" w:rsidRDefault="00693223" w:rsidP="002239D1">
      <w:pPr>
        <w:keepNext/>
        <w:keepLines/>
        <w:numPr>
          <w:ilvl w:val="0"/>
          <w:numId w:val="4"/>
        </w:numPr>
        <w:ind w:left="284" w:hanging="284"/>
        <w:jc w:val="both"/>
        <w:rPr>
          <w:rFonts w:ascii="Arial" w:hAnsi="Arial" w:cs="Arial"/>
          <w:sz w:val="20"/>
        </w:rPr>
      </w:pPr>
      <w:r>
        <w:rPr>
          <w:rFonts w:ascii="Arial" w:hAnsi="Arial" w:cs="Arial"/>
          <w:sz w:val="20"/>
        </w:rPr>
        <w:t>to protect the rights of children and promote their welfare;</w:t>
      </w:r>
    </w:p>
    <w:p w14:paraId="56A2E4BB" w14:textId="77777777" w:rsidR="00693223" w:rsidRDefault="00693223" w:rsidP="002239D1">
      <w:pPr>
        <w:keepNext/>
        <w:keepLines/>
        <w:numPr>
          <w:ilvl w:val="0"/>
          <w:numId w:val="4"/>
        </w:numPr>
        <w:ind w:left="284" w:hanging="284"/>
        <w:jc w:val="both"/>
        <w:rPr>
          <w:rFonts w:ascii="Arial" w:hAnsi="Arial" w:cs="Arial"/>
          <w:sz w:val="20"/>
        </w:rPr>
      </w:pPr>
      <w:r>
        <w:rPr>
          <w:rFonts w:ascii="Arial" w:hAnsi="Arial" w:cs="Arial"/>
          <w:sz w:val="20"/>
        </w:rPr>
        <w:t>to regard the welfare of the child as the paramount consideration;</w:t>
      </w:r>
    </w:p>
    <w:p w14:paraId="422DC814" w14:textId="77777777" w:rsidR="00693223" w:rsidRDefault="00693223">
      <w:pPr>
        <w:numPr>
          <w:ilvl w:val="0"/>
          <w:numId w:val="4"/>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7161818D" w14:textId="77777777" w:rsidR="00693223" w:rsidRDefault="00693223">
      <w:pPr>
        <w:numPr>
          <w:ilvl w:val="0"/>
          <w:numId w:val="4"/>
        </w:numPr>
        <w:jc w:val="both"/>
        <w:rPr>
          <w:rFonts w:ascii="Arial" w:hAnsi="Arial" w:cs="Arial"/>
          <w:sz w:val="20"/>
        </w:rPr>
      </w:pPr>
      <w:r>
        <w:rPr>
          <w:rFonts w:ascii="Arial" w:hAnsi="Arial" w:cs="Arial"/>
          <w:sz w:val="20"/>
        </w:rPr>
        <w:t>to notify the relevant child welfare authorities of any abuse or ill-treatment, or exposure to behaviour which may psychologically harm the child, or of any suspicion that this has occurred or may occur, and the basis for that suspicion.</w:t>
      </w:r>
    </w:p>
    <w:p w14:paraId="44B3F9B4"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State">
        <w:smartTag w:uri="urn:schemas-microsoft-com:office:smarttags" w:element="place">
          <w:r w:rsidR="000F4CD8">
            <w:rPr>
              <w:rFonts w:ascii="Arial" w:hAnsi="Arial" w:cs="Arial"/>
              <w:sz w:val="20"/>
            </w:rPr>
            <w:t>FLA</w:t>
          </w:r>
        </w:smartTag>
      </w:smartTag>
      <w:r w:rsidR="000F4CD8">
        <w:rPr>
          <w:rFonts w:ascii="Arial" w:hAnsi="Arial" w:cs="Arial"/>
          <w:sz w:val="20"/>
        </w:rPr>
        <w:t xml:space="preserve"> as amended by Act No.46 of 2006.</w:t>
      </w:r>
    </w:p>
    <w:p w14:paraId="477F556B" w14:textId="77777777" w:rsidR="009E77AD" w:rsidRDefault="009E77AD">
      <w:pPr>
        <w:rPr>
          <w:rFonts w:ascii="Arial" w:hAnsi="Arial" w:cs="Arial"/>
          <w:sz w:val="20"/>
        </w:rPr>
      </w:pPr>
    </w:p>
    <w:p w14:paraId="7AFCBA5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C859EF4"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3D2FE084" w14:textId="77777777" w:rsidR="00693223" w:rsidRDefault="00693223">
      <w:pPr>
        <w:rPr>
          <w:rFonts w:ascii="Arial" w:hAnsi="Arial" w:cs="Arial"/>
          <w:sz w:val="20"/>
        </w:rPr>
      </w:pPr>
    </w:p>
    <w:p w14:paraId="70C4F4AD" w14:textId="77777777" w:rsidR="00693223" w:rsidRDefault="00693223">
      <w:pPr>
        <w:pStyle w:val="Heading3"/>
        <w:keepNext/>
        <w:keepLines/>
        <w:spacing w:after="120" w:line="240" w:lineRule="auto"/>
        <w:rPr>
          <w:rFonts w:ascii="Arial" w:hAnsi="Arial" w:cs="Arial"/>
          <w:sz w:val="20"/>
        </w:rPr>
      </w:pPr>
      <w:bookmarkStart w:id="1616" w:name="_Toc30655107"/>
      <w:bookmarkStart w:id="1617" w:name="_Toc30655364"/>
      <w:bookmarkStart w:id="1618" w:name="_Toc30657042"/>
      <w:bookmarkStart w:id="1619" w:name="_Toc30661791"/>
      <w:bookmarkStart w:id="1620" w:name="_Toc30666479"/>
      <w:bookmarkStart w:id="1621" w:name="_Toc30666709"/>
      <w:bookmarkStart w:id="1622" w:name="_Toc30667884"/>
      <w:bookmarkStart w:id="1623" w:name="_Toc30669262"/>
      <w:bookmarkStart w:id="1624" w:name="_Toc30671478"/>
      <w:bookmarkStart w:id="1625" w:name="_Toc30674005"/>
      <w:bookmarkStart w:id="1626" w:name="_Toc30691227"/>
      <w:bookmarkStart w:id="1627" w:name="_Toc30691600"/>
      <w:bookmarkStart w:id="1628" w:name="_Toc30691980"/>
      <w:bookmarkStart w:id="1629" w:name="_Toc30692739"/>
      <w:bookmarkStart w:id="1630" w:name="_Toc30693118"/>
      <w:bookmarkStart w:id="1631" w:name="_Toc30693496"/>
      <w:bookmarkStart w:id="1632" w:name="_Toc30693874"/>
      <w:bookmarkStart w:id="1633" w:name="_Toc30694255"/>
      <w:bookmarkStart w:id="1634" w:name="_Toc30698844"/>
      <w:bookmarkStart w:id="1635" w:name="_Toc30699222"/>
      <w:bookmarkStart w:id="1636" w:name="_Toc30699607"/>
      <w:bookmarkStart w:id="1637" w:name="_Toc30700762"/>
      <w:bookmarkStart w:id="1638" w:name="_Toc30701149"/>
      <w:bookmarkStart w:id="1639" w:name="_Toc30743759"/>
      <w:bookmarkStart w:id="1640" w:name="_Toc30754582"/>
      <w:bookmarkStart w:id="1641" w:name="_Toc30757022"/>
      <w:bookmarkStart w:id="1642" w:name="_Toc30757570"/>
      <w:bookmarkStart w:id="1643" w:name="_Toc30757970"/>
      <w:bookmarkStart w:id="1644" w:name="_Toc30762731"/>
      <w:bookmarkStart w:id="1645" w:name="_Toc30767385"/>
      <w:bookmarkStart w:id="1646" w:name="_Toc34823400"/>
      <w:bookmarkStart w:id="1647" w:name="_4.11.3__Notification"/>
      <w:bookmarkStart w:id="1648" w:name="B4113"/>
      <w:bookmarkEnd w:id="1647"/>
      <w:bookmarkEnd w:id="1648"/>
      <w:r>
        <w:rPr>
          <w:rFonts w:ascii="Arial" w:hAnsi="Arial" w:cs="Arial"/>
          <w:b/>
          <w:bCs/>
          <w:sz w:val="20"/>
        </w:rPr>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4EEB910D"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3E287178" w14:textId="77777777" w:rsidR="00693223" w:rsidRDefault="00693223">
      <w:pPr>
        <w:rPr>
          <w:rFonts w:ascii="Arial" w:hAnsi="Arial" w:cs="Arial"/>
          <w:sz w:val="20"/>
        </w:rPr>
      </w:pPr>
    </w:p>
    <w:p w14:paraId="3095E8F4" w14:textId="77777777" w:rsidR="00693223" w:rsidRDefault="00693223" w:rsidP="009E77AD">
      <w:pPr>
        <w:pStyle w:val="Heading3"/>
        <w:keepNext/>
        <w:keepLines/>
        <w:spacing w:after="120" w:line="240" w:lineRule="auto"/>
        <w:rPr>
          <w:rFonts w:ascii="Arial" w:hAnsi="Arial" w:cs="Arial"/>
          <w:sz w:val="20"/>
        </w:rPr>
      </w:pPr>
      <w:bookmarkStart w:id="1649" w:name="_Toc30743760"/>
      <w:bookmarkStart w:id="1650" w:name="_Toc30754583"/>
      <w:bookmarkStart w:id="1651" w:name="_Toc30757023"/>
      <w:bookmarkStart w:id="1652" w:name="_Toc30757571"/>
      <w:bookmarkStart w:id="1653" w:name="_Toc30757971"/>
      <w:bookmarkStart w:id="1654" w:name="_Toc30762732"/>
      <w:bookmarkStart w:id="1655" w:name="_Toc30767386"/>
      <w:bookmarkStart w:id="1656" w:name="_Toc34823401"/>
      <w:bookmarkStart w:id="1657" w:name="_4.11.4__Representation"/>
      <w:bookmarkStart w:id="1658" w:name="B4114"/>
      <w:bookmarkEnd w:id="1657"/>
      <w:bookmarkEnd w:id="1658"/>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649"/>
      <w:bookmarkEnd w:id="1650"/>
      <w:bookmarkEnd w:id="1651"/>
      <w:bookmarkEnd w:id="1652"/>
      <w:bookmarkEnd w:id="1653"/>
      <w:bookmarkEnd w:id="1654"/>
      <w:bookmarkEnd w:id="1655"/>
      <w:bookmarkEnd w:id="1656"/>
    </w:p>
    <w:p w14:paraId="0216A2C0" w14:textId="77777777" w:rsidR="00693223" w:rsidRDefault="00693223" w:rsidP="009E77AD">
      <w:pPr>
        <w:keepNext/>
        <w:keepLines/>
        <w:ind w:left="397" w:hanging="397"/>
        <w:rPr>
          <w:rFonts w:ascii="Arial" w:hAnsi="Arial" w:cs="Arial"/>
          <w:sz w:val="20"/>
        </w:rPr>
      </w:pPr>
      <w:r>
        <w:rPr>
          <w:rFonts w:ascii="Arial" w:hAnsi="Arial" w:cs="Arial"/>
          <w:sz w:val="20"/>
        </w:rPr>
        <w:t xml:space="preserve">See                    </w:t>
      </w:r>
      <w:hyperlink w:anchor="_4.7_Representation_of" w:history="1">
        <w:r w:rsidRPr="00E55025">
          <w:rPr>
            <w:rStyle w:val="Hyperlink"/>
            <w:rFonts w:ascii="Arial" w:hAnsi="Arial" w:cs="Arial"/>
            <w:sz w:val="20"/>
          </w:rPr>
          <w:t>4.7</w:t>
        </w:r>
        <w:r w:rsidRPr="00E55025">
          <w:rPr>
            <w:rStyle w:val="Hyperlink"/>
            <w:rFonts w:ascii="Arial" w:hAnsi="Arial" w:cs="Arial"/>
            <w:sz w:val="20"/>
          </w:rPr>
          <w:tab/>
          <w:t>Represen</w:t>
        </w:r>
        <w:r w:rsidRPr="00E55025">
          <w:rPr>
            <w:rStyle w:val="Hyperlink"/>
            <w:rFonts w:ascii="Arial" w:hAnsi="Arial" w:cs="Arial"/>
            <w:sz w:val="20"/>
          </w:rPr>
          <w:t>t</w:t>
        </w:r>
        <w:r w:rsidRPr="00E55025">
          <w:rPr>
            <w:rStyle w:val="Hyperlink"/>
            <w:rFonts w:ascii="Arial" w:hAnsi="Arial" w:cs="Arial"/>
            <w:sz w:val="20"/>
          </w:rPr>
          <w:t>ation of children in the Family Division of the Court</w:t>
        </w:r>
      </w:hyperlink>
      <w:r>
        <w:rPr>
          <w:rFonts w:ascii="Arial" w:hAnsi="Arial" w:cs="Arial"/>
          <w:sz w:val="20"/>
        </w:rPr>
        <w:t xml:space="preserve"> </w:t>
      </w:r>
    </w:p>
    <w:p w14:paraId="396E4584" w14:textId="77777777" w:rsidR="00693223" w:rsidRDefault="00693223">
      <w:pPr>
        <w:ind w:left="397" w:hanging="397"/>
        <w:rPr>
          <w:rFonts w:ascii="Arial" w:hAnsi="Arial" w:cs="Arial"/>
          <w:sz w:val="20"/>
        </w:rPr>
      </w:pPr>
      <w:r>
        <w:rPr>
          <w:rFonts w:ascii="Arial" w:hAnsi="Arial" w:cs="Arial"/>
          <w:sz w:val="20"/>
        </w:rPr>
        <w:t xml:space="preserve">and in particular </w:t>
      </w:r>
      <w:hyperlink w:anchor="_4.7.6_Child_representation" w:history="1">
        <w:r w:rsidRPr="00E55025">
          <w:rPr>
            <w:rStyle w:val="Hyperlink"/>
            <w:rFonts w:ascii="Arial" w:hAnsi="Arial" w:cs="Arial"/>
            <w:sz w:val="20"/>
          </w:rPr>
          <w:t>4.7.</w:t>
        </w:r>
        <w:r w:rsidR="00E55025" w:rsidRPr="00E55025">
          <w:rPr>
            <w:rStyle w:val="Hyperlink"/>
            <w:rFonts w:ascii="Arial" w:hAnsi="Arial" w:cs="Arial"/>
            <w:sz w:val="20"/>
          </w:rPr>
          <w:t>6</w:t>
        </w:r>
        <w:r w:rsidRPr="00E55025">
          <w:rPr>
            <w:rStyle w:val="Hyperlink"/>
            <w:rFonts w:ascii="Arial" w:hAnsi="Arial" w:cs="Arial"/>
            <w:sz w:val="20"/>
          </w:rPr>
          <w:tab/>
          <w:t>Child represe</w:t>
        </w:r>
        <w:r w:rsidRPr="00E55025">
          <w:rPr>
            <w:rStyle w:val="Hyperlink"/>
            <w:rFonts w:ascii="Arial" w:hAnsi="Arial" w:cs="Arial"/>
            <w:sz w:val="20"/>
          </w:rPr>
          <w:t>n</w:t>
        </w:r>
        <w:r w:rsidRPr="00E55025">
          <w:rPr>
            <w:rStyle w:val="Hyperlink"/>
            <w:rFonts w:ascii="Arial" w:hAnsi="Arial" w:cs="Arial"/>
            <w:sz w:val="20"/>
          </w:rPr>
          <w:t>tation in Children’s Court and Family Court compared</w:t>
        </w:r>
      </w:hyperlink>
      <w:r>
        <w:rPr>
          <w:rFonts w:ascii="Arial" w:hAnsi="Arial" w:cs="Arial"/>
          <w:sz w:val="20"/>
        </w:rPr>
        <w:t>.</w:t>
      </w:r>
    </w:p>
    <w:p w14:paraId="566DA169" w14:textId="77777777" w:rsidR="00693223" w:rsidRDefault="00693223">
      <w:pPr>
        <w:rPr>
          <w:rFonts w:ascii="Arial" w:hAnsi="Arial" w:cs="Arial"/>
          <w:sz w:val="20"/>
        </w:rPr>
      </w:pPr>
      <w:r>
        <w:rPr>
          <w:rFonts w:ascii="Arial" w:hAnsi="Arial" w:cs="Arial"/>
          <w:sz w:val="20"/>
        </w:rPr>
        <w:t xml:space="preserve">See also the website of the Family Court of Australia </w:t>
      </w:r>
      <w:hyperlink r:id="rId15" w:history="1">
        <w:r>
          <w:rPr>
            <w:rStyle w:val="Hyperlink"/>
            <w:rFonts w:ascii="Arial" w:hAnsi="Arial" w:cs="Arial"/>
            <w:sz w:val="20"/>
          </w:rPr>
          <w:t>http://www.familycourt.gov.au</w:t>
        </w:r>
      </w:hyperlink>
      <w:r>
        <w:rPr>
          <w:rFonts w:ascii="Arial" w:hAnsi="Arial" w:cs="Arial"/>
          <w:sz w:val="20"/>
        </w:rPr>
        <w:t>.</w:t>
      </w:r>
    </w:p>
    <w:p w14:paraId="46D61C6D" w14:textId="77777777" w:rsidR="00693223" w:rsidRDefault="00693223">
      <w:pPr>
        <w:rPr>
          <w:rFonts w:ascii="Arial" w:hAnsi="Arial" w:cs="Arial"/>
          <w:sz w:val="20"/>
        </w:rPr>
      </w:pPr>
    </w:p>
    <w:p w14:paraId="1F0D4EED" w14:textId="77777777" w:rsidR="00693223" w:rsidRDefault="00693223">
      <w:pPr>
        <w:pStyle w:val="Heading3"/>
        <w:keepNext/>
        <w:keepLines/>
        <w:spacing w:after="120" w:line="240" w:lineRule="auto"/>
        <w:rPr>
          <w:rFonts w:ascii="Arial" w:hAnsi="Arial" w:cs="Arial"/>
          <w:sz w:val="20"/>
        </w:rPr>
      </w:pPr>
      <w:bookmarkStart w:id="1659" w:name="_Toc60396205"/>
      <w:bookmarkStart w:id="1660" w:name="_Toc30743761"/>
      <w:bookmarkStart w:id="1661" w:name="_Toc30754584"/>
      <w:bookmarkStart w:id="1662" w:name="_Toc30757024"/>
      <w:bookmarkStart w:id="1663" w:name="_Toc30757572"/>
      <w:bookmarkStart w:id="1664" w:name="_Toc30757972"/>
      <w:bookmarkStart w:id="1665" w:name="_Toc30762733"/>
      <w:bookmarkStart w:id="1666" w:name="_Toc30767387"/>
      <w:bookmarkStart w:id="1667" w:name="_Toc34823402"/>
      <w:bookmarkStart w:id="1668" w:name="_Toc60400038"/>
      <w:bookmarkStart w:id="1669" w:name="_4.11.5__Priority"/>
      <w:bookmarkStart w:id="1670" w:name="B4115"/>
      <w:bookmarkEnd w:id="1669"/>
      <w:bookmarkEnd w:id="1670"/>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660"/>
      <w:bookmarkEnd w:id="1661"/>
      <w:bookmarkEnd w:id="1662"/>
      <w:bookmarkEnd w:id="1663"/>
      <w:bookmarkEnd w:id="1664"/>
      <w:bookmarkEnd w:id="1665"/>
      <w:bookmarkEnd w:id="1666"/>
      <w:bookmarkEnd w:id="1667"/>
      <w:bookmarkEnd w:id="1668"/>
    </w:p>
    <w:p w14:paraId="5C999EF5" w14:textId="77777777" w:rsidR="00693223" w:rsidRDefault="00693223">
      <w:pPr>
        <w:jc w:val="both"/>
        <w:rPr>
          <w:rFonts w:ascii="Arial" w:hAnsi="Arial" w:cs="Arial"/>
          <w:sz w:val="20"/>
        </w:rPr>
      </w:pPr>
      <w:r>
        <w:rPr>
          <w:rFonts w:ascii="Arial" w:hAnsi="Arial" w:cs="Arial"/>
          <w:sz w:val="20"/>
        </w:rPr>
        <w:t xml:space="preserve">In the writer's opinion it is tolerably clear that a protection order takes precedence over a conflicting order under the Family Law Act 1975 (Cth) [as amended]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0C73F413" w14:textId="77777777" w:rsidR="00693223" w:rsidRDefault="00693223" w:rsidP="002239D1">
      <w:pPr>
        <w:keepNext/>
        <w:keepLines/>
        <w:numPr>
          <w:ilvl w:val="0"/>
          <w:numId w:val="15"/>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affects:</w:t>
      </w:r>
    </w:p>
    <w:p w14:paraId="576732ED" w14:textId="77777777" w:rsidR="00693223" w:rsidRDefault="00693223">
      <w:pPr>
        <w:numPr>
          <w:ilvl w:val="0"/>
          <w:numId w:val="19"/>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2D198684" w14:textId="77777777" w:rsidR="00693223" w:rsidRDefault="00693223">
      <w:pPr>
        <w:numPr>
          <w:ilvl w:val="0"/>
          <w:numId w:val="19"/>
        </w:numPr>
        <w:ind w:right="357"/>
        <w:jc w:val="both"/>
        <w:rPr>
          <w:rFonts w:ascii="Arial" w:hAnsi="Arial" w:cs="Arial"/>
          <w:sz w:val="20"/>
        </w:rPr>
      </w:pPr>
      <w:r>
        <w:rPr>
          <w:rFonts w:ascii="Arial" w:hAnsi="Arial" w:cs="Arial"/>
          <w:sz w:val="20"/>
        </w:rPr>
        <w:t>any such order made or action taken; or</w:t>
      </w:r>
    </w:p>
    <w:p w14:paraId="474A3651" w14:textId="77777777" w:rsidR="00693223" w:rsidRDefault="00693223">
      <w:pPr>
        <w:numPr>
          <w:ilvl w:val="0"/>
          <w:numId w:val="19"/>
        </w:numPr>
        <w:ind w:right="357"/>
        <w:jc w:val="both"/>
        <w:rPr>
          <w:rFonts w:ascii="Arial" w:hAnsi="Arial" w:cs="Arial"/>
          <w:sz w:val="20"/>
        </w:rPr>
      </w:pPr>
      <w:r>
        <w:rPr>
          <w:rFonts w:ascii="Arial" w:hAnsi="Arial" w:cs="Arial"/>
          <w:sz w:val="20"/>
        </w:rPr>
        <w:t>the operation of a child welfare law in relation to a child.</w:t>
      </w:r>
    </w:p>
    <w:p w14:paraId="05129C65" w14:textId="77777777" w:rsidR="00693223" w:rsidRDefault="00693223" w:rsidP="002239D1">
      <w:pPr>
        <w:numPr>
          <w:ilvl w:val="0"/>
          <w:numId w:val="15"/>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36066F70" w14:textId="77777777" w:rsidR="00693223" w:rsidRDefault="00693223">
      <w:pPr>
        <w:numPr>
          <w:ilvl w:val="0"/>
          <w:numId w:val="19"/>
        </w:numPr>
        <w:ind w:right="357"/>
        <w:jc w:val="both"/>
        <w:rPr>
          <w:rFonts w:ascii="Arial" w:hAnsi="Arial" w:cs="Arial"/>
          <w:sz w:val="20"/>
        </w:rPr>
      </w:pPr>
      <w:r>
        <w:rPr>
          <w:rFonts w:ascii="Arial" w:hAnsi="Arial" w:cs="Arial"/>
          <w:sz w:val="20"/>
        </w:rPr>
        <w:lastRenderedPageBreak/>
        <w:t>the order is expressed to come into effect when the child ceases to be under that care; or</w:t>
      </w:r>
    </w:p>
    <w:p w14:paraId="2FEDDDA0" w14:textId="77777777" w:rsidR="00693223" w:rsidRDefault="00693223">
      <w:pPr>
        <w:numPr>
          <w:ilvl w:val="0"/>
          <w:numId w:val="19"/>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535C16F8" w14:textId="77777777" w:rsidR="00693223" w:rsidRDefault="00693223">
      <w:pPr>
        <w:pStyle w:val="Heading2"/>
        <w:tabs>
          <w:tab w:val="left" w:pos="567"/>
        </w:tabs>
        <w:spacing w:line="240" w:lineRule="auto"/>
        <w:rPr>
          <w:rFonts w:ascii="Arial" w:hAnsi="Arial" w:cs="Arial"/>
          <w:b/>
          <w:bCs/>
          <w:sz w:val="20"/>
        </w:rPr>
      </w:pPr>
    </w:p>
    <w:p w14:paraId="0EEA0BC0"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43D18E8E" w14:textId="77777777" w:rsidR="00693223" w:rsidRDefault="00693223">
      <w:pPr>
        <w:keepNext/>
        <w:keepLines/>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5956B434" w14:textId="77777777" w:rsidR="00693223" w:rsidRDefault="00693223" w:rsidP="0015795E">
      <w:pPr>
        <w:keepNext/>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E4C07D4" w14:textId="77777777" w:rsidR="00693223" w:rsidRDefault="00693223">
      <w:pPr>
        <w:widowControl w:val="0"/>
        <w:rPr>
          <w:rFonts w:ascii="Arial" w:hAnsi="Arial" w:cs="Arial"/>
          <w:sz w:val="20"/>
        </w:rPr>
      </w:pPr>
    </w:p>
    <w:p w14:paraId="75D54128" w14:textId="77777777" w:rsidR="00693223" w:rsidRDefault="00693223">
      <w:pPr>
        <w:pStyle w:val="Heading2"/>
        <w:tabs>
          <w:tab w:val="left" w:pos="567"/>
        </w:tabs>
        <w:spacing w:line="240" w:lineRule="auto"/>
        <w:rPr>
          <w:rFonts w:ascii="Arial" w:hAnsi="Arial" w:cs="Arial"/>
          <w:b/>
          <w:bCs/>
        </w:rPr>
      </w:pPr>
      <w:bookmarkStart w:id="1671" w:name="_4.12_Relationship_between"/>
      <w:bookmarkStart w:id="1672" w:name="B412"/>
      <w:bookmarkEnd w:id="1671"/>
      <w:bookmarkEnd w:id="1672"/>
      <w:r>
        <w:rPr>
          <w:rFonts w:ascii="Arial" w:hAnsi="Arial" w:cs="Arial"/>
          <w:b/>
          <w:bCs/>
        </w:rPr>
        <w:t>4.1</w:t>
      </w:r>
      <w:r w:rsidR="002E5754">
        <w:rPr>
          <w:rFonts w:ascii="Arial" w:hAnsi="Arial" w:cs="Arial"/>
          <w:b/>
          <w:bCs/>
        </w:rPr>
        <w:t>2</w:t>
      </w:r>
      <w:r>
        <w:rPr>
          <w:rFonts w:ascii="Arial" w:hAnsi="Arial" w:cs="Arial"/>
          <w:b/>
          <w:bCs/>
        </w:rPr>
        <w:tab/>
        <w:t>Relationship between attachment and child's emotional wellbeing</w:t>
      </w:r>
      <w:bookmarkEnd w:id="1659"/>
    </w:p>
    <w:p w14:paraId="1131802A" w14:textId="77777777" w:rsidR="00693223" w:rsidRDefault="00693223">
      <w:pPr>
        <w:widowControl w:val="0"/>
        <w:rPr>
          <w:rFonts w:ascii="Arial" w:hAnsi="Arial" w:cs="Arial"/>
          <w:sz w:val="20"/>
        </w:rPr>
      </w:pPr>
    </w:p>
    <w:p w14:paraId="330E7CA3" w14:textId="77777777" w:rsidR="00693223" w:rsidRDefault="00693223">
      <w:pPr>
        <w:jc w:val="both"/>
        <w:rPr>
          <w:rFonts w:ascii="Arial" w:hAnsi="Arial" w:cs="Arial"/>
          <w:sz w:val="20"/>
        </w:rPr>
      </w:pPr>
      <w:r>
        <w:rPr>
          <w:rFonts w:ascii="Arial" w:hAnsi="Arial" w:cs="Arial"/>
          <w:sz w:val="20"/>
        </w:rPr>
        <w:t>In cases in the Family Division of the Court there is often an issue as to whether or not a child has developed an appropriately secure attachment.  Dr Sharne A. Rolfe, Developmental Psychologist (Senior Lecturer in Child Psychology in the Department of Learning and Educational Development at the University of Melbourne &amp; Principal Consultant, Sharne Rolfe and Associates, Consulting Psychologists) said in a letter to the writer in February 2003:</w:t>
      </w:r>
    </w:p>
    <w:p w14:paraId="4DD04797" w14:textId="77777777" w:rsidR="00693223" w:rsidRDefault="00693223" w:rsidP="00287157">
      <w:pPr>
        <w:keepNext/>
        <w:keepLines/>
        <w:spacing w:before="120"/>
        <w:ind w:left="567" w:right="567"/>
        <w:jc w:val="both"/>
        <w:rPr>
          <w:rFonts w:ascii="Arial" w:hAnsi="Arial" w:cs="Arial"/>
          <w:sz w:val="20"/>
        </w:rPr>
      </w:pPr>
      <w:r>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4A57458B" w14:textId="77777777" w:rsidR="00693223" w:rsidRDefault="00693223">
      <w:pPr>
        <w:jc w:val="both"/>
        <w:rPr>
          <w:rFonts w:ascii="Arial" w:hAnsi="Arial" w:cs="Arial"/>
          <w:sz w:val="20"/>
        </w:rPr>
      </w:pPr>
    </w:p>
    <w:p w14:paraId="1113CF99" w14:textId="77777777" w:rsidR="004035B2" w:rsidRDefault="004035B2" w:rsidP="00733EAB">
      <w:pPr>
        <w:keepNext/>
        <w:jc w:val="both"/>
        <w:rPr>
          <w:rFonts w:ascii="Arial" w:hAnsi="Arial" w:cs="Arial"/>
          <w:sz w:val="20"/>
        </w:rPr>
      </w:pPr>
      <w:r>
        <w:rPr>
          <w:rFonts w:ascii="Arial" w:hAnsi="Arial" w:cs="Arial"/>
          <w:sz w:val="20"/>
        </w:rPr>
        <w:t>In a learned Court report written in September 2007, Dr Rolfe said:</w:t>
      </w:r>
    </w:p>
    <w:p w14:paraId="400FDBDA" w14:textId="77777777" w:rsidR="004035B2" w:rsidRDefault="004035B2" w:rsidP="004035B2">
      <w:pPr>
        <w:spacing w:before="120"/>
        <w:ind w:left="567" w:right="567"/>
        <w:jc w:val="both"/>
        <w:rPr>
          <w:rFonts w:ascii="Arial" w:hAnsi="Arial" w:cs="Arial"/>
          <w:sz w:val="20"/>
        </w:rPr>
      </w:pPr>
      <w:r>
        <w:rPr>
          <w:rFonts w:ascii="Arial" w:hAnsi="Arial" w:cs="Arial"/>
          <w:sz w:val="20"/>
        </w:rPr>
        <w:t>“The attachment relationship has two primary functions: the first, and most basi</w:t>
      </w:r>
      <w:r w:rsidR="008E744C">
        <w:rPr>
          <w:rFonts w:ascii="Arial" w:hAnsi="Arial" w:cs="Arial"/>
          <w:sz w:val="20"/>
        </w:rPr>
        <w:t>c</w:t>
      </w:r>
      <w:r>
        <w:rPr>
          <w:rFonts w:ascii="Arial" w:hAnsi="Arial" w:cs="Arial"/>
          <w:sz w:val="20"/>
        </w:rPr>
        <w:t xml:space="preserve">, is the protection of the child from danger, i.e. to keep the child safe.  The second function concerns the psychological wellbeing of the child.  Admittedly, this is related to the first function of safety, insofar as the ideal form of caregiving not only protects the child from danger, but does so in a way that is emotionally sensitive, responsive and consistent so that at the same time as the child is kept safe, </w:t>
      </w:r>
      <w:r w:rsidR="008E744C">
        <w:rPr>
          <w:rFonts w:ascii="Arial" w:hAnsi="Arial" w:cs="Arial"/>
          <w:sz w:val="20"/>
        </w:rPr>
        <w:t>the child’s</w:t>
      </w:r>
      <w:r>
        <w:rPr>
          <w:rFonts w:ascii="Arial" w:hAnsi="Arial" w:cs="Arial"/>
          <w:sz w:val="20"/>
        </w:rPr>
        <w:t xml:space="preserve"> psychological wellbeing, positive sense of self and self esteem are also being nurtured.”</w:t>
      </w:r>
    </w:p>
    <w:p w14:paraId="3B7207AC" w14:textId="77777777" w:rsidR="004035B2" w:rsidRDefault="004035B2">
      <w:pPr>
        <w:jc w:val="both"/>
        <w:rPr>
          <w:rFonts w:ascii="Arial" w:hAnsi="Arial" w:cs="Arial"/>
          <w:sz w:val="20"/>
        </w:rPr>
      </w:pPr>
    </w:p>
    <w:p w14:paraId="209D2448" w14:textId="77777777" w:rsidR="00693223" w:rsidRDefault="004035B2">
      <w:pPr>
        <w:jc w:val="both"/>
        <w:rPr>
          <w:rFonts w:ascii="Arial" w:hAnsi="Arial" w:cs="Arial"/>
          <w:sz w:val="20"/>
        </w:rPr>
      </w:pPr>
      <w:r>
        <w:rPr>
          <w:rFonts w:ascii="Arial" w:hAnsi="Arial" w:cs="Arial"/>
          <w:sz w:val="20"/>
        </w:rPr>
        <w:t xml:space="preserve">In </w:t>
      </w:r>
      <w:r w:rsidR="00693223">
        <w:rPr>
          <w:rFonts w:ascii="Arial" w:hAnsi="Arial" w:cs="Arial"/>
          <w:sz w:val="20"/>
        </w:rPr>
        <w:t>Court reports written in April 2002 &amp; September 2003, Dr Rolfe discussed the relevant literature.  Reproduced below is the latter (including minor additions from the former).</w:t>
      </w:r>
    </w:p>
    <w:p w14:paraId="4785ACFB" w14:textId="77777777" w:rsidR="00693223" w:rsidRDefault="00693223" w:rsidP="009E6906">
      <w:pPr>
        <w:spacing w:before="120"/>
        <w:ind w:left="567" w:right="567"/>
        <w:jc w:val="center"/>
        <w:rPr>
          <w:rFonts w:ascii="Arial" w:hAnsi="Arial" w:cs="Arial"/>
          <w:b/>
          <w:bCs/>
          <w:sz w:val="20"/>
          <w:u w:val="single"/>
        </w:rPr>
      </w:pPr>
      <w:r>
        <w:rPr>
          <w:rFonts w:ascii="Arial" w:hAnsi="Arial" w:cs="Arial"/>
          <w:b/>
          <w:bCs/>
          <w:sz w:val="20"/>
          <w:u w:val="single"/>
        </w:rPr>
        <w:t>Attachment and development</w:t>
      </w:r>
    </w:p>
    <w:p w14:paraId="6E49F651" w14:textId="77777777" w:rsidR="00693223" w:rsidRDefault="00693223" w:rsidP="009E6906">
      <w:pPr>
        <w:spacing w:before="120"/>
        <w:ind w:left="567" w:right="567"/>
        <w:jc w:val="center"/>
        <w:rPr>
          <w:rFonts w:ascii="Arial" w:hAnsi="Arial" w:cs="Arial"/>
          <w:b/>
          <w:bCs/>
          <w:sz w:val="20"/>
        </w:rPr>
      </w:pPr>
      <w:r>
        <w:rPr>
          <w:rFonts w:ascii="Arial" w:hAnsi="Arial" w:cs="Arial"/>
          <w:b/>
          <w:bCs/>
          <w:sz w:val="20"/>
        </w:rPr>
        <w:t>1. The significance of secure attachment for psychological wellbeing</w:t>
      </w:r>
    </w:p>
    <w:p w14:paraId="267B792A" w14:textId="77777777" w:rsidR="00693223" w:rsidRDefault="00693223" w:rsidP="009E6906">
      <w:pPr>
        <w:spacing w:before="120"/>
        <w:ind w:left="567" w:right="567"/>
        <w:jc w:val="both"/>
        <w:rPr>
          <w:rFonts w:ascii="Arial" w:hAnsi="Arial" w:cs="Arial"/>
          <w:sz w:val="20"/>
        </w:rPr>
      </w:pPr>
      <w:r>
        <w:rPr>
          <w:rFonts w:ascii="Arial" w:hAnsi="Arial" w:cs="Arial"/>
          <w:sz w:val="20"/>
        </w:rPr>
        <w:t>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detailed explanation of this process is presented in Howe (1995).  In this section, the process is briefly outlined, along with the empirical support for it.</w:t>
      </w:r>
    </w:p>
    <w:p w14:paraId="69E3FDEC" w14:textId="77777777" w:rsidR="00693223" w:rsidRDefault="00693223">
      <w:pPr>
        <w:spacing w:before="120"/>
        <w:ind w:left="567" w:right="567"/>
        <w:jc w:val="both"/>
        <w:rPr>
          <w:rFonts w:ascii="Arial" w:hAnsi="Arial" w:cs="Arial"/>
          <w:sz w:val="20"/>
        </w:rPr>
      </w:pPr>
      <w:r>
        <w:rPr>
          <w:rFonts w:ascii="Arial" w:hAnsi="Arial" w:cs="Arial"/>
          <w:sz w:val="20"/>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6A913361" w14:textId="77777777" w:rsidR="00693223" w:rsidRDefault="00693223">
      <w:pPr>
        <w:spacing w:before="120"/>
        <w:ind w:left="567" w:right="567"/>
        <w:jc w:val="both"/>
        <w:rPr>
          <w:rFonts w:ascii="Arial" w:hAnsi="Arial" w:cs="Arial"/>
          <w:sz w:val="20"/>
        </w:rPr>
      </w:pPr>
      <w:r>
        <w:rPr>
          <w:rFonts w:ascii="Arial" w:hAnsi="Arial" w:cs="Arial"/>
          <w:sz w:val="20"/>
        </w:rPr>
        <w:t xml:space="preserve">The nature of the attachment relationship is of major significance for a child's psychological wellbeing.  This is because the view that children develop of </w:t>
      </w:r>
      <w:r>
        <w:rPr>
          <w:rFonts w:ascii="Arial" w:hAnsi="Arial" w:cs="Arial"/>
          <w:sz w:val="20"/>
        </w:rPr>
        <w:lastRenderedPageBreak/>
        <w:t>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5F6CF89D" w14:textId="77777777" w:rsidR="00693223" w:rsidRDefault="00693223">
      <w:pPr>
        <w:spacing w:before="120"/>
        <w:ind w:left="567" w:right="567"/>
        <w:jc w:val="both"/>
        <w:rPr>
          <w:rFonts w:ascii="Arial" w:hAnsi="Arial" w:cs="Arial"/>
          <w:sz w:val="20"/>
        </w:rPr>
      </w:pPr>
      <w:r>
        <w:rPr>
          <w:rFonts w:ascii="Arial" w:hAnsi="Arial" w:cs="Arial"/>
          <w:sz w:val="20"/>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728A79D8" w14:textId="77777777" w:rsidR="00693223" w:rsidRDefault="00693223">
      <w:pPr>
        <w:spacing w:before="120"/>
        <w:ind w:left="567" w:right="567"/>
        <w:jc w:val="both"/>
        <w:rPr>
          <w:rFonts w:ascii="Arial" w:hAnsi="Arial" w:cs="Arial"/>
          <w:sz w:val="20"/>
        </w:rPr>
      </w:pPr>
      <w:r>
        <w:rPr>
          <w:rFonts w:ascii="Arial" w:hAnsi="Arial" w:cs="Arial"/>
          <w:sz w:val="20"/>
        </w:rPr>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self esteem,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4571595E" w14:textId="77777777" w:rsidR="00693223" w:rsidRDefault="00693223">
      <w:pPr>
        <w:keepNext/>
        <w:keepLines/>
        <w:spacing w:before="120"/>
        <w:ind w:left="567" w:right="567"/>
        <w:jc w:val="center"/>
        <w:rPr>
          <w:rFonts w:ascii="Arial" w:hAnsi="Arial" w:cs="Arial"/>
          <w:b/>
          <w:bCs/>
          <w:sz w:val="20"/>
        </w:rPr>
      </w:pPr>
      <w:r>
        <w:rPr>
          <w:rFonts w:ascii="Arial" w:hAnsi="Arial" w:cs="Arial"/>
          <w:b/>
          <w:bCs/>
          <w:sz w:val="20"/>
        </w:rPr>
        <w:t>2. The immediate, short and longer-term impact of removal of a young child from his attachment figure(s)</w:t>
      </w:r>
    </w:p>
    <w:p w14:paraId="287E3567" w14:textId="77777777" w:rsidR="00693223" w:rsidRDefault="00693223">
      <w:pPr>
        <w:keepNext/>
        <w:keepLines/>
        <w:spacing w:before="120"/>
        <w:ind w:left="567" w:right="567"/>
        <w:jc w:val="both"/>
        <w:rPr>
          <w:rFonts w:ascii="Arial" w:hAnsi="Arial" w:cs="Arial"/>
          <w:sz w:val="20"/>
        </w:rPr>
      </w:pPr>
      <w:r>
        <w:rPr>
          <w:rFonts w:ascii="Arial" w:hAnsi="Arial" w:cs="Arial"/>
          <w:sz w:val="20"/>
          <w:u w:val="single"/>
        </w:rPr>
        <w:t>2.1 The significance of removal of a young child from her attachment figure(s)</w:t>
      </w:r>
    </w:p>
    <w:p w14:paraId="0CD38A7C" w14:textId="77777777" w:rsidR="00693223" w:rsidRDefault="00693223">
      <w:pPr>
        <w:spacing w:before="120"/>
        <w:ind w:left="567" w:right="567"/>
        <w:jc w:val="both"/>
        <w:rPr>
          <w:rFonts w:ascii="Arial" w:hAnsi="Arial" w:cs="Arial"/>
          <w:sz w:val="20"/>
        </w:rPr>
      </w:pPr>
      <w:r>
        <w:rPr>
          <w:rFonts w:ascii="Arial" w:hAnsi="Arial" w:cs="Arial"/>
          <w:sz w:val="20"/>
        </w:rPr>
        <w:t>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negative impacts on his developing psyche and self esteem.  As Fahlberg (1991) describes it, disruption to the attachment relationship is not simply a loss but a threat to the integrity of the self' (Howe, 1995, p.57).  According to Fahlberg (1991) 'when that bond is broken, the very structure of the personality is endangered' (p.143).</w:t>
      </w:r>
    </w:p>
    <w:p w14:paraId="2A747743" w14:textId="77777777" w:rsidR="00693223" w:rsidRDefault="00693223">
      <w:pPr>
        <w:spacing w:before="120"/>
        <w:ind w:left="567" w:right="567"/>
        <w:jc w:val="both"/>
        <w:rPr>
          <w:rFonts w:ascii="Arial" w:hAnsi="Arial" w:cs="Arial"/>
          <w:sz w:val="20"/>
        </w:rPr>
      </w:pPr>
      <w:r>
        <w:rPr>
          <w:rFonts w:ascii="Arial" w:hAnsi="Arial" w:cs="Arial"/>
          <w:sz w:val="20"/>
        </w:rPr>
        <w:t>Other evidence that disruptions to primary attachments are associated with a range of indices of both short and long-term psychological damage in the emotional, social and intellectual domains are considered in the following sections (2.2 &amp; 2.3).</w:t>
      </w:r>
    </w:p>
    <w:p w14:paraId="5110125E" w14:textId="77777777" w:rsidR="00693223" w:rsidRDefault="00693223">
      <w:pPr>
        <w:spacing w:before="120"/>
        <w:ind w:left="567" w:right="567"/>
        <w:jc w:val="both"/>
        <w:rPr>
          <w:rFonts w:ascii="Arial" w:hAnsi="Arial" w:cs="Arial"/>
          <w:sz w:val="20"/>
        </w:rPr>
      </w:pPr>
      <w:r>
        <w:rPr>
          <w:rFonts w:ascii="Arial" w:hAnsi="Arial" w:cs="Arial"/>
          <w:sz w:val="20"/>
          <w:u w:val="single"/>
        </w:rPr>
        <w:t>2.2 Immediate and short-term response to removal</w:t>
      </w:r>
    </w:p>
    <w:p w14:paraId="709D6F7F" w14:textId="77777777" w:rsidR="00693223" w:rsidRDefault="00693223">
      <w:pPr>
        <w:spacing w:before="120"/>
        <w:ind w:left="567" w:right="567"/>
        <w:jc w:val="both"/>
        <w:rPr>
          <w:rFonts w:ascii="Arial" w:hAnsi="Arial" w:cs="Arial"/>
          <w:sz w:val="20"/>
        </w:rPr>
      </w:pPr>
      <w:r>
        <w:rPr>
          <w:rFonts w:ascii="Arial" w:hAnsi="Arial" w:cs="Arial"/>
          <w:sz w:val="20"/>
        </w:rPr>
        <w:lastRenderedPageBreak/>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62CB42B0" w14:textId="77777777" w:rsidR="00693223" w:rsidRDefault="00693223">
      <w:pPr>
        <w:spacing w:before="120"/>
        <w:ind w:left="567" w:right="567"/>
        <w:jc w:val="both"/>
        <w:rPr>
          <w:rFonts w:ascii="Arial" w:hAnsi="Arial" w:cs="Arial"/>
          <w:sz w:val="20"/>
        </w:rPr>
      </w:pPr>
      <w:r>
        <w:rPr>
          <w:rFonts w:ascii="Arial" w:hAnsi="Arial" w:cs="Arial"/>
          <w:sz w:val="20"/>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2ACA34FA" w14:textId="77777777" w:rsidR="00693223" w:rsidRDefault="00693223">
      <w:pPr>
        <w:spacing w:before="120"/>
        <w:ind w:left="567" w:right="567"/>
        <w:jc w:val="both"/>
        <w:rPr>
          <w:rFonts w:ascii="Arial" w:hAnsi="Arial" w:cs="Arial"/>
          <w:sz w:val="20"/>
        </w:rPr>
      </w:pPr>
      <w:r>
        <w:rPr>
          <w:rFonts w:ascii="Arial" w:hAnsi="Arial" w:cs="Arial"/>
          <w:sz w:val="20"/>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2A5F28E6" w14:textId="77777777" w:rsidR="00693223" w:rsidRDefault="00693223" w:rsidP="00EA1669">
      <w:pPr>
        <w:keepNext/>
        <w:keepLines/>
        <w:spacing w:before="120"/>
        <w:ind w:left="567" w:right="567"/>
        <w:jc w:val="both"/>
        <w:rPr>
          <w:rFonts w:ascii="Arial" w:hAnsi="Arial" w:cs="Arial"/>
          <w:sz w:val="20"/>
          <w:u w:val="single"/>
        </w:rPr>
      </w:pPr>
      <w:r>
        <w:rPr>
          <w:rFonts w:ascii="Arial" w:hAnsi="Arial" w:cs="Arial"/>
          <w:sz w:val="20"/>
          <w:u w:val="single"/>
        </w:rPr>
        <w:t>2.3 Longer-term impacts of removal</w:t>
      </w:r>
    </w:p>
    <w:p w14:paraId="1FB0BD5F" w14:textId="77777777" w:rsidR="00693223" w:rsidRDefault="00693223">
      <w:pPr>
        <w:spacing w:before="120"/>
        <w:ind w:left="567" w:right="567"/>
        <w:jc w:val="both"/>
        <w:rPr>
          <w:rFonts w:ascii="Arial" w:hAnsi="Arial" w:cs="Arial"/>
          <w:sz w:val="20"/>
        </w:rPr>
      </w:pPr>
      <w:r>
        <w:rPr>
          <w:rFonts w:ascii="Arial" w:hAnsi="Arial" w:cs="Arial"/>
          <w:sz w:val="20"/>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5A5DB9BB" w14:textId="77777777" w:rsidR="00693223" w:rsidRDefault="00693223">
      <w:pPr>
        <w:spacing w:before="120"/>
        <w:ind w:left="567" w:right="567"/>
        <w:jc w:val="both"/>
        <w:rPr>
          <w:rFonts w:ascii="Arial" w:hAnsi="Arial" w:cs="Arial"/>
          <w:sz w:val="20"/>
        </w:rPr>
      </w:pPr>
      <w:r>
        <w:rPr>
          <w:rFonts w:ascii="Arial" w:hAnsi="Arial" w:cs="Arial"/>
          <w:sz w:val="20"/>
        </w:rPr>
        <w:t>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58AB1B11" w14:textId="77777777" w:rsidR="00693223" w:rsidRDefault="00693223">
      <w:pPr>
        <w:keepNext/>
        <w:spacing w:before="120"/>
        <w:ind w:left="567" w:right="567"/>
        <w:jc w:val="center"/>
        <w:rPr>
          <w:rFonts w:ascii="Arial" w:hAnsi="Arial" w:cs="Arial"/>
          <w:b/>
          <w:bCs/>
          <w:sz w:val="20"/>
        </w:rPr>
      </w:pPr>
      <w:r>
        <w:rPr>
          <w:rFonts w:ascii="Arial" w:hAnsi="Arial" w:cs="Arial"/>
          <w:b/>
          <w:bCs/>
          <w:sz w:val="20"/>
        </w:rPr>
        <w:t>3. The formation of new attachments following separation from primary attachment figures</w:t>
      </w:r>
    </w:p>
    <w:p w14:paraId="373A36BD" w14:textId="77777777" w:rsidR="00693223" w:rsidRDefault="00693223">
      <w:pPr>
        <w:spacing w:before="120"/>
        <w:ind w:left="567" w:right="567"/>
        <w:jc w:val="both"/>
        <w:rPr>
          <w:rFonts w:ascii="Arial" w:hAnsi="Arial" w:cs="Arial"/>
          <w:sz w:val="20"/>
        </w:rPr>
      </w:pPr>
      <w:r>
        <w:rPr>
          <w:rFonts w:ascii="Arial" w:hAnsi="Arial" w:cs="Arial"/>
          <w:sz w:val="20"/>
        </w:rPr>
        <w:t>In determining the likely impact on a child of removal, an important consideration is the likelihood of the child being able to reform new attachments, and the likely quality of these attachments.</w:t>
      </w:r>
    </w:p>
    <w:p w14:paraId="4F52C926" w14:textId="77777777" w:rsidR="00693223" w:rsidRDefault="00693223">
      <w:pPr>
        <w:spacing w:before="120"/>
        <w:ind w:left="567" w:right="567"/>
        <w:jc w:val="both"/>
        <w:rPr>
          <w:rFonts w:ascii="Arial" w:hAnsi="Arial" w:cs="Arial"/>
          <w:sz w:val="20"/>
        </w:rPr>
      </w:pPr>
      <w:r>
        <w:rPr>
          <w:rFonts w:ascii="Arial" w:hAnsi="Arial" w:cs="Arial"/>
          <w:sz w:val="20"/>
        </w:rPr>
        <w:t>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of  survival through the presence of someone who can meet survival needs.</w:t>
      </w:r>
    </w:p>
    <w:p w14:paraId="35FBA480" w14:textId="77777777" w:rsidR="00693223" w:rsidRDefault="00693223">
      <w:pPr>
        <w:spacing w:before="120"/>
        <w:ind w:left="567" w:right="567"/>
        <w:jc w:val="both"/>
        <w:rPr>
          <w:rFonts w:ascii="Arial" w:hAnsi="Arial" w:cs="Arial"/>
          <w:sz w:val="20"/>
        </w:rPr>
      </w:pPr>
      <w:r>
        <w:rPr>
          <w:rFonts w:ascii="Arial" w:hAnsi="Arial" w:cs="Arial"/>
          <w:sz w:val="20"/>
        </w:rPr>
        <w:lastRenderedPageBreak/>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11E29958" w14:textId="77777777" w:rsidR="00693223" w:rsidRDefault="00693223">
      <w:pPr>
        <w:spacing w:before="120"/>
        <w:ind w:left="567" w:right="567"/>
        <w:jc w:val="both"/>
        <w:rPr>
          <w:rFonts w:ascii="Arial" w:hAnsi="Arial" w:cs="Arial"/>
          <w:sz w:val="20"/>
        </w:rPr>
      </w:pPr>
      <w:r>
        <w:rPr>
          <w:rFonts w:ascii="Arial" w:hAnsi="Arial" w:cs="Arial"/>
          <w:sz w:val="20"/>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3D218C73" w14:textId="77777777" w:rsidR="00693223" w:rsidRDefault="00693223">
      <w:pPr>
        <w:keepNext/>
        <w:spacing w:before="120"/>
        <w:ind w:left="567" w:right="567"/>
        <w:jc w:val="center"/>
        <w:rPr>
          <w:rFonts w:ascii="Arial" w:hAnsi="Arial" w:cs="Arial"/>
          <w:b/>
          <w:bCs/>
          <w:sz w:val="20"/>
        </w:rPr>
      </w:pPr>
      <w:r>
        <w:rPr>
          <w:rFonts w:ascii="Arial" w:hAnsi="Arial" w:cs="Arial"/>
          <w:b/>
          <w:bCs/>
          <w:sz w:val="20"/>
        </w:rPr>
        <w:t>4. Considerations in regard to preserving and strengthening the child's relationships with the birth family</w:t>
      </w:r>
    </w:p>
    <w:p w14:paraId="4B15FC8E" w14:textId="77777777" w:rsidR="00693223" w:rsidRDefault="00693223">
      <w:pPr>
        <w:spacing w:before="120"/>
        <w:ind w:left="567" w:right="567"/>
        <w:jc w:val="both"/>
        <w:rPr>
          <w:rFonts w:ascii="Arial" w:hAnsi="Arial" w:cs="Arial"/>
          <w:sz w:val="20"/>
        </w:rPr>
      </w:pPr>
      <w:r>
        <w:rPr>
          <w:rFonts w:ascii="Arial" w:hAnsi="Arial" w:cs="Arial"/>
          <w:sz w:val="20"/>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2586B931" w14:textId="77777777" w:rsidR="00693223" w:rsidRDefault="00693223">
      <w:pPr>
        <w:spacing w:before="120"/>
        <w:ind w:left="567" w:right="567"/>
        <w:jc w:val="both"/>
        <w:rPr>
          <w:rFonts w:ascii="Arial" w:hAnsi="Arial" w:cs="Arial"/>
          <w:sz w:val="20"/>
        </w:rPr>
      </w:pPr>
      <w:r>
        <w:rPr>
          <w:rFonts w:ascii="Arial" w:hAnsi="Arial" w:cs="Arial"/>
          <w:sz w:val="20"/>
        </w:rPr>
        <w:t>Whilst placement of biological siblings together is thus an important guiding principle in child protection decisions, it, along with any other guiding principle, must be considered in relation to the particular circumstances of each case.</w:t>
      </w:r>
    </w:p>
    <w:p w14:paraId="3C7B4BF7" w14:textId="77777777" w:rsidR="00693223" w:rsidRDefault="00693223">
      <w:pPr>
        <w:keepNext/>
        <w:pBdr>
          <w:top w:val="single" w:sz="4" w:space="1" w:color="auto"/>
          <w:left w:val="single" w:sz="4" w:space="4" w:color="auto"/>
          <w:bottom w:val="single" w:sz="4" w:space="1" w:color="auto"/>
          <w:right w:val="single" w:sz="4" w:space="4" w:color="auto"/>
        </w:pBdr>
        <w:spacing w:before="120"/>
        <w:ind w:left="567" w:right="567"/>
        <w:jc w:val="center"/>
        <w:rPr>
          <w:rFonts w:ascii="Arial" w:hAnsi="Arial" w:cs="Arial"/>
          <w:sz w:val="18"/>
        </w:rPr>
      </w:pPr>
      <w:r>
        <w:rPr>
          <w:rFonts w:ascii="Arial" w:hAnsi="Arial" w:cs="Arial"/>
          <w:sz w:val="18"/>
          <w:bdr w:val="single" w:sz="4" w:space="0" w:color="auto"/>
        </w:rPr>
        <w:t>BIBLIOGRAPHY</w:t>
      </w:r>
    </w:p>
    <w:p w14:paraId="611E214A" w14:textId="77777777" w:rsidR="00693223" w:rsidRDefault="00693223" w:rsidP="009E6906">
      <w:pPr>
        <w:keepNext/>
        <w:keepLines/>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Berk. L. (2000) </w:t>
      </w:r>
      <w:r>
        <w:rPr>
          <w:rFonts w:ascii="Arial" w:hAnsi="Arial" w:cs="Arial"/>
          <w:i/>
          <w:iCs/>
          <w:sz w:val="18"/>
        </w:rPr>
        <w:t xml:space="preserve">Child development </w:t>
      </w:r>
      <w:r>
        <w:rPr>
          <w:rFonts w:ascii="Arial" w:hAnsi="Arial" w:cs="Arial"/>
          <w:sz w:val="18"/>
        </w:rPr>
        <w:t>(5</w:t>
      </w:r>
      <w:r>
        <w:rPr>
          <w:rFonts w:ascii="Arial" w:hAnsi="Arial" w:cs="Arial"/>
          <w:sz w:val="18"/>
          <w:vertAlign w:val="superscript"/>
        </w:rPr>
        <w:t>th</w:t>
      </w:r>
      <w:r>
        <w:rPr>
          <w:rFonts w:ascii="Arial" w:hAnsi="Arial" w:cs="Arial"/>
          <w:sz w:val="18"/>
        </w:rPr>
        <w:t xml:space="preserve"> edition).  </w:t>
      </w:r>
      <w:smartTag w:uri="urn:schemas-microsoft-com:office:smarttags" w:element="City">
        <w:smartTag w:uri="urn:schemas-microsoft-com:office:smarttags" w:element="place">
          <w:r>
            <w:rPr>
              <w:rFonts w:ascii="Arial" w:hAnsi="Arial" w:cs="Arial"/>
              <w:sz w:val="18"/>
            </w:rPr>
            <w:t>Boston</w:t>
          </w:r>
        </w:smartTag>
      </w:smartTag>
      <w:r>
        <w:rPr>
          <w:rFonts w:ascii="Arial" w:hAnsi="Arial" w:cs="Arial"/>
          <w:sz w:val="18"/>
        </w:rPr>
        <w:t>: Allyn and Bacon.</w:t>
      </w:r>
    </w:p>
    <w:p w14:paraId="5BEFF690" w14:textId="77777777" w:rsidR="00693223" w:rsidRDefault="00693223" w:rsidP="006679D2">
      <w:pPr>
        <w:keepNext/>
        <w:keepLines/>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Bowlby, J. (1969) </w:t>
      </w:r>
      <w:r>
        <w:rPr>
          <w:rFonts w:ascii="Arial" w:hAnsi="Arial" w:cs="Arial"/>
          <w:i/>
          <w:iCs/>
          <w:sz w:val="18"/>
        </w:rPr>
        <w:t>Attachment and loss: Volume 1.  Attachment.</w:t>
      </w:r>
      <w:r>
        <w:rPr>
          <w:rFonts w:ascii="Arial" w:hAnsi="Arial" w:cs="Arial"/>
          <w:sz w:val="18"/>
        </w:rPr>
        <w:t xml:space="preserve">  </w:t>
      </w:r>
      <w:smartTag w:uri="urn:schemas-microsoft-com:office:smarttags" w:element="State">
        <w:smartTag w:uri="urn:schemas-microsoft-com:office:smarttags" w:element="place">
          <w:r>
            <w:rPr>
              <w:rFonts w:ascii="Arial" w:hAnsi="Arial" w:cs="Arial"/>
              <w:sz w:val="18"/>
            </w:rPr>
            <w:t>New York</w:t>
          </w:r>
        </w:smartTag>
      </w:smartTag>
      <w:r>
        <w:rPr>
          <w:rFonts w:ascii="Arial" w:hAnsi="Arial" w:cs="Arial"/>
          <w:sz w:val="18"/>
        </w:rPr>
        <w:t>: Basic Books.</w:t>
      </w:r>
    </w:p>
    <w:p w14:paraId="1FD2D49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Bowlby, J. (1988) </w:t>
      </w:r>
      <w:r>
        <w:rPr>
          <w:rFonts w:ascii="Arial" w:hAnsi="Arial" w:cs="Arial"/>
          <w:i/>
          <w:iCs/>
          <w:sz w:val="18"/>
        </w:rPr>
        <w:t xml:space="preserve">A secure base: Clinical applications of attachment theory. </w:t>
      </w:r>
      <w:smartTag w:uri="urn:schemas-microsoft-com:office:smarttags" w:element="City">
        <w:smartTag w:uri="urn:schemas-microsoft-com:office:smarttags" w:element="place">
          <w:r>
            <w:rPr>
              <w:rFonts w:ascii="Arial" w:hAnsi="Arial" w:cs="Arial"/>
              <w:sz w:val="18"/>
            </w:rPr>
            <w:t>London</w:t>
          </w:r>
        </w:smartTag>
      </w:smartTag>
      <w:r>
        <w:rPr>
          <w:rFonts w:ascii="Arial" w:hAnsi="Arial" w:cs="Arial"/>
          <w:sz w:val="18"/>
        </w:rPr>
        <w:t>: Routledge.</w:t>
      </w:r>
    </w:p>
    <w:p w14:paraId="7633973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Brazelton, T.B. &amp; Cramer, B.G. (1990) </w:t>
      </w:r>
      <w:r>
        <w:rPr>
          <w:rFonts w:ascii="Arial" w:hAnsi="Arial" w:cs="Arial"/>
          <w:i/>
          <w:iCs/>
          <w:sz w:val="18"/>
        </w:rPr>
        <w:t>The earliest relationship: Parents, infants and the drama of early attachment.</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Reading</w:t>
          </w:r>
        </w:smartTag>
        <w:r>
          <w:rPr>
            <w:rFonts w:ascii="Arial" w:hAnsi="Arial" w:cs="Arial"/>
            <w:sz w:val="18"/>
          </w:rPr>
          <w:t xml:space="preserve">, </w:t>
        </w:r>
        <w:smartTag w:uri="urn:schemas-microsoft-com:office:smarttags" w:element="State">
          <w:r>
            <w:rPr>
              <w:rFonts w:ascii="Arial" w:hAnsi="Arial" w:cs="Arial"/>
              <w:sz w:val="18"/>
            </w:rPr>
            <w:t>Massachusetts</w:t>
          </w:r>
        </w:smartTag>
      </w:smartTag>
      <w:r>
        <w:rPr>
          <w:rFonts w:ascii="Arial" w:hAnsi="Arial" w:cs="Arial"/>
          <w:sz w:val="18"/>
        </w:rPr>
        <w:t>: Addison-Wesley.</w:t>
      </w:r>
    </w:p>
    <w:p w14:paraId="343D6024"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Bretherton, </w:t>
      </w:r>
      <w:smartTag w:uri="urn:schemas-microsoft-com:office:smarttags" w:element="place">
        <w:r>
          <w:rPr>
            <w:rFonts w:ascii="Arial" w:hAnsi="Arial" w:cs="Arial"/>
            <w:sz w:val="18"/>
          </w:rPr>
          <w:t>I.</w:t>
        </w:r>
      </w:smartTag>
      <w:r>
        <w:rPr>
          <w:rFonts w:ascii="Arial" w:hAnsi="Arial" w:cs="Arial"/>
          <w:sz w:val="18"/>
        </w:rPr>
        <w:t xml:space="preserve"> &amp; Waters, E. (Eds.) (1995) Growing points of attachment theory and research. </w:t>
      </w:r>
      <w:r>
        <w:rPr>
          <w:rFonts w:ascii="Arial" w:hAnsi="Arial" w:cs="Arial"/>
          <w:i/>
          <w:iCs/>
          <w:sz w:val="18"/>
        </w:rPr>
        <w:t xml:space="preserve">Monographs of the Society for Research in Child Development (Serial 209), 50, </w:t>
      </w:r>
      <w:r>
        <w:rPr>
          <w:rFonts w:ascii="Arial" w:hAnsi="Arial" w:cs="Arial"/>
          <w:sz w:val="18"/>
        </w:rPr>
        <w:t>66-106.</w:t>
      </w:r>
    </w:p>
    <w:p w14:paraId="319E176D"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Bronfenbrenner, U. (1979) </w:t>
      </w:r>
      <w:r>
        <w:rPr>
          <w:rFonts w:ascii="Arial" w:hAnsi="Arial" w:cs="Arial"/>
          <w:i/>
          <w:iCs/>
          <w:sz w:val="18"/>
        </w:rPr>
        <w:t>The ecology of human development: Experiments by nature and design.</w:t>
      </w:r>
      <w:r>
        <w:rPr>
          <w:rFonts w:ascii="Arial" w:hAnsi="Arial" w:cs="Arial"/>
          <w:sz w:val="18"/>
        </w:rPr>
        <w:t xml:space="preserve">  </w:t>
      </w:r>
      <w:smartTag w:uri="urn:schemas-microsoft-com:office:smarttags" w:element="City">
        <w:r>
          <w:rPr>
            <w:rFonts w:ascii="Arial" w:hAnsi="Arial" w:cs="Arial"/>
            <w:sz w:val="18"/>
          </w:rPr>
          <w:t>Cambridge</w:t>
        </w:r>
      </w:smartTag>
      <w:r>
        <w:rPr>
          <w:rFonts w:ascii="Arial" w:hAnsi="Arial" w:cs="Arial"/>
          <w:sz w:val="18"/>
        </w:rPr>
        <w:t xml:space="preserve">, </w:t>
      </w:r>
      <w:smartTag w:uri="urn:schemas-microsoft-com:office:smarttags" w:element="State">
        <w:r>
          <w:rPr>
            <w:rFonts w:ascii="Arial" w:hAnsi="Arial" w:cs="Arial"/>
            <w:sz w:val="18"/>
          </w:rPr>
          <w:t>Massachusetts</w:t>
        </w:r>
      </w:smartTag>
      <w:r>
        <w:rPr>
          <w:rFonts w:ascii="Arial" w:hAnsi="Arial" w:cs="Arial"/>
          <w:sz w:val="18"/>
        </w:rPr>
        <w:t xml:space="preserve">: </w:t>
      </w:r>
      <w:smartTag w:uri="urn:schemas-microsoft-com:office:smarttags" w:element="place">
        <w:smartTag w:uri="urn:schemas-microsoft-com:office:smarttags" w:element="PlaceName">
          <w:r>
            <w:rPr>
              <w:rFonts w:ascii="Arial" w:hAnsi="Arial" w:cs="Arial"/>
              <w:sz w:val="18"/>
            </w:rPr>
            <w:t>Harvard</w:t>
          </w:r>
        </w:smartTag>
        <w:r>
          <w:rPr>
            <w:rFonts w:ascii="Arial" w:hAnsi="Arial" w:cs="Arial"/>
            <w:sz w:val="18"/>
          </w:rPr>
          <w:t xml:space="preserve"> </w:t>
        </w:r>
        <w:smartTag w:uri="urn:schemas-microsoft-com:office:smarttags" w:element="PlaceType">
          <w:r>
            <w:rPr>
              <w:rFonts w:ascii="Arial" w:hAnsi="Arial" w:cs="Arial"/>
              <w:sz w:val="18"/>
            </w:rPr>
            <w:t>University</w:t>
          </w:r>
        </w:smartTag>
      </w:smartTag>
      <w:r>
        <w:rPr>
          <w:rFonts w:ascii="Arial" w:hAnsi="Arial" w:cs="Arial"/>
          <w:sz w:val="18"/>
        </w:rPr>
        <w:t xml:space="preserve"> Press.</w:t>
      </w:r>
    </w:p>
    <w:p w14:paraId="18F57BFA"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Carlson, E.A. (1998) A prospective longitudinal study of attachment disorganisation/ disorientation.  </w:t>
      </w:r>
      <w:r>
        <w:rPr>
          <w:rFonts w:ascii="Arial" w:hAnsi="Arial" w:cs="Arial"/>
          <w:i/>
          <w:iCs/>
          <w:sz w:val="18"/>
        </w:rPr>
        <w:t>Child Development, 69,</w:t>
      </w:r>
      <w:r>
        <w:rPr>
          <w:rFonts w:ascii="Arial" w:hAnsi="Arial" w:cs="Arial"/>
          <w:sz w:val="18"/>
        </w:rPr>
        <w:t xml:space="preserve"> 1107-1128.</w:t>
      </w:r>
    </w:p>
    <w:p w14:paraId="1CA1F552"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Cummings, E.M. &amp; Cicchetti, D. (1990) Towards a transitional model of relations between attachment and depression.  In M. Greenberg, D. Cicchetti &amp; E.M. Cummings (Eds.) </w:t>
      </w:r>
      <w:r>
        <w:rPr>
          <w:rFonts w:ascii="Arial" w:hAnsi="Arial" w:cs="Arial"/>
          <w:i/>
          <w:iCs/>
          <w:sz w:val="18"/>
        </w:rPr>
        <w:t>Attachment in the preschool years.</w:t>
      </w:r>
      <w:r>
        <w:rPr>
          <w:rFonts w:ascii="Arial" w:hAnsi="Arial" w:cs="Arial"/>
          <w:sz w:val="18"/>
        </w:rPr>
        <w:t xml:space="preserve">  </w:t>
      </w:r>
      <w:smartTag w:uri="urn:schemas-microsoft-com:office:smarttags" w:element="City">
        <w:r>
          <w:rPr>
            <w:rFonts w:ascii="Arial" w:hAnsi="Arial" w:cs="Arial"/>
            <w:sz w:val="18"/>
          </w:rPr>
          <w:t>Chicago</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Chicago</w:t>
          </w:r>
        </w:smartTag>
      </w:smartTag>
      <w:r>
        <w:rPr>
          <w:rFonts w:ascii="Arial" w:hAnsi="Arial" w:cs="Arial"/>
          <w:sz w:val="18"/>
        </w:rPr>
        <w:t xml:space="preserve"> Press.</w:t>
      </w:r>
    </w:p>
    <w:p w14:paraId="0C4D19EB"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De Wolff, M.S. &amp; van IJzendoorn, M.H. (1997) Sensitivity and attachment: A meta analysis of parental antecedents of infant attachment.  </w:t>
      </w:r>
      <w:r>
        <w:rPr>
          <w:rFonts w:ascii="Arial" w:hAnsi="Arial" w:cs="Arial"/>
          <w:i/>
          <w:iCs/>
          <w:sz w:val="18"/>
        </w:rPr>
        <w:t>Child Development, 68,</w:t>
      </w:r>
      <w:r>
        <w:rPr>
          <w:rFonts w:ascii="Arial" w:hAnsi="Arial" w:cs="Arial"/>
          <w:sz w:val="18"/>
        </w:rPr>
        <w:t xml:space="preserve"> 571-591.</w:t>
      </w:r>
    </w:p>
    <w:p w14:paraId="04E7F8A8"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lastRenderedPageBreak/>
        <w:t xml:space="preserve">Dozier, M.; Stovall, K.C. &amp; Albus, K.E. (2000) A transactional intervention for foster infants' caregivers.  In D. Cicchetti &amp; S.L. Toth (Eds.) </w:t>
      </w:r>
      <w:smartTag w:uri="urn:schemas-microsoft-com:office:smarttags" w:element="City">
        <w:smartTag w:uri="urn:schemas-microsoft-com:office:smarttags" w:element="place">
          <w:r>
            <w:rPr>
              <w:rFonts w:ascii="Arial" w:hAnsi="Arial" w:cs="Arial"/>
              <w:i/>
              <w:iCs/>
              <w:sz w:val="18"/>
            </w:rPr>
            <w:t>Rochester</w:t>
          </w:r>
        </w:smartTag>
      </w:smartTag>
      <w:r>
        <w:rPr>
          <w:rFonts w:ascii="Arial" w:hAnsi="Arial" w:cs="Arial"/>
          <w:i/>
          <w:iCs/>
          <w:sz w:val="18"/>
        </w:rPr>
        <w:t xml:space="preserve"> Symposium on Developmental Psychopathology, Volume X: Developmental approaches to prevention and intervention.</w:t>
      </w:r>
      <w:r>
        <w:rPr>
          <w:rFonts w:ascii="Arial" w:hAnsi="Arial" w:cs="Arial"/>
          <w:sz w:val="18"/>
        </w:rPr>
        <w:t xml:space="preserve">  </w:t>
      </w:r>
      <w:smartTag w:uri="urn:schemas-microsoft-com:office:smarttags" w:element="City">
        <w:r>
          <w:rPr>
            <w:rFonts w:ascii="Arial" w:hAnsi="Arial" w:cs="Arial"/>
            <w:sz w:val="18"/>
          </w:rPr>
          <w:t>Rochester</w:t>
        </w:r>
      </w:smartTag>
      <w:r>
        <w:rPr>
          <w:rFonts w:ascii="Arial" w:hAnsi="Arial" w:cs="Arial"/>
          <w:sz w:val="18"/>
        </w:rPr>
        <w:t xml:space="preserve">, </w:t>
      </w:r>
      <w:smartTag w:uri="urn:schemas-microsoft-com:office:smarttags" w:element="State">
        <w:r>
          <w:rPr>
            <w:rFonts w:ascii="Arial" w:hAnsi="Arial" w:cs="Arial"/>
            <w:sz w:val="18"/>
          </w:rPr>
          <w:t>NY</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Rochester</w:t>
          </w:r>
        </w:smartTag>
      </w:smartTag>
      <w:r>
        <w:rPr>
          <w:rFonts w:ascii="Arial" w:hAnsi="Arial" w:cs="Arial"/>
          <w:sz w:val="18"/>
        </w:rPr>
        <w:t xml:space="preserve"> Press.</w:t>
      </w:r>
    </w:p>
    <w:p w14:paraId="523B05EB"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Elicker, J; Englund, M &amp; Sroufe,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(1992) Predicting peer competence and peer relationships in childhood from early parent-child relationships.  In R.D.Parke &amp; G.W.Ladd (Eds.) </w:t>
      </w:r>
      <w:r>
        <w:rPr>
          <w:rFonts w:ascii="Arial" w:hAnsi="Arial" w:cs="Arial"/>
          <w:i/>
          <w:iCs/>
          <w:sz w:val="18"/>
        </w:rPr>
        <w:t>Family-peer relationships: Modes of linkage.</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Hillsdale</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3D5EEDC0"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Fahlberg, V.I. (1991) </w:t>
      </w:r>
      <w:r>
        <w:rPr>
          <w:rFonts w:ascii="Arial" w:hAnsi="Arial" w:cs="Arial"/>
          <w:i/>
          <w:iCs/>
          <w:sz w:val="18"/>
        </w:rPr>
        <w:t>A child's journey through placement.</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Indianapolis</w:t>
          </w:r>
        </w:smartTag>
      </w:smartTag>
      <w:r>
        <w:rPr>
          <w:rFonts w:ascii="Arial" w:hAnsi="Arial" w:cs="Arial"/>
          <w:sz w:val="18"/>
        </w:rPr>
        <w:t>: Perspective Press.</w:t>
      </w:r>
    </w:p>
    <w:p w14:paraId="7DD3AF5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Fonagy, P; Steele, M; Steele, H; Higgitt, A. &amp; Target, M. (1992) The Emanuel Miller Memorial Lecture 1992: The theory and practice of resilience.  </w:t>
      </w:r>
      <w:r>
        <w:rPr>
          <w:rFonts w:ascii="Arial" w:hAnsi="Arial" w:cs="Arial"/>
          <w:i/>
          <w:iCs/>
          <w:sz w:val="18"/>
        </w:rPr>
        <w:t>Journal of Child Psychology and Psychiatry, 35,</w:t>
      </w:r>
      <w:r>
        <w:rPr>
          <w:rFonts w:ascii="Arial" w:hAnsi="Arial" w:cs="Arial"/>
          <w:sz w:val="18"/>
        </w:rPr>
        <w:t xml:space="preserve"> 231-257.</w:t>
      </w:r>
    </w:p>
    <w:p w14:paraId="3CFBBA6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Goldberg, S. (2000) </w:t>
      </w:r>
      <w:r>
        <w:rPr>
          <w:rFonts w:ascii="Arial" w:hAnsi="Arial" w:cs="Arial"/>
          <w:i/>
          <w:iCs/>
          <w:sz w:val="18"/>
        </w:rPr>
        <w:t>Attachment and development</w:t>
      </w:r>
      <w:r>
        <w:rPr>
          <w:rFonts w:ascii="Arial" w:hAnsi="Arial" w:cs="Arial"/>
          <w:sz w:val="18"/>
        </w:rPr>
        <w:t xml:space="preserve">.  </w:t>
      </w:r>
      <w:smartTag w:uri="urn:schemas-microsoft-com:office:smarttags" w:element="City">
        <w:r>
          <w:rPr>
            <w:rFonts w:ascii="Arial" w:hAnsi="Arial" w:cs="Arial"/>
            <w:sz w:val="18"/>
          </w:rPr>
          <w:t>London</w:t>
        </w:r>
      </w:smartTag>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Arnold</w:t>
          </w:r>
        </w:smartTag>
      </w:smartTag>
      <w:r>
        <w:rPr>
          <w:rFonts w:ascii="Arial" w:hAnsi="Arial" w:cs="Arial"/>
          <w:sz w:val="18"/>
        </w:rPr>
        <w:t>.</w:t>
      </w:r>
    </w:p>
    <w:p w14:paraId="202C15F5"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Howe, D. (1995) </w:t>
      </w:r>
      <w:r>
        <w:rPr>
          <w:rFonts w:ascii="Arial" w:hAnsi="Arial" w:cs="Arial"/>
          <w:i/>
          <w:iCs/>
          <w:sz w:val="18"/>
        </w:rPr>
        <w:t>Attachment theory for social work practice</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London</w:t>
          </w:r>
        </w:smartTag>
      </w:smartTag>
      <w:r>
        <w:rPr>
          <w:rFonts w:ascii="Arial" w:hAnsi="Arial" w:cs="Arial"/>
          <w:sz w:val="18"/>
        </w:rPr>
        <w:t>, Macmillan.</w:t>
      </w:r>
    </w:p>
    <w:p w14:paraId="5653257B"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Howe, D.; Brandon M.; Hinings, D. and Schofield, G. (1999) </w:t>
      </w:r>
      <w:r>
        <w:rPr>
          <w:rFonts w:ascii="Arial" w:hAnsi="Arial" w:cs="Arial"/>
          <w:i/>
          <w:iCs/>
          <w:sz w:val="18"/>
        </w:rPr>
        <w:t>Attachment theory, child maltreatment, and family support: A practice and assessment model</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Mahwah</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4ED1B27B"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Kliewer, W.; Fearnow, M.D. &amp; Miller, P.A. (1996) Coping socialisation in middle childhood: Tests of maternal and paternal influences.  </w:t>
      </w:r>
      <w:r>
        <w:rPr>
          <w:rFonts w:ascii="Arial" w:hAnsi="Arial" w:cs="Arial"/>
          <w:i/>
          <w:iCs/>
          <w:sz w:val="18"/>
        </w:rPr>
        <w:t>Child Development, 67,</w:t>
      </w:r>
      <w:r>
        <w:rPr>
          <w:rFonts w:ascii="Arial" w:hAnsi="Arial" w:cs="Arial"/>
          <w:sz w:val="18"/>
        </w:rPr>
        <w:t xml:space="preserve"> 2339-2357.</w:t>
      </w:r>
    </w:p>
    <w:p w14:paraId="5DB8E782"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Lamb, M.E.; Thompson, R.A.; Gardner, W.; Charnov, E.L. &amp; Connell J.P. (1985) </w:t>
      </w:r>
      <w:r>
        <w:rPr>
          <w:rFonts w:ascii="Arial" w:hAnsi="Arial" w:cs="Arial"/>
          <w:i/>
          <w:iCs/>
          <w:sz w:val="18"/>
        </w:rPr>
        <w:t>Infant-mother attachment: The origins and developmental significance of individual differences in Strange Situation behaviour.</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Hillsdale</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1996435D"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Laudenslager, M.L. &amp; Reite, M.R. (1984) Loss and separations: Immunological consequences and health outcomes.  In P. Shaver (Ed.) </w:t>
      </w:r>
      <w:r>
        <w:rPr>
          <w:rFonts w:ascii="Arial" w:hAnsi="Arial" w:cs="Arial"/>
          <w:i/>
          <w:iCs/>
          <w:sz w:val="18"/>
        </w:rPr>
        <w:t>Review of personality and social psychology Volume 5.</w:t>
      </w:r>
      <w:r>
        <w:rPr>
          <w:rFonts w:ascii="Arial" w:hAnsi="Arial" w:cs="Arial"/>
          <w:sz w:val="18"/>
        </w:rPr>
        <w:t xml:space="preserve"> </w:t>
      </w:r>
      <w:smartTag w:uri="urn:schemas-microsoft-com:office:smarttags" w:element="place">
        <w:smartTag w:uri="urn:schemas-microsoft-com:office:smarttags" w:element="PlaceName">
          <w:r>
            <w:rPr>
              <w:rFonts w:ascii="Arial" w:hAnsi="Arial" w:cs="Arial"/>
              <w:sz w:val="18"/>
            </w:rPr>
            <w:t>Beverley</w:t>
          </w:r>
        </w:smartTag>
        <w:r>
          <w:rPr>
            <w:rFonts w:ascii="Arial" w:hAnsi="Arial" w:cs="Arial"/>
            <w:sz w:val="18"/>
          </w:rPr>
          <w:t xml:space="preserve"> </w:t>
        </w:r>
        <w:smartTag w:uri="urn:schemas-microsoft-com:office:smarttags" w:element="PlaceName">
          <w:r>
            <w:rPr>
              <w:rFonts w:ascii="Arial" w:hAnsi="Arial" w:cs="Arial"/>
              <w:sz w:val="18"/>
            </w:rPr>
            <w:t>Hills</w:t>
          </w:r>
        </w:smartTag>
      </w:smartTag>
      <w:r>
        <w:rPr>
          <w:rFonts w:ascii="Arial" w:hAnsi="Arial" w:cs="Arial"/>
          <w:sz w:val="18"/>
        </w:rPr>
        <w:t>, CA: Sage.</w:t>
      </w:r>
    </w:p>
    <w:p w14:paraId="34A3182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Main, M. &amp; Hesse E. (1992) Disorganised/disoriented infant behaviour in the Strange Situation, lapses in the monitoring of reasoning and discourse during the parfent's Adult Attachment Interview, and dissociative states.  In M. Ammaniti &amp; D. Stern (Eds.) </w:t>
      </w:r>
      <w:r>
        <w:rPr>
          <w:rFonts w:ascii="Arial" w:hAnsi="Arial" w:cs="Arial"/>
          <w:i/>
          <w:iCs/>
          <w:sz w:val="18"/>
        </w:rPr>
        <w:t>Attachment and psychoanalysis.</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Rome</w:t>
          </w:r>
        </w:smartTag>
      </w:smartTag>
      <w:r>
        <w:rPr>
          <w:rFonts w:ascii="Arial" w:hAnsi="Arial" w:cs="Arial"/>
          <w:sz w:val="18"/>
        </w:rPr>
        <w:t>: Gius, Laterza and Figli.</w:t>
      </w:r>
    </w:p>
    <w:p w14:paraId="6FE29A68"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smartTag w:uri="urn:schemas-microsoft-com:office:smarttags" w:element="place">
        <w:r>
          <w:rPr>
            <w:rFonts w:ascii="Arial" w:hAnsi="Arial" w:cs="Arial"/>
            <w:sz w:val="18"/>
          </w:rPr>
          <w:t>Main</w:t>
        </w:r>
      </w:smartTag>
      <w:r>
        <w:rPr>
          <w:rFonts w:ascii="Arial" w:hAnsi="Arial" w:cs="Arial"/>
          <w:sz w:val="18"/>
        </w:rPr>
        <w:t xml:space="preserve">, M &amp; Solomon, J. (1990) Procedures for identifying infants as disorganised/disoriented during the Ainsworth Strange Situation.  IN M.T.Greenberg, D. Cicchett &amp; E.M.Cummings (Eds.) </w:t>
      </w:r>
      <w:r>
        <w:rPr>
          <w:rFonts w:ascii="Arial" w:hAnsi="Arial" w:cs="Arial"/>
          <w:i/>
          <w:iCs/>
          <w:sz w:val="18"/>
        </w:rPr>
        <w:t>Attachment in the preschool years.</w:t>
      </w:r>
      <w:r>
        <w:rPr>
          <w:rFonts w:ascii="Arial" w:hAnsi="Arial" w:cs="Arial"/>
          <w:sz w:val="18"/>
        </w:rPr>
        <w:t xml:space="preserve">  </w:t>
      </w:r>
      <w:smartTag w:uri="urn:schemas-microsoft-com:office:smarttags" w:element="City">
        <w:r>
          <w:rPr>
            <w:rFonts w:ascii="Arial" w:hAnsi="Arial" w:cs="Arial"/>
            <w:sz w:val="18"/>
          </w:rPr>
          <w:t>Chicago</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Chicago</w:t>
          </w:r>
        </w:smartTag>
      </w:smartTag>
      <w:r>
        <w:rPr>
          <w:rFonts w:ascii="Arial" w:hAnsi="Arial" w:cs="Arial"/>
          <w:sz w:val="18"/>
        </w:rPr>
        <w:t xml:space="preserve"> Press.</w:t>
      </w:r>
    </w:p>
    <w:p w14:paraId="634A8CDA"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Main, M; Kaplan, N; &amp; Cassidy J (1985) Security in infancy, childhood and adulthood: A move to the level of representation.  In I. Bretherton &amp; E. Waters (Eds.) Growing points of attachment theory and research.  </w:t>
      </w:r>
      <w:r>
        <w:rPr>
          <w:rFonts w:ascii="Arial" w:hAnsi="Arial" w:cs="Arial"/>
          <w:i/>
          <w:iCs/>
          <w:sz w:val="18"/>
        </w:rPr>
        <w:t>Monographs of the Society for Research in Child Development (Serial 209), 50,</w:t>
      </w:r>
      <w:r>
        <w:rPr>
          <w:rFonts w:ascii="Arial" w:hAnsi="Arial" w:cs="Arial"/>
          <w:sz w:val="18"/>
        </w:rPr>
        <w:t xml:space="preserve"> 66-106.</w:t>
      </w:r>
    </w:p>
    <w:p w14:paraId="3E0A77D0"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smartTag w:uri="urn:schemas-microsoft-com:office:smarttags" w:element="place">
        <w:smartTag w:uri="urn:schemas-microsoft-com:office:smarttags" w:element="City">
          <w:r>
            <w:rPr>
              <w:rFonts w:ascii="Arial" w:hAnsi="Arial" w:cs="Arial"/>
              <w:sz w:val="18"/>
            </w:rPr>
            <w:t>Rolfe</w:t>
          </w:r>
        </w:smartTag>
        <w:r>
          <w:rPr>
            <w:rFonts w:ascii="Arial" w:hAnsi="Arial" w:cs="Arial"/>
            <w:sz w:val="18"/>
          </w:rPr>
          <w:t xml:space="preserve">, </w:t>
        </w:r>
        <w:smartTag w:uri="urn:schemas-microsoft-com:office:smarttags" w:element="country-region">
          <w:r>
            <w:rPr>
              <w:rFonts w:ascii="Arial" w:hAnsi="Arial" w:cs="Arial"/>
              <w:sz w:val="18"/>
            </w:rPr>
            <w:t>S.A.</w:t>
          </w:r>
        </w:smartTag>
      </w:smartTag>
      <w:r>
        <w:rPr>
          <w:rFonts w:ascii="Arial" w:hAnsi="Arial" w:cs="Arial"/>
          <w:sz w:val="18"/>
        </w:rPr>
        <w:t xml:space="preserve"> (2000) The brain research phenomenon.  </w:t>
      </w:r>
      <w:r>
        <w:rPr>
          <w:rFonts w:ascii="Arial" w:hAnsi="Arial" w:cs="Arial"/>
          <w:i/>
          <w:iCs/>
          <w:sz w:val="18"/>
        </w:rPr>
        <w:t>Every Child, 6,</w:t>
      </w:r>
      <w:r>
        <w:rPr>
          <w:rFonts w:ascii="Arial" w:hAnsi="Arial" w:cs="Arial"/>
          <w:sz w:val="18"/>
        </w:rPr>
        <w:t xml:space="preserve"> 8-9.</w:t>
      </w:r>
    </w:p>
    <w:p w14:paraId="32A340A1"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Shulman, S; Elicker, J &amp; Sroufe,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(1994) Stages of friendship growth in preadolescence as related to attachment history.  </w:t>
      </w:r>
      <w:r>
        <w:rPr>
          <w:rFonts w:ascii="Arial" w:hAnsi="Arial" w:cs="Arial"/>
          <w:i/>
          <w:iCs/>
          <w:sz w:val="18"/>
        </w:rPr>
        <w:t>Journal of Social and Personal Relationships, 11,</w:t>
      </w:r>
      <w:r>
        <w:rPr>
          <w:rFonts w:ascii="Arial" w:hAnsi="Arial" w:cs="Arial"/>
          <w:sz w:val="18"/>
        </w:rPr>
        <w:t xml:space="preserve"> 341-361.</w:t>
      </w:r>
    </w:p>
    <w:p w14:paraId="3BF320B4"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Sroufe,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(1988) The role of infant-caregiver attachment in development.  In J.Belsky &amp; T.Nezworski (Eds.) </w:t>
      </w:r>
      <w:r>
        <w:rPr>
          <w:rFonts w:ascii="Arial" w:hAnsi="Arial" w:cs="Arial"/>
          <w:i/>
          <w:iCs/>
          <w:sz w:val="18"/>
        </w:rPr>
        <w:t>Clinical implications of attachment</w:t>
      </w:r>
      <w:r>
        <w:rPr>
          <w:rFonts w:ascii="Arial" w:hAnsi="Arial" w:cs="Arial"/>
          <w:sz w:val="18"/>
        </w:rPr>
        <w:t xml:space="preserve">.  </w:t>
      </w:r>
      <w:smartTag w:uri="urn:schemas-microsoft-com:office:smarttags" w:element="State">
        <w:smartTag w:uri="urn:schemas-microsoft-com:office:smarttags" w:element="place">
          <w:r>
            <w:rPr>
              <w:rFonts w:ascii="Arial" w:hAnsi="Arial" w:cs="Arial"/>
              <w:sz w:val="18"/>
            </w:rPr>
            <w:t>New Jersey</w:t>
          </w:r>
        </w:smartTag>
      </w:smartTag>
      <w:r>
        <w:rPr>
          <w:rFonts w:ascii="Arial" w:hAnsi="Arial" w:cs="Arial"/>
          <w:sz w:val="18"/>
        </w:rPr>
        <w:t>: Erlbaum.</w:t>
      </w:r>
    </w:p>
    <w:p w14:paraId="793A666A"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Sroufe,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(1989) Relationship, self and individual adaptation.  In A.J.Sameroff &amp; R.N.Emde (Eds.) </w:t>
      </w:r>
      <w:r>
        <w:rPr>
          <w:rFonts w:ascii="Arial" w:hAnsi="Arial" w:cs="Arial"/>
          <w:i/>
          <w:iCs/>
          <w:sz w:val="18"/>
        </w:rPr>
        <w:t xml:space="preserve">Relationship disturbances in early childhood: A development approach.  </w:t>
      </w:r>
      <w:smartTag w:uri="urn:schemas-microsoft-com:office:smarttags" w:element="State">
        <w:smartTag w:uri="urn:schemas-microsoft-com:office:smarttags" w:element="place">
          <w:r>
            <w:rPr>
              <w:rFonts w:ascii="Arial" w:hAnsi="Arial" w:cs="Arial"/>
              <w:sz w:val="18"/>
            </w:rPr>
            <w:t>New York</w:t>
          </w:r>
        </w:smartTag>
      </w:smartTag>
      <w:r>
        <w:rPr>
          <w:rFonts w:ascii="Arial" w:hAnsi="Arial" w:cs="Arial"/>
          <w:sz w:val="18"/>
        </w:rPr>
        <w:t>: Basic Books.</w:t>
      </w:r>
    </w:p>
    <w:p w14:paraId="5077E638" w14:textId="77777777" w:rsidR="008E744C" w:rsidRDefault="008E744C">
      <w:pPr>
        <w:jc w:val="both"/>
        <w:rPr>
          <w:rFonts w:ascii="Arial" w:hAnsi="Arial" w:cs="Arial"/>
          <w:sz w:val="20"/>
        </w:rPr>
      </w:pPr>
    </w:p>
    <w:p w14:paraId="22C7D9F9" w14:textId="77777777" w:rsidR="00693223" w:rsidRDefault="00693223">
      <w:pPr>
        <w:jc w:val="both"/>
        <w:rPr>
          <w:rFonts w:ascii="Arial" w:hAnsi="Arial" w:cs="Arial"/>
          <w:sz w:val="20"/>
        </w:rPr>
      </w:pPr>
      <w:r>
        <w:rPr>
          <w:rFonts w:ascii="Arial" w:hAnsi="Arial" w:cs="Arial"/>
          <w:sz w:val="20"/>
        </w:rPr>
        <w:t xml:space="preserve">In August 2004 Allan &amp; Unwin published a book by Dr Rolfe entitled </w:t>
      </w:r>
      <w:r>
        <w:rPr>
          <w:rFonts w:ascii="Arial" w:hAnsi="Arial" w:cs="Arial"/>
          <w:i/>
          <w:iCs/>
          <w:sz w:val="20"/>
        </w:rPr>
        <w:t xml:space="preserve">Rethinking Attachment for Early Childhood Practice: Promoting security, autonomy and resilience in young children.  </w:t>
      </w:r>
      <w:r>
        <w:rPr>
          <w:rFonts w:ascii="Arial" w:hAnsi="Arial" w:cs="Arial"/>
          <w:sz w:val="20"/>
        </w:rPr>
        <w:t xml:space="preserve">In heated debates about whether childcare damages young children, attachment theory has been seen as 'anti-childcare'.  Dr Rolfe rethinks this perception, demonstrating instead that understanding attachment is essential to good childcare practice.  </w:t>
      </w:r>
      <w:r>
        <w:rPr>
          <w:rFonts w:ascii="Arial" w:hAnsi="Arial" w:cs="Arial"/>
          <w:i/>
          <w:iCs/>
          <w:sz w:val="20"/>
        </w:rPr>
        <w:t>Rethinking Attachment</w:t>
      </w:r>
      <w:r>
        <w:rPr>
          <w:rFonts w:ascii="Arial" w:hAnsi="Arial" w:cs="Arial"/>
          <w:sz w:val="20"/>
        </w:rPr>
        <w:t xml:space="preserve"> offers a thorough explanation of attachment theory in 15 chapters:</w:t>
      </w:r>
    </w:p>
    <w:p w14:paraId="6801E0F3" w14:textId="77777777" w:rsidR="00693223" w:rsidRDefault="00693223">
      <w:pPr>
        <w:jc w:val="both"/>
        <w:rPr>
          <w:rFonts w:ascii="Arial" w:hAnsi="Arial" w:cs="Arial"/>
          <w:b/>
          <w:bCs/>
          <w:sz w:val="20"/>
        </w:rPr>
        <w:sectPr w:rsidR="00693223" w:rsidSect="00F034D2">
          <w:footerReference w:type="default" r:id="rId16"/>
          <w:pgSz w:w="11906" w:h="16838" w:code="9"/>
          <w:pgMar w:top="1191" w:right="1797" w:bottom="1191" w:left="1797" w:header="720" w:footer="720" w:gutter="0"/>
          <w:cols w:space="708"/>
          <w:docGrid w:linePitch="360"/>
        </w:sectPr>
      </w:pPr>
    </w:p>
    <w:p w14:paraId="2B1FACA9" w14:textId="77777777" w:rsidR="00693223" w:rsidRDefault="00693223">
      <w:pPr>
        <w:jc w:val="both"/>
        <w:rPr>
          <w:rFonts w:ascii="Arial" w:hAnsi="Arial" w:cs="Arial"/>
          <w:b/>
          <w:bCs/>
          <w:sz w:val="20"/>
        </w:rPr>
      </w:pPr>
      <w:r>
        <w:rPr>
          <w:rFonts w:ascii="Arial" w:hAnsi="Arial" w:cs="Arial"/>
          <w:b/>
          <w:bCs/>
          <w:sz w:val="20"/>
        </w:rPr>
        <w:t>Part 1: Introduction</w:t>
      </w:r>
    </w:p>
    <w:p w14:paraId="792F95D3" w14:textId="77777777" w:rsidR="00693223" w:rsidRDefault="00693223">
      <w:pPr>
        <w:jc w:val="both"/>
        <w:rPr>
          <w:rFonts w:ascii="Arial" w:hAnsi="Arial" w:cs="Arial"/>
          <w:sz w:val="20"/>
        </w:rPr>
      </w:pPr>
      <w:r>
        <w:rPr>
          <w:rFonts w:ascii="Arial" w:hAnsi="Arial" w:cs="Arial"/>
          <w:sz w:val="20"/>
        </w:rPr>
        <w:t>Chapter 1: Introduction</w:t>
      </w:r>
    </w:p>
    <w:p w14:paraId="3193B5F7" w14:textId="77777777" w:rsidR="00693223" w:rsidRDefault="00693223">
      <w:pPr>
        <w:jc w:val="both"/>
        <w:rPr>
          <w:rFonts w:ascii="Arial" w:hAnsi="Arial" w:cs="Arial"/>
          <w:b/>
          <w:bCs/>
          <w:sz w:val="20"/>
        </w:rPr>
      </w:pPr>
      <w:r>
        <w:rPr>
          <w:rFonts w:ascii="Arial" w:hAnsi="Arial" w:cs="Arial"/>
          <w:b/>
          <w:bCs/>
          <w:sz w:val="20"/>
        </w:rPr>
        <w:t>Part 2: The significance of attachment relationships</w:t>
      </w:r>
    </w:p>
    <w:p w14:paraId="0AB89761" w14:textId="77777777" w:rsidR="00693223" w:rsidRDefault="00693223">
      <w:pPr>
        <w:jc w:val="both"/>
        <w:rPr>
          <w:rFonts w:ascii="Arial" w:hAnsi="Arial" w:cs="Arial"/>
          <w:sz w:val="20"/>
        </w:rPr>
      </w:pPr>
      <w:r>
        <w:rPr>
          <w:rFonts w:ascii="Arial" w:hAnsi="Arial" w:cs="Arial"/>
          <w:sz w:val="20"/>
        </w:rPr>
        <w:t>Chapter 2: Attachment Theory</w:t>
      </w:r>
    </w:p>
    <w:p w14:paraId="66942520" w14:textId="77777777" w:rsidR="00693223" w:rsidRDefault="00693223">
      <w:pPr>
        <w:jc w:val="both"/>
        <w:rPr>
          <w:rFonts w:ascii="Arial" w:hAnsi="Arial" w:cs="Arial"/>
          <w:sz w:val="20"/>
        </w:rPr>
      </w:pPr>
      <w:r>
        <w:rPr>
          <w:rFonts w:ascii="Arial" w:hAnsi="Arial" w:cs="Arial"/>
          <w:sz w:val="20"/>
        </w:rPr>
        <w:t>Chapter 3: Why interactions matter</w:t>
      </w:r>
    </w:p>
    <w:p w14:paraId="5C612200" w14:textId="77777777" w:rsidR="00693223" w:rsidRDefault="00693223">
      <w:pPr>
        <w:jc w:val="both"/>
        <w:rPr>
          <w:rFonts w:ascii="Arial" w:hAnsi="Arial" w:cs="Arial"/>
          <w:sz w:val="20"/>
        </w:rPr>
      </w:pPr>
      <w:r>
        <w:rPr>
          <w:rFonts w:ascii="Arial" w:hAnsi="Arial" w:cs="Arial"/>
          <w:sz w:val="20"/>
        </w:rPr>
        <w:t>Chapter 4: Quality of attachment</w:t>
      </w:r>
    </w:p>
    <w:p w14:paraId="156250FD" w14:textId="77777777" w:rsidR="00693223" w:rsidRDefault="00693223">
      <w:pPr>
        <w:jc w:val="both"/>
        <w:rPr>
          <w:rFonts w:ascii="Arial" w:hAnsi="Arial" w:cs="Arial"/>
          <w:sz w:val="20"/>
        </w:rPr>
      </w:pPr>
      <w:r>
        <w:rPr>
          <w:rFonts w:ascii="Arial" w:hAnsi="Arial" w:cs="Arial"/>
          <w:sz w:val="20"/>
        </w:rPr>
        <w:t>Chapter 5: Attachment and resilience</w:t>
      </w:r>
    </w:p>
    <w:p w14:paraId="77C9BE77" w14:textId="77777777" w:rsidR="00693223" w:rsidRDefault="00693223">
      <w:pPr>
        <w:jc w:val="both"/>
        <w:rPr>
          <w:rFonts w:ascii="Arial" w:hAnsi="Arial" w:cs="Arial"/>
          <w:b/>
          <w:bCs/>
          <w:sz w:val="20"/>
        </w:rPr>
      </w:pPr>
      <w:r>
        <w:rPr>
          <w:rFonts w:ascii="Arial" w:hAnsi="Arial" w:cs="Arial"/>
          <w:b/>
          <w:bCs/>
          <w:sz w:val="20"/>
        </w:rPr>
        <w:t>Part 3: Attachment through infancy and early childhood</w:t>
      </w:r>
    </w:p>
    <w:p w14:paraId="119CE327" w14:textId="77777777" w:rsidR="00693223" w:rsidRDefault="00693223">
      <w:pPr>
        <w:jc w:val="both"/>
        <w:rPr>
          <w:rFonts w:ascii="Arial" w:hAnsi="Arial" w:cs="Arial"/>
          <w:sz w:val="20"/>
        </w:rPr>
      </w:pPr>
      <w:r>
        <w:rPr>
          <w:rFonts w:ascii="Arial" w:hAnsi="Arial" w:cs="Arial"/>
          <w:sz w:val="20"/>
        </w:rPr>
        <w:t>Chapter 6: Infancy: Developing trust</w:t>
      </w:r>
    </w:p>
    <w:p w14:paraId="4AC315D3" w14:textId="77777777" w:rsidR="00693223" w:rsidRDefault="00693223">
      <w:pPr>
        <w:jc w:val="both"/>
        <w:rPr>
          <w:rFonts w:ascii="Arial" w:hAnsi="Arial" w:cs="Arial"/>
          <w:sz w:val="20"/>
        </w:rPr>
      </w:pPr>
      <w:r>
        <w:rPr>
          <w:rFonts w:ascii="Arial" w:hAnsi="Arial" w:cs="Arial"/>
          <w:sz w:val="20"/>
        </w:rPr>
        <w:t>Chapter 7: From one to three years: Becoming autonomous</w:t>
      </w:r>
    </w:p>
    <w:p w14:paraId="39292482" w14:textId="77777777" w:rsidR="00693223" w:rsidRDefault="00693223">
      <w:pPr>
        <w:jc w:val="both"/>
        <w:rPr>
          <w:rFonts w:ascii="Arial" w:hAnsi="Arial" w:cs="Arial"/>
          <w:sz w:val="20"/>
        </w:rPr>
      </w:pPr>
      <w:r>
        <w:rPr>
          <w:rFonts w:ascii="Arial" w:hAnsi="Arial" w:cs="Arial"/>
          <w:sz w:val="20"/>
        </w:rPr>
        <w:t>Chapter 8: The pre-school years: Emerging instrumentality</w:t>
      </w:r>
    </w:p>
    <w:p w14:paraId="7A6A556E" w14:textId="77777777" w:rsidR="00693223" w:rsidRDefault="00693223">
      <w:pPr>
        <w:jc w:val="both"/>
        <w:rPr>
          <w:rFonts w:ascii="Arial" w:hAnsi="Arial" w:cs="Arial"/>
          <w:sz w:val="20"/>
        </w:rPr>
      </w:pPr>
      <w:r>
        <w:rPr>
          <w:rFonts w:ascii="Arial" w:hAnsi="Arial" w:cs="Arial"/>
          <w:sz w:val="20"/>
        </w:rPr>
        <w:lastRenderedPageBreak/>
        <w:t>Chapter 9: Attachment and cognitive competence</w:t>
      </w:r>
    </w:p>
    <w:p w14:paraId="5C5C64BB" w14:textId="77777777" w:rsidR="00693223" w:rsidRDefault="00693223">
      <w:pPr>
        <w:jc w:val="both"/>
        <w:rPr>
          <w:rFonts w:ascii="Arial" w:hAnsi="Arial" w:cs="Arial"/>
          <w:b/>
          <w:bCs/>
          <w:sz w:val="20"/>
        </w:rPr>
      </w:pPr>
      <w:r>
        <w:rPr>
          <w:rFonts w:ascii="Arial" w:hAnsi="Arial" w:cs="Arial"/>
          <w:b/>
          <w:bCs/>
          <w:sz w:val="20"/>
        </w:rPr>
        <w:t>Part 4: Attachment Issues</w:t>
      </w:r>
    </w:p>
    <w:p w14:paraId="5F9138DE" w14:textId="77777777" w:rsidR="00693223" w:rsidRDefault="00693223">
      <w:pPr>
        <w:jc w:val="both"/>
        <w:rPr>
          <w:rFonts w:ascii="Arial" w:hAnsi="Arial" w:cs="Arial"/>
          <w:sz w:val="20"/>
        </w:rPr>
      </w:pPr>
      <w:r>
        <w:rPr>
          <w:rFonts w:ascii="Arial" w:hAnsi="Arial" w:cs="Arial"/>
          <w:sz w:val="20"/>
        </w:rPr>
        <w:t>Chapter 10: Separation experiences</w:t>
      </w:r>
    </w:p>
    <w:p w14:paraId="613F7BCE" w14:textId="77777777" w:rsidR="00693223" w:rsidRDefault="00693223">
      <w:pPr>
        <w:jc w:val="both"/>
        <w:rPr>
          <w:rFonts w:ascii="Arial" w:hAnsi="Arial" w:cs="Arial"/>
          <w:sz w:val="20"/>
        </w:rPr>
      </w:pPr>
      <w:r>
        <w:rPr>
          <w:rFonts w:ascii="Arial" w:hAnsi="Arial" w:cs="Arial"/>
          <w:sz w:val="20"/>
        </w:rPr>
        <w:t>Chapter 11: Adult attachment issues</w:t>
      </w:r>
    </w:p>
    <w:p w14:paraId="5B7D81E6" w14:textId="77777777" w:rsidR="00693223" w:rsidRDefault="00693223">
      <w:pPr>
        <w:jc w:val="both"/>
        <w:rPr>
          <w:rFonts w:ascii="Arial" w:hAnsi="Arial" w:cs="Arial"/>
          <w:sz w:val="20"/>
        </w:rPr>
      </w:pPr>
      <w:r>
        <w:rPr>
          <w:rFonts w:ascii="Arial" w:hAnsi="Arial" w:cs="Arial"/>
          <w:sz w:val="20"/>
        </w:rPr>
        <w:t>Chapter 12: Cultural perspectives on attachment</w:t>
      </w:r>
    </w:p>
    <w:p w14:paraId="78ED3C41" w14:textId="77777777" w:rsidR="00693223" w:rsidRDefault="00693223">
      <w:pPr>
        <w:jc w:val="both"/>
        <w:rPr>
          <w:rFonts w:ascii="Arial" w:hAnsi="Arial" w:cs="Arial"/>
          <w:sz w:val="20"/>
        </w:rPr>
      </w:pPr>
      <w:r>
        <w:rPr>
          <w:rFonts w:ascii="Arial" w:hAnsi="Arial" w:cs="Arial"/>
          <w:sz w:val="20"/>
        </w:rPr>
        <w:t>Chapter 13: When attachment needs are unmet</w:t>
      </w:r>
    </w:p>
    <w:p w14:paraId="402D7270" w14:textId="77777777" w:rsidR="00693223" w:rsidRDefault="00693223">
      <w:pPr>
        <w:jc w:val="both"/>
        <w:rPr>
          <w:rFonts w:ascii="Arial" w:hAnsi="Arial" w:cs="Arial"/>
          <w:b/>
          <w:bCs/>
          <w:sz w:val="20"/>
        </w:rPr>
      </w:pPr>
      <w:r>
        <w:rPr>
          <w:rFonts w:ascii="Arial" w:hAnsi="Arial" w:cs="Arial"/>
          <w:b/>
          <w:bCs/>
          <w:sz w:val="20"/>
        </w:rPr>
        <w:t>Part 5: Conclusion</w:t>
      </w:r>
    </w:p>
    <w:p w14:paraId="2A8C1106" w14:textId="77777777" w:rsidR="00693223" w:rsidRDefault="00693223">
      <w:pPr>
        <w:jc w:val="both"/>
        <w:rPr>
          <w:rFonts w:ascii="Arial" w:hAnsi="Arial" w:cs="Arial"/>
          <w:sz w:val="20"/>
        </w:rPr>
      </w:pPr>
      <w:r>
        <w:rPr>
          <w:rFonts w:ascii="Arial" w:hAnsi="Arial" w:cs="Arial"/>
          <w:sz w:val="20"/>
        </w:rPr>
        <w:t>Chapter 14: rethinking attachment in early childhood policy and practice</w:t>
      </w:r>
    </w:p>
    <w:p w14:paraId="5A75E0F4" w14:textId="77777777" w:rsidR="00693223" w:rsidRDefault="00693223">
      <w:pPr>
        <w:jc w:val="both"/>
        <w:rPr>
          <w:rFonts w:ascii="Arial" w:hAnsi="Arial" w:cs="Arial"/>
          <w:sz w:val="20"/>
        </w:rPr>
        <w:sectPr w:rsidR="00693223">
          <w:type w:val="continuous"/>
          <w:pgSz w:w="11906" w:h="16838" w:code="9"/>
          <w:pgMar w:top="1298" w:right="1797" w:bottom="1298" w:left="1797" w:header="720" w:footer="720" w:gutter="0"/>
          <w:cols w:num="2" w:space="708" w:equalWidth="0">
            <w:col w:w="3802" w:space="708"/>
            <w:col w:w="3802"/>
          </w:cols>
          <w:docGrid w:linePitch="360"/>
        </w:sectPr>
      </w:pPr>
    </w:p>
    <w:p w14:paraId="7743DF4F" w14:textId="77777777" w:rsidR="00C41F4C" w:rsidRDefault="00C41F4C" w:rsidP="00C41F4C">
      <w:pPr>
        <w:jc w:val="both"/>
        <w:rPr>
          <w:rFonts w:ascii="Arial" w:hAnsi="Arial" w:cs="Arial"/>
          <w:sz w:val="20"/>
        </w:rPr>
      </w:pPr>
    </w:p>
    <w:p w14:paraId="01DABE68" w14:textId="77777777" w:rsidR="009970EC" w:rsidRDefault="009970EC" w:rsidP="009970EC">
      <w:pPr>
        <w:pBdr>
          <w:top w:val="single" w:sz="12" w:space="1" w:color="auto"/>
        </w:pBdr>
        <w:jc w:val="both"/>
        <w:rPr>
          <w:rFonts w:ascii="Arial" w:hAnsi="Arial" w:cs="Arial"/>
          <w:sz w:val="20"/>
        </w:rPr>
      </w:pPr>
    </w:p>
    <w:p w14:paraId="3FC7540E" w14:textId="77777777" w:rsidR="00C41F4C" w:rsidRDefault="00C41F4C" w:rsidP="00C41F4C">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w:t>
      </w:r>
      <w:r w:rsidR="00811C5E">
        <w:rPr>
          <w:rFonts w:ascii="Arial" w:hAnsi="Arial" w:cs="Arial"/>
          <w:sz w:val="20"/>
        </w:rPr>
        <w:t xml:space="preserve"> at section 25.1</w:t>
      </w:r>
      <w:r>
        <w:rPr>
          <w:rFonts w:ascii="Arial" w:hAnsi="Arial" w:cs="Arial"/>
          <w:sz w:val="20"/>
        </w:rPr>
        <w:t xml:space="preserve">, </w:t>
      </w:r>
      <w:r w:rsidR="00811C5E">
        <w:rPr>
          <w:rFonts w:ascii="Arial" w:hAnsi="Arial" w:cs="Arial"/>
          <w:sz w:val="20"/>
        </w:rPr>
        <w:t xml:space="preserve">the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 outlin</w:t>
      </w:r>
      <w:r w:rsidR="00811C5E">
        <w:rPr>
          <w:rFonts w:ascii="Arial" w:hAnsi="Arial" w:cs="Arial"/>
          <w:sz w:val="20"/>
        </w:rPr>
        <w:t>ing</w:t>
      </w:r>
      <w:r w:rsidR="000F226D">
        <w:rPr>
          <w:rFonts w:ascii="Arial" w:hAnsi="Arial" w:cs="Arial"/>
          <w:sz w:val="20"/>
        </w:rPr>
        <w:t xml:space="preserve"> </w:t>
      </w:r>
      <w:r w:rsidR="002805B6">
        <w:rPr>
          <w:rFonts w:ascii="Arial" w:hAnsi="Arial" w:cs="Arial"/>
          <w:sz w:val="20"/>
        </w:rPr>
        <w:t xml:space="preserve">the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 secure; (2) anxious; (3) avoidant; and (4) disorganized an</w:t>
      </w:r>
      <w:r w:rsidR="00811C5E">
        <w:rPr>
          <w:rFonts w:ascii="Arial" w:hAnsi="Arial" w:cs="Arial"/>
          <w:sz w:val="20"/>
        </w:rPr>
        <w:t xml:space="preserve">d which she described </w:t>
      </w:r>
      <w:r w:rsidR="00B320A7">
        <w:rPr>
          <w:rFonts w:ascii="Arial" w:hAnsi="Arial" w:cs="Arial"/>
          <w:sz w:val="20"/>
        </w:rPr>
        <w:t>in the following way</w:t>
      </w:r>
      <w:r w:rsidR="000F226D">
        <w:rPr>
          <w:rFonts w:ascii="Arial" w:hAnsi="Arial" w:cs="Arial"/>
          <w:sz w:val="20"/>
        </w:rPr>
        <w:t>:</w:t>
      </w:r>
    </w:p>
    <w:p w14:paraId="5CF0605F"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Secure</w:t>
      </w:r>
      <w:r w:rsidRPr="000F226D">
        <w:rPr>
          <w:rFonts w:ascii="Arial" w:hAnsi="Arial" w:cs="Arial"/>
          <w:sz w:val="20"/>
          <w:szCs w:val="20"/>
        </w:rPr>
        <w:t xml:space="preserve">: The child safely explores and is able to explore outside the immediate contact of the mother and father safe in the knowledge she can return in any way and the caregiver will be available for her.  The child is able to </w:t>
      </w:r>
      <w:r w:rsidR="00B320A7">
        <w:rPr>
          <w:rFonts w:ascii="Arial" w:hAnsi="Arial" w:cs="Arial"/>
          <w:sz w:val="20"/>
          <w:szCs w:val="20"/>
        </w:rPr>
        <w:t>accept</w:t>
      </w:r>
      <w:r w:rsidRPr="000F226D">
        <w:rPr>
          <w:rFonts w:ascii="Arial" w:hAnsi="Arial" w:cs="Arial"/>
          <w:sz w:val="20"/>
          <w:szCs w:val="20"/>
        </w:rPr>
        <w:t xml:space="preserve"> messages that it is safe to explore her world.</w:t>
      </w:r>
    </w:p>
    <w:p w14:paraId="0CAE11B4"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Anxious</w:t>
      </w:r>
      <w:r w:rsidRPr="000F226D">
        <w:rPr>
          <w:rFonts w:ascii="Arial" w:hAnsi="Arial" w:cs="Arial"/>
          <w:sz w:val="20"/>
          <w:szCs w:val="20"/>
        </w:rPr>
        <w:t>:  The child exhibits distress moving away in a myriad of ways.  Not healthy distress</w:t>
      </w:r>
      <w:r w:rsidR="0030515F">
        <w:rPr>
          <w:rFonts w:ascii="Arial" w:hAnsi="Arial" w:cs="Arial"/>
          <w:sz w:val="20"/>
          <w:szCs w:val="20"/>
        </w:rPr>
        <w:t>.  I</w:t>
      </w:r>
      <w:r w:rsidRPr="000F226D">
        <w:rPr>
          <w:rFonts w:ascii="Arial" w:hAnsi="Arial" w:cs="Arial"/>
          <w:sz w:val="20"/>
          <w:szCs w:val="20"/>
        </w:rPr>
        <w:t>t might be that when an attachment figure moves away from close proximity an anxious child might throw something at her and be annoyed.  Excessive anxiety is part of the ‘anxious’ classification.</w:t>
      </w:r>
    </w:p>
    <w:p w14:paraId="0CE9DD2B"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Avoidant</w:t>
      </w:r>
      <w:r w:rsidRPr="000F226D">
        <w:rPr>
          <w:rFonts w:ascii="Arial" w:hAnsi="Arial" w:cs="Arial"/>
          <w:sz w:val="20"/>
          <w:szCs w:val="20"/>
        </w:rPr>
        <w:t xml:space="preserve">:  An </w:t>
      </w:r>
      <w:r w:rsidR="00B320A7">
        <w:rPr>
          <w:rFonts w:ascii="Arial" w:hAnsi="Arial" w:cs="Arial"/>
          <w:sz w:val="20"/>
          <w:szCs w:val="20"/>
        </w:rPr>
        <w:t xml:space="preserve">infant with an </w:t>
      </w:r>
      <w:r>
        <w:rPr>
          <w:rFonts w:ascii="Arial" w:hAnsi="Arial" w:cs="Arial"/>
          <w:sz w:val="20"/>
          <w:szCs w:val="20"/>
        </w:rPr>
        <w:t>‘</w:t>
      </w:r>
      <w:r w:rsidRPr="000F226D">
        <w:rPr>
          <w:rFonts w:ascii="Arial" w:hAnsi="Arial" w:cs="Arial"/>
          <w:sz w:val="20"/>
          <w:szCs w:val="20"/>
        </w:rPr>
        <w:t>avoidant</w:t>
      </w:r>
      <w:r>
        <w:rPr>
          <w:rFonts w:ascii="Arial" w:hAnsi="Arial" w:cs="Arial"/>
          <w:sz w:val="20"/>
          <w:szCs w:val="20"/>
        </w:rPr>
        <w:t>’</w:t>
      </w:r>
      <w:r w:rsidRPr="000F226D">
        <w:rPr>
          <w:rFonts w:ascii="Arial" w:hAnsi="Arial" w:cs="Arial"/>
          <w:sz w:val="20"/>
          <w:szCs w:val="20"/>
        </w:rPr>
        <w:t xml:space="preserve"> style does not appear to need the attachment figure very clearly, often exhibits little distress at reunion or reunification and exhibits a self-reliant style.  The</w:t>
      </w:r>
      <w:r w:rsidR="00B320A7">
        <w:rPr>
          <w:rFonts w:ascii="Arial" w:hAnsi="Arial" w:cs="Arial"/>
          <w:sz w:val="20"/>
          <w:szCs w:val="20"/>
        </w:rPr>
        <w:t xml:space="preserve"> infant does not</w:t>
      </w:r>
      <w:r w:rsidRPr="000F226D">
        <w:rPr>
          <w:rFonts w:ascii="Arial" w:hAnsi="Arial" w:cs="Arial"/>
          <w:sz w:val="20"/>
          <w:szCs w:val="20"/>
        </w:rPr>
        <w:t xml:space="preserve"> exhibit signals of </w:t>
      </w:r>
      <w:r w:rsidR="00B320A7">
        <w:rPr>
          <w:rFonts w:ascii="Arial" w:hAnsi="Arial" w:cs="Arial"/>
          <w:sz w:val="20"/>
          <w:szCs w:val="20"/>
        </w:rPr>
        <w:t>her</w:t>
      </w:r>
      <w:r w:rsidRPr="000F226D">
        <w:rPr>
          <w:rFonts w:ascii="Arial" w:hAnsi="Arial" w:cs="Arial"/>
          <w:sz w:val="20"/>
          <w:szCs w:val="20"/>
        </w:rPr>
        <w:t xml:space="preserve"> own distress and it is often misunderstood by even a sensiti</w:t>
      </w:r>
      <w:r w:rsidR="00B320A7">
        <w:rPr>
          <w:rFonts w:ascii="Arial" w:hAnsi="Arial" w:cs="Arial"/>
          <w:sz w:val="20"/>
          <w:szCs w:val="20"/>
        </w:rPr>
        <w:t>ve caregiver that the child is thought to be</w:t>
      </w:r>
      <w:r w:rsidRPr="000F226D">
        <w:rPr>
          <w:rFonts w:ascii="Arial" w:hAnsi="Arial" w:cs="Arial"/>
          <w:sz w:val="20"/>
          <w:szCs w:val="20"/>
        </w:rPr>
        <w:t xml:space="preserve"> not in need.…</w:t>
      </w:r>
    </w:p>
    <w:p w14:paraId="02D665A2" w14:textId="77777777" w:rsidR="000F226D" w:rsidRPr="00BC64BA" w:rsidRDefault="000F226D" w:rsidP="000F226D">
      <w:pPr>
        <w:keepNext/>
        <w:keepLines/>
        <w:spacing w:before="60"/>
        <w:ind w:left="567" w:right="567"/>
        <w:jc w:val="both"/>
        <w:rPr>
          <w:b/>
          <w:sz w:val="22"/>
          <w:szCs w:val="22"/>
        </w:rPr>
      </w:pPr>
      <w:r w:rsidRPr="002805B6">
        <w:rPr>
          <w:rFonts w:ascii="Arial" w:hAnsi="Arial" w:cs="Arial"/>
          <w:b/>
          <w:sz w:val="20"/>
          <w:szCs w:val="20"/>
          <w:u w:val="single"/>
        </w:rPr>
        <w:t>Disorganized</w:t>
      </w:r>
      <w:r w:rsidRPr="000F226D">
        <w:rPr>
          <w:rFonts w:ascii="Arial" w:hAnsi="Arial" w:cs="Arial"/>
          <w:sz w:val="20"/>
          <w:szCs w:val="20"/>
        </w:rPr>
        <w:t xml:space="preserve">:  This </w:t>
      </w:r>
      <w:r w:rsidR="00B320A7">
        <w:rPr>
          <w:rFonts w:ascii="Arial" w:hAnsi="Arial" w:cs="Arial"/>
          <w:sz w:val="20"/>
          <w:szCs w:val="20"/>
        </w:rPr>
        <w:t xml:space="preserve">style </w:t>
      </w:r>
      <w:r w:rsidRPr="000F226D">
        <w:rPr>
          <w:rFonts w:ascii="Arial" w:hAnsi="Arial" w:cs="Arial"/>
          <w:sz w:val="20"/>
          <w:szCs w:val="20"/>
        </w:rPr>
        <w:t xml:space="preserve">is more commonly seen in a traumatized or abused infant.  </w:t>
      </w:r>
      <w:r>
        <w:rPr>
          <w:rFonts w:ascii="Arial" w:hAnsi="Arial" w:cs="Arial"/>
          <w:sz w:val="20"/>
          <w:szCs w:val="20"/>
        </w:rPr>
        <w:t>I</w:t>
      </w:r>
      <w:r w:rsidRPr="000F226D">
        <w:rPr>
          <w:rFonts w:ascii="Arial" w:hAnsi="Arial" w:cs="Arial"/>
          <w:sz w:val="20"/>
          <w:szCs w:val="20"/>
        </w:rPr>
        <w:t xml:space="preserve">n the attachment figure’s presence the child might freeze or show signs of difficult physical distress, e.g. curl up in a ball.  </w:t>
      </w:r>
      <w:r w:rsidR="00B320A7">
        <w:rPr>
          <w:rFonts w:ascii="Arial" w:hAnsi="Arial" w:cs="Arial"/>
          <w:sz w:val="20"/>
          <w:szCs w:val="20"/>
        </w:rPr>
        <w:t>Children with disorganized attachment</w:t>
      </w:r>
      <w:r w:rsidRPr="000F226D">
        <w:rPr>
          <w:rFonts w:ascii="Arial" w:hAnsi="Arial" w:cs="Arial"/>
          <w:sz w:val="20"/>
          <w:szCs w:val="20"/>
        </w:rPr>
        <w:t xml:space="preserve"> are often seen as children who are naughty, poorly compliant, ‘all over the place’.  They </w:t>
      </w:r>
      <w:r w:rsidR="00B320A7">
        <w:rPr>
          <w:rFonts w:ascii="Arial" w:hAnsi="Arial" w:cs="Arial"/>
          <w:sz w:val="20"/>
          <w:szCs w:val="20"/>
        </w:rPr>
        <w:t>do not have</w:t>
      </w:r>
      <w:r w:rsidRPr="000F226D">
        <w:rPr>
          <w:rFonts w:ascii="Arial" w:hAnsi="Arial" w:cs="Arial"/>
          <w:sz w:val="20"/>
          <w:szCs w:val="20"/>
        </w:rPr>
        <w:t xml:space="preserve"> a way to attach to a caregiver.  </w:t>
      </w:r>
      <w:r w:rsidR="00B320A7">
        <w:rPr>
          <w:rFonts w:ascii="Arial" w:hAnsi="Arial" w:cs="Arial"/>
          <w:sz w:val="20"/>
          <w:szCs w:val="20"/>
        </w:rPr>
        <w:t>The a</w:t>
      </w:r>
      <w:r w:rsidRPr="000F226D">
        <w:rPr>
          <w:rFonts w:ascii="Arial" w:hAnsi="Arial" w:cs="Arial"/>
          <w:sz w:val="20"/>
          <w:szCs w:val="20"/>
        </w:rPr>
        <w:t xml:space="preserve">etiology is </w:t>
      </w:r>
      <w:r w:rsidR="00B320A7">
        <w:rPr>
          <w:rFonts w:ascii="Arial" w:hAnsi="Arial" w:cs="Arial"/>
          <w:sz w:val="20"/>
          <w:szCs w:val="20"/>
        </w:rPr>
        <w:t>of a traumatized infant</w:t>
      </w:r>
      <w:r w:rsidRPr="000F226D">
        <w:rPr>
          <w:rFonts w:ascii="Arial" w:hAnsi="Arial" w:cs="Arial"/>
          <w:sz w:val="20"/>
          <w:szCs w:val="20"/>
        </w:rPr>
        <w:t xml:space="preserve"> who do</w:t>
      </w:r>
      <w:r w:rsidR="00B320A7">
        <w:rPr>
          <w:rFonts w:ascii="Arial" w:hAnsi="Arial" w:cs="Arial"/>
          <w:sz w:val="20"/>
          <w:szCs w:val="20"/>
        </w:rPr>
        <w:t>es not</w:t>
      </w:r>
      <w:r w:rsidRPr="000F226D">
        <w:rPr>
          <w:rFonts w:ascii="Arial" w:hAnsi="Arial" w:cs="Arial"/>
          <w:sz w:val="20"/>
          <w:szCs w:val="20"/>
        </w:rPr>
        <w:t xml:space="preserve"> exhibit strategies of reunion and exploration.</w:t>
      </w:r>
    </w:p>
    <w:p w14:paraId="7605B55D" w14:textId="77777777" w:rsidR="00811C5E" w:rsidRDefault="00811C5E" w:rsidP="00811C5E">
      <w:pPr>
        <w:jc w:val="both"/>
        <w:rPr>
          <w:rFonts w:ascii="Arial" w:hAnsi="Arial" w:cs="Arial"/>
          <w:sz w:val="20"/>
        </w:rPr>
      </w:pPr>
    </w:p>
    <w:p w14:paraId="540BB5DC" w14:textId="77777777" w:rsidR="000F226D" w:rsidRPr="00811C5E" w:rsidRDefault="00811C5E" w:rsidP="000F226D">
      <w:pPr>
        <w:jc w:val="both"/>
        <w:rPr>
          <w:rFonts w:ascii="Arial" w:hAnsi="Arial" w:cs="Arial"/>
          <w:sz w:val="20"/>
        </w:rPr>
      </w:pPr>
      <w:r w:rsidRPr="00811C5E">
        <w:rPr>
          <w:rFonts w:ascii="Arial" w:hAnsi="Arial" w:cs="Arial"/>
          <w:sz w:val="20"/>
        </w:rPr>
        <w:t xml:space="preserve">The infant </w:t>
      </w:r>
      <w:r>
        <w:rPr>
          <w:rFonts w:ascii="Arial" w:hAnsi="Arial" w:cs="Arial"/>
          <w:sz w:val="20"/>
        </w:rPr>
        <w:t xml:space="preserve">mental health professional </w:t>
      </w:r>
      <w:r w:rsidR="00D127BE">
        <w:rPr>
          <w:rFonts w:ascii="Arial" w:hAnsi="Arial" w:cs="Arial"/>
          <w:sz w:val="20"/>
        </w:rPr>
        <w:t xml:space="preserve">also </w:t>
      </w:r>
      <w:r>
        <w:rPr>
          <w:rFonts w:ascii="Arial" w:hAnsi="Arial" w:cs="Arial"/>
          <w:sz w:val="20"/>
        </w:rPr>
        <w:t xml:space="preserve">agreed with Dr Rolfe’s opinions on attachment which are set out </w:t>
      </w:r>
      <w:r w:rsidR="00582C0A">
        <w:rPr>
          <w:rFonts w:ascii="Arial" w:hAnsi="Arial" w:cs="Arial"/>
          <w:sz w:val="20"/>
        </w:rPr>
        <w:t>earlier in this section, in particular</w:t>
      </w:r>
      <w:r>
        <w:rPr>
          <w:rFonts w:ascii="Arial" w:hAnsi="Arial" w:cs="Arial"/>
          <w:sz w:val="20"/>
        </w:rPr>
        <w:t xml:space="preserve"> the importance of secure attachment as the foundation for appropriate development:</w:t>
      </w:r>
    </w:p>
    <w:p w14:paraId="604C9A41" w14:textId="77777777" w:rsidR="00811C5E" w:rsidRPr="00BC64BA" w:rsidRDefault="00811C5E" w:rsidP="00811C5E">
      <w:pPr>
        <w:keepNext/>
        <w:keepLines/>
        <w:spacing w:before="60"/>
        <w:ind w:left="567" w:right="567"/>
        <w:jc w:val="both"/>
        <w:rPr>
          <w:b/>
          <w:sz w:val="22"/>
          <w:szCs w:val="22"/>
        </w:rPr>
      </w:pPr>
      <w:r w:rsidRPr="00811C5E">
        <w:rPr>
          <w:rFonts w:ascii="Arial" w:hAnsi="Arial" w:cs="Arial"/>
          <w:sz w:val="20"/>
          <w:szCs w:val="20"/>
        </w:rPr>
        <w:t xml:space="preserve">“The importance of secure attachment for infants and children is now well recognised.  Increasingly attachment theories are used to provide a conceptual foundation for assessment and decision-making.  In </w:t>
      </w:r>
      <w:smartTag w:uri="urn:schemas-microsoft-com:office:smarttags" w:element="State">
        <w:smartTag w:uri="urn:schemas-microsoft-com:office:smarttags" w:element="place">
          <w:r w:rsidRPr="00811C5E">
            <w:rPr>
              <w:rFonts w:ascii="Arial" w:hAnsi="Arial" w:cs="Arial"/>
              <w:sz w:val="20"/>
              <w:szCs w:val="20"/>
            </w:rPr>
            <w:t>Victoria</w:t>
          </w:r>
        </w:smartTag>
      </w:smartTag>
      <w:r w:rsidRPr="00811C5E">
        <w:rPr>
          <w:rFonts w:ascii="Arial" w:hAnsi="Arial" w:cs="Arial"/>
          <w:sz w:val="20"/>
          <w:szCs w:val="20"/>
        </w:rPr>
        <w:t xml:space="preserve"> concepts related to attachment inform the Best interests case practice framework (DOHS, 2008).  Secure attachment is associated with better interpersonal functioning including problem solving, confidence and interactions with peers…Establishing of secure attachment is now recognised as a foundational building block for the development of infants and children (Dozier </w:t>
      </w:r>
      <w:r w:rsidRPr="00811C5E">
        <w:rPr>
          <w:rFonts w:ascii="Arial" w:hAnsi="Arial" w:cs="Arial"/>
          <w:i/>
          <w:sz w:val="20"/>
          <w:szCs w:val="20"/>
        </w:rPr>
        <w:t>et al.</w:t>
      </w:r>
      <w:r w:rsidRPr="00811C5E">
        <w:rPr>
          <w:rFonts w:ascii="Arial" w:hAnsi="Arial" w:cs="Arial"/>
          <w:sz w:val="20"/>
          <w:szCs w:val="20"/>
        </w:rPr>
        <w:t>, 2001).”</w:t>
      </w:r>
    </w:p>
    <w:p w14:paraId="75C68793" w14:textId="77777777" w:rsidR="00C41F4C" w:rsidRDefault="00C41F4C">
      <w:pPr>
        <w:jc w:val="both"/>
        <w:rPr>
          <w:rFonts w:ascii="Arial" w:hAnsi="Arial" w:cs="Arial"/>
          <w:sz w:val="20"/>
        </w:rPr>
      </w:pPr>
    </w:p>
    <w:p w14:paraId="5C4C1C0B" w14:textId="77777777" w:rsidR="00FE2913" w:rsidRDefault="00FE2913">
      <w:pPr>
        <w:jc w:val="both"/>
        <w:rPr>
          <w:rFonts w:ascii="Arial" w:hAnsi="Arial" w:cs="Arial"/>
          <w:sz w:val="20"/>
        </w:rPr>
      </w:pPr>
      <w:r>
        <w:rPr>
          <w:rFonts w:ascii="Arial" w:hAnsi="Arial" w:cs="Arial"/>
          <w:sz w:val="20"/>
        </w:rPr>
        <w:t xml:space="preserve">However, although the Court accepted the expert’s </w:t>
      </w:r>
      <w:r w:rsidR="0030515F">
        <w:rPr>
          <w:rFonts w:ascii="Arial" w:hAnsi="Arial" w:cs="Arial"/>
          <w:sz w:val="20"/>
        </w:rPr>
        <w:t xml:space="preserve">theoretical evidence, it did not accept her </w:t>
      </w:r>
      <w:r w:rsidR="002805B6">
        <w:rPr>
          <w:rFonts w:ascii="Arial" w:hAnsi="Arial" w:cs="Arial"/>
          <w:sz w:val="20"/>
        </w:rPr>
        <w:t xml:space="preserve">ultimate </w:t>
      </w:r>
      <w:r w:rsidR="0030515F">
        <w:rPr>
          <w:rFonts w:ascii="Arial" w:hAnsi="Arial" w:cs="Arial"/>
          <w:sz w:val="20"/>
        </w:rPr>
        <w:t>opinion that the infant in question – then aged 2y5m - had an “avoidant attachment style”</w:t>
      </w:r>
      <w:r w:rsidR="00B05BA3">
        <w:rPr>
          <w:rFonts w:ascii="Arial" w:hAnsi="Arial" w:cs="Arial"/>
          <w:sz w:val="20"/>
        </w:rPr>
        <w:t>.  Power M said at section 25.5</w:t>
      </w:r>
      <w:r w:rsidR="0030515F">
        <w:rPr>
          <w:rFonts w:ascii="Arial" w:hAnsi="Arial" w:cs="Arial"/>
          <w:sz w:val="20"/>
        </w:rPr>
        <w:t>:</w:t>
      </w:r>
    </w:p>
    <w:p w14:paraId="6EDCC5C2" w14:textId="77777777" w:rsidR="0030515F" w:rsidRDefault="0030515F" w:rsidP="0030515F">
      <w:pPr>
        <w:keepNext/>
        <w:keepLines/>
        <w:spacing w:before="60"/>
        <w:ind w:left="567" w:right="567"/>
        <w:jc w:val="both"/>
        <w:rPr>
          <w:rFonts w:ascii="Arial" w:hAnsi="Arial" w:cs="Arial"/>
          <w:sz w:val="20"/>
          <w:szCs w:val="20"/>
        </w:rPr>
      </w:pPr>
      <w:r w:rsidRPr="0030515F">
        <w:rPr>
          <w:rFonts w:ascii="Arial" w:hAnsi="Arial" w:cs="Arial"/>
          <w:sz w:val="20"/>
          <w:szCs w:val="20"/>
        </w:rPr>
        <w:lastRenderedPageBreak/>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the </w:t>
      </w:r>
      <w:r w:rsidR="00DE3C0C">
        <w:rPr>
          <w:rFonts w:ascii="Arial" w:hAnsi="Arial" w:cs="Arial"/>
          <w:sz w:val="20"/>
          <w:szCs w:val="20"/>
        </w:rPr>
        <w:t>[expert’s]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269B95AB" w14:textId="77777777" w:rsidR="00B05BA3" w:rsidRPr="0030515F" w:rsidRDefault="00B05BA3" w:rsidP="00B05BA3">
      <w:pPr>
        <w:keepNext/>
        <w:keepLines/>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r w:rsidRPr="00B05BA3">
        <w:rPr>
          <w:rFonts w:ascii="Arial" w:hAnsi="Arial" w:cs="Arial"/>
          <w:i/>
          <w:sz w:val="20"/>
          <w:szCs w:val="20"/>
        </w:rPr>
        <w:t>Briginshaw v Briginshaw</w:t>
      </w:r>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39C99411" w14:textId="77777777" w:rsidR="00FE2913" w:rsidRDefault="00FE2913">
      <w:pPr>
        <w:jc w:val="both"/>
        <w:rPr>
          <w:rFonts w:ascii="Arial" w:hAnsi="Arial" w:cs="Arial"/>
          <w:sz w:val="20"/>
        </w:rPr>
      </w:pPr>
    </w:p>
    <w:p w14:paraId="05422CF1" w14:textId="77777777" w:rsidR="007510AE" w:rsidRDefault="007510AE">
      <w:pPr>
        <w:jc w:val="both"/>
        <w:rPr>
          <w:rFonts w:ascii="Arial" w:hAnsi="Arial" w:cs="Arial"/>
          <w:sz w:val="20"/>
        </w:rPr>
      </w:pPr>
      <w:r>
        <w:rPr>
          <w:rFonts w:ascii="Arial" w:hAnsi="Arial" w:cs="Arial"/>
          <w:sz w:val="20"/>
        </w:rPr>
        <w:t>That finding, read in conjunction with the opinion of Dr Rolfe on the “transfer” of attachment, led the Court to find at section 28.5 that:</w:t>
      </w:r>
    </w:p>
    <w:p w14:paraId="56C2C815" w14:textId="77777777" w:rsidR="007510AE" w:rsidRPr="0030515F" w:rsidRDefault="007510AE" w:rsidP="007510AE">
      <w:pPr>
        <w:keepNext/>
        <w:keepLines/>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09829FC1" w14:textId="77777777" w:rsidR="007510AE" w:rsidRDefault="007510AE">
      <w:pPr>
        <w:jc w:val="both"/>
        <w:rPr>
          <w:rFonts w:ascii="Arial" w:hAnsi="Arial" w:cs="Arial"/>
          <w:sz w:val="20"/>
        </w:rPr>
      </w:pPr>
    </w:p>
    <w:p w14:paraId="73376595" w14:textId="77777777" w:rsidR="00693223" w:rsidRDefault="00693223">
      <w:pPr>
        <w:jc w:val="both"/>
        <w:rPr>
          <w:rFonts w:ascii="Arial" w:hAnsi="Arial" w:cs="Arial"/>
          <w:sz w:val="20"/>
        </w:rPr>
      </w:pPr>
      <w:r>
        <w:rPr>
          <w:rFonts w:ascii="Arial" w:hAnsi="Arial" w:cs="Arial"/>
          <w:sz w:val="20"/>
        </w:rPr>
        <w:t xml:space="preserve">Relevant literature focussing on insecure or disorganized attachment includes Angela Hobday (2001) </w:t>
      </w:r>
      <w:r>
        <w:rPr>
          <w:rFonts w:ascii="Arial" w:hAnsi="Arial" w:cs="Arial"/>
          <w:i/>
          <w:iCs/>
          <w:sz w:val="20"/>
        </w:rPr>
        <w:t>Timeholes: A Useful Metaphor when Explaining Unusual or Bizarre Behaviour in Children Who Have Moved Families,</w:t>
      </w:r>
      <w:r>
        <w:rPr>
          <w:rFonts w:ascii="Arial" w:hAnsi="Arial" w:cs="Arial"/>
          <w:sz w:val="20"/>
        </w:rPr>
        <w:t xml:space="preserve"> Clinical Child Psychology and Psychiatry, V6(1), 41-47;  Karlen Lyons-Ruth (1996) </w:t>
      </w:r>
      <w:r>
        <w:rPr>
          <w:rFonts w:ascii="Arial" w:hAnsi="Arial" w:cs="Arial"/>
          <w:i/>
          <w:iCs/>
          <w:sz w:val="20"/>
        </w:rPr>
        <w:t>Attachment Relationships Among Children with Aggressive Behaviour Problems: The Role of Disorganized Early Attachment Patterns</w:t>
      </w:r>
      <w:r>
        <w:rPr>
          <w:rFonts w:ascii="Arial" w:hAnsi="Arial" w:cs="Arial"/>
          <w:sz w:val="20"/>
        </w:rPr>
        <w:t>, Journal of Consulting and Clinical Psychology, V64, No.1, 64-73.</w:t>
      </w:r>
    </w:p>
    <w:p w14:paraId="2F41075B" w14:textId="77777777" w:rsidR="00693223" w:rsidRDefault="00693223">
      <w:pPr>
        <w:jc w:val="both"/>
        <w:rPr>
          <w:rFonts w:ascii="Arial" w:hAnsi="Arial" w:cs="Arial"/>
          <w:sz w:val="20"/>
        </w:rPr>
      </w:pPr>
    </w:p>
    <w:p w14:paraId="6CC3FC35" w14:textId="77777777" w:rsidR="00693223" w:rsidRDefault="00693223">
      <w:pPr>
        <w:pStyle w:val="Heading2"/>
        <w:keepNext/>
        <w:keepLines/>
        <w:tabs>
          <w:tab w:val="left" w:pos="567"/>
        </w:tabs>
        <w:spacing w:line="240" w:lineRule="auto"/>
        <w:rPr>
          <w:rFonts w:ascii="Arial" w:hAnsi="Arial" w:cs="Arial"/>
          <w:b/>
          <w:bCs/>
        </w:rPr>
      </w:pPr>
      <w:bookmarkStart w:id="1673" w:name="_Toc32285537"/>
      <w:bookmarkStart w:id="1674" w:name="_Toc34823404"/>
      <w:bookmarkStart w:id="1675" w:name="_4.13_Shared_care"/>
      <w:bookmarkStart w:id="1676" w:name="B413"/>
      <w:bookmarkEnd w:id="1675"/>
      <w:bookmarkEnd w:id="1676"/>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73"/>
      <w:bookmarkEnd w:id="1674"/>
    </w:p>
    <w:p w14:paraId="35AF6867" w14:textId="77777777" w:rsidR="00693223" w:rsidRDefault="00693223">
      <w:pPr>
        <w:keepNext/>
        <w:keepLines/>
        <w:widowControl w:val="0"/>
        <w:rPr>
          <w:rFonts w:ascii="Arial" w:hAnsi="Arial" w:cs="Arial"/>
          <w:sz w:val="20"/>
        </w:rPr>
      </w:pPr>
    </w:p>
    <w:p w14:paraId="254507AB" w14:textId="77777777" w:rsidR="00693223" w:rsidRDefault="00693223" w:rsidP="00287157">
      <w:pPr>
        <w:keepNext/>
        <w:keepLines/>
        <w:widowControl w:val="0"/>
        <w:jc w:val="both"/>
        <w:rPr>
          <w:rFonts w:ascii="Arial" w:hAnsi="Arial" w:cs="Arial"/>
          <w:sz w:val="20"/>
        </w:rPr>
      </w:pPr>
      <w:r>
        <w:rPr>
          <w:rFonts w:ascii="Arial" w:hAnsi="Arial" w:cs="Arial"/>
          <w:sz w:val="20"/>
        </w:rPr>
        <w:t>In a case for which Dr Sharne Rolfe wrote a Court report in April 2002, care of a 3 year old child, C, had been extensively shared between four main caregivers: the mother, the father and the grandparents, particularly the grandmother.  This arrangement was instituted within the first weeks after birth so from early infancy C had experienced a small number of carers within the biological family and regular contact with all these people on an ongoing basis.  Dr Rolfe concluded that:</w:t>
      </w:r>
    </w:p>
    <w:p w14:paraId="6443F333" w14:textId="77777777" w:rsidR="00693223" w:rsidRDefault="00693223" w:rsidP="002239D1">
      <w:pPr>
        <w:numPr>
          <w:ilvl w:val="0"/>
          <w:numId w:val="5"/>
        </w:numPr>
        <w:tabs>
          <w:tab w:val="clear" w:pos="360"/>
          <w:tab w:val="num" w:leader="none" w:pos="363"/>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1DD5E1B1" w14:textId="77777777" w:rsidR="00693223" w:rsidRDefault="00693223" w:rsidP="002239D1">
      <w:pPr>
        <w:numPr>
          <w:ilvl w:val="0"/>
          <w:numId w:val="5"/>
        </w:numPr>
        <w:tabs>
          <w:tab w:val="clear" w:pos="360"/>
          <w:tab w:val="num" w:leader="none" w:pos="363"/>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314007F0" w14:textId="77777777" w:rsidR="00693223" w:rsidRDefault="00693223" w:rsidP="002239D1">
      <w:pPr>
        <w:numPr>
          <w:ilvl w:val="0"/>
          <w:numId w:val="5"/>
        </w:numPr>
        <w:tabs>
          <w:tab w:val="clear" w:pos="360"/>
          <w:tab w:val="num" w:leader="none" w:pos="363"/>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007D445A" w14:textId="77777777" w:rsidR="00693223" w:rsidRDefault="00693223">
      <w:pPr>
        <w:rPr>
          <w:rFonts w:ascii="Arial" w:hAnsi="Arial" w:cs="Arial"/>
          <w:sz w:val="20"/>
        </w:rPr>
      </w:pPr>
    </w:p>
    <w:p w14:paraId="60B3F315" w14:textId="77777777" w:rsidR="00693223" w:rsidRDefault="00693223">
      <w:pPr>
        <w:jc w:val="both"/>
        <w:rPr>
          <w:rFonts w:ascii="Arial" w:hAnsi="Arial" w:cs="Arial"/>
          <w:sz w:val="20"/>
        </w:rPr>
      </w:pPr>
      <w:r>
        <w:rPr>
          <w:rFonts w:ascii="Arial" w:hAnsi="Arial" w:cs="Arial"/>
          <w:sz w:val="20"/>
        </w:rPr>
        <w:t>Although writing in a carefully qualified way, Dr Rolfe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728143EB" w14:textId="77777777" w:rsidR="00693223" w:rsidRDefault="00693223" w:rsidP="00582C0A">
      <w:pPr>
        <w:keepNext/>
        <w:keepLines/>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Arnold</w:t>
          </w:r>
        </w:smartTag>
      </w:smartTag>
      <w:r>
        <w:rPr>
          <w:rFonts w:ascii="Arial" w:hAnsi="Arial" w:cs="Arial"/>
          <w:sz w:val="20"/>
        </w:rPr>
        <w:t>).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64178B20" w14:textId="77777777" w:rsidR="00693223" w:rsidRDefault="00693223">
      <w:pPr>
        <w:spacing w:before="120"/>
        <w:ind w:left="567" w:right="567"/>
        <w:jc w:val="both"/>
        <w:rPr>
          <w:rFonts w:ascii="Arial" w:hAnsi="Arial" w:cs="Arial"/>
          <w:sz w:val="20"/>
        </w:rPr>
      </w:pPr>
      <w:r>
        <w:rPr>
          <w:rFonts w:ascii="Arial" w:hAnsi="Arial" w:cs="Arial"/>
          <w:sz w:val="20"/>
        </w:rPr>
        <w:t xml:space="preserve">Finally, two further factors will likely impact on how shared care affects children in general, and [this child] in particular.  One relates to the circumstances associated with the transitions between various caregiving figures.  In [this] case, </w:t>
      </w:r>
      <w:r>
        <w:rPr>
          <w:rFonts w:ascii="Arial" w:hAnsi="Arial" w:cs="Arial"/>
          <w:sz w:val="20"/>
        </w:rPr>
        <w:lastRenderedPageBreak/>
        <w:t>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76413518" w14:textId="77777777" w:rsidR="00693223" w:rsidRDefault="00693223">
      <w:pPr>
        <w:rPr>
          <w:rFonts w:ascii="Arial" w:hAnsi="Arial" w:cs="Arial"/>
          <w:sz w:val="20"/>
        </w:rPr>
      </w:pPr>
    </w:p>
    <w:p w14:paraId="3E9EDE31" w14:textId="77777777" w:rsidR="00693223" w:rsidRDefault="00693223">
      <w:pPr>
        <w:jc w:val="both"/>
        <w:rPr>
          <w:rFonts w:ascii="Arial" w:hAnsi="Arial" w:cs="Arial"/>
          <w:sz w:val="20"/>
        </w:rPr>
      </w:pPr>
      <w:r>
        <w:rPr>
          <w:rFonts w:ascii="Arial" w:hAnsi="Arial" w:cs="Arial"/>
          <w:sz w:val="20"/>
        </w:rPr>
        <w:t>In a report to the Children's Court in May 2000 about a very different case Dr Susie Allanson, Clinical Psychologist, 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fostercare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Dr Allanson criticised this arrangement in trenchant terms:</w:t>
      </w:r>
    </w:p>
    <w:p w14:paraId="6FBEDD08" w14:textId="77777777" w:rsidR="00693223" w:rsidRDefault="00693223">
      <w:pPr>
        <w:spacing w:before="120"/>
        <w:ind w:left="567" w:right="567"/>
        <w:jc w:val="both"/>
        <w:rPr>
          <w:rFonts w:ascii="Arial" w:hAnsi="Arial" w:cs="Arial"/>
          <w:sz w:val="20"/>
        </w:rPr>
      </w:pPr>
      <w:r>
        <w:rPr>
          <w:rFonts w:ascii="Arial" w:hAnsi="Arial" w:cs="Arial"/>
          <w:sz w:val="20"/>
        </w:rPr>
        <w:t>"Both current psychological opinion rooted in extensive research findings and clinical experience, and commonsense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083276F1" w14:textId="77777777" w:rsidR="00693223" w:rsidRDefault="00693223">
      <w:pPr>
        <w:rPr>
          <w:rFonts w:ascii="Arial" w:hAnsi="Arial" w:cs="Arial"/>
          <w:sz w:val="20"/>
        </w:rPr>
      </w:pPr>
    </w:p>
    <w:p w14:paraId="1309B8EC" w14:textId="77777777" w:rsidR="00693223" w:rsidRDefault="00693223">
      <w:pPr>
        <w:jc w:val="both"/>
        <w:rPr>
          <w:rFonts w:ascii="Arial" w:hAnsi="Arial" w:cs="Arial"/>
          <w:sz w:val="20"/>
        </w:rPr>
      </w:pPr>
      <w:r>
        <w:rPr>
          <w:rFonts w:ascii="Arial" w:hAnsi="Arial" w:cs="Arial"/>
          <w:sz w:val="20"/>
        </w:rPr>
        <w:t>It needs to be emphasised that X's case involved a very different shared care arrangement from the case on which Dr Rolfe reported and it may be that any perceived difference in the psychologists' views simply reflects the difference between the respective cases, rather than any significant difference in philosophy.</w:t>
      </w:r>
    </w:p>
    <w:p w14:paraId="7707E024" w14:textId="77777777" w:rsidR="00E14F02" w:rsidRDefault="00E14F02" w:rsidP="00E14F02">
      <w:pPr>
        <w:jc w:val="both"/>
        <w:rPr>
          <w:rFonts w:ascii="Arial" w:hAnsi="Arial" w:cs="Arial"/>
          <w:sz w:val="20"/>
        </w:rPr>
      </w:pPr>
    </w:p>
    <w:p w14:paraId="042EBDF1" w14:textId="77777777"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a foster care couple – aged 56 &amp; 60 respectively – since he </w:t>
      </w:r>
      <w:r w:rsidR="004E7AF3">
        <w:rPr>
          <w:rFonts w:ascii="Arial" w:hAnsi="Arial" w:cs="Arial"/>
          <w:sz w:val="20"/>
        </w:rPr>
        <w:t>was</w:t>
      </w:r>
      <w:r w:rsidR="00BD3832">
        <w:rPr>
          <w:rFonts w:ascii="Arial" w:hAnsi="Arial" w:cs="Arial"/>
          <w:sz w:val="20"/>
        </w:rPr>
        <w:t xml:space="preserve"> discharged from hospital at the age of 6 weeks.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recovering heroin addicts.  The Department had commissioned an assessment by an infant mental health specialist and a fa</w:t>
      </w:r>
      <w:r w:rsidR="00312A74">
        <w:rPr>
          <w:rFonts w:ascii="Arial" w:hAnsi="Arial" w:cs="Arial"/>
          <w:sz w:val="20"/>
        </w:rPr>
        <w:t>mily therapist.  The assessors postulated two options within the framework of Steinhauer’s “shared child” (1991):</w:t>
      </w:r>
    </w:p>
    <w:p w14:paraId="10397995" w14:textId="77777777" w:rsidR="00312A74" w:rsidRDefault="00312A74" w:rsidP="00CC22FC">
      <w:pPr>
        <w:numPr>
          <w:ilvl w:val="0"/>
          <w:numId w:val="36"/>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07F9F0FF" w14:textId="77777777" w:rsidR="00312A74" w:rsidRDefault="00312A74" w:rsidP="00CC22FC">
      <w:pPr>
        <w:numPr>
          <w:ilvl w:val="0"/>
          <w:numId w:val="36"/>
        </w:numPr>
        <w:tabs>
          <w:tab w:val="clear" w:pos="720"/>
        </w:tabs>
        <w:ind w:left="357" w:hanging="357"/>
        <w:jc w:val="both"/>
        <w:rPr>
          <w:rFonts w:ascii="Arial" w:hAnsi="Arial" w:cs="Arial"/>
          <w:sz w:val="20"/>
        </w:rPr>
      </w:pPr>
      <w:r w:rsidRPr="00312A74">
        <w:rPr>
          <w:rFonts w:ascii="Arial" w:hAnsi="Arial" w:cs="Arial"/>
          <w:sz w:val="20"/>
          <w:u w:val="single"/>
        </w:rPr>
        <w:t>More equally shared care</w:t>
      </w:r>
      <w:r>
        <w:rPr>
          <w:rFonts w:ascii="Arial" w:hAnsi="Arial" w:cs="Arial"/>
          <w:sz w:val="20"/>
        </w:rPr>
        <w:t>: A movement towards the child being formally shared between his current caregivers and his parents or extended family.</w:t>
      </w:r>
    </w:p>
    <w:p w14:paraId="1A9F0C07"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629D3485" w14:textId="77777777" w:rsidR="00312A74" w:rsidRDefault="00312A74" w:rsidP="00E14F02">
      <w:pPr>
        <w:jc w:val="both"/>
        <w:rPr>
          <w:rFonts w:ascii="Arial" w:hAnsi="Arial" w:cs="Arial"/>
          <w:sz w:val="20"/>
        </w:rPr>
      </w:pPr>
    </w:p>
    <w:p w14:paraId="43F4B333" w14:textId="77777777"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section 28.4:</w:t>
      </w:r>
    </w:p>
    <w:p w14:paraId="1D8B800D" w14:textId="77777777" w:rsidR="004E7AF3" w:rsidRDefault="004E7AF3" w:rsidP="00582C0A">
      <w:pPr>
        <w:spacing w:before="60"/>
        <w:ind w:left="567" w:right="567"/>
        <w:jc w:val="both"/>
        <w:rPr>
          <w:rFonts w:ascii="Arial" w:hAnsi="Arial" w:cs="Arial"/>
          <w:sz w:val="20"/>
        </w:rPr>
      </w:pPr>
      <w:r>
        <w:rPr>
          <w:rFonts w:ascii="Arial" w:hAnsi="Arial" w:cs="Arial"/>
          <w:sz w:val="20"/>
        </w:rPr>
        <w:lastRenderedPageBreak/>
        <w:t>“Steinhauer outlined the following pre-requisites for his ‘shared child’ model to work:</w:t>
      </w:r>
    </w:p>
    <w:p w14:paraId="0BBC2202" w14:textId="77777777" w:rsidR="004E7AF3" w:rsidRDefault="004E7AF3" w:rsidP="00CC22FC">
      <w:pPr>
        <w:numPr>
          <w:ilvl w:val="0"/>
          <w:numId w:val="37"/>
        </w:numPr>
        <w:ind w:left="924" w:hanging="357"/>
        <w:jc w:val="both"/>
        <w:rPr>
          <w:rFonts w:ascii="Arial" w:hAnsi="Arial" w:cs="Arial"/>
          <w:sz w:val="20"/>
          <w:szCs w:val="20"/>
        </w:rPr>
      </w:pPr>
      <w:r w:rsidRPr="004E7AF3">
        <w:rPr>
          <w:rFonts w:ascii="Arial" w:hAnsi="Arial" w:cs="Arial"/>
          <w:sz w:val="20"/>
          <w:szCs w:val="20"/>
        </w:rPr>
        <w:t>Foster parents and birth parents must not compete.</w:t>
      </w:r>
    </w:p>
    <w:p w14:paraId="4B714B71" w14:textId="77777777" w:rsidR="004E7AF3" w:rsidRDefault="004E7AF3" w:rsidP="00CC22FC">
      <w:pPr>
        <w:numPr>
          <w:ilvl w:val="0"/>
          <w:numId w:val="37"/>
        </w:numPr>
        <w:ind w:left="924" w:hanging="357"/>
        <w:jc w:val="both"/>
        <w:rPr>
          <w:rFonts w:ascii="Arial" w:hAnsi="Arial" w:cs="Arial"/>
          <w:sz w:val="20"/>
          <w:szCs w:val="20"/>
        </w:rPr>
      </w:pPr>
      <w:r w:rsidRPr="004E7AF3">
        <w:rPr>
          <w:rFonts w:ascii="Arial" w:hAnsi="Arial" w:cs="Arial"/>
          <w:sz w:val="20"/>
        </w:rPr>
        <w:t>Adults need to agree not to undermine the permanency of the placement.</w:t>
      </w:r>
    </w:p>
    <w:p w14:paraId="5468080A" w14:textId="77777777" w:rsidR="004E7AF3" w:rsidRPr="004E7AF3" w:rsidRDefault="004E7AF3" w:rsidP="00CC22FC">
      <w:pPr>
        <w:numPr>
          <w:ilvl w:val="0"/>
          <w:numId w:val="37"/>
        </w:numPr>
        <w:ind w:left="924" w:hanging="357"/>
        <w:jc w:val="both"/>
        <w:rPr>
          <w:rFonts w:ascii="Arial" w:hAnsi="Arial" w:cs="Arial"/>
          <w:sz w:val="20"/>
          <w:szCs w:val="20"/>
        </w:rPr>
      </w:pPr>
      <w:r w:rsidRPr="004E7AF3">
        <w:rPr>
          <w:rFonts w:ascii="Arial" w:hAnsi="Arial" w:cs="Arial"/>
          <w:sz w:val="20"/>
        </w:rPr>
        <w:t>Adequate support must be provided to all parties.</w:t>
      </w:r>
    </w:p>
    <w:p w14:paraId="3609473E"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1CFEE6AC"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Rolfe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79E42375"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40312A94" w14:textId="77777777"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 will 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393B38F9"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30056DB1"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5B4DF2D8" w14:textId="77777777" w:rsidR="00BD3832" w:rsidRDefault="00BD3832" w:rsidP="00E14F02">
      <w:pPr>
        <w:jc w:val="both"/>
        <w:rPr>
          <w:rFonts w:ascii="Arial" w:hAnsi="Arial" w:cs="Arial"/>
          <w:sz w:val="20"/>
        </w:rPr>
      </w:pPr>
    </w:p>
    <w:p w14:paraId="586A369D"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77" w:name="_4.14_Frequency_of"/>
      <w:bookmarkStart w:id="1678" w:name="B414"/>
      <w:bookmarkEnd w:id="1677"/>
      <w:bookmarkEnd w:id="1678"/>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7DBDFF52" w14:textId="77777777" w:rsidR="00FB53EB" w:rsidRDefault="00FB53EB" w:rsidP="00422778">
      <w:pPr>
        <w:jc w:val="both"/>
        <w:rPr>
          <w:rFonts w:ascii="Arial" w:hAnsi="Arial" w:cs="Arial"/>
          <w:sz w:val="20"/>
        </w:rPr>
      </w:pPr>
    </w:p>
    <w:p w14:paraId="7CF8E844"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73F38617"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606C1744" w14:textId="77777777" w:rsidR="00422778" w:rsidRDefault="00422778" w:rsidP="00422778">
      <w:pPr>
        <w:jc w:val="both"/>
        <w:rPr>
          <w:rFonts w:ascii="Arial" w:hAnsi="Arial" w:cs="Arial"/>
          <w:sz w:val="20"/>
        </w:rPr>
      </w:pPr>
    </w:p>
    <w:p w14:paraId="2DC56FBC" w14:textId="77777777" w:rsidR="0052674B" w:rsidRDefault="000F5CC6" w:rsidP="0052674B">
      <w:pPr>
        <w:jc w:val="both"/>
        <w:rPr>
          <w:rFonts w:ascii="Arial" w:hAnsi="Arial" w:cs="Arial"/>
          <w:sz w:val="20"/>
        </w:rPr>
      </w:pPr>
      <w:r>
        <w:rPr>
          <w:rFonts w:ascii="Arial" w:hAnsi="Arial" w:cs="Arial"/>
          <w:sz w:val="20"/>
        </w:rPr>
        <w:t xml:space="preserve">Section 10(3)(k) of the CYFA provides that in determining what decision to make or action to </w:t>
      </w:r>
      <w:r w:rsidRPr="006679D2">
        <w:rPr>
          <w:rFonts w:ascii="Arial" w:hAnsi="Arial" w:cs="Arial"/>
          <w:color w:val="000000"/>
          <w:sz w:val="20"/>
        </w:rPr>
        <w:t xml:space="preserve">take in the best interests of a child, consideration must be given where relevant to </w:t>
      </w:r>
      <w:r w:rsidR="00E55A14" w:rsidRPr="006679D2">
        <w:rPr>
          <w:rFonts w:ascii="Arial" w:hAnsi="Arial" w:cs="Arial"/>
          <w:color w:val="000000"/>
          <w:sz w:val="20"/>
        </w:rPr>
        <w:t>contact</w:t>
      </w:r>
      <w:r>
        <w:rPr>
          <w:rFonts w:ascii="Arial" w:hAnsi="Arial" w:cs="Arial"/>
          <w:sz w:val="20"/>
        </w:rPr>
        <w:t xml:space="preserve"> arrangements between the child and the child’s parents, siblings, family members and other persons significant to the child.</w:t>
      </w:r>
      <w:r w:rsidR="0035574D">
        <w:rPr>
          <w:rFonts w:ascii="Arial" w:hAnsi="Arial" w:cs="Arial"/>
          <w:sz w:val="20"/>
        </w:rPr>
        <w:t xml:space="preserve">  </w:t>
      </w:r>
      <w:r w:rsidR="0052674B">
        <w:rPr>
          <w:rFonts w:ascii="Arial" w:hAnsi="Arial" w:cs="Arial"/>
          <w:sz w:val="20"/>
        </w:rPr>
        <w:t>Sections 10(3)(b) &amp; 10(3)(i) provide that the best interests of the child</w:t>
      </w:r>
      <w:r w:rsidR="00B42129">
        <w:rPr>
          <w:rFonts w:ascii="Arial" w:hAnsi="Arial" w:cs="Arial"/>
          <w:sz w:val="20"/>
        </w:rPr>
        <w:t xml:space="preserve"> </w:t>
      </w:r>
      <w:r w:rsidR="0052674B">
        <w:rPr>
          <w:rFonts w:ascii="Arial" w:hAnsi="Arial" w:cs="Arial"/>
          <w:sz w:val="20"/>
        </w:rPr>
        <w:t>require consideration to be given, where relevant, to the need to strengthen, preserve and promote positive relationships between the child and parents, siblings and extended family members and to plan the reunification of the child with his or her family.</w:t>
      </w:r>
    </w:p>
    <w:p w14:paraId="0A5C4595" w14:textId="77777777" w:rsidR="0052674B" w:rsidRDefault="0052674B" w:rsidP="00FB53EB">
      <w:pPr>
        <w:jc w:val="both"/>
        <w:rPr>
          <w:rFonts w:ascii="Arial" w:hAnsi="Arial" w:cs="Arial"/>
          <w:sz w:val="20"/>
        </w:rPr>
      </w:pPr>
    </w:p>
    <w:p w14:paraId="10E62725" w14:textId="77777777" w:rsidR="00BC7804" w:rsidRDefault="0052674B" w:rsidP="00FB53EB">
      <w:pPr>
        <w:jc w:val="both"/>
        <w:rPr>
          <w:rFonts w:ascii="Arial" w:hAnsi="Arial" w:cs="Arial"/>
          <w:sz w:val="20"/>
        </w:rPr>
      </w:pPr>
      <w:r>
        <w:rPr>
          <w:rFonts w:ascii="Arial" w:hAnsi="Arial" w:cs="Arial"/>
          <w:sz w:val="20"/>
        </w:rPr>
        <w:lastRenderedPageBreak/>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68786AE4"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6EA98C5C" w14:textId="77777777" w:rsidR="00BC7804" w:rsidRDefault="00BC7804" w:rsidP="00FB53EB">
      <w:pPr>
        <w:jc w:val="both"/>
        <w:rPr>
          <w:rFonts w:ascii="Arial" w:hAnsi="Arial" w:cs="Arial"/>
          <w:sz w:val="20"/>
        </w:rPr>
      </w:pPr>
    </w:p>
    <w:p w14:paraId="797A95F6" w14:textId="77777777"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p>
    <w:p w14:paraId="6ED7F7F9" w14:textId="77777777" w:rsidR="00B86FCC" w:rsidRDefault="00B86FCC" w:rsidP="00655A69">
      <w:pPr>
        <w:jc w:val="both"/>
        <w:rPr>
          <w:rFonts w:ascii="Arial" w:hAnsi="Arial" w:cs="Arial"/>
          <w:sz w:val="20"/>
        </w:rPr>
      </w:pPr>
    </w:p>
    <w:p w14:paraId="6E51042A" w14:textId="77777777" w:rsidR="00655A69" w:rsidRDefault="00655A69" w:rsidP="00655A69">
      <w:pPr>
        <w:pStyle w:val="Heading3"/>
        <w:keepNext/>
        <w:keepLines/>
        <w:spacing w:after="120" w:line="240" w:lineRule="auto"/>
        <w:rPr>
          <w:rFonts w:ascii="Arial" w:hAnsi="Arial" w:cs="Arial"/>
          <w:sz w:val="20"/>
        </w:rPr>
      </w:pPr>
      <w:bookmarkStart w:id="1679" w:name="_4.14.1__“Baby"/>
      <w:bookmarkStart w:id="1680" w:name="B4141"/>
      <w:bookmarkEnd w:id="1679"/>
      <w:bookmarkEnd w:id="1680"/>
      <w:r>
        <w:rPr>
          <w:rFonts w:ascii="Arial" w:hAnsi="Arial" w:cs="Arial"/>
          <w:b/>
          <w:bCs/>
          <w:sz w:val="20"/>
        </w:rPr>
        <w:t>4.14.1</w:t>
      </w:r>
      <w:r>
        <w:rPr>
          <w:rFonts w:ascii="Arial" w:hAnsi="Arial" w:cs="Arial"/>
          <w:b/>
          <w:bCs/>
          <w:sz w:val="20"/>
        </w:rPr>
        <w:tab/>
      </w:r>
      <w:r>
        <w:rPr>
          <w:rFonts w:ascii="Arial" w:hAnsi="Arial" w:cs="Arial"/>
          <w:b/>
          <w:bCs/>
          <w:sz w:val="20"/>
        </w:rPr>
        <w:tab/>
        <w:t xml:space="preserve">“Baby on Board” and </w:t>
      </w:r>
      <w:r w:rsidR="00A078F1">
        <w:rPr>
          <w:rFonts w:ascii="Arial" w:hAnsi="Arial" w:cs="Arial"/>
          <w:b/>
          <w:bCs/>
          <w:sz w:val="20"/>
        </w:rPr>
        <w:t>research</w:t>
      </w:r>
      <w:r w:rsidR="00C63A0D">
        <w:rPr>
          <w:rFonts w:ascii="Arial" w:hAnsi="Arial" w:cs="Arial"/>
          <w:b/>
          <w:bCs/>
          <w:sz w:val="20"/>
        </w:rPr>
        <w:t xml:space="preserve"> cited therein</w:t>
      </w:r>
    </w:p>
    <w:p w14:paraId="3519B113" w14:textId="77777777" w:rsidR="00655A69" w:rsidRDefault="00B86FCC" w:rsidP="00FB53EB">
      <w:pPr>
        <w:jc w:val="both"/>
        <w:rPr>
          <w:rFonts w:ascii="Arial" w:hAnsi="Arial" w:cs="Arial"/>
          <w:sz w:val="20"/>
        </w:rPr>
      </w:pPr>
      <w:r>
        <w:rPr>
          <w:rFonts w:ascii="Arial" w:hAnsi="Arial" w:cs="Arial"/>
          <w:sz w:val="20"/>
        </w:rPr>
        <w:t xml:space="preserve">There have been relatively few </w:t>
      </w:r>
      <w:r w:rsidR="00F236C2">
        <w:rPr>
          <w:rFonts w:ascii="Arial" w:hAnsi="Arial" w:cs="Arial"/>
          <w:sz w:val="20"/>
        </w:rPr>
        <w:t xml:space="preserve">Australian </w:t>
      </w:r>
      <w:r>
        <w:rPr>
          <w:rFonts w:ascii="Arial" w:hAnsi="Arial" w:cs="Arial"/>
          <w:sz w:val="20"/>
        </w:rPr>
        <w:t xml:space="preserve">studies of the effects on infants or parents of different patterns and intensities of contact.  Most of the research has been with older children in foster care or post-adoption.  It was in an attempt to fill this gap that in </w:t>
      </w:r>
      <w:r w:rsidR="006D6C25">
        <w:rPr>
          <w:rFonts w:ascii="Arial" w:hAnsi="Arial" w:cs="Arial"/>
          <w:sz w:val="20"/>
        </w:rPr>
        <w:t xml:space="preserve">February 2009 Professor Cathy Humphreys and Ms Meredith Kiraly published a report of an </w:t>
      </w:r>
      <w:r w:rsidR="00114761">
        <w:rPr>
          <w:rFonts w:ascii="Arial" w:hAnsi="Arial" w:cs="Arial"/>
          <w:sz w:val="20"/>
        </w:rPr>
        <w:t>“</w:t>
      </w:r>
      <w:r w:rsidR="006D6C25">
        <w:rPr>
          <w:rFonts w:ascii="Arial" w:hAnsi="Arial" w:cs="Arial"/>
          <w:sz w:val="20"/>
        </w:rPr>
        <w:t>Infants in Care and Family Contact Research Project</w:t>
      </w:r>
      <w:r w:rsidR="00114761">
        <w:rPr>
          <w:rFonts w:ascii="Arial" w:hAnsi="Arial" w:cs="Arial"/>
          <w:sz w:val="20"/>
        </w:rPr>
        <w:t>”</w:t>
      </w:r>
      <w:r>
        <w:rPr>
          <w:rFonts w:ascii="Arial" w:hAnsi="Arial" w:cs="Arial"/>
          <w:sz w:val="20"/>
        </w:rPr>
        <w:t xml:space="preserve">.  The project, undertaken in the </w:t>
      </w:r>
      <w:smartTag w:uri="urn:schemas-microsoft-com:office:smarttags" w:element="PlaceType">
        <w:r>
          <w:rPr>
            <w:rFonts w:ascii="Arial" w:hAnsi="Arial" w:cs="Arial"/>
            <w:sz w:val="20"/>
          </w:rPr>
          <w:t>School</w:t>
        </w:r>
      </w:smartTag>
      <w:r>
        <w:rPr>
          <w:rFonts w:ascii="Arial" w:hAnsi="Arial" w:cs="Arial"/>
          <w:sz w:val="20"/>
        </w:rPr>
        <w:t xml:space="preserve"> of </w:t>
      </w:r>
      <w:smartTag w:uri="urn:schemas-microsoft-com:office:smarttags" w:element="PlaceName">
        <w:r>
          <w:rPr>
            <w:rFonts w:ascii="Arial" w:hAnsi="Arial" w:cs="Arial"/>
            <w:sz w:val="20"/>
          </w:rPr>
          <w:t>Nursing</w:t>
        </w:r>
      </w:smartTag>
      <w:r>
        <w:rPr>
          <w:rFonts w:ascii="Arial" w:hAnsi="Arial" w:cs="Arial"/>
          <w:sz w:val="20"/>
        </w:rPr>
        <w:t xml:space="preserve"> and Social Work of the </w:t>
      </w: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Melbourne</w:t>
          </w:r>
        </w:smartTag>
      </w:smartTag>
      <w:r>
        <w:rPr>
          <w:rFonts w:ascii="Arial" w:hAnsi="Arial" w:cs="Arial"/>
          <w:sz w:val="20"/>
        </w:rPr>
        <w:t xml:space="preserve"> as independent research within the Alfred Felton Research Program,</w:t>
      </w:r>
      <w:r w:rsidR="006D6C25">
        <w:rPr>
          <w:rFonts w:ascii="Arial" w:hAnsi="Arial" w:cs="Arial"/>
          <w:sz w:val="20"/>
        </w:rPr>
        <w:t xml:space="preserve"> </w:t>
      </w:r>
      <w:r w:rsidR="00365E12">
        <w:rPr>
          <w:rFonts w:ascii="Arial" w:hAnsi="Arial" w:cs="Arial"/>
          <w:sz w:val="20"/>
        </w:rPr>
        <w:t xml:space="preserve">focussed on </w:t>
      </w:r>
      <w:r w:rsidR="00107B64">
        <w:rPr>
          <w:rFonts w:ascii="Arial" w:hAnsi="Arial" w:cs="Arial"/>
          <w:sz w:val="20"/>
        </w:rPr>
        <w:t xml:space="preserve">the frequency of family contact for infants in out of home care in the </w:t>
      </w:r>
      <w:r w:rsidR="00114761">
        <w:rPr>
          <w:rFonts w:ascii="Arial" w:hAnsi="Arial" w:cs="Arial"/>
          <w:sz w:val="20"/>
        </w:rPr>
        <w:t>context</w:t>
      </w:r>
      <w:r w:rsidR="00107B64">
        <w:rPr>
          <w:rFonts w:ascii="Arial" w:hAnsi="Arial" w:cs="Arial"/>
          <w:sz w:val="20"/>
        </w:rPr>
        <w:t xml:space="preserve"> of infants’</w:t>
      </w:r>
      <w:r w:rsidR="00365E12">
        <w:rPr>
          <w:rFonts w:ascii="Arial" w:hAnsi="Arial" w:cs="Arial"/>
          <w:sz w:val="20"/>
        </w:rPr>
        <w:t xml:space="preserve"> physical an</w:t>
      </w:r>
      <w:r w:rsidR="00107B64">
        <w:rPr>
          <w:rFonts w:ascii="Arial" w:hAnsi="Arial" w:cs="Arial"/>
          <w:sz w:val="20"/>
        </w:rPr>
        <w:t>d psychological needs and</w:t>
      </w:r>
      <w:r w:rsidR="00365E12">
        <w:rPr>
          <w:rFonts w:ascii="Arial" w:hAnsi="Arial" w:cs="Arial"/>
          <w:sz w:val="20"/>
        </w:rPr>
        <w:t xml:space="preserve"> on their attachment and neurological deve</w:t>
      </w:r>
      <w:r w:rsidR="00107B64">
        <w:rPr>
          <w:rFonts w:ascii="Arial" w:hAnsi="Arial" w:cs="Arial"/>
          <w:sz w:val="20"/>
        </w:rPr>
        <w:t>lopment</w:t>
      </w:r>
      <w:r w:rsidR="00365E12">
        <w:rPr>
          <w:rFonts w:ascii="Arial" w:hAnsi="Arial" w:cs="Arial"/>
          <w:sz w:val="20"/>
        </w:rPr>
        <w:t xml:space="preserve">.  </w:t>
      </w:r>
      <w:r w:rsidR="000D52F1">
        <w:rPr>
          <w:rFonts w:ascii="Arial" w:hAnsi="Arial" w:cs="Arial"/>
          <w:sz w:val="20"/>
        </w:rPr>
        <w:t xml:space="preserve">The </w:t>
      </w:r>
      <w:r w:rsidR="004531C6">
        <w:rPr>
          <w:rFonts w:ascii="Arial" w:hAnsi="Arial" w:cs="Arial"/>
          <w:sz w:val="20"/>
        </w:rPr>
        <w:t xml:space="preserve">following </w:t>
      </w:r>
      <w:r w:rsidR="00BD79F7">
        <w:rPr>
          <w:rFonts w:ascii="Arial" w:hAnsi="Arial" w:cs="Arial"/>
          <w:sz w:val="20"/>
        </w:rPr>
        <w:t>summary</w:t>
      </w:r>
      <w:r w:rsidR="000D52F1">
        <w:rPr>
          <w:rFonts w:ascii="Arial" w:hAnsi="Arial" w:cs="Arial"/>
          <w:sz w:val="20"/>
        </w:rPr>
        <w:t xml:space="preserve"> </w:t>
      </w:r>
      <w:r w:rsidR="004531C6">
        <w:rPr>
          <w:rFonts w:ascii="Arial" w:hAnsi="Arial" w:cs="Arial"/>
          <w:sz w:val="20"/>
        </w:rPr>
        <w:t xml:space="preserve">by Magistrate Peter Power </w:t>
      </w:r>
      <w:r w:rsidR="000D52F1">
        <w:rPr>
          <w:rFonts w:ascii="Arial" w:hAnsi="Arial" w:cs="Arial"/>
          <w:sz w:val="20"/>
        </w:rPr>
        <w:t xml:space="preserve">is compiled </w:t>
      </w:r>
      <w:r w:rsidR="004531C6">
        <w:rPr>
          <w:rFonts w:ascii="Arial" w:hAnsi="Arial" w:cs="Arial"/>
          <w:sz w:val="20"/>
        </w:rPr>
        <w:t>from the report</w:t>
      </w:r>
      <w:r w:rsidR="00114761">
        <w:rPr>
          <w:rFonts w:ascii="Arial" w:hAnsi="Arial" w:cs="Arial"/>
          <w:sz w:val="20"/>
        </w:rPr>
        <w:t>,</w:t>
      </w:r>
      <w:r w:rsidR="004531C6">
        <w:rPr>
          <w:rFonts w:ascii="Arial" w:hAnsi="Arial" w:cs="Arial"/>
          <w:sz w:val="20"/>
        </w:rPr>
        <w:t xml:space="preserve"> which is entitled “Baby on Board”.</w:t>
      </w:r>
    </w:p>
    <w:p w14:paraId="35AAFC72" w14:textId="77777777" w:rsidR="0015101B" w:rsidRDefault="0015101B" w:rsidP="009B178F">
      <w:pPr>
        <w:jc w:val="both"/>
        <w:rPr>
          <w:rFonts w:ascii="Arial" w:hAnsi="Arial" w:cs="Arial"/>
          <w:sz w:val="20"/>
        </w:rPr>
      </w:pPr>
    </w:p>
    <w:p w14:paraId="7BA37362" w14:textId="77777777" w:rsidR="0015101B" w:rsidRDefault="00372242" w:rsidP="009B178F">
      <w:pPr>
        <w:jc w:val="both"/>
        <w:rPr>
          <w:rFonts w:ascii="Arial" w:hAnsi="Arial" w:cs="Arial"/>
          <w:sz w:val="20"/>
        </w:rPr>
      </w:pPr>
      <w:r>
        <w:rPr>
          <w:rFonts w:ascii="Arial" w:hAnsi="Arial" w:cs="Arial"/>
          <w:sz w:val="20"/>
        </w:rPr>
        <w:t>In recent years, there ha</w:t>
      </w:r>
      <w:r w:rsidR="005C069A">
        <w:rPr>
          <w:rFonts w:ascii="Arial" w:hAnsi="Arial" w:cs="Arial"/>
          <w:sz w:val="20"/>
        </w:rPr>
        <w:t>d</w:t>
      </w:r>
      <w:r>
        <w:rPr>
          <w:rFonts w:ascii="Arial" w:hAnsi="Arial" w:cs="Arial"/>
          <w:sz w:val="20"/>
        </w:rPr>
        <w:t xml:space="preserve"> appeared to </w:t>
      </w:r>
      <w:r w:rsidR="003A0888">
        <w:rPr>
          <w:rFonts w:ascii="Arial" w:hAnsi="Arial" w:cs="Arial"/>
          <w:sz w:val="20"/>
        </w:rPr>
        <w:t xml:space="preserve">the researchers to </w:t>
      </w:r>
      <w:r>
        <w:rPr>
          <w:rFonts w:ascii="Arial" w:hAnsi="Arial" w:cs="Arial"/>
          <w:sz w:val="20"/>
        </w:rPr>
        <w:t xml:space="preserve">be an increasing number of high frequency parental contact arrangements for infants, usually involving infants being transported to the visit location.  </w:t>
      </w:r>
      <w:r w:rsidR="00C977ED">
        <w:rPr>
          <w:rFonts w:ascii="Arial" w:hAnsi="Arial" w:cs="Arial"/>
          <w:sz w:val="20"/>
        </w:rPr>
        <w:t xml:space="preserve">As a result, some indications of stress in infants have been reported, especially where the infants have health problems.  The issue is complex.  </w:t>
      </w:r>
      <w:r w:rsidR="000F78EA">
        <w:rPr>
          <w:rFonts w:ascii="Arial" w:hAnsi="Arial" w:cs="Arial"/>
          <w:sz w:val="20"/>
        </w:rPr>
        <w:t>While high levels of parental contact are sometimes seen to be needed to maximise the chance of family reunification, infants also need safety, tranquillity and stability of care in order to thrive.  These two factors may be in tension, particularly given the level of disruption involved for infants with travel and associated requirements.  The question of the infant’s best interests was thus seen to require further exploration.</w:t>
      </w:r>
    </w:p>
    <w:p w14:paraId="488E6BDD" w14:textId="77777777" w:rsidR="000F78EA" w:rsidRDefault="000F78EA" w:rsidP="009B178F">
      <w:pPr>
        <w:jc w:val="both"/>
        <w:rPr>
          <w:rFonts w:ascii="Arial" w:hAnsi="Arial" w:cs="Arial"/>
          <w:sz w:val="20"/>
        </w:rPr>
      </w:pPr>
    </w:p>
    <w:p w14:paraId="1ACCE178" w14:textId="77777777" w:rsidR="000F78EA" w:rsidRDefault="000F78EA" w:rsidP="009B178F">
      <w:pPr>
        <w:jc w:val="both"/>
        <w:rPr>
          <w:rFonts w:ascii="Arial" w:hAnsi="Arial" w:cs="Arial"/>
          <w:sz w:val="20"/>
        </w:rPr>
      </w:pPr>
      <w:r>
        <w:rPr>
          <w:rFonts w:ascii="Arial" w:hAnsi="Arial" w:cs="Arial"/>
          <w:sz w:val="20"/>
        </w:rPr>
        <w:t xml:space="preserve">The background to the project </w:t>
      </w:r>
      <w:r w:rsidR="00365E12">
        <w:rPr>
          <w:rFonts w:ascii="Arial" w:hAnsi="Arial" w:cs="Arial"/>
          <w:sz w:val="20"/>
        </w:rPr>
        <w:t>wa</w:t>
      </w:r>
      <w:r>
        <w:rPr>
          <w:rFonts w:ascii="Arial" w:hAnsi="Arial" w:cs="Arial"/>
          <w:sz w:val="20"/>
        </w:rPr>
        <w:t xml:space="preserve">s as follows.  </w:t>
      </w:r>
      <w:r w:rsidR="00491337">
        <w:rPr>
          <w:rFonts w:ascii="Arial" w:hAnsi="Arial" w:cs="Arial"/>
          <w:sz w:val="20"/>
        </w:rPr>
        <w:t xml:space="preserve">Infants under one year of age are over-represented in admissions to out of home care.  In 2006/2007, 14% (408) of admissions in </w:t>
      </w:r>
      <w:smartTag w:uri="urn:schemas-microsoft-com:office:smarttags" w:element="State">
        <w:r w:rsidR="00491337">
          <w:rPr>
            <w:rFonts w:ascii="Arial" w:hAnsi="Arial" w:cs="Arial"/>
            <w:sz w:val="20"/>
          </w:rPr>
          <w:t>Victoria</w:t>
        </w:r>
      </w:smartTag>
      <w:r w:rsidR="00491337">
        <w:rPr>
          <w:rFonts w:ascii="Arial" w:hAnsi="Arial" w:cs="Arial"/>
          <w:sz w:val="20"/>
        </w:rPr>
        <w:t xml:space="preserve"> were for this group </w:t>
      </w:r>
      <w:r w:rsidR="00446894">
        <w:rPr>
          <w:rFonts w:ascii="Arial" w:hAnsi="Arial" w:cs="Arial"/>
          <w:sz w:val="20"/>
        </w:rPr>
        <w:t>(</w:t>
      </w:r>
      <w:r w:rsidR="00491337" w:rsidRPr="00491337">
        <w:rPr>
          <w:rFonts w:ascii="Arial" w:hAnsi="Arial" w:cs="Arial"/>
          <w:i/>
          <w:sz w:val="20"/>
        </w:rPr>
        <w:t xml:space="preserve">Child Protection </w:t>
      </w:r>
      <w:smartTag w:uri="urn:schemas-microsoft-com:office:smarttags" w:element="country-region">
        <w:r w:rsidR="00491337" w:rsidRPr="00491337">
          <w:rPr>
            <w:rFonts w:ascii="Arial" w:hAnsi="Arial" w:cs="Arial"/>
            <w:i/>
            <w:sz w:val="20"/>
          </w:rPr>
          <w:t>Australia</w:t>
        </w:r>
      </w:smartTag>
      <w:r w:rsidR="00491337" w:rsidRPr="00491337">
        <w:rPr>
          <w:rFonts w:ascii="Arial" w:hAnsi="Arial" w:cs="Arial"/>
          <w:i/>
          <w:sz w:val="20"/>
        </w:rPr>
        <w:t xml:space="preserve"> 2006-2007</w:t>
      </w:r>
      <w:r w:rsidR="00491337" w:rsidRPr="00491337">
        <w:rPr>
          <w:rFonts w:ascii="Arial" w:hAnsi="Arial" w:cs="Arial"/>
          <w:sz w:val="20"/>
        </w:rPr>
        <w:t xml:space="preserve"> – </w:t>
      </w:r>
      <w:smartTag w:uri="urn:schemas-microsoft-com:office:smarttags" w:element="City">
        <w:smartTag w:uri="urn:schemas-microsoft-com:office:smarttags" w:element="place">
          <w:r w:rsidR="00491337" w:rsidRPr="00491337">
            <w:rPr>
              <w:rFonts w:ascii="Arial" w:hAnsi="Arial" w:cs="Arial"/>
              <w:sz w:val="20"/>
            </w:rPr>
            <w:t>Canberra</w:t>
          </w:r>
        </w:smartTag>
      </w:smartTag>
      <w:r w:rsidR="00491337" w:rsidRPr="00491337">
        <w:rPr>
          <w:rFonts w:ascii="Arial" w:hAnsi="Arial" w:cs="Arial"/>
          <w:sz w:val="20"/>
        </w:rPr>
        <w:t>: Australian Institute of Health &amp; Welfare {AIHW, 2008}</w:t>
      </w:r>
      <w:r w:rsidR="00446894">
        <w:rPr>
          <w:rFonts w:ascii="Arial" w:hAnsi="Arial" w:cs="Arial"/>
          <w:sz w:val="20"/>
        </w:rPr>
        <w:t xml:space="preserve">, p.54).  </w:t>
      </w:r>
      <w:r>
        <w:rPr>
          <w:rFonts w:ascii="Arial" w:hAnsi="Arial" w:cs="Arial"/>
          <w:sz w:val="20"/>
        </w:rPr>
        <w:t>Many of these infants come into care in the first couple of months of life, often before they have had an opportunity to form an attachment to their mother and/or their father.  The early months of life are the critical time in a child’s life for developing effective attachment relationships and for neurological development:</w:t>
      </w:r>
    </w:p>
    <w:p w14:paraId="40F26673" w14:textId="77777777" w:rsidR="00446894" w:rsidRDefault="000D52F1" w:rsidP="009B178F">
      <w:pPr>
        <w:ind w:left="567" w:right="567"/>
        <w:jc w:val="both"/>
        <w:rPr>
          <w:rFonts w:ascii="Arial" w:hAnsi="Arial" w:cs="Arial"/>
          <w:sz w:val="20"/>
        </w:rPr>
      </w:pPr>
      <w:r>
        <w:rPr>
          <w:rFonts w:ascii="Arial" w:hAnsi="Arial" w:cs="Arial"/>
          <w:sz w:val="20"/>
        </w:rPr>
        <w:t>“</w:t>
      </w:r>
      <w:r w:rsidR="00446894">
        <w:rPr>
          <w:rFonts w:ascii="Arial" w:hAnsi="Arial" w:cs="Arial"/>
          <w:sz w:val="20"/>
        </w:rPr>
        <w:t xml:space="preserve">These are critical periods during which the bonding experiences </w:t>
      </w:r>
      <w:r w:rsidR="00446894" w:rsidRPr="00446894">
        <w:rPr>
          <w:rFonts w:ascii="Arial" w:hAnsi="Arial" w:cs="Arial"/>
          <w:i/>
          <w:sz w:val="20"/>
        </w:rPr>
        <w:t>must be present</w:t>
      </w:r>
      <w:r w:rsidR="00446894">
        <w:rPr>
          <w:rFonts w:ascii="Arial" w:hAnsi="Arial" w:cs="Arial"/>
          <w:sz w:val="20"/>
        </w:rPr>
        <w:t xml:space="preserve"> for the brain systems responsible for attachment to develop normally.  These critical periods appear to be in the first year of life, and are related to the capacity of the infant and caregiver to develop a positive interactive relationship’ </w:t>
      </w:r>
      <w:r w:rsidR="007270A9">
        <w:rPr>
          <w:rFonts w:ascii="Arial" w:hAnsi="Arial" w:cs="Arial"/>
          <w:sz w:val="20"/>
        </w:rPr>
        <w:t>[</w:t>
      </w:r>
      <w:r w:rsidR="00446894">
        <w:rPr>
          <w:rFonts w:ascii="Arial" w:hAnsi="Arial" w:cs="Arial"/>
          <w:sz w:val="20"/>
        </w:rPr>
        <w:t xml:space="preserve">Perry B (2008) </w:t>
      </w:r>
      <w:r w:rsidR="00446894" w:rsidRPr="00446894">
        <w:rPr>
          <w:rFonts w:ascii="Arial" w:hAnsi="Arial" w:cs="Arial"/>
          <w:i/>
          <w:sz w:val="20"/>
        </w:rPr>
        <w:t>Bonding and attachment in maltreated children: consequences of emotional neglect in childhood</w:t>
      </w:r>
      <w:r w:rsidR="007270A9">
        <w:rPr>
          <w:rFonts w:ascii="Arial" w:hAnsi="Arial" w:cs="Arial"/>
          <w:sz w:val="20"/>
        </w:rPr>
        <w:t>]</w:t>
      </w:r>
      <w:r w:rsidR="00446894">
        <w:rPr>
          <w:rFonts w:ascii="Arial" w:hAnsi="Arial" w:cs="Arial"/>
          <w:sz w:val="20"/>
        </w:rPr>
        <w:t>.</w:t>
      </w:r>
      <w:r>
        <w:rPr>
          <w:rFonts w:ascii="Arial" w:hAnsi="Arial" w:cs="Arial"/>
          <w:sz w:val="20"/>
        </w:rPr>
        <w:t>”</w:t>
      </w:r>
    </w:p>
    <w:p w14:paraId="2E5129E9" w14:textId="77777777" w:rsidR="00446894" w:rsidRDefault="000F78EA" w:rsidP="002C17CA">
      <w:pPr>
        <w:keepNext/>
        <w:keepLines/>
        <w:jc w:val="both"/>
        <w:rPr>
          <w:rFonts w:ascii="Arial" w:hAnsi="Arial" w:cs="Arial"/>
          <w:sz w:val="20"/>
        </w:rPr>
      </w:pPr>
      <w:r>
        <w:rPr>
          <w:rFonts w:ascii="Arial" w:hAnsi="Arial" w:cs="Arial"/>
          <w:sz w:val="20"/>
        </w:rPr>
        <w:t xml:space="preserve">Stability of </w:t>
      </w:r>
      <w:r w:rsidR="00030E96">
        <w:rPr>
          <w:rFonts w:ascii="Arial" w:hAnsi="Arial" w:cs="Arial"/>
          <w:sz w:val="20"/>
        </w:rPr>
        <w:t>relationships is of the utmost importance to the infant’s well-being and development, whether achieved by fami</w:t>
      </w:r>
      <w:r w:rsidR="00655035">
        <w:rPr>
          <w:rFonts w:ascii="Arial" w:hAnsi="Arial" w:cs="Arial"/>
          <w:sz w:val="20"/>
        </w:rPr>
        <w:t xml:space="preserve">ly reunification or </w:t>
      </w:r>
      <w:r w:rsidR="00030E96">
        <w:rPr>
          <w:rFonts w:ascii="Arial" w:hAnsi="Arial" w:cs="Arial"/>
          <w:sz w:val="20"/>
        </w:rPr>
        <w:t>permanent care.</w:t>
      </w:r>
      <w:r w:rsidR="00655035">
        <w:rPr>
          <w:rFonts w:ascii="Arial" w:hAnsi="Arial" w:cs="Arial"/>
          <w:sz w:val="20"/>
        </w:rPr>
        <w:t xml:space="preserve">  Infants are also unique among children in their level of dependency and vulnerability, and inability to make their needs known unambiguously.  Underscoring their vulnerability, it is noted that infants in the first year of life comprise the greatest percentage of deaths of children known to Child Protection (</w:t>
      </w:r>
      <w:r w:rsidR="00655035" w:rsidRPr="00655035">
        <w:rPr>
          <w:rFonts w:ascii="Arial" w:hAnsi="Arial" w:cs="Arial"/>
          <w:i/>
          <w:sz w:val="20"/>
        </w:rPr>
        <w:t>Annual Report of inquiries into the deaths of children known to Child Protection 2008</w:t>
      </w:r>
      <w:r w:rsidR="00655035">
        <w:rPr>
          <w:rFonts w:ascii="Arial" w:hAnsi="Arial" w:cs="Arial"/>
          <w:sz w:val="20"/>
        </w:rPr>
        <w:t xml:space="preserve"> – Melbourne: Victorian Child Death Review Committee, Office of the Child Safety Commissioner).</w:t>
      </w:r>
    </w:p>
    <w:p w14:paraId="7AC1AB34" w14:textId="77777777" w:rsidR="000F78EA" w:rsidRDefault="000F78EA" w:rsidP="009B178F">
      <w:pPr>
        <w:jc w:val="both"/>
        <w:rPr>
          <w:rFonts w:ascii="Arial" w:hAnsi="Arial" w:cs="Arial"/>
          <w:sz w:val="20"/>
        </w:rPr>
      </w:pPr>
    </w:p>
    <w:p w14:paraId="72D1E8BE" w14:textId="77777777" w:rsidR="00655035" w:rsidRDefault="00655035" w:rsidP="009B178F">
      <w:pPr>
        <w:jc w:val="both"/>
        <w:rPr>
          <w:rFonts w:ascii="Arial" w:hAnsi="Arial" w:cs="Arial"/>
          <w:sz w:val="20"/>
        </w:rPr>
      </w:pPr>
      <w:r>
        <w:rPr>
          <w:rFonts w:ascii="Arial" w:hAnsi="Arial" w:cs="Arial"/>
          <w:sz w:val="20"/>
        </w:rPr>
        <w:t>The project start</w:t>
      </w:r>
      <w:r w:rsidR="00365E12">
        <w:rPr>
          <w:rFonts w:ascii="Arial" w:hAnsi="Arial" w:cs="Arial"/>
          <w:sz w:val="20"/>
        </w:rPr>
        <w:t>ed</w:t>
      </w:r>
      <w:r>
        <w:rPr>
          <w:rFonts w:ascii="Arial" w:hAnsi="Arial" w:cs="Arial"/>
          <w:sz w:val="20"/>
        </w:rPr>
        <w:t xml:space="preserve"> from a presumption that, after safety, attachment is the key issue in ensuring the well-being of infants in care.  The following assumptions </w:t>
      </w:r>
      <w:r w:rsidR="00365E12">
        <w:rPr>
          <w:rFonts w:ascii="Arial" w:hAnsi="Arial" w:cs="Arial"/>
          <w:sz w:val="20"/>
        </w:rPr>
        <w:t>we</w:t>
      </w:r>
      <w:r>
        <w:rPr>
          <w:rFonts w:ascii="Arial" w:hAnsi="Arial" w:cs="Arial"/>
          <w:sz w:val="20"/>
        </w:rPr>
        <w:t>re made:</w:t>
      </w:r>
    </w:p>
    <w:p w14:paraId="79DAAECA" w14:textId="77777777" w:rsidR="00655035" w:rsidRDefault="00655035" w:rsidP="00CC22FC">
      <w:pPr>
        <w:numPr>
          <w:ilvl w:val="0"/>
          <w:numId w:val="34"/>
        </w:numPr>
        <w:tabs>
          <w:tab w:val="clear" w:pos="1004"/>
        </w:tabs>
        <w:ind w:left="714" w:right="357" w:hanging="357"/>
        <w:jc w:val="both"/>
        <w:rPr>
          <w:rFonts w:ascii="Arial" w:hAnsi="Arial" w:cs="Arial"/>
          <w:sz w:val="20"/>
        </w:rPr>
      </w:pPr>
      <w:r>
        <w:rPr>
          <w:rFonts w:ascii="Arial" w:hAnsi="Arial" w:cs="Arial"/>
          <w:sz w:val="20"/>
        </w:rPr>
        <w:t>An infant’s primary attachment will be made with the person(s) doing the consistent, ongoing 24-hour care of the infant.  This is usually the mother, but in out of home care would normally be the foster carer.</w:t>
      </w:r>
    </w:p>
    <w:p w14:paraId="55707FA1" w14:textId="77777777" w:rsidR="00655035" w:rsidRDefault="00365E12" w:rsidP="00CC22FC">
      <w:pPr>
        <w:numPr>
          <w:ilvl w:val="0"/>
          <w:numId w:val="34"/>
        </w:numPr>
        <w:tabs>
          <w:tab w:val="clear" w:pos="1004"/>
        </w:tabs>
        <w:ind w:left="714" w:right="357" w:hanging="357"/>
        <w:jc w:val="both"/>
        <w:rPr>
          <w:rFonts w:ascii="Arial" w:hAnsi="Arial" w:cs="Arial"/>
          <w:sz w:val="20"/>
        </w:rPr>
      </w:pPr>
      <w:r>
        <w:rPr>
          <w:rFonts w:ascii="Arial" w:hAnsi="Arial" w:cs="Arial"/>
          <w:sz w:val="20"/>
        </w:rPr>
        <w:lastRenderedPageBreak/>
        <w:t>Secondary attachments to other people occur (e.g. father, grandparents etc).  Their strength will vary with the role of the person, including the amount of time spent caring, degree of active care and emotional engagement with the infant.</w:t>
      </w:r>
    </w:p>
    <w:p w14:paraId="57DD3441" w14:textId="77777777" w:rsidR="00365E12" w:rsidRDefault="00365E12" w:rsidP="00CC22FC">
      <w:pPr>
        <w:numPr>
          <w:ilvl w:val="0"/>
          <w:numId w:val="34"/>
        </w:numPr>
        <w:tabs>
          <w:tab w:val="clear" w:pos="1004"/>
        </w:tabs>
        <w:ind w:left="714" w:right="357" w:hanging="357"/>
        <w:jc w:val="both"/>
        <w:rPr>
          <w:rFonts w:ascii="Arial" w:hAnsi="Arial" w:cs="Arial"/>
          <w:sz w:val="20"/>
        </w:rPr>
      </w:pPr>
      <w:r>
        <w:rPr>
          <w:rFonts w:ascii="Arial" w:hAnsi="Arial" w:cs="Arial"/>
          <w:sz w:val="20"/>
        </w:rPr>
        <w:t>If a primary attachment is well developed, it may be possible to retain this via regular contact during separation.  The attachment is likely to attenuate during long separation, especially if the infant is very young and if separation is long.</w:t>
      </w:r>
    </w:p>
    <w:p w14:paraId="5C2A899D" w14:textId="77777777" w:rsidR="00365E12" w:rsidRDefault="00107B64" w:rsidP="00CC22FC">
      <w:pPr>
        <w:numPr>
          <w:ilvl w:val="0"/>
          <w:numId w:val="34"/>
        </w:numPr>
        <w:tabs>
          <w:tab w:val="clear" w:pos="1004"/>
        </w:tabs>
        <w:ind w:left="714" w:right="357" w:hanging="357"/>
        <w:jc w:val="both"/>
        <w:rPr>
          <w:rFonts w:ascii="Arial" w:hAnsi="Arial" w:cs="Arial"/>
          <w:sz w:val="20"/>
        </w:rPr>
      </w:pPr>
      <w:r>
        <w:rPr>
          <w:rFonts w:ascii="Arial" w:hAnsi="Arial" w:cs="Arial"/>
          <w:sz w:val="20"/>
        </w:rPr>
        <w:t>The infant’s neurological development, including cognitive and emotional development, is intimately tied to the primary attachment relationship.</w:t>
      </w:r>
    </w:p>
    <w:p w14:paraId="66EE2A5E" w14:textId="77777777" w:rsidR="00107B64" w:rsidRDefault="00107B64" w:rsidP="00CC22FC">
      <w:pPr>
        <w:numPr>
          <w:ilvl w:val="0"/>
          <w:numId w:val="34"/>
        </w:numPr>
        <w:tabs>
          <w:tab w:val="clear" w:pos="1004"/>
        </w:tabs>
        <w:ind w:left="714" w:right="357" w:hanging="357"/>
        <w:jc w:val="both"/>
        <w:rPr>
          <w:rFonts w:ascii="Arial" w:hAnsi="Arial" w:cs="Arial"/>
          <w:sz w:val="20"/>
        </w:rPr>
      </w:pPr>
      <w:r>
        <w:rPr>
          <w:rFonts w:ascii="Arial" w:hAnsi="Arial" w:cs="Arial"/>
          <w:sz w:val="20"/>
        </w:rPr>
        <w:t>Early experiences of trauma can create disrupted patterns of attachment with far-reaching and negative effects on infants’ development and well</w:t>
      </w:r>
      <w:r>
        <w:rPr>
          <w:rFonts w:ascii="Arial" w:hAnsi="Arial" w:cs="Arial"/>
          <w:sz w:val="20"/>
        </w:rPr>
        <w:noBreakHyphen/>
        <w:t>being.</w:t>
      </w:r>
    </w:p>
    <w:p w14:paraId="59DC4C49" w14:textId="77777777" w:rsidR="00655035" w:rsidRDefault="00655035" w:rsidP="008F79DC">
      <w:pPr>
        <w:jc w:val="both"/>
        <w:rPr>
          <w:rFonts w:ascii="Arial" w:hAnsi="Arial" w:cs="Arial"/>
          <w:sz w:val="20"/>
        </w:rPr>
      </w:pPr>
    </w:p>
    <w:p w14:paraId="73677B30" w14:textId="77777777" w:rsidR="008F79DC" w:rsidRDefault="00030E96" w:rsidP="009B178F">
      <w:pPr>
        <w:jc w:val="both"/>
        <w:rPr>
          <w:rFonts w:ascii="Arial" w:hAnsi="Arial" w:cs="Arial"/>
          <w:sz w:val="20"/>
        </w:rPr>
      </w:pPr>
      <w:r>
        <w:rPr>
          <w:rFonts w:ascii="Arial" w:hAnsi="Arial" w:cs="Arial"/>
          <w:sz w:val="20"/>
        </w:rPr>
        <w:t xml:space="preserve">The over-aching aim of the research was </w:t>
      </w:r>
      <w:r w:rsidR="00107B64">
        <w:rPr>
          <w:rFonts w:ascii="Arial" w:hAnsi="Arial" w:cs="Arial"/>
          <w:sz w:val="20"/>
        </w:rPr>
        <w:t xml:space="preserve">the development of a better understanding of infants’ best interests in relation to </w:t>
      </w:r>
      <w:r w:rsidR="006E14AC">
        <w:rPr>
          <w:rFonts w:ascii="Arial" w:hAnsi="Arial" w:cs="Arial"/>
          <w:sz w:val="20"/>
        </w:rPr>
        <w:t xml:space="preserve">intensive family contact during protective placements.  </w:t>
      </w:r>
      <w:r>
        <w:rPr>
          <w:rFonts w:ascii="Arial" w:hAnsi="Arial" w:cs="Arial"/>
          <w:sz w:val="20"/>
        </w:rPr>
        <w:t xml:space="preserve">Information on the extent and nature of family contact, and the perspectives of carers, professional staff and lawyers were sought to inform this understanding.  </w:t>
      </w:r>
      <w:r w:rsidR="009B178F">
        <w:rPr>
          <w:rFonts w:ascii="Arial" w:hAnsi="Arial" w:cs="Arial"/>
          <w:sz w:val="20"/>
        </w:rPr>
        <w:t>The research involved</w:t>
      </w:r>
      <w:r w:rsidR="008F79DC">
        <w:rPr>
          <w:rFonts w:ascii="Arial" w:hAnsi="Arial" w:cs="Arial"/>
          <w:sz w:val="20"/>
        </w:rPr>
        <w:t>:</w:t>
      </w:r>
    </w:p>
    <w:p w14:paraId="63EDC524" w14:textId="77777777" w:rsidR="008F79DC" w:rsidRDefault="008F79DC" w:rsidP="00CC22FC">
      <w:pPr>
        <w:numPr>
          <w:ilvl w:val="0"/>
          <w:numId w:val="34"/>
        </w:numPr>
        <w:tabs>
          <w:tab w:val="clear" w:pos="1004"/>
        </w:tabs>
        <w:ind w:left="357" w:hanging="357"/>
        <w:jc w:val="both"/>
        <w:rPr>
          <w:rFonts w:ascii="Arial" w:hAnsi="Arial" w:cs="Arial"/>
          <w:sz w:val="20"/>
        </w:rPr>
      </w:pPr>
      <w:r>
        <w:rPr>
          <w:rFonts w:ascii="Arial" w:hAnsi="Arial" w:cs="Arial"/>
          <w:sz w:val="20"/>
        </w:rPr>
        <w:t>A case file audit of 119 cases of infants in care on 01/08/2007</w:t>
      </w:r>
      <w:r w:rsidR="00FF1EA6">
        <w:rPr>
          <w:rFonts w:ascii="Arial" w:hAnsi="Arial" w:cs="Arial"/>
          <w:sz w:val="20"/>
        </w:rPr>
        <w:t>,</w:t>
      </w:r>
      <w:r w:rsidR="009F3F43">
        <w:rPr>
          <w:rFonts w:ascii="Arial" w:hAnsi="Arial" w:cs="Arial"/>
          <w:sz w:val="20"/>
        </w:rPr>
        <w:t xml:space="preserve"> in </w:t>
      </w:r>
      <w:r>
        <w:rPr>
          <w:rFonts w:ascii="Arial" w:hAnsi="Arial" w:cs="Arial"/>
          <w:sz w:val="20"/>
        </w:rPr>
        <w:t xml:space="preserve">40 </w:t>
      </w:r>
      <w:r w:rsidR="009F3F43">
        <w:rPr>
          <w:rFonts w:ascii="Arial" w:hAnsi="Arial" w:cs="Arial"/>
          <w:sz w:val="20"/>
        </w:rPr>
        <w:t>of</w:t>
      </w:r>
      <w:r>
        <w:rPr>
          <w:rFonts w:ascii="Arial" w:hAnsi="Arial" w:cs="Arial"/>
          <w:sz w:val="20"/>
        </w:rPr>
        <w:t xml:space="preserve"> which high-frequency family contact (4-7 days </w:t>
      </w:r>
      <w:r w:rsidR="0043680D">
        <w:rPr>
          <w:rFonts w:ascii="Arial" w:hAnsi="Arial" w:cs="Arial"/>
          <w:sz w:val="20"/>
        </w:rPr>
        <w:t>per</w:t>
      </w:r>
      <w:r>
        <w:rPr>
          <w:rFonts w:ascii="Arial" w:hAnsi="Arial" w:cs="Arial"/>
          <w:sz w:val="20"/>
        </w:rPr>
        <w:t xml:space="preserve"> week) had been court</w:t>
      </w:r>
      <w:r w:rsidR="00FF1EA6">
        <w:rPr>
          <w:rFonts w:ascii="Arial" w:hAnsi="Arial" w:cs="Arial"/>
          <w:sz w:val="20"/>
        </w:rPr>
        <w:t>-</w:t>
      </w:r>
      <w:r>
        <w:rPr>
          <w:rFonts w:ascii="Arial" w:hAnsi="Arial" w:cs="Arial"/>
          <w:sz w:val="20"/>
        </w:rPr>
        <w:t>ordered.</w:t>
      </w:r>
    </w:p>
    <w:p w14:paraId="33B0D4B7" w14:textId="77777777" w:rsidR="008F79DC" w:rsidRDefault="008F79DC" w:rsidP="00CC22FC">
      <w:pPr>
        <w:numPr>
          <w:ilvl w:val="0"/>
          <w:numId w:val="34"/>
        </w:numPr>
        <w:tabs>
          <w:tab w:val="clear" w:pos="1004"/>
        </w:tabs>
        <w:ind w:left="357" w:hanging="357"/>
        <w:jc w:val="both"/>
        <w:rPr>
          <w:rFonts w:ascii="Arial" w:hAnsi="Arial" w:cs="Arial"/>
          <w:sz w:val="20"/>
        </w:rPr>
      </w:pPr>
      <w:r>
        <w:rPr>
          <w:rFonts w:ascii="Arial" w:hAnsi="Arial" w:cs="Arial"/>
          <w:sz w:val="20"/>
        </w:rPr>
        <w:t>Discussion</w:t>
      </w:r>
      <w:r w:rsidR="00D32674">
        <w:rPr>
          <w:rFonts w:ascii="Arial" w:hAnsi="Arial" w:cs="Arial"/>
          <w:sz w:val="20"/>
        </w:rPr>
        <w:t>s</w:t>
      </w:r>
      <w:r>
        <w:rPr>
          <w:rFonts w:ascii="Arial" w:hAnsi="Arial" w:cs="Arial"/>
          <w:sz w:val="20"/>
        </w:rPr>
        <w:t xml:space="preserve"> with 11 focus groups compris</w:t>
      </w:r>
      <w:r w:rsidR="00911E61">
        <w:rPr>
          <w:rFonts w:ascii="Arial" w:hAnsi="Arial" w:cs="Arial"/>
          <w:sz w:val="20"/>
        </w:rPr>
        <w:t>ing</w:t>
      </w:r>
      <w:r>
        <w:rPr>
          <w:rFonts w:ascii="Arial" w:hAnsi="Arial" w:cs="Arial"/>
          <w:sz w:val="20"/>
        </w:rPr>
        <w:t xml:space="preserve"> 3 groups of foster carers and staff, lawyers engaged or employed by Victoria Legal Aid, lawyers employed by DOHS’ Legal Services, professional staff of the Children’s Court Clinic, the DOHS High Risk Infants state-wide team and 4 groups of DOHS Child Protection workers and case support workers </w:t>
      </w:r>
      <w:r w:rsidR="00911E61">
        <w:rPr>
          <w:rFonts w:ascii="Arial" w:hAnsi="Arial" w:cs="Arial"/>
          <w:sz w:val="20"/>
        </w:rPr>
        <w:t>selected from</w:t>
      </w:r>
      <w:r>
        <w:rPr>
          <w:rFonts w:ascii="Arial" w:hAnsi="Arial" w:cs="Arial"/>
          <w:sz w:val="20"/>
        </w:rPr>
        <w:t xml:space="preserve"> </w:t>
      </w:r>
      <w:r w:rsidR="00911E61">
        <w:rPr>
          <w:rFonts w:ascii="Arial" w:hAnsi="Arial" w:cs="Arial"/>
          <w:sz w:val="20"/>
        </w:rPr>
        <w:t xml:space="preserve">2 </w:t>
      </w:r>
      <w:r>
        <w:rPr>
          <w:rFonts w:ascii="Arial" w:hAnsi="Arial" w:cs="Arial"/>
          <w:sz w:val="20"/>
        </w:rPr>
        <w:t>metropolitan and 2 rural regions.</w:t>
      </w:r>
    </w:p>
    <w:p w14:paraId="21DD33C5" w14:textId="77777777" w:rsidR="008F79DC" w:rsidRDefault="00BD5B08" w:rsidP="00CC22FC">
      <w:pPr>
        <w:numPr>
          <w:ilvl w:val="0"/>
          <w:numId w:val="34"/>
        </w:numPr>
        <w:tabs>
          <w:tab w:val="clear" w:pos="1004"/>
        </w:tabs>
        <w:ind w:left="357" w:hanging="357"/>
        <w:jc w:val="both"/>
        <w:rPr>
          <w:rFonts w:ascii="Arial" w:hAnsi="Arial" w:cs="Arial"/>
          <w:sz w:val="20"/>
        </w:rPr>
      </w:pPr>
      <w:r>
        <w:rPr>
          <w:rFonts w:ascii="Arial" w:hAnsi="Arial" w:cs="Arial"/>
          <w:sz w:val="20"/>
        </w:rPr>
        <w:t xml:space="preserve">A total of </w:t>
      </w:r>
      <w:r w:rsidR="004531C6">
        <w:rPr>
          <w:rFonts w:ascii="Arial" w:hAnsi="Arial" w:cs="Arial"/>
          <w:sz w:val="20"/>
        </w:rPr>
        <w:t>30</w:t>
      </w:r>
      <w:r>
        <w:rPr>
          <w:rFonts w:ascii="Arial" w:hAnsi="Arial" w:cs="Arial"/>
          <w:sz w:val="20"/>
        </w:rPr>
        <w:t xml:space="preserve"> brief case studies drawn from foster carers and case managers who </w:t>
      </w:r>
      <w:r w:rsidR="00687BBB">
        <w:rPr>
          <w:rFonts w:ascii="Arial" w:hAnsi="Arial" w:cs="Arial"/>
          <w:sz w:val="20"/>
        </w:rPr>
        <w:t xml:space="preserve">had </w:t>
      </w:r>
      <w:r>
        <w:rPr>
          <w:rFonts w:ascii="Arial" w:hAnsi="Arial" w:cs="Arial"/>
          <w:sz w:val="20"/>
        </w:rPr>
        <w:t>proactively contacted the researchers with case e</w:t>
      </w:r>
      <w:r w:rsidR="004531C6">
        <w:rPr>
          <w:rFonts w:ascii="Arial" w:hAnsi="Arial" w:cs="Arial"/>
          <w:sz w:val="20"/>
        </w:rPr>
        <w:t>xamples which had “raised significant concerns for them”.</w:t>
      </w:r>
    </w:p>
    <w:p w14:paraId="3E17C463" w14:textId="77777777" w:rsidR="00687BBB" w:rsidRDefault="00687BBB" w:rsidP="00CC22FC">
      <w:pPr>
        <w:numPr>
          <w:ilvl w:val="0"/>
          <w:numId w:val="34"/>
        </w:numPr>
        <w:tabs>
          <w:tab w:val="clear" w:pos="1004"/>
        </w:tabs>
        <w:ind w:left="357" w:hanging="357"/>
        <w:jc w:val="both"/>
        <w:rPr>
          <w:rFonts w:ascii="Arial" w:hAnsi="Arial" w:cs="Arial"/>
          <w:sz w:val="20"/>
        </w:rPr>
      </w:pPr>
      <w:r>
        <w:rPr>
          <w:rFonts w:ascii="Arial" w:hAnsi="Arial" w:cs="Arial"/>
          <w:sz w:val="20"/>
        </w:rPr>
        <w:t>The generation of a comprehensive literature review.</w:t>
      </w:r>
    </w:p>
    <w:p w14:paraId="30D5F02B" w14:textId="77777777" w:rsidR="00BD5B08" w:rsidRDefault="00BD5B08" w:rsidP="009B178F">
      <w:pPr>
        <w:jc w:val="both"/>
        <w:rPr>
          <w:rFonts w:ascii="Arial" w:hAnsi="Arial" w:cs="Arial"/>
          <w:sz w:val="20"/>
        </w:rPr>
      </w:pPr>
    </w:p>
    <w:p w14:paraId="1A6B722C" w14:textId="77777777" w:rsidR="002C1549" w:rsidRDefault="00030E96" w:rsidP="009B178F">
      <w:pPr>
        <w:jc w:val="both"/>
        <w:rPr>
          <w:rFonts w:ascii="Arial" w:hAnsi="Arial" w:cs="Arial"/>
          <w:sz w:val="20"/>
        </w:rPr>
      </w:pPr>
      <w:r>
        <w:rPr>
          <w:rFonts w:ascii="Arial" w:hAnsi="Arial" w:cs="Arial"/>
          <w:sz w:val="20"/>
        </w:rPr>
        <w:t>Unfortunately it was not possible to gain the views of parents in this research</w:t>
      </w:r>
      <w:r w:rsidR="00F1312D">
        <w:rPr>
          <w:rFonts w:ascii="Arial" w:hAnsi="Arial" w:cs="Arial"/>
          <w:sz w:val="20"/>
        </w:rPr>
        <w:t xml:space="preserve">.  </w:t>
      </w:r>
      <w:r w:rsidR="004531C6">
        <w:rPr>
          <w:rFonts w:ascii="Arial" w:hAnsi="Arial" w:cs="Arial"/>
          <w:sz w:val="20"/>
        </w:rPr>
        <w:t xml:space="preserve">Some of the limitations of the methodology are recorded frankly </w:t>
      </w:r>
      <w:r w:rsidR="002C1549">
        <w:rPr>
          <w:rFonts w:ascii="Arial" w:hAnsi="Arial" w:cs="Arial"/>
          <w:sz w:val="20"/>
        </w:rPr>
        <w:t xml:space="preserve">by the authors </w:t>
      </w:r>
      <w:r w:rsidR="004531C6">
        <w:rPr>
          <w:rFonts w:ascii="Arial" w:hAnsi="Arial" w:cs="Arial"/>
          <w:sz w:val="20"/>
        </w:rPr>
        <w:t>at p.11 of the</w:t>
      </w:r>
      <w:r w:rsidR="002C1549">
        <w:rPr>
          <w:rFonts w:ascii="Arial" w:hAnsi="Arial" w:cs="Arial"/>
          <w:sz w:val="20"/>
        </w:rPr>
        <w:t>ir</w:t>
      </w:r>
      <w:r w:rsidR="004531C6">
        <w:rPr>
          <w:rFonts w:ascii="Arial" w:hAnsi="Arial" w:cs="Arial"/>
          <w:sz w:val="20"/>
        </w:rPr>
        <w:t xml:space="preserve"> report.  </w:t>
      </w:r>
      <w:r w:rsidR="00911E61">
        <w:rPr>
          <w:rFonts w:ascii="Arial" w:hAnsi="Arial" w:cs="Arial"/>
          <w:sz w:val="20"/>
        </w:rPr>
        <w:t>However, i</w:t>
      </w:r>
      <w:r w:rsidR="00583A66">
        <w:rPr>
          <w:rFonts w:ascii="Arial" w:hAnsi="Arial" w:cs="Arial"/>
          <w:sz w:val="20"/>
        </w:rPr>
        <w:t xml:space="preserve">t appears that </w:t>
      </w:r>
      <w:r w:rsidR="00D32674">
        <w:rPr>
          <w:rFonts w:ascii="Arial" w:hAnsi="Arial" w:cs="Arial"/>
          <w:sz w:val="20"/>
        </w:rPr>
        <w:t xml:space="preserve">– subject to the securing of funding - </w:t>
      </w:r>
      <w:r w:rsidR="009B178F">
        <w:rPr>
          <w:rFonts w:ascii="Arial" w:hAnsi="Arial" w:cs="Arial"/>
          <w:sz w:val="20"/>
        </w:rPr>
        <w:t xml:space="preserve">Stage 2 of this </w:t>
      </w:r>
      <w:r>
        <w:rPr>
          <w:rFonts w:ascii="Arial" w:hAnsi="Arial" w:cs="Arial"/>
          <w:sz w:val="20"/>
        </w:rPr>
        <w:t>project</w:t>
      </w:r>
      <w:r w:rsidR="00D32674">
        <w:rPr>
          <w:rFonts w:ascii="Arial" w:hAnsi="Arial" w:cs="Arial"/>
          <w:sz w:val="20"/>
        </w:rPr>
        <w:t xml:space="preserve"> </w:t>
      </w:r>
      <w:r w:rsidR="002C1549">
        <w:rPr>
          <w:rFonts w:ascii="Arial" w:hAnsi="Arial" w:cs="Arial"/>
          <w:sz w:val="20"/>
        </w:rPr>
        <w:t>will include some attention to the direct experience of infants and their mothers and fathers.</w:t>
      </w:r>
    </w:p>
    <w:p w14:paraId="2707BF94" w14:textId="77777777" w:rsidR="002C1549" w:rsidRDefault="002C1549" w:rsidP="002C1549">
      <w:pPr>
        <w:jc w:val="both"/>
        <w:rPr>
          <w:rFonts w:ascii="Arial" w:hAnsi="Arial" w:cs="Arial"/>
          <w:sz w:val="20"/>
        </w:rPr>
      </w:pPr>
    </w:p>
    <w:p w14:paraId="6F4D5014" w14:textId="77777777" w:rsidR="00446894" w:rsidRDefault="003B2F65" w:rsidP="009B178F">
      <w:pPr>
        <w:jc w:val="both"/>
        <w:rPr>
          <w:rFonts w:ascii="Arial" w:hAnsi="Arial" w:cs="Arial"/>
          <w:sz w:val="20"/>
        </w:rPr>
      </w:pPr>
      <w:r>
        <w:rPr>
          <w:rFonts w:ascii="Arial" w:hAnsi="Arial" w:cs="Arial"/>
          <w:sz w:val="20"/>
        </w:rPr>
        <w:t>The r</w:t>
      </w:r>
      <w:r w:rsidR="000E07BF">
        <w:rPr>
          <w:rFonts w:ascii="Arial" w:hAnsi="Arial" w:cs="Arial"/>
          <w:sz w:val="20"/>
        </w:rPr>
        <w:t xml:space="preserve">esearch questions for Stage 1 </w:t>
      </w:r>
      <w:r w:rsidR="001B003A">
        <w:rPr>
          <w:rFonts w:ascii="Arial" w:hAnsi="Arial" w:cs="Arial"/>
          <w:sz w:val="20"/>
        </w:rPr>
        <w:t>and a summary of the relevant findings are as follows</w:t>
      </w:r>
      <w:r w:rsidR="00030E96">
        <w:rPr>
          <w:rFonts w:ascii="Arial" w:hAnsi="Arial" w:cs="Arial"/>
          <w:sz w:val="20"/>
        </w:rPr>
        <w:t>:</w:t>
      </w:r>
    </w:p>
    <w:p w14:paraId="0405FBC4" w14:textId="77777777" w:rsidR="001B003A" w:rsidRDefault="001B003A" w:rsidP="001B003A">
      <w:pPr>
        <w:jc w:val="both"/>
        <w:rPr>
          <w:rFonts w:ascii="Arial" w:hAnsi="Arial" w:cs="Arial"/>
          <w:sz w:val="20"/>
        </w:rPr>
      </w:pPr>
    </w:p>
    <w:p w14:paraId="74984247" w14:textId="77777777" w:rsidR="00030E96" w:rsidRPr="001B003A" w:rsidRDefault="00030E96" w:rsidP="001B003A">
      <w:pPr>
        <w:numPr>
          <w:ilvl w:val="2"/>
          <w:numId w:val="15"/>
        </w:numPr>
        <w:tabs>
          <w:tab w:val="clear" w:pos="2340"/>
        </w:tabs>
        <w:ind w:left="357" w:hanging="357"/>
        <w:jc w:val="both"/>
        <w:rPr>
          <w:rFonts w:ascii="Arial" w:hAnsi="Arial" w:cs="Arial"/>
          <w:b/>
          <w:sz w:val="20"/>
        </w:rPr>
      </w:pPr>
      <w:r w:rsidRPr="001B003A">
        <w:rPr>
          <w:rFonts w:ascii="Arial" w:hAnsi="Arial" w:cs="Arial"/>
          <w:b/>
          <w:sz w:val="20"/>
        </w:rPr>
        <w:t>What are the current arrangements for infants</w:t>
      </w:r>
      <w:r w:rsidR="000E07BF" w:rsidRPr="001B003A">
        <w:rPr>
          <w:rFonts w:ascii="Arial" w:hAnsi="Arial" w:cs="Arial"/>
          <w:b/>
          <w:sz w:val="20"/>
        </w:rPr>
        <w:t>’</w:t>
      </w:r>
      <w:r w:rsidRPr="001B003A">
        <w:rPr>
          <w:rFonts w:ascii="Arial" w:hAnsi="Arial" w:cs="Arial"/>
          <w:b/>
          <w:sz w:val="20"/>
        </w:rPr>
        <w:t xml:space="preserve"> contact with their </w:t>
      </w:r>
      <w:r w:rsidR="000E07BF" w:rsidRPr="001B003A">
        <w:rPr>
          <w:rFonts w:ascii="Arial" w:hAnsi="Arial" w:cs="Arial"/>
          <w:b/>
          <w:sz w:val="20"/>
        </w:rPr>
        <w:t>family member</w:t>
      </w:r>
      <w:r w:rsidRPr="001B003A">
        <w:rPr>
          <w:rFonts w:ascii="Arial" w:hAnsi="Arial" w:cs="Arial"/>
          <w:b/>
          <w:sz w:val="20"/>
        </w:rPr>
        <w:t>s?</w:t>
      </w:r>
    </w:p>
    <w:p w14:paraId="103380DA" w14:textId="77777777" w:rsidR="001B003A" w:rsidRDefault="00911E61" w:rsidP="001B003A">
      <w:pPr>
        <w:spacing w:before="120"/>
        <w:jc w:val="both"/>
        <w:rPr>
          <w:rFonts w:ascii="Arial" w:hAnsi="Arial" w:cs="Arial"/>
          <w:sz w:val="20"/>
        </w:rPr>
      </w:pPr>
      <w:r>
        <w:rPr>
          <w:rFonts w:ascii="Arial" w:hAnsi="Arial" w:cs="Arial"/>
          <w:sz w:val="20"/>
        </w:rPr>
        <w:t xml:space="preserve">The key findings from the case file audit </w:t>
      </w:r>
      <w:r w:rsidR="00687BBB">
        <w:rPr>
          <w:rFonts w:ascii="Arial" w:hAnsi="Arial" w:cs="Arial"/>
          <w:sz w:val="20"/>
        </w:rPr>
        <w:t>of the</w:t>
      </w:r>
      <w:r w:rsidR="001B003A">
        <w:rPr>
          <w:rFonts w:ascii="Arial" w:hAnsi="Arial" w:cs="Arial"/>
          <w:sz w:val="20"/>
        </w:rPr>
        <w:t xml:space="preserve"> 40 high-frequency </w:t>
      </w:r>
      <w:r w:rsidR="0043680D">
        <w:rPr>
          <w:rFonts w:ascii="Arial" w:hAnsi="Arial" w:cs="Arial"/>
          <w:sz w:val="20"/>
        </w:rPr>
        <w:t xml:space="preserve">family contact </w:t>
      </w:r>
      <w:r w:rsidR="001B003A">
        <w:rPr>
          <w:rFonts w:ascii="Arial" w:hAnsi="Arial" w:cs="Arial"/>
          <w:sz w:val="20"/>
        </w:rPr>
        <w:t xml:space="preserve">cases </w:t>
      </w:r>
      <w:r w:rsidR="0043680D">
        <w:rPr>
          <w:rFonts w:ascii="Arial" w:hAnsi="Arial" w:cs="Arial"/>
          <w:sz w:val="20"/>
        </w:rPr>
        <w:t xml:space="preserve">(4-7 days per week) </w:t>
      </w:r>
      <w:r w:rsidR="00687BBB">
        <w:rPr>
          <w:rFonts w:ascii="Arial" w:hAnsi="Arial" w:cs="Arial"/>
          <w:sz w:val="20"/>
        </w:rPr>
        <w:t>are</w:t>
      </w:r>
      <w:r>
        <w:rPr>
          <w:rFonts w:ascii="Arial" w:hAnsi="Arial" w:cs="Arial"/>
          <w:sz w:val="20"/>
        </w:rPr>
        <w:t xml:space="preserve"> detailed at p.38</w:t>
      </w:r>
      <w:r w:rsidR="0043680D">
        <w:rPr>
          <w:rFonts w:ascii="Arial" w:hAnsi="Arial" w:cs="Arial"/>
          <w:sz w:val="20"/>
        </w:rPr>
        <w:t xml:space="preserve"> of the report and were summarized as follows</w:t>
      </w:r>
      <w:r w:rsidR="001B003A">
        <w:rPr>
          <w:rFonts w:ascii="Arial" w:hAnsi="Arial" w:cs="Arial"/>
          <w:sz w:val="20"/>
        </w:rPr>
        <w:t>:</w:t>
      </w:r>
    </w:p>
    <w:p w14:paraId="22E2E3C5" w14:textId="77777777" w:rsidR="00687BBB" w:rsidRDefault="00687BBB" w:rsidP="00CC22FC">
      <w:pPr>
        <w:numPr>
          <w:ilvl w:val="0"/>
          <w:numId w:val="34"/>
        </w:numPr>
        <w:tabs>
          <w:tab w:val="clear" w:pos="1004"/>
        </w:tabs>
        <w:ind w:left="357" w:hanging="357"/>
        <w:jc w:val="both"/>
        <w:rPr>
          <w:rFonts w:ascii="Arial" w:hAnsi="Arial" w:cs="Arial"/>
          <w:sz w:val="20"/>
        </w:rPr>
      </w:pPr>
      <w:r>
        <w:rPr>
          <w:rFonts w:ascii="Arial" w:hAnsi="Arial" w:cs="Arial"/>
          <w:sz w:val="20"/>
        </w:rPr>
        <w:t xml:space="preserve">Most infants in the sample were placed </w:t>
      </w:r>
      <w:r w:rsidR="00130E82">
        <w:rPr>
          <w:rFonts w:ascii="Arial" w:hAnsi="Arial" w:cs="Arial"/>
          <w:sz w:val="20"/>
        </w:rPr>
        <w:t xml:space="preserve">in out of home care </w:t>
      </w:r>
      <w:r>
        <w:rPr>
          <w:rFonts w:ascii="Arial" w:hAnsi="Arial" w:cs="Arial"/>
          <w:sz w:val="20"/>
        </w:rPr>
        <w:t>within two months of birth.  Most high frequency family contact orders were made when the infants were in the earliest months of their life.</w:t>
      </w:r>
    </w:p>
    <w:p w14:paraId="7548B55C" w14:textId="77777777" w:rsidR="00687BBB" w:rsidRDefault="00687BBB" w:rsidP="00CC22FC">
      <w:pPr>
        <w:numPr>
          <w:ilvl w:val="0"/>
          <w:numId w:val="34"/>
        </w:numPr>
        <w:tabs>
          <w:tab w:val="clear" w:pos="1004"/>
        </w:tabs>
        <w:ind w:left="357" w:hanging="357"/>
        <w:jc w:val="both"/>
        <w:rPr>
          <w:rFonts w:ascii="Arial" w:hAnsi="Arial" w:cs="Arial"/>
          <w:sz w:val="20"/>
        </w:rPr>
      </w:pPr>
      <w:r>
        <w:rPr>
          <w:rFonts w:ascii="Arial" w:hAnsi="Arial" w:cs="Arial"/>
          <w:sz w:val="20"/>
        </w:rPr>
        <w:t xml:space="preserve">In most </w:t>
      </w:r>
      <w:r w:rsidR="009F3F43">
        <w:rPr>
          <w:rFonts w:ascii="Arial" w:hAnsi="Arial" w:cs="Arial"/>
          <w:sz w:val="20"/>
        </w:rPr>
        <w:t xml:space="preserve">of the </w:t>
      </w:r>
      <w:r>
        <w:rPr>
          <w:rFonts w:ascii="Arial" w:hAnsi="Arial" w:cs="Arial"/>
          <w:sz w:val="20"/>
        </w:rPr>
        <w:t>cases there had been at least one Court contest.</w:t>
      </w:r>
    </w:p>
    <w:p w14:paraId="01627E7D" w14:textId="77777777" w:rsidR="0043680D" w:rsidRDefault="0043680D" w:rsidP="00CC22FC">
      <w:pPr>
        <w:numPr>
          <w:ilvl w:val="0"/>
          <w:numId w:val="34"/>
        </w:numPr>
        <w:tabs>
          <w:tab w:val="clear" w:pos="1004"/>
        </w:tabs>
        <w:ind w:left="357" w:hanging="357"/>
        <w:jc w:val="both"/>
        <w:rPr>
          <w:rFonts w:ascii="Arial" w:hAnsi="Arial" w:cs="Arial"/>
          <w:sz w:val="20"/>
        </w:rPr>
      </w:pPr>
      <w:r>
        <w:rPr>
          <w:rFonts w:ascii="Arial" w:hAnsi="Arial" w:cs="Arial"/>
          <w:sz w:val="20"/>
        </w:rPr>
        <w:t>Substance abuse featured in the overwhelming majority of cases, usually involving both parents.  Domestic violence was also prominent.</w:t>
      </w:r>
    </w:p>
    <w:p w14:paraId="3A9B42D3" w14:textId="77777777" w:rsidR="0043680D" w:rsidRDefault="0043680D" w:rsidP="00CC22FC">
      <w:pPr>
        <w:numPr>
          <w:ilvl w:val="0"/>
          <w:numId w:val="34"/>
        </w:numPr>
        <w:tabs>
          <w:tab w:val="clear" w:pos="1004"/>
        </w:tabs>
        <w:ind w:left="357" w:hanging="357"/>
        <w:jc w:val="both"/>
        <w:rPr>
          <w:rFonts w:ascii="Arial" w:hAnsi="Arial" w:cs="Arial"/>
          <w:sz w:val="20"/>
        </w:rPr>
      </w:pPr>
      <w:r>
        <w:rPr>
          <w:rFonts w:ascii="Arial" w:hAnsi="Arial" w:cs="Arial"/>
          <w:sz w:val="20"/>
        </w:rPr>
        <w:t>Approximately one third of the 119 cases (40 out of 119) had a high frequency family contact order at some stage.</w:t>
      </w:r>
    </w:p>
    <w:p w14:paraId="715F6215" w14:textId="77777777" w:rsidR="001B003A" w:rsidRDefault="0043680D" w:rsidP="00CC22FC">
      <w:pPr>
        <w:numPr>
          <w:ilvl w:val="0"/>
          <w:numId w:val="34"/>
        </w:numPr>
        <w:tabs>
          <w:tab w:val="clear" w:pos="1004"/>
        </w:tabs>
        <w:ind w:left="357" w:hanging="357"/>
        <w:jc w:val="both"/>
        <w:rPr>
          <w:rFonts w:ascii="Arial" w:hAnsi="Arial" w:cs="Arial"/>
          <w:sz w:val="20"/>
        </w:rPr>
      </w:pPr>
      <w:r>
        <w:rPr>
          <w:rFonts w:ascii="Arial" w:hAnsi="Arial" w:cs="Arial"/>
          <w:sz w:val="20"/>
        </w:rPr>
        <w:t>High frequency family contact orders</w:t>
      </w:r>
      <w:r w:rsidR="001B003A">
        <w:rPr>
          <w:rFonts w:ascii="Arial" w:hAnsi="Arial" w:cs="Arial"/>
          <w:sz w:val="20"/>
        </w:rPr>
        <w:t xml:space="preserve"> were overwhelmingly a metropolitan phenomenon.</w:t>
      </w:r>
    </w:p>
    <w:p w14:paraId="7342A53B" w14:textId="77777777" w:rsidR="001B003A" w:rsidRDefault="0043680D" w:rsidP="00CC22FC">
      <w:pPr>
        <w:numPr>
          <w:ilvl w:val="0"/>
          <w:numId w:val="34"/>
        </w:numPr>
        <w:tabs>
          <w:tab w:val="clear" w:pos="1004"/>
        </w:tabs>
        <w:ind w:left="357" w:hanging="357"/>
        <w:jc w:val="both"/>
        <w:rPr>
          <w:rFonts w:ascii="Arial" w:hAnsi="Arial" w:cs="Arial"/>
          <w:sz w:val="20"/>
        </w:rPr>
      </w:pPr>
      <w:r w:rsidRPr="006679D2">
        <w:rPr>
          <w:rFonts w:ascii="Arial" w:hAnsi="Arial" w:cs="Arial"/>
          <w:color w:val="000000"/>
          <w:sz w:val="20"/>
        </w:rPr>
        <w:t xml:space="preserve">A little over half (25) of the high </w:t>
      </w:r>
      <w:r w:rsidR="00E55A14" w:rsidRPr="006679D2">
        <w:rPr>
          <w:rFonts w:ascii="Arial" w:hAnsi="Arial" w:cs="Arial"/>
          <w:color w:val="000000"/>
          <w:sz w:val="20"/>
        </w:rPr>
        <w:t>contact</w:t>
      </w:r>
      <w:r w:rsidRPr="006679D2">
        <w:rPr>
          <w:rFonts w:ascii="Arial" w:hAnsi="Arial" w:cs="Arial"/>
          <w:color w:val="000000"/>
          <w:sz w:val="20"/>
        </w:rPr>
        <w:t xml:space="preserve"> orders were of two months or less in duration,</w:t>
      </w:r>
      <w:r>
        <w:rPr>
          <w:rFonts w:ascii="Arial" w:hAnsi="Arial" w:cs="Arial"/>
          <w:sz w:val="20"/>
        </w:rPr>
        <w:t xml:space="preserve"> 12 were of 4-8 months duration and three of 10-16 months duration or more.</w:t>
      </w:r>
    </w:p>
    <w:p w14:paraId="5EC9ADF6" w14:textId="77777777" w:rsidR="001B003A" w:rsidRDefault="00B94EC5" w:rsidP="00CC22FC">
      <w:pPr>
        <w:numPr>
          <w:ilvl w:val="0"/>
          <w:numId w:val="34"/>
        </w:numPr>
        <w:tabs>
          <w:tab w:val="clear" w:pos="1004"/>
        </w:tabs>
        <w:ind w:left="357" w:hanging="357"/>
        <w:jc w:val="both"/>
        <w:rPr>
          <w:rFonts w:ascii="Arial" w:hAnsi="Arial" w:cs="Arial"/>
          <w:sz w:val="20"/>
        </w:rPr>
      </w:pPr>
      <w:r>
        <w:rPr>
          <w:rFonts w:ascii="Arial" w:hAnsi="Arial" w:cs="Arial"/>
          <w:sz w:val="20"/>
        </w:rPr>
        <w:t>DOHS provided almost all contact visits ordered by the Children’s Court.  Visits were rarely cancelled by DOHS.</w:t>
      </w:r>
    </w:p>
    <w:p w14:paraId="7A239500" w14:textId="77777777" w:rsidR="001B003A" w:rsidRDefault="001B003A" w:rsidP="00CC22FC">
      <w:pPr>
        <w:numPr>
          <w:ilvl w:val="0"/>
          <w:numId w:val="34"/>
        </w:numPr>
        <w:tabs>
          <w:tab w:val="clear" w:pos="1004"/>
        </w:tabs>
        <w:ind w:left="357" w:hanging="357"/>
        <w:jc w:val="both"/>
        <w:rPr>
          <w:rFonts w:ascii="Arial" w:hAnsi="Arial" w:cs="Arial"/>
          <w:sz w:val="20"/>
        </w:rPr>
      </w:pPr>
      <w:r>
        <w:rPr>
          <w:rFonts w:ascii="Arial" w:hAnsi="Arial" w:cs="Arial"/>
          <w:sz w:val="20"/>
        </w:rPr>
        <w:t xml:space="preserve">In half of all high </w:t>
      </w:r>
      <w:r w:rsidR="004C24F5">
        <w:rPr>
          <w:rFonts w:ascii="Arial" w:hAnsi="Arial" w:cs="Arial"/>
          <w:sz w:val="20"/>
        </w:rPr>
        <w:t xml:space="preserve">family contact orders, scheduled </w:t>
      </w:r>
      <w:r>
        <w:rPr>
          <w:rFonts w:ascii="Arial" w:hAnsi="Arial" w:cs="Arial"/>
          <w:sz w:val="20"/>
        </w:rPr>
        <w:t xml:space="preserve">contact visits </w:t>
      </w:r>
      <w:r w:rsidR="004C24F5">
        <w:rPr>
          <w:rFonts w:ascii="Arial" w:hAnsi="Arial" w:cs="Arial"/>
          <w:sz w:val="20"/>
        </w:rPr>
        <w:t>took place</w:t>
      </w:r>
      <w:r>
        <w:rPr>
          <w:rFonts w:ascii="Arial" w:hAnsi="Arial" w:cs="Arial"/>
          <w:sz w:val="20"/>
        </w:rPr>
        <w:t xml:space="preserve"> most of the time (7</w:t>
      </w:r>
      <w:r w:rsidR="004C24F5">
        <w:rPr>
          <w:rFonts w:ascii="Arial" w:hAnsi="Arial" w:cs="Arial"/>
          <w:sz w:val="20"/>
        </w:rPr>
        <w:t>5</w:t>
      </w:r>
      <w:r>
        <w:rPr>
          <w:rFonts w:ascii="Arial" w:hAnsi="Arial" w:cs="Arial"/>
          <w:sz w:val="20"/>
        </w:rPr>
        <w:t>-100% of the time).</w:t>
      </w:r>
      <w:r w:rsidR="004C24F5">
        <w:rPr>
          <w:rFonts w:ascii="Arial" w:hAnsi="Arial" w:cs="Arial"/>
          <w:sz w:val="20"/>
        </w:rPr>
        <w:t xml:space="preserve">  However, in the other half of the cases, contact visits took place far less frequently.</w:t>
      </w:r>
    </w:p>
    <w:p w14:paraId="42180AA6" w14:textId="77777777" w:rsidR="00A05185" w:rsidRDefault="004C24F5" w:rsidP="00CC22FC">
      <w:pPr>
        <w:numPr>
          <w:ilvl w:val="0"/>
          <w:numId w:val="34"/>
        </w:numPr>
        <w:tabs>
          <w:tab w:val="clear" w:pos="1004"/>
        </w:tabs>
        <w:ind w:left="357" w:hanging="357"/>
        <w:jc w:val="both"/>
        <w:rPr>
          <w:rFonts w:ascii="Arial" w:hAnsi="Arial" w:cs="Arial"/>
          <w:sz w:val="20"/>
        </w:rPr>
      </w:pPr>
      <w:r>
        <w:rPr>
          <w:rFonts w:ascii="Arial" w:hAnsi="Arial" w:cs="Arial"/>
          <w:sz w:val="20"/>
        </w:rPr>
        <w:t>Wide variation was seen in both mothers’ and fathers’ capacity to tune in to their infants’ physical and emotional needs, even when they attended most scheduled visits.  Some tuned in well to their infants, while others were disengaged or unable to respond effectively.</w:t>
      </w:r>
    </w:p>
    <w:p w14:paraId="2F5D60A4" w14:textId="77777777" w:rsidR="00C41F4C" w:rsidRDefault="00C41F4C" w:rsidP="00CC22FC">
      <w:pPr>
        <w:numPr>
          <w:ilvl w:val="0"/>
          <w:numId w:val="34"/>
        </w:numPr>
        <w:tabs>
          <w:tab w:val="clear" w:pos="1004"/>
        </w:tabs>
        <w:ind w:left="357" w:hanging="357"/>
        <w:jc w:val="both"/>
        <w:rPr>
          <w:rFonts w:ascii="Arial" w:hAnsi="Arial" w:cs="Arial"/>
          <w:sz w:val="20"/>
        </w:rPr>
      </w:pPr>
      <w:r>
        <w:rPr>
          <w:rFonts w:ascii="Arial" w:hAnsi="Arial" w:cs="Arial"/>
          <w:sz w:val="20"/>
        </w:rPr>
        <w:t>A range of venues w</w:t>
      </w:r>
      <w:r w:rsidR="00940B18">
        <w:rPr>
          <w:rFonts w:ascii="Arial" w:hAnsi="Arial" w:cs="Arial"/>
          <w:sz w:val="20"/>
        </w:rPr>
        <w:t>as</w:t>
      </w:r>
      <w:r>
        <w:rPr>
          <w:rFonts w:ascii="Arial" w:hAnsi="Arial" w:cs="Arial"/>
          <w:sz w:val="20"/>
        </w:rPr>
        <w:t xml:space="preserve"> used for visits but most took place in DOHS offices.  The visit environment appears to be associate</w:t>
      </w:r>
      <w:r w:rsidR="00DD02AE">
        <w:rPr>
          <w:rFonts w:ascii="Arial" w:hAnsi="Arial" w:cs="Arial"/>
          <w:sz w:val="20"/>
        </w:rPr>
        <w:t>d</w:t>
      </w:r>
      <w:r>
        <w:rPr>
          <w:rFonts w:ascii="Arial" w:hAnsi="Arial" w:cs="Arial"/>
          <w:sz w:val="20"/>
        </w:rPr>
        <w:t xml:space="preserve"> with the rate at which ordered visits actually </w:t>
      </w:r>
      <w:r>
        <w:rPr>
          <w:rFonts w:ascii="Arial" w:hAnsi="Arial" w:cs="Arial"/>
          <w:sz w:val="20"/>
        </w:rPr>
        <w:lastRenderedPageBreak/>
        <w:t>occurred; higher implementation rates were clearly associated with rates other than DOHS offices.</w:t>
      </w:r>
    </w:p>
    <w:p w14:paraId="2C51415B" w14:textId="77777777" w:rsidR="00A05185" w:rsidRDefault="007A7643" w:rsidP="00CC22FC">
      <w:pPr>
        <w:numPr>
          <w:ilvl w:val="0"/>
          <w:numId w:val="34"/>
        </w:numPr>
        <w:tabs>
          <w:tab w:val="clear" w:pos="1004"/>
        </w:tabs>
        <w:ind w:left="357" w:hanging="357"/>
        <w:jc w:val="both"/>
        <w:rPr>
          <w:rFonts w:ascii="Arial" w:hAnsi="Arial" w:cs="Arial"/>
          <w:sz w:val="20"/>
        </w:rPr>
      </w:pPr>
      <w:r>
        <w:rPr>
          <w:rFonts w:ascii="Arial" w:hAnsi="Arial" w:cs="Arial"/>
          <w:sz w:val="20"/>
        </w:rPr>
        <w:t>A period of court-ordered high frequency parental contact did not improve the rate of family reunification within the year studied.  There was no significant difference between the numbers of infants who were living with their mother and/or father one year later who had had an interval of high frequency parental contact (23%) and tho</w:t>
      </w:r>
      <w:r w:rsidR="00110B6F">
        <w:rPr>
          <w:rFonts w:ascii="Arial" w:hAnsi="Arial" w:cs="Arial"/>
          <w:sz w:val="20"/>
        </w:rPr>
        <w:t>se who had not (22%).</w:t>
      </w:r>
    </w:p>
    <w:p w14:paraId="4445085D" w14:textId="77777777" w:rsidR="001B003A" w:rsidRDefault="001B003A" w:rsidP="001B003A">
      <w:pPr>
        <w:jc w:val="both"/>
        <w:rPr>
          <w:rFonts w:ascii="Arial" w:hAnsi="Arial" w:cs="Arial"/>
          <w:sz w:val="20"/>
        </w:rPr>
      </w:pPr>
    </w:p>
    <w:p w14:paraId="275EBC7E" w14:textId="77777777" w:rsidR="00110B6F" w:rsidRDefault="00110B6F" w:rsidP="001B003A">
      <w:pPr>
        <w:jc w:val="both"/>
        <w:rPr>
          <w:rFonts w:ascii="Arial" w:hAnsi="Arial" w:cs="Arial"/>
          <w:sz w:val="20"/>
        </w:rPr>
      </w:pPr>
      <w:r>
        <w:rPr>
          <w:rFonts w:ascii="Arial" w:hAnsi="Arial" w:cs="Arial"/>
          <w:sz w:val="20"/>
        </w:rPr>
        <w:t xml:space="preserve">Magistrate Power notes that the sample of cases reviewed was fairly small and </w:t>
      </w:r>
      <w:r w:rsidR="002D2474">
        <w:rPr>
          <w:rFonts w:ascii="Arial" w:hAnsi="Arial" w:cs="Arial"/>
          <w:sz w:val="20"/>
        </w:rPr>
        <w:t>wonders</w:t>
      </w:r>
      <w:r>
        <w:rPr>
          <w:rFonts w:ascii="Arial" w:hAnsi="Arial" w:cs="Arial"/>
          <w:sz w:val="20"/>
        </w:rPr>
        <w:t xml:space="preserve"> whether it </w:t>
      </w:r>
      <w:r w:rsidR="009F3F43">
        <w:rPr>
          <w:rFonts w:ascii="Arial" w:hAnsi="Arial" w:cs="Arial"/>
          <w:sz w:val="20"/>
        </w:rPr>
        <w:t>wa</w:t>
      </w:r>
      <w:r>
        <w:rPr>
          <w:rFonts w:ascii="Arial" w:hAnsi="Arial" w:cs="Arial"/>
          <w:sz w:val="20"/>
        </w:rPr>
        <w:t xml:space="preserve">s sufficiently representative to be amenable to rigorous statistical analysis.  While the finding that there was no significant difference between </w:t>
      </w:r>
      <w:r w:rsidR="009F3F43">
        <w:rPr>
          <w:rFonts w:ascii="Arial" w:hAnsi="Arial" w:cs="Arial"/>
          <w:sz w:val="20"/>
        </w:rPr>
        <w:t>the reunification rates for the high</w:t>
      </w:r>
      <w:r w:rsidR="00683198">
        <w:rPr>
          <w:rFonts w:ascii="Arial" w:hAnsi="Arial" w:cs="Arial"/>
          <w:sz w:val="20"/>
        </w:rPr>
        <w:t>-</w:t>
      </w:r>
      <w:r w:rsidR="009F3F43">
        <w:rPr>
          <w:rFonts w:ascii="Arial" w:hAnsi="Arial" w:cs="Arial"/>
          <w:sz w:val="20"/>
        </w:rPr>
        <w:t xml:space="preserve">contact group and the </w:t>
      </w:r>
      <w:r w:rsidR="00C243E1">
        <w:rPr>
          <w:rFonts w:ascii="Arial" w:hAnsi="Arial" w:cs="Arial"/>
          <w:sz w:val="20"/>
        </w:rPr>
        <w:t>non high</w:t>
      </w:r>
      <w:r w:rsidR="00683198">
        <w:rPr>
          <w:rFonts w:ascii="Arial" w:hAnsi="Arial" w:cs="Arial"/>
          <w:sz w:val="20"/>
        </w:rPr>
        <w:t>-</w:t>
      </w:r>
      <w:r w:rsidR="00C243E1">
        <w:rPr>
          <w:rFonts w:ascii="Arial" w:hAnsi="Arial" w:cs="Arial"/>
          <w:sz w:val="20"/>
        </w:rPr>
        <w:t xml:space="preserve">contract group accords with some of the research referred to in the report’s literature review on the subject of </w:t>
      </w:r>
      <w:r w:rsidR="00C243E1" w:rsidRPr="00D80CC0">
        <w:rPr>
          <w:rFonts w:ascii="Arial" w:hAnsi="Arial" w:cs="Arial"/>
          <w:sz w:val="20"/>
        </w:rPr>
        <w:t>“Family reunification and family contact</w:t>
      </w:r>
      <w:r w:rsidR="00C243E1">
        <w:rPr>
          <w:rFonts w:ascii="Arial" w:hAnsi="Arial" w:cs="Arial"/>
          <w:sz w:val="20"/>
        </w:rPr>
        <w:t xml:space="preserve">”, it is not </w:t>
      </w:r>
      <w:r w:rsidR="00683198">
        <w:rPr>
          <w:rFonts w:ascii="Arial" w:hAnsi="Arial" w:cs="Arial"/>
          <w:sz w:val="20"/>
        </w:rPr>
        <w:t>on all fours</w:t>
      </w:r>
      <w:r w:rsidR="00F97169">
        <w:rPr>
          <w:rFonts w:ascii="Arial" w:hAnsi="Arial" w:cs="Arial"/>
          <w:sz w:val="20"/>
        </w:rPr>
        <w:t xml:space="preserve"> with</w:t>
      </w:r>
      <w:r w:rsidR="00C243E1">
        <w:rPr>
          <w:rFonts w:ascii="Arial" w:hAnsi="Arial" w:cs="Arial"/>
          <w:sz w:val="20"/>
        </w:rPr>
        <w:t xml:space="preserve"> others.  Magistrate Power considers that the jury is still out on the existence </w:t>
      </w:r>
      <w:r w:rsidR="00F97169">
        <w:rPr>
          <w:rFonts w:ascii="Arial" w:hAnsi="Arial" w:cs="Arial"/>
          <w:sz w:val="20"/>
        </w:rPr>
        <w:t>and/</w:t>
      </w:r>
      <w:r w:rsidR="00C243E1">
        <w:rPr>
          <w:rFonts w:ascii="Arial" w:hAnsi="Arial" w:cs="Arial"/>
          <w:sz w:val="20"/>
        </w:rPr>
        <w:t xml:space="preserve">or nature of any causal link between frequency of parental contact and likelihood of reunification.  </w:t>
      </w:r>
      <w:r w:rsidR="00683198">
        <w:rPr>
          <w:rFonts w:ascii="Arial" w:hAnsi="Arial" w:cs="Arial"/>
          <w:sz w:val="20"/>
        </w:rPr>
        <w:t xml:space="preserve">However, </w:t>
      </w:r>
      <w:r w:rsidR="00C243E1">
        <w:rPr>
          <w:rFonts w:ascii="Arial" w:hAnsi="Arial" w:cs="Arial"/>
          <w:sz w:val="20"/>
        </w:rPr>
        <w:t xml:space="preserve">Magistrate Power also queries whether there </w:t>
      </w:r>
      <w:r w:rsidR="007270A9">
        <w:rPr>
          <w:rFonts w:ascii="Arial" w:hAnsi="Arial" w:cs="Arial"/>
          <w:sz w:val="20"/>
        </w:rPr>
        <w:t>w</w:t>
      </w:r>
      <w:r w:rsidR="00C243E1">
        <w:rPr>
          <w:rFonts w:ascii="Arial" w:hAnsi="Arial" w:cs="Arial"/>
          <w:sz w:val="20"/>
        </w:rPr>
        <w:t xml:space="preserve">as too </w:t>
      </w:r>
      <w:r w:rsidR="00323CA3">
        <w:rPr>
          <w:rFonts w:ascii="Arial" w:hAnsi="Arial" w:cs="Arial"/>
          <w:sz w:val="20"/>
        </w:rPr>
        <w:t>much emphasis in this study on the goal of reunification.  Surely the ultimate aim of contact between a child and a non-custodial parent is to develop the best possible parent-ch</w:t>
      </w:r>
      <w:r w:rsidR="00F97169">
        <w:rPr>
          <w:rFonts w:ascii="Arial" w:hAnsi="Arial" w:cs="Arial"/>
          <w:sz w:val="20"/>
        </w:rPr>
        <w:t xml:space="preserve">ild relationship whether </w:t>
      </w:r>
      <w:r w:rsidR="00323CA3">
        <w:rPr>
          <w:rFonts w:ascii="Arial" w:hAnsi="Arial" w:cs="Arial"/>
          <w:sz w:val="20"/>
        </w:rPr>
        <w:t>reunification is ultimately achiev</w:t>
      </w:r>
      <w:r w:rsidR="00D32674">
        <w:rPr>
          <w:rFonts w:ascii="Arial" w:hAnsi="Arial" w:cs="Arial"/>
          <w:sz w:val="20"/>
        </w:rPr>
        <w:t>ed</w:t>
      </w:r>
      <w:r w:rsidR="00F97169">
        <w:rPr>
          <w:rFonts w:ascii="Arial" w:hAnsi="Arial" w:cs="Arial"/>
          <w:sz w:val="20"/>
        </w:rPr>
        <w:t xml:space="preserve"> or not</w:t>
      </w:r>
      <w:r w:rsidR="00323CA3">
        <w:rPr>
          <w:rFonts w:ascii="Arial" w:hAnsi="Arial" w:cs="Arial"/>
          <w:sz w:val="20"/>
        </w:rPr>
        <w:t xml:space="preserve">.  </w:t>
      </w:r>
      <w:r w:rsidR="00683198">
        <w:rPr>
          <w:rFonts w:ascii="Arial" w:hAnsi="Arial" w:cs="Arial"/>
          <w:sz w:val="20"/>
        </w:rPr>
        <w:t>On one view, t</w:t>
      </w:r>
      <w:r w:rsidR="00F97169">
        <w:rPr>
          <w:rFonts w:ascii="Arial" w:hAnsi="Arial" w:cs="Arial"/>
          <w:sz w:val="20"/>
        </w:rPr>
        <w:t>hat is what Article 9.3 of the United Nations Convention on the Rights of the Child and s.10(3) of the CYFA are all about.</w:t>
      </w:r>
    </w:p>
    <w:p w14:paraId="7871E60B" w14:textId="77777777" w:rsidR="00110B6F" w:rsidRDefault="00110B6F" w:rsidP="001B003A">
      <w:pPr>
        <w:jc w:val="both"/>
        <w:rPr>
          <w:rFonts w:ascii="Arial" w:hAnsi="Arial" w:cs="Arial"/>
          <w:sz w:val="20"/>
        </w:rPr>
      </w:pPr>
    </w:p>
    <w:p w14:paraId="44931DA5" w14:textId="77777777" w:rsidR="00030E96" w:rsidRPr="001B003A" w:rsidRDefault="00030E96" w:rsidP="00C41F4C">
      <w:pPr>
        <w:keepNext/>
        <w:keepLines/>
        <w:numPr>
          <w:ilvl w:val="2"/>
          <w:numId w:val="15"/>
        </w:numPr>
        <w:tabs>
          <w:tab w:val="clear" w:pos="2340"/>
        </w:tabs>
        <w:ind w:left="357" w:hanging="357"/>
        <w:jc w:val="both"/>
        <w:rPr>
          <w:rFonts w:ascii="Arial" w:hAnsi="Arial" w:cs="Arial"/>
          <w:b/>
          <w:sz w:val="20"/>
        </w:rPr>
      </w:pPr>
      <w:r w:rsidRPr="001B003A">
        <w:rPr>
          <w:rFonts w:ascii="Arial" w:hAnsi="Arial" w:cs="Arial"/>
          <w:b/>
          <w:sz w:val="20"/>
        </w:rPr>
        <w:t>What is the evidence of the impact on infants of family contact arrangements?</w:t>
      </w:r>
    </w:p>
    <w:p w14:paraId="5AE52146" w14:textId="77777777" w:rsidR="001B003A" w:rsidRDefault="00F97169" w:rsidP="00C41F4C">
      <w:pPr>
        <w:keepNext/>
        <w:keepLines/>
        <w:spacing w:before="120"/>
        <w:jc w:val="both"/>
        <w:rPr>
          <w:rFonts w:ascii="Arial" w:hAnsi="Arial" w:cs="Arial"/>
          <w:sz w:val="20"/>
        </w:rPr>
      </w:pPr>
      <w:r>
        <w:rPr>
          <w:rFonts w:ascii="Arial" w:hAnsi="Arial" w:cs="Arial"/>
          <w:sz w:val="20"/>
        </w:rPr>
        <w:t xml:space="preserve">The themes which emerged from </w:t>
      </w:r>
      <w:r w:rsidR="00FF1EA6">
        <w:rPr>
          <w:rFonts w:ascii="Arial" w:hAnsi="Arial" w:cs="Arial"/>
          <w:sz w:val="20"/>
        </w:rPr>
        <w:t xml:space="preserve">the focus groups and brief case studies were </w:t>
      </w:r>
      <w:r>
        <w:rPr>
          <w:rFonts w:ascii="Arial" w:hAnsi="Arial" w:cs="Arial"/>
          <w:sz w:val="20"/>
        </w:rPr>
        <w:t>discussed at pp.39-64 of the report under the following headings</w:t>
      </w:r>
      <w:r w:rsidR="00FF6A22">
        <w:rPr>
          <w:rFonts w:ascii="Arial" w:hAnsi="Arial" w:cs="Arial"/>
          <w:sz w:val="20"/>
        </w:rPr>
        <w:t xml:space="preserve"> and sub-headings</w:t>
      </w:r>
      <w:r>
        <w:rPr>
          <w:rFonts w:ascii="Arial" w:hAnsi="Arial" w:cs="Arial"/>
          <w:sz w:val="20"/>
        </w:rPr>
        <w:t>:</w:t>
      </w:r>
    </w:p>
    <w:p w14:paraId="233A6E92" w14:textId="77777777" w:rsidR="00FF6A22" w:rsidRDefault="00FF6A22" w:rsidP="00CC22FC">
      <w:pPr>
        <w:numPr>
          <w:ilvl w:val="0"/>
          <w:numId w:val="34"/>
        </w:numPr>
        <w:tabs>
          <w:tab w:val="clear" w:pos="1004"/>
        </w:tabs>
        <w:spacing w:before="60"/>
        <w:ind w:left="357" w:hanging="357"/>
        <w:jc w:val="both"/>
        <w:rPr>
          <w:rFonts w:ascii="Arial" w:hAnsi="Arial" w:cs="Arial"/>
          <w:b/>
          <w:sz w:val="20"/>
        </w:rPr>
      </w:pPr>
      <w:r w:rsidRPr="00FF6A22">
        <w:rPr>
          <w:rFonts w:ascii="Arial" w:hAnsi="Arial" w:cs="Arial"/>
          <w:b/>
          <w:sz w:val="20"/>
        </w:rPr>
        <w:t>Attachment and family relationships</w:t>
      </w:r>
    </w:p>
    <w:p w14:paraId="13B09F59" w14:textId="77777777" w:rsidR="00FF6A22" w:rsidRDefault="00FF6A22" w:rsidP="00FF6A22">
      <w:pPr>
        <w:ind w:left="357"/>
        <w:jc w:val="both"/>
        <w:rPr>
          <w:rFonts w:ascii="Arial" w:hAnsi="Arial" w:cs="Arial"/>
          <w:i/>
          <w:sz w:val="20"/>
        </w:rPr>
      </w:pPr>
      <w:r w:rsidRPr="00FF6A22">
        <w:rPr>
          <w:rFonts w:ascii="Arial" w:hAnsi="Arial" w:cs="Arial"/>
          <w:i/>
          <w:sz w:val="20"/>
        </w:rPr>
        <w:t>Promoting parental relationships</w:t>
      </w:r>
    </w:p>
    <w:p w14:paraId="79DDD7AB" w14:textId="77777777" w:rsidR="00FF6A22" w:rsidRDefault="00FF6A22" w:rsidP="00FF6A22">
      <w:pPr>
        <w:ind w:left="357"/>
        <w:jc w:val="both"/>
        <w:rPr>
          <w:rFonts w:ascii="Arial" w:hAnsi="Arial" w:cs="Arial"/>
          <w:i/>
          <w:sz w:val="20"/>
        </w:rPr>
      </w:pPr>
      <w:r>
        <w:rPr>
          <w:rFonts w:ascii="Arial" w:hAnsi="Arial" w:cs="Arial"/>
          <w:i/>
          <w:sz w:val="20"/>
        </w:rPr>
        <w:t>Visits and distress</w:t>
      </w:r>
    </w:p>
    <w:p w14:paraId="4EA7C01E" w14:textId="77777777" w:rsidR="00FF6A22" w:rsidRDefault="00FF6A22" w:rsidP="00FF6A22">
      <w:pPr>
        <w:ind w:left="357"/>
        <w:jc w:val="both"/>
        <w:rPr>
          <w:rFonts w:ascii="Arial" w:hAnsi="Arial" w:cs="Arial"/>
          <w:i/>
          <w:sz w:val="20"/>
        </w:rPr>
      </w:pPr>
      <w:r>
        <w:rPr>
          <w:rFonts w:ascii="Arial" w:hAnsi="Arial" w:cs="Arial"/>
          <w:i/>
          <w:sz w:val="20"/>
        </w:rPr>
        <w:t>Enabling foster care to meet the infant’s needs</w:t>
      </w:r>
    </w:p>
    <w:p w14:paraId="148228A0" w14:textId="77777777" w:rsidR="00FF6A22" w:rsidRDefault="00FF6A22" w:rsidP="00FF6A22">
      <w:pPr>
        <w:ind w:left="357"/>
        <w:jc w:val="both"/>
        <w:rPr>
          <w:rFonts w:ascii="Arial" w:hAnsi="Arial" w:cs="Arial"/>
          <w:i/>
          <w:sz w:val="20"/>
        </w:rPr>
      </w:pPr>
      <w:r>
        <w:rPr>
          <w:rFonts w:ascii="Arial" w:hAnsi="Arial" w:cs="Arial"/>
          <w:i/>
          <w:sz w:val="20"/>
        </w:rPr>
        <w:t>High frequency family contact</w:t>
      </w:r>
    </w:p>
    <w:p w14:paraId="605D40EA" w14:textId="77777777" w:rsidR="00FF6A22" w:rsidRDefault="00FF6A22" w:rsidP="00FF6A22">
      <w:pPr>
        <w:ind w:left="357"/>
        <w:jc w:val="both"/>
        <w:rPr>
          <w:rFonts w:ascii="Arial" w:hAnsi="Arial" w:cs="Arial"/>
          <w:i/>
          <w:sz w:val="20"/>
        </w:rPr>
      </w:pPr>
      <w:r>
        <w:rPr>
          <w:rFonts w:ascii="Arial" w:hAnsi="Arial" w:cs="Arial"/>
          <w:i/>
          <w:sz w:val="20"/>
        </w:rPr>
        <w:t>Multiple strangers</w:t>
      </w:r>
    </w:p>
    <w:p w14:paraId="74903316" w14:textId="77777777" w:rsidR="00FF6A22" w:rsidRDefault="00FF6A22" w:rsidP="00FF6A22">
      <w:pPr>
        <w:ind w:left="357"/>
        <w:jc w:val="both"/>
        <w:rPr>
          <w:rFonts w:ascii="Arial" w:hAnsi="Arial" w:cs="Arial"/>
          <w:i/>
          <w:sz w:val="20"/>
        </w:rPr>
      </w:pPr>
      <w:r>
        <w:rPr>
          <w:rFonts w:ascii="Arial" w:hAnsi="Arial" w:cs="Arial"/>
          <w:i/>
          <w:sz w:val="20"/>
        </w:rPr>
        <w:t>Fathers</w:t>
      </w:r>
    </w:p>
    <w:p w14:paraId="5B04CA47" w14:textId="77777777" w:rsidR="00FF6A22" w:rsidRDefault="00FF6A22" w:rsidP="00FF6A22">
      <w:pPr>
        <w:ind w:left="357"/>
        <w:jc w:val="both"/>
        <w:rPr>
          <w:rFonts w:ascii="Arial" w:hAnsi="Arial" w:cs="Arial"/>
          <w:i/>
          <w:sz w:val="20"/>
        </w:rPr>
      </w:pPr>
      <w:r>
        <w:rPr>
          <w:rFonts w:ascii="Arial" w:hAnsi="Arial" w:cs="Arial"/>
          <w:i/>
          <w:sz w:val="20"/>
        </w:rPr>
        <w:t>Brothers and sisters</w:t>
      </w:r>
    </w:p>
    <w:p w14:paraId="61D0E639" w14:textId="77777777" w:rsidR="00FF6A22" w:rsidRDefault="00FF6A22" w:rsidP="00CC22FC">
      <w:pPr>
        <w:numPr>
          <w:ilvl w:val="0"/>
          <w:numId w:val="34"/>
        </w:numPr>
        <w:tabs>
          <w:tab w:val="clear" w:pos="1004"/>
        </w:tabs>
        <w:spacing w:before="60"/>
        <w:ind w:left="357" w:hanging="357"/>
        <w:jc w:val="both"/>
        <w:rPr>
          <w:rFonts w:ascii="Arial" w:hAnsi="Arial" w:cs="Arial"/>
          <w:b/>
          <w:sz w:val="20"/>
        </w:rPr>
      </w:pPr>
      <w:r>
        <w:rPr>
          <w:rFonts w:ascii="Arial" w:hAnsi="Arial" w:cs="Arial"/>
          <w:b/>
          <w:sz w:val="20"/>
        </w:rPr>
        <w:t>Physical well-being</w:t>
      </w:r>
    </w:p>
    <w:p w14:paraId="261D1025" w14:textId="77777777" w:rsidR="00FF6A22" w:rsidRDefault="00FF6A22" w:rsidP="00FF6A22">
      <w:pPr>
        <w:ind w:left="357"/>
        <w:jc w:val="both"/>
        <w:rPr>
          <w:rFonts w:ascii="Arial" w:hAnsi="Arial" w:cs="Arial"/>
          <w:i/>
          <w:sz w:val="20"/>
        </w:rPr>
      </w:pPr>
      <w:r>
        <w:rPr>
          <w:rFonts w:ascii="Arial" w:hAnsi="Arial" w:cs="Arial"/>
          <w:i/>
          <w:sz w:val="20"/>
        </w:rPr>
        <w:t>Infant travel</w:t>
      </w:r>
    </w:p>
    <w:p w14:paraId="44012373" w14:textId="77777777" w:rsidR="00FF6A22" w:rsidRDefault="00FF6A22" w:rsidP="00FF6A22">
      <w:pPr>
        <w:ind w:left="357"/>
        <w:jc w:val="both"/>
        <w:rPr>
          <w:rFonts w:ascii="Arial" w:hAnsi="Arial" w:cs="Arial"/>
          <w:i/>
          <w:sz w:val="20"/>
        </w:rPr>
      </w:pPr>
      <w:r>
        <w:rPr>
          <w:rFonts w:ascii="Arial" w:hAnsi="Arial" w:cs="Arial"/>
          <w:i/>
          <w:sz w:val="20"/>
        </w:rPr>
        <w:t>Disrupted routines</w:t>
      </w:r>
    </w:p>
    <w:p w14:paraId="7AB9BB9B" w14:textId="77777777" w:rsidR="00FF6A22" w:rsidRDefault="00FF6A22" w:rsidP="00CC22FC">
      <w:pPr>
        <w:numPr>
          <w:ilvl w:val="0"/>
          <w:numId w:val="34"/>
        </w:numPr>
        <w:tabs>
          <w:tab w:val="clear" w:pos="1004"/>
        </w:tabs>
        <w:spacing w:before="60"/>
        <w:ind w:left="357" w:hanging="357"/>
        <w:jc w:val="both"/>
        <w:rPr>
          <w:rFonts w:ascii="Arial" w:hAnsi="Arial" w:cs="Arial"/>
          <w:b/>
          <w:sz w:val="20"/>
        </w:rPr>
      </w:pPr>
      <w:r>
        <w:rPr>
          <w:rFonts w:ascii="Arial" w:hAnsi="Arial" w:cs="Arial"/>
          <w:b/>
          <w:sz w:val="20"/>
        </w:rPr>
        <w:t>Facilitators and barriers to good family contact</w:t>
      </w:r>
    </w:p>
    <w:p w14:paraId="425F186D" w14:textId="77777777" w:rsidR="00FF6A22" w:rsidRDefault="00FF6A22" w:rsidP="00FF6A22">
      <w:pPr>
        <w:ind w:left="357"/>
        <w:jc w:val="both"/>
        <w:rPr>
          <w:rFonts w:ascii="Arial" w:hAnsi="Arial" w:cs="Arial"/>
          <w:i/>
          <w:sz w:val="20"/>
        </w:rPr>
      </w:pPr>
      <w:r>
        <w:rPr>
          <w:rFonts w:ascii="Arial" w:hAnsi="Arial" w:cs="Arial"/>
          <w:i/>
          <w:sz w:val="20"/>
        </w:rPr>
        <w:t>Parents’ travel</w:t>
      </w:r>
    </w:p>
    <w:p w14:paraId="5538F5D2" w14:textId="77777777" w:rsidR="00FF6A22" w:rsidRDefault="00FF6A22" w:rsidP="00FF6A22">
      <w:pPr>
        <w:ind w:left="357"/>
        <w:jc w:val="both"/>
        <w:rPr>
          <w:rFonts w:ascii="Arial" w:hAnsi="Arial" w:cs="Arial"/>
          <w:i/>
          <w:sz w:val="20"/>
        </w:rPr>
      </w:pPr>
      <w:r>
        <w:rPr>
          <w:rFonts w:ascii="Arial" w:hAnsi="Arial" w:cs="Arial"/>
          <w:i/>
          <w:sz w:val="20"/>
        </w:rPr>
        <w:t>Unsuitable physical environment</w:t>
      </w:r>
    </w:p>
    <w:p w14:paraId="053B6C88" w14:textId="77777777" w:rsidR="00FF6A22" w:rsidRDefault="00FF6A22" w:rsidP="00FF6A22">
      <w:pPr>
        <w:ind w:left="357"/>
        <w:jc w:val="both"/>
        <w:rPr>
          <w:rFonts w:ascii="Arial" w:hAnsi="Arial" w:cs="Arial"/>
          <w:i/>
          <w:sz w:val="20"/>
        </w:rPr>
      </w:pPr>
      <w:r>
        <w:rPr>
          <w:rFonts w:ascii="Arial" w:hAnsi="Arial" w:cs="Arial"/>
          <w:i/>
          <w:sz w:val="20"/>
        </w:rPr>
        <w:t>Visits in kinship care</w:t>
      </w:r>
    </w:p>
    <w:p w14:paraId="53BF5ED1" w14:textId="77777777" w:rsidR="00FF6A22" w:rsidRDefault="00FF6A22" w:rsidP="00FF6A22">
      <w:pPr>
        <w:ind w:left="357"/>
        <w:jc w:val="both"/>
        <w:rPr>
          <w:rFonts w:ascii="Arial" w:hAnsi="Arial" w:cs="Arial"/>
          <w:i/>
          <w:sz w:val="20"/>
        </w:rPr>
      </w:pPr>
      <w:r>
        <w:rPr>
          <w:rFonts w:ascii="Arial" w:hAnsi="Arial" w:cs="Arial"/>
          <w:i/>
          <w:sz w:val="20"/>
        </w:rPr>
        <w:t>Alternatives</w:t>
      </w:r>
    </w:p>
    <w:p w14:paraId="6FA567B7" w14:textId="77777777" w:rsidR="00FF6A22" w:rsidRDefault="00FF6A22" w:rsidP="00FF6A22">
      <w:pPr>
        <w:ind w:left="357"/>
        <w:jc w:val="both"/>
        <w:rPr>
          <w:rFonts w:ascii="Arial" w:hAnsi="Arial" w:cs="Arial"/>
          <w:i/>
          <w:sz w:val="20"/>
        </w:rPr>
      </w:pPr>
      <w:r>
        <w:rPr>
          <w:rFonts w:ascii="Arial" w:hAnsi="Arial" w:cs="Arial"/>
          <w:i/>
          <w:sz w:val="20"/>
        </w:rPr>
        <w:t>Purpose designed family contact centres</w:t>
      </w:r>
    </w:p>
    <w:p w14:paraId="3788D7FC" w14:textId="77777777" w:rsidR="00FF6A22" w:rsidRDefault="00FF6A22" w:rsidP="00FF6A22">
      <w:pPr>
        <w:ind w:left="357"/>
        <w:jc w:val="both"/>
        <w:rPr>
          <w:rFonts w:ascii="Arial" w:hAnsi="Arial" w:cs="Arial"/>
          <w:i/>
          <w:sz w:val="20"/>
        </w:rPr>
      </w:pPr>
      <w:r>
        <w:rPr>
          <w:rFonts w:ascii="Arial" w:hAnsi="Arial" w:cs="Arial"/>
          <w:i/>
          <w:sz w:val="20"/>
        </w:rPr>
        <w:t>Support and education for families during visits with infants</w:t>
      </w:r>
    </w:p>
    <w:p w14:paraId="17D2A5CE" w14:textId="77777777" w:rsidR="00FF6A22" w:rsidRPr="00FF6A22" w:rsidRDefault="00FF6A22" w:rsidP="00CC22FC">
      <w:pPr>
        <w:numPr>
          <w:ilvl w:val="0"/>
          <w:numId w:val="34"/>
        </w:numPr>
        <w:tabs>
          <w:tab w:val="clear" w:pos="1004"/>
        </w:tabs>
        <w:spacing w:before="60"/>
        <w:ind w:left="357" w:hanging="357"/>
        <w:jc w:val="both"/>
        <w:rPr>
          <w:rFonts w:ascii="Arial" w:hAnsi="Arial" w:cs="Arial"/>
          <w:b/>
          <w:sz w:val="20"/>
        </w:rPr>
      </w:pPr>
      <w:r>
        <w:rPr>
          <w:rFonts w:ascii="Arial" w:hAnsi="Arial" w:cs="Arial"/>
          <w:b/>
          <w:sz w:val="20"/>
        </w:rPr>
        <w:t>Systems issues</w:t>
      </w:r>
    </w:p>
    <w:p w14:paraId="072F9FB7" w14:textId="77777777" w:rsidR="00FF6A22" w:rsidRDefault="00FF6A22" w:rsidP="00FF6A22">
      <w:pPr>
        <w:ind w:left="357"/>
        <w:jc w:val="both"/>
        <w:rPr>
          <w:rFonts w:ascii="Arial" w:hAnsi="Arial" w:cs="Arial"/>
          <w:i/>
          <w:sz w:val="20"/>
        </w:rPr>
      </w:pPr>
      <w:r>
        <w:rPr>
          <w:rFonts w:ascii="Arial" w:hAnsi="Arial" w:cs="Arial"/>
          <w:i/>
          <w:sz w:val="20"/>
        </w:rPr>
        <w:t>The adversarial Court system</w:t>
      </w:r>
    </w:p>
    <w:p w14:paraId="490ED4B8" w14:textId="77777777" w:rsidR="00FF6A22" w:rsidRDefault="00DA014A" w:rsidP="00FF6A22">
      <w:pPr>
        <w:ind w:left="357"/>
        <w:jc w:val="both"/>
        <w:rPr>
          <w:rFonts w:ascii="Arial" w:hAnsi="Arial" w:cs="Arial"/>
          <w:i/>
          <w:sz w:val="20"/>
        </w:rPr>
      </w:pPr>
      <w:r>
        <w:rPr>
          <w:rFonts w:ascii="Arial" w:hAnsi="Arial" w:cs="Arial"/>
          <w:i/>
          <w:sz w:val="20"/>
        </w:rPr>
        <w:t>Timelines for the decision-making process</w:t>
      </w:r>
    </w:p>
    <w:p w14:paraId="59037B3F" w14:textId="77777777" w:rsidR="00DA014A" w:rsidRDefault="00DA014A" w:rsidP="002D2474">
      <w:pPr>
        <w:keepNext/>
        <w:keepLines/>
        <w:ind w:left="357"/>
        <w:jc w:val="both"/>
        <w:rPr>
          <w:rFonts w:ascii="Arial" w:hAnsi="Arial" w:cs="Arial"/>
          <w:i/>
          <w:sz w:val="20"/>
        </w:rPr>
      </w:pPr>
      <w:r>
        <w:rPr>
          <w:rFonts w:ascii="Arial" w:hAnsi="Arial" w:cs="Arial"/>
          <w:i/>
          <w:sz w:val="20"/>
        </w:rPr>
        <w:t>DHS staff skill and communications</w:t>
      </w:r>
    </w:p>
    <w:p w14:paraId="759C0902" w14:textId="77777777" w:rsidR="00DA014A" w:rsidRDefault="00DA014A" w:rsidP="00FF6A22">
      <w:pPr>
        <w:ind w:left="357"/>
        <w:jc w:val="both"/>
        <w:rPr>
          <w:rFonts w:ascii="Arial" w:hAnsi="Arial" w:cs="Arial"/>
          <w:i/>
          <w:sz w:val="20"/>
        </w:rPr>
      </w:pPr>
      <w:r>
        <w:rPr>
          <w:rFonts w:ascii="Arial" w:hAnsi="Arial" w:cs="Arial"/>
          <w:i/>
          <w:sz w:val="20"/>
        </w:rPr>
        <w:t>DHS resources</w:t>
      </w:r>
    </w:p>
    <w:p w14:paraId="7E128BDB" w14:textId="77777777" w:rsidR="00DA014A" w:rsidRDefault="00DA014A" w:rsidP="00FF6A22">
      <w:pPr>
        <w:ind w:left="357"/>
        <w:jc w:val="both"/>
        <w:rPr>
          <w:rFonts w:ascii="Arial" w:hAnsi="Arial" w:cs="Arial"/>
          <w:i/>
          <w:sz w:val="20"/>
        </w:rPr>
      </w:pPr>
      <w:r>
        <w:rPr>
          <w:rFonts w:ascii="Arial" w:hAnsi="Arial" w:cs="Arial"/>
          <w:i/>
          <w:sz w:val="20"/>
        </w:rPr>
        <w:t>Foster carers</w:t>
      </w:r>
    </w:p>
    <w:p w14:paraId="288C53C3" w14:textId="77777777" w:rsidR="00FF6A22" w:rsidRDefault="003B2F65" w:rsidP="00FF6A22">
      <w:pPr>
        <w:spacing w:before="120"/>
        <w:jc w:val="both"/>
        <w:rPr>
          <w:rFonts w:ascii="Arial" w:hAnsi="Arial" w:cs="Arial"/>
          <w:sz w:val="20"/>
        </w:rPr>
      </w:pPr>
      <w:r>
        <w:rPr>
          <w:rFonts w:ascii="Arial" w:hAnsi="Arial" w:cs="Arial"/>
          <w:sz w:val="20"/>
        </w:rPr>
        <w:t xml:space="preserve">It seems to Magistrate Power that this was </w:t>
      </w:r>
      <w:r w:rsidR="00EC64A6">
        <w:rPr>
          <w:rFonts w:ascii="Arial" w:hAnsi="Arial" w:cs="Arial"/>
          <w:sz w:val="20"/>
        </w:rPr>
        <w:t xml:space="preserve">by far </w:t>
      </w:r>
      <w:r>
        <w:rPr>
          <w:rFonts w:ascii="Arial" w:hAnsi="Arial" w:cs="Arial"/>
          <w:sz w:val="20"/>
        </w:rPr>
        <w:t xml:space="preserve">the least satisfactory </w:t>
      </w:r>
      <w:r w:rsidR="007C5324">
        <w:rPr>
          <w:rFonts w:ascii="Arial" w:hAnsi="Arial" w:cs="Arial"/>
          <w:sz w:val="20"/>
        </w:rPr>
        <w:t>section</w:t>
      </w:r>
      <w:r>
        <w:rPr>
          <w:rFonts w:ascii="Arial" w:hAnsi="Arial" w:cs="Arial"/>
          <w:sz w:val="20"/>
        </w:rPr>
        <w:t xml:space="preserve"> of the </w:t>
      </w:r>
      <w:r w:rsidR="007C5324">
        <w:rPr>
          <w:rFonts w:ascii="Arial" w:hAnsi="Arial" w:cs="Arial"/>
          <w:sz w:val="20"/>
        </w:rPr>
        <w:t xml:space="preserve">“Baby on Board” </w:t>
      </w:r>
      <w:r>
        <w:rPr>
          <w:rFonts w:ascii="Arial" w:hAnsi="Arial" w:cs="Arial"/>
          <w:sz w:val="20"/>
        </w:rPr>
        <w:t xml:space="preserve">report.  It relied heavily on </w:t>
      </w:r>
      <w:r w:rsidR="00EC64A6">
        <w:rPr>
          <w:rFonts w:ascii="Arial" w:hAnsi="Arial" w:cs="Arial"/>
          <w:sz w:val="20"/>
        </w:rPr>
        <w:t xml:space="preserve">anecdotal material and </w:t>
      </w:r>
      <w:r w:rsidR="0059647D">
        <w:rPr>
          <w:rFonts w:ascii="Arial" w:hAnsi="Arial" w:cs="Arial"/>
          <w:sz w:val="20"/>
        </w:rPr>
        <w:t>opinions</w:t>
      </w:r>
      <w:r>
        <w:rPr>
          <w:rFonts w:ascii="Arial" w:hAnsi="Arial" w:cs="Arial"/>
          <w:sz w:val="20"/>
        </w:rPr>
        <w:t xml:space="preserve"> –</w:t>
      </w:r>
      <w:r w:rsidR="00EC64A6">
        <w:rPr>
          <w:rFonts w:ascii="Arial" w:hAnsi="Arial" w:cs="Arial"/>
          <w:sz w:val="20"/>
        </w:rPr>
        <w:t xml:space="preserve"> to some extent </w:t>
      </w:r>
      <w:r>
        <w:rPr>
          <w:rFonts w:ascii="Arial" w:hAnsi="Arial" w:cs="Arial"/>
          <w:sz w:val="20"/>
        </w:rPr>
        <w:t xml:space="preserve">unsolicited </w:t>
      </w:r>
      <w:r w:rsidR="007C5324">
        <w:rPr>
          <w:rFonts w:ascii="Arial" w:hAnsi="Arial" w:cs="Arial"/>
          <w:sz w:val="20"/>
        </w:rPr>
        <w:t xml:space="preserve">anecdotal </w:t>
      </w:r>
      <w:r w:rsidR="0059647D">
        <w:rPr>
          <w:rFonts w:ascii="Arial" w:hAnsi="Arial" w:cs="Arial"/>
          <w:sz w:val="20"/>
        </w:rPr>
        <w:t>opinions</w:t>
      </w:r>
      <w:r>
        <w:rPr>
          <w:rFonts w:ascii="Arial" w:hAnsi="Arial" w:cs="Arial"/>
          <w:sz w:val="20"/>
        </w:rPr>
        <w:t xml:space="preserve"> – provided by members of interest groups who could reasonably be expected to have </w:t>
      </w:r>
      <w:r w:rsidR="007C5324">
        <w:rPr>
          <w:rFonts w:ascii="Arial" w:hAnsi="Arial" w:cs="Arial"/>
          <w:sz w:val="20"/>
        </w:rPr>
        <w:t xml:space="preserve">had </w:t>
      </w:r>
      <w:r>
        <w:rPr>
          <w:rFonts w:ascii="Arial" w:hAnsi="Arial" w:cs="Arial"/>
          <w:sz w:val="20"/>
        </w:rPr>
        <w:t xml:space="preserve">their own particular agendas.  While it is true that there was consistency in most of the themes which emerged from </w:t>
      </w:r>
      <w:r w:rsidR="00480DB1">
        <w:rPr>
          <w:rFonts w:ascii="Arial" w:hAnsi="Arial" w:cs="Arial"/>
          <w:sz w:val="20"/>
        </w:rPr>
        <w:t>most</w:t>
      </w:r>
      <w:r>
        <w:rPr>
          <w:rFonts w:ascii="Arial" w:hAnsi="Arial" w:cs="Arial"/>
          <w:sz w:val="20"/>
        </w:rPr>
        <w:t xml:space="preserve"> of the 11 focus groups, the Legal Aid lawyers </w:t>
      </w:r>
      <w:r w:rsidR="0059647D">
        <w:rPr>
          <w:rFonts w:ascii="Arial" w:hAnsi="Arial" w:cs="Arial"/>
          <w:sz w:val="20"/>
        </w:rPr>
        <w:t>(</w:t>
      </w:r>
      <w:r>
        <w:rPr>
          <w:rFonts w:ascii="Arial" w:hAnsi="Arial" w:cs="Arial"/>
          <w:sz w:val="20"/>
        </w:rPr>
        <w:t xml:space="preserve">who act as advocates for </w:t>
      </w:r>
      <w:r w:rsidR="00EC64A6">
        <w:rPr>
          <w:rFonts w:ascii="Arial" w:hAnsi="Arial" w:cs="Arial"/>
          <w:sz w:val="20"/>
        </w:rPr>
        <w:t xml:space="preserve">many of </w:t>
      </w:r>
      <w:r>
        <w:rPr>
          <w:rFonts w:ascii="Arial" w:hAnsi="Arial" w:cs="Arial"/>
          <w:sz w:val="20"/>
        </w:rPr>
        <w:t xml:space="preserve">the parents and children </w:t>
      </w:r>
      <w:r w:rsidR="0059647D">
        <w:rPr>
          <w:rFonts w:ascii="Arial" w:hAnsi="Arial" w:cs="Arial"/>
          <w:sz w:val="20"/>
        </w:rPr>
        <w:t xml:space="preserve">in the Children’s Court) expressed a very different view on </w:t>
      </w:r>
      <w:r w:rsidR="00C05682">
        <w:rPr>
          <w:rFonts w:ascii="Arial" w:hAnsi="Arial" w:cs="Arial"/>
          <w:sz w:val="20"/>
        </w:rPr>
        <w:t>a large number</w:t>
      </w:r>
      <w:r w:rsidR="0059647D">
        <w:rPr>
          <w:rFonts w:ascii="Arial" w:hAnsi="Arial" w:cs="Arial"/>
          <w:sz w:val="20"/>
        </w:rPr>
        <w:t xml:space="preserve"> of the issues discussed.</w:t>
      </w:r>
    </w:p>
    <w:p w14:paraId="2A76156A" w14:textId="77777777" w:rsidR="001B003A" w:rsidRDefault="001B003A" w:rsidP="001B003A">
      <w:pPr>
        <w:jc w:val="both"/>
        <w:rPr>
          <w:rFonts w:ascii="Arial" w:hAnsi="Arial" w:cs="Arial"/>
          <w:sz w:val="20"/>
        </w:rPr>
      </w:pPr>
    </w:p>
    <w:p w14:paraId="0F20587B" w14:textId="77777777" w:rsidR="00030E96" w:rsidRPr="001B003A" w:rsidRDefault="00030E96" w:rsidP="008D0BD2">
      <w:pPr>
        <w:keepNext/>
        <w:keepLines/>
        <w:numPr>
          <w:ilvl w:val="2"/>
          <w:numId w:val="15"/>
        </w:numPr>
        <w:tabs>
          <w:tab w:val="clear" w:pos="2340"/>
        </w:tabs>
        <w:ind w:left="357" w:hanging="357"/>
        <w:jc w:val="both"/>
        <w:rPr>
          <w:rFonts w:ascii="Arial" w:hAnsi="Arial" w:cs="Arial"/>
          <w:b/>
          <w:sz w:val="20"/>
        </w:rPr>
      </w:pPr>
      <w:r w:rsidRPr="001B003A">
        <w:rPr>
          <w:rFonts w:ascii="Arial" w:hAnsi="Arial" w:cs="Arial"/>
          <w:b/>
          <w:sz w:val="20"/>
        </w:rPr>
        <w:lastRenderedPageBreak/>
        <w:t>What are directions for good practice in this area?</w:t>
      </w:r>
    </w:p>
    <w:p w14:paraId="66EF1968" w14:textId="77777777" w:rsidR="00BD5B08" w:rsidRDefault="00D14E5B" w:rsidP="001B003A">
      <w:pPr>
        <w:spacing w:before="120"/>
        <w:jc w:val="both"/>
        <w:rPr>
          <w:rFonts w:ascii="Arial" w:hAnsi="Arial" w:cs="Arial"/>
          <w:sz w:val="20"/>
        </w:rPr>
      </w:pPr>
      <w:r>
        <w:rPr>
          <w:rFonts w:ascii="Arial" w:hAnsi="Arial" w:cs="Arial"/>
          <w:sz w:val="20"/>
        </w:rPr>
        <w:t xml:space="preserve">The report lists at pp.66-67 </w:t>
      </w:r>
      <w:r w:rsidR="00F1312D">
        <w:rPr>
          <w:rFonts w:ascii="Arial" w:hAnsi="Arial" w:cs="Arial"/>
          <w:sz w:val="20"/>
        </w:rPr>
        <w:t xml:space="preserve">a </w:t>
      </w:r>
      <w:r w:rsidR="00F97A9C">
        <w:rPr>
          <w:rFonts w:ascii="Arial" w:hAnsi="Arial" w:cs="Arial"/>
          <w:sz w:val="20"/>
        </w:rPr>
        <w:t>number of</w:t>
      </w:r>
      <w:r w:rsidR="00F1312D">
        <w:rPr>
          <w:rFonts w:ascii="Arial" w:hAnsi="Arial" w:cs="Arial"/>
          <w:sz w:val="20"/>
        </w:rPr>
        <w:t xml:space="preserve"> directions for good practice</w:t>
      </w:r>
      <w:r w:rsidR="00DD5297">
        <w:rPr>
          <w:rFonts w:ascii="Arial" w:hAnsi="Arial" w:cs="Arial"/>
          <w:sz w:val="20"/>
        </w:rPr>
        <w:t xml:space="preserve"> which may be summarized as follows</w:t>
      </w:r>
      <w:r w:rsidR="00F1312D">
        <w:rPr>
          <w:rFonts w:ascii="Arial" w:hAnsi="Arial" w:cs="Arial"/>
          <w:sz w:val="20"/>
        </w:rPr>
        <w:t>:</w:t>
      </w:r>
    </w:p>
    <w:p w14:paraId="7DAEA9DB" w14:textId="77777777" w:rsidR="00F1312D" w:rsidRDefault="00F1312D" w:rsidP="00CC22FC">
      <w:pPr>
        <w:numPr>
          <w:ilvl w:val="0"/>
          <w:numId w:val="35"/>
        </w:numPr>
        <w:tabs>
          <w:tab w:val="clear" w:pos="1004"/>
        </w:tabs>
        <w:spacing w:before="60"/>
        <w:ind w:left="357" w:hanging="357"/>
        <w:jc w:val="both"/>
        <w:rPr>
          <w:rFonts w:ascii="Arial" w:hAnsi="Arial" w:cs="Arial"/>
          <w:sz w:val="20"/>
        </w:rPr>
      </w:pPr>
      <w:r>
        <w:rPr>
          <w:rFonts w:ascii="Arial" w:hAnsi="Arial" w:cs="Arial"/>
          <w:sz w:val="20"/>
        </w:rPr>
        <w:t>A focus on quality rather than quantity of parental contact for infants is needed.</w:t>
      </w:r>
      <w:r w:rsidR="00DD5297">
        <w:rPr>
          <w:rFonts w:ascii="Arial" w:hAnsi="Arial" w:cs="Arial"/>
          <w:sz w:val="20"/>
        </w:rPr>
        <w:t xml:space="preserve">  In particular, the disruption to an infant’s secure base </w:t>
      </w:r>
    </w:p>
    <w:p w14:paraId="30B73929" w14:textId="77777777" w:rsidR="00F1312D" w:rsidRDefault="00DD5297" w:rsidP="00CC22FC">
      <w:pPr>
        <w:numPr>
          <w:ilvl w:val="0"/>
          <w:numId w:val="35"/>
        </w:numPr>
        <w:tabs>
          <w:tab w:val="clear" w:pos="1004"/>
        </w:tabs>
        <w:spacing w:before="60"/>
        <w:ind w:left="357" w:hanging="357"/>
        <w:jc w:val="both"/>
        <w:rPr>
          <w:rFonts w:ascii="Arial" w:hAnsi="Arial" w:cs="Arial"/>
          <w:sz w:val="20"/>
        </w:rPr>
      </w:pPr>
      <w:r>
        <w:rPr>
          <w:rFonts w:ascii="Arial" w:hAnsi="Arial" w:cs="Arial"/>
          <w:sz w:val="20"/>
        </w:rPr>
        <w:t>The focus of reform lies with the development of services for infants and vulnerable parents that situate family contact within services that support the infant-parent relationship, family strengthening and family reunification.</w:t>
      </w:r>
    </w:p>
    <w:p w14:paraId="0018A474" w14:textId="77777777" w:rsidR="00DD5297" w:rsidRDefault="00DD5297" w:rsidP="00CC22FC">
      <w:pPr>
        <w:numPr>
          <w:ilvl w:val="0"/>
          <w:numId w:val="35"/>
        </w:numPr>
        <w:tabs>
          <w:tab w:val="clear" w:pos="1004"/>
        </w:tabs>
        <w:spacing w:before="60"/>
        <w:ind w:left="357" w:hanging="357"/>
        <w:jc w:val="both"/>
        <w:rPr>
          <w:rFonts w:ascii="Arial" w:hAnsi="Arial" w:cs="Arial"/>
          <w:sz w:val="20"/>
        </w:rPr>
      </w:pPr>
      <w:r>
        <w:rPr>
          <w:rFonts w:ascii="Arial" w:hAnsi="Arial" w:cs="Arial"/>
          <w:sz w:val="20"/>
        </w:rPr>
        <w:t xml:space="preserve">Kinship care is affirmed as avoiding many of the travel and associated problems for parental contact which occur in foster care.  Consideration might also be given to exploring the possibility of a pilot foster care program for mothers and infants together, such as occurs in the </w:t>
      </w:r>
      <w:smartTag w:uri="urn:schemas-microsoft-com:office:smarttags" w:element="country-region">
        <w:smartTag w:uri="urn:schemas-microsoft-com:office:smarttags" w:element="place">
          <w:r>
            <w:rPr>
              <w:rFonts w:ascii="Arial" w:hAnsi="Arial" w:cs="Arial"/>
              <w:sz w:val="20"/>
            </w:rPr>
            <w:t>United Kingdom</w:t>
          </w:r>
        </w:smartTag>
      </w:smartTag>
      <w:r>
        <w:rPr>
          <w:rFonts w:ascii="Arial" w:hAnsi="Arial" w:cs="Arial"/>
          <w:sz w:val="20"/>
        </w:rPr>
        <w:t>.</w:t>
      </w:r>
    </w:p>
    <w:p w14:paraId="4C699F5A" w14:textId="77777777" w:rsidR="00420450" w:rsidRDefault="00265682" w:rsidP="00CC22FC">
      <w:pPr>
        <w:numPr>
          <w:ilvl w:val="0"/>
          <w:numId w:val="35"/>
        </w:numPr>
        <w:tabs>
          <w:tab w:val="clear" w:pos="1004"/>
        </w:tabs>
        <w:spacing w:before="60"/>
        <w:ind w:left="357" w:hanging="357"/>
        <w:jc w:val="both"/>
        <w:rPr>
          <w:rFonts w:ascii="Arial" w:hAnsi="Arial" w:cs="Arial"/>
          <w:sz w:val="20"/>
        </w:rPr>
      </w:pPr>
      <w:r>
        <w:rPr>
          <w:rFonts w:ascii="Arial" w:hAnsi="Arial" w:cs="Arial"/>
          <w:sz w:val="20"/>
        </w:rPr>
        <w:t>Specialist, skilled staff are needed to supervise family visiting to provide support, to intervene therapeutically with disturbed infant-parent attachment relationships and to model parenting skills.  This work should be separate from Child Protection but should inform decisions.</w:t>
      </w:r>
    </w:p>
    <w:p w14:paraId="0B1315CB" w14:textId="77777777" w:rsidR="00265682" w:rsidRDefault="00265682" w:rsidP="00043E5F">
      <w:pPr>
        <w:keepNext/>
        <w:keepLines/>
        <w:numPr>
          <w:ilvl w:val="0"/>
          <w:numId w:val="35"/>
        </w:numPr>
        <w:tabs>
          <w:tab w:val="clear" w:pos="1004"/>
        </w:tabs>
        <w:spacing w:before="60"/>
        <w:ind w:left="357" w:hanging="357"/>
        <w:jc w:val="both"/>
        <w:rPr>
          <w:rFonts w:ascii="Arial" w:hAnsi="Arial" w:cs="Arial"/>
          <w:sz w:val="20"/>
        </w:rPr>
      </w:pPr>
      <w:r>
        <w:rPr>
          <w:rFonts w:ascii="Arial" w:hAnsi="Arial" w:cs="Arial"/>
          <w:sz w:val="20"/>
        </w:rPr>
        <w:t xml:space="preserve">The infant needs personal support during parental visits, ideally from the caregiver.  Where this is not possible, support should be from another one or two persons who are well-known to the infant </w:t>
      </w:r>
      <w:r w:rsidR="001A70FC">
        <w:rPr>
          <w:rFonts w:ascii="Arial" w:hAnsi="Arial" w:cs="Arial"/>
          <w:sz w:val="20"/>
        </w:rPr>
        <w:t>providing him/her with a secure base for the visit.  The involvement of multiple strangers in family contact arrangements is damaging to infants’ development.</w:t>
      </w:r>
    </w:p>
    <w:p w14:paraId="7637C28B" w14:textId="77777777" w:rsidR="00265682" w:rsidRDefault="00265682" w:rsidP="00CC22FC">
      <w:pPr>
        <w:numPr>
          <w:ilvl w:val="0"/>
          <w:numId w:val="35"/>
        </w:numPr>
        <w:tabs>
          <w:tab w:val="clear" w:pos="1004"/>
        </w:tabs>
        <w:spacing w:before="60"/>
        <w:ind w:left="357" w:hanging="357"/>
        <w:jc w:val="both"/>
        <w:rPr>
          <w:rFonts w:ascii="Arial" w:hAnsi="Arial" w:cs="Arial"/>
          <w:sz w:val="20"/>
        </w:rPr>
      </w:pPr>
      <w:r>
        <w:rPr>
          <w:rFonts w:ascii="Arial" w:hAnsi="Arial" w:cs="Arial"/>
          <w:sz w:val="20"/>
        </w:rPr>
        <w:t>Infant travel needs to be significantly reduced.  This may be done by finding venues for parental visits that are closer to the foster carer’s home and by focussing on quality rather than quantity of visits, including the possibility of longer rather than more frequent visits in some circumstances.</w:t>
      </w:r>
    </w:p>
    <w:p w14:paraId="542F385E" w14:textId="77777777" w:rsidR="00265682" w:rsidRDefault="00265682" w:rsidP="00CC22FC">
      <w:pPr>
        <w:numPr>
          <w:ilvl w:val="0"/>
          <w:numId w:val="35"/>
        </w:numPr>
        <w:tabs>
          <w:tab w:val="clear" w:pos="1004"/>
        </w:tabs>
        <w:spacing w:before="60"/>
        <w:ind w:left="357" w:hanging="357"/>
        <w:jc w:val="both"/>
        <w:rPr>
          <w:rFonts w:ascii="Arial" w:hAnsi="Arial" w:cs="Arial"/>
          <w:sz w:val="20"/>
        </w:rPr>
      </w:pPr>
      <w:r>
        <w:rPr>
          <w:rFonts w:ascii="Arial" w:hAnsi="Arial" w:cs="Arial"/>
          <w:sz w:val="20"/>
        </w:rPr>
        <w:t>Frequency of contact will still need to vary in line with plans for parental reunification or permanency with alternative carers.</w:t>
      </w:r>
    </w:p>
    <w:p w14:paraId="32926150" w14:textId="77777777" w:rsidR="00265682" w:rsidRDefault="00265682" w:rsidP="00CC22FC">
      <w:pPr>
        <w:numPr>
          <w:ilvl w:val="0"/>
          <w:numId w:val="35"/>
        </w:numPr>
        <w:tabs>
          <w:tab w:val="clear" w:pos="1004"/>
        </w:tabs>
        <w:spacing w:before="60"/>
        <w:ind w:left="357" w:hanging="357"/>
        <w:jc w:val="both"/>
        <w:rPr>
          <w:rFonts w:ascii="Arial" w:hAnsi="Arial" w:cs="Arial"/>
          <w:sz w:val="20"/>
        </w:rPr>
      </w:pPr>
      <w:r>
        <w:rPr>
          <w:rFonts w:ascii="Arial" w:hAnsi="Arial" w:cs="Arial"/>
          <w:sz w:val="20"/>
        </w:rPr>
        <w:t>Length o</w:t>
      </w:r>
      <w:r w:rsidR="00005B83">
        <w:rPr>
          <w:rFonts w:ascii="Arial" w:hAnsi="Arial" w:cs="Arial"/>
          <w:sz w:val="20"/>
        </w:rPr>
        <w:t>f</w:t>
      </w:r>
      <w:r>
        <w:rPr>
          <w:rFonts w:ascii="Arial" w:hAnsi="Arial" w:cs="Arial"/>
          <w:sz w:val="20"/>
        </w:rPr>
        <w:t xml:space="preserve"> visits should be individually determined, developmentally informed and change as parenting capacity and the infant’s needs changed.  Longer visits would allow for a cycle of feeding, sleeping, infant care and play, all with support and education for parents provided.</w:t>
      </w:r>
    </w:p>
    <w:p w14:paraId="34AC1ADF" w14:textId="77777777" w:rsidR="00265682" w:rsidRDefault="00265682" w:rsidP="00CC22FC">
      <w:pPr>
        <w:numPr>
          <w:ilvl w:val="0"/>
          <w:numId w:val="35"/>
        </w:numPr>
        <w:tabs>
          <w:tab w:val="clear" w:pos="1004"/>
        </w:tabs>
        <w:spacing w:before="60"/>
        <w:ind w:left="357" w:hanging="357"/>
        <w:jc w:val="both"/>
        <w:rPr>
          <w:rFonts w:ascii="Arial" w:hAnsi="Arial" w:cs="Arial"/>
          <w:sz w:val="20"/>
        </w:rPr>
      </w:pPr>
      <w:r>
        <w:rPr>
          <w:rFonts w:ascii="Arial" w:hAnsi="Arial" w:cs="Arial"/>
          <w:sz w:val="20"/>
        </w:rPr>
        <w:t xml:space="preserve">A range of </w:t>
      </w:r>
      <w:r w:rsidR="001A70FC">
        <w:rPr>
          <w:rFonts w:ascii="Arial" w:hAnsi="Arial" w:cs="Arial"/>
          <w:sz w:val="20"/>
        </w:rPr>
        <w:t xml:space="preserve">more family and child friendly venues for visits is needed.  Venues need to be comfortable and supportive to parents and allow for infants’ needs including sleeping, feed and play.  There is a need to explore the possibility of more visits in the parents’ home and relatives’ homes.  </w:t>
      </w:r>
      <w:r w:rsidR="00F76283">
        <w:rPr>
          <w:rFonts w:ascii="Arial" w:hAnsi="Arial" w:cs="Arial"/>
          <w:sz w:val="20"/>
        </w:rPr>
        <w:t>E</w:t>
      </w:r>
      <w:r w:rsidR="001A70FC">
        <w:rPr>
          <w:rFonts w:ascii="Arial" w:hAnsi="Arial" w:cs="Arial"/>
          <w:sz w:val="20"/>
        </w:rPr>
        <w:t>xplor</w:t>
      </w:r>
      <w:r w:rsidR="00F76283">
        <w:rPr>
          <w:rFonts w:ascii="Arial" w:hAnsi="Arial" w:cs="Arial"/>
          <w:sz w:val="20"/>
        </w:rPr>
        <w:t>ing</w:t>
      </w:r>
      <w:r w:rsidR="001A70FC">
        <w:rPr>
          <w:rFonts w:ascii="Arial" w:hAnsi="Arial" w:cs="Arial"/>
          <w:sz w:val="20"/>
        </w:rPr>
        <w:t xml:space="preserve"> </w:t>
      </w:r>
      <w:r w:rsidR="00F76283">
        <w:rPr>
          <w:rFonts w:ascii="Arial" w:hAnsi="Arial" w:cs="Arial"/>
          <w:sz w:val="20"/>
        </w:rPr>
        <w:t>the possibility of using family contact centres within the Family Law jurisdiction</w:t>
      </w:r>
      <w:r w:rsidR="00F76283" w:rsidRPr="00F76283">
        <w:rPr>
          <w:rFonts w:ascii="Arial" w:hAnsi="Arial" w:cs="Arial"/>
          <w:sz w:val="20"/>
        </w:rPr>
        <w:t xml:space="preserve"> </w:t>
      </w:r>
      <w:r w:rsidR="00F76283">
        <w:rPr>
          <w:rFonts w:ascii="Arial" w:hAnsi="Arial" w:cs="Arial"/>
          <w:sz w:val="20"/>
        </w:rPr>
        <w:t>is highly desirable.  However, in general purpose built contact centres should not be the focus of reform although m</w:t>
      </w:r>
      <w:r w:rsidR="001A70FC">
        <w:rPr>
          <w:rFonts w:ascii="Arial" w:hAnsi="Arial" w:cs="Arial"/>
          <w:sz w:val="20"/>
        </w:rPr>
        <w:t>ore suitably designed contact cen</w:t>
      </w:r>
      <w:r w:rsidR="00F76283">
        <w:rPr>
          <w:rFonts w:ascii="Arial" w:hAnsi="Arial" w:cs="Arial"/>
          <w:sz w:val="20"/>
        </w:rPr>
        <w:t>tres may be needed in specific locations in order to reduce infant travel</w:t>
      </w:r>
      <w:r w:rsidR="001A70FC">
        <w:rPr>
          <w:rFonts w:ascii="Arial" w:hAnsi="Arial" w:cs="Arial"/>
          <w:sz w:val="20"/>
        </w:rPr>
        <w:t>.</w:t>
      </w:r>
    </w:p>
    <w:p w14:paraId="498FAA90" w14:textId="77777777" w:rsidR="001A70FC" w:rsidRDefault="001A70FC" w:rsidP="00CC22FC">
      <w:pPr>
        <w:numPr>
          <w:ilvl w:val="0"/>
          <w:numId w:val="35"/>
        </w:numPr>
        <w:tabs>
          <w:tab w:val="clear" w:pos="1004"/>
        </w:tabs>
        <w:spacing w:before="60"/>
        <w:ind w:left="357" w:hanging="357"/>
        <w:jc w:val="both"/>
        <w:rPr>
          <w:rFonts w:ascii="Arial" w:hAnsi="Arial" w:cs="Arial"/>
          <w:sz w:val="20"/>
        </w:rPr>
      </w:pPr>
      <w:r>
        <w:rPr>
          <w:rFonts w:ascii="Arial" w:hAnsi="Arial" w:cs="Arial"/>
          <w:sz w:val="20"/>
        </w:rPr>
        <w:t>The strongly adversarial approach to many decisions about family contact is not necessarily conducive to cooperative planning.</w:t>
      </w:r>
    </w:p>
    <w:p w14:paraId="278F3014" w14:textId="77777777" w:rsidR="001A70FC" w:rsidRDefault="001A70FC" w:rsidP="00CC22FC">
      <w:pPr>
        <w:numPr>
          <w:ilvl w:val="0"/>
          <w:numId w:val="35"/>
        </w:numPr>
        <w:tabs>
          <w:tab w:val="clear" w:pos="1004"/>
        </w:tabs>
        <w:spacing w:before="60"/>
        <w:ind w:left="357" w:hanging="357"/>
        <w:jc w:val="both"/>
        <w:rPr>
          <w:rFonts w:ascii="Arial" w:hAnsi="Arial" w:cs="Arial"/>
          <w:sz w:val="20"/>
        </w:rPr>
      </w:pPr>
      <w:r>
        <w:rPr>
          <w:rFonts w:ascii="Arial" w:hAnsi="Arial" w:cs="Arial"/>
          <w:sz w:val="20"/>
        </w:rPr>
        <w:t>Particular attention is needed to ensure supportive family contact environments for Aboriginal and Torres Strait Islander infants who are not placed with kin.  Cultural Support Plans for indigenous children in care need to be vigorously implemented to maximise quality contact</w:t>
      </w:r>
      <w:r w:rsidR="00F76283">
        <w:rPr>
          <w:rFonts w:ascii="Arial" w:hAnsi="Arial" w:cs="Arial"/>
          <w:sz w:val="20"/>
        </w:rPr>
        <w:t xml:space="preserve"> with a range of family members which may at times include visits with more family members present rather than more separate visits.</w:t>
      </w:r>
    </w:p>
    <w:p w14:paraId="3B3439F8" w14:textId="77777777" w:rsidR="00A05185" w:rsidRDefault="00A05185" w:rsidP="00A05185">
      <w:pPr>
        <w:jc w:val="both"/>
        <w:rPr>
          <w:rFonts w:ascii="Arial" w:hAnsi="Arial" w:cs="Arial"/>
          <w:sz w:val="20"/>
        </w:rPr>
      </w:pPr>
    </w:p>
    <w:p w14:paraId="5DA0BC9A" w14:textId="77777777" w:rsidR="00A05185" w:rsidRPr="001B003A" w:rsidRDefault="00A05185" w:rsidP="002C17CA">
      <w:pPr>
        <w:keepNext/>
        <w:keepLines/>
        <w:numPr>
          <w:ilvl w:val="2"/>
          <w:numId w:val="15"/>
        </w:numPr>
        <w:tabs>
          <w:tab w:val="clear" w:pos="2340"/>
        </w:tabs>
        <w:ind w:left="357" w:hanging="357"/>
        <w:jc w:val="both"/>
        <w:rPr>
          <w:rFonts w:ascii="Arial" w:hAnsi="Arial" w:cs="Arial"/>
          <w:b/>
          <w:sz w:val="20"/>
        </w:rPr>
      </w:pPr>
      <w:r>
        <w:rPr>
          <w:rFonts w:ascii="Arial" w:hAnsi="Arial" w:cs="Arial"/>
          <w:b/>
          <w:sz w:val="20"/>
        </w:rPr>
        <w:t>Literature review</w:t>
      </w:r>
    </w:p>
    <w:p w14:paraId="7A705428" w14:textId="77777777" w:rsidR="00FF1EA6" w:rsidRDefault="006468FA" w:rsidP="00FF1EA6">
      <w:pPr>
        <w:spacing w:before="120"/>
        <w:jc w:val="both"/>
        <w:rPr>
          <w:rFonts w:ascii="Arial" w:hAnsi="Arial" w:cs="Arial"/>
          <w:sz w:val="20"/>
        </w:rPr>
      </w:pPr>
      <w:r>
        <w:rPr>
          <w:rFonts w:ascii="Arial" w:hAnsi="Arial" w:cs="Arial"/>
          <w:sz w:val="20"/>
        </w:rPr>
        <w:t>The report also contains at pp.12-26 a</w:t>
      </w:r>
      <w:r w:rsidR="00265682">
        <w:rPr>
          <w:rFonts w:ascii="Arial" w:hAnsi="Arial" w:cs="Arial"/>
          <w:sz w:val="20"/>
        </w:rPr>
        <w:t xml:space="preserve"> comprehen</w:t>
      </w:r>
      <w:r>
        <w:rPr>
          <w:rFonts w:ascii="Arial" w:hAnsi="Arial" w:cs="Arial"/>
          <w:sz w:val="20"/>
        </w:rPr>
        <w:t>sive</w:t>
      </w:r>
      <w:r w:rsidR="00F236C2">
        <w:rPr>
          <w:rFonts w:ascii="Arial" w:hAnsi="Arial" w:cs="Arial"/>
          <w:sz w:val="20"/>
        </w:rPr>
        <w:t xml:space="preserve"> </w:t>
      </w:r>
      <w:r w:rsidR="00FF1EA6">
        <w:rPr>
          <w:rFonts w:ascii="Arial" w:hAnsi="Arial" w:cs="Arial"/>
          <w:sz w:val="20"/>
        </w:rPr>
        <w:t>literature review under the following headings:</w:t>
      </w:r>
    </w:p>
    <w:p w14:paraId="4259782B" w14:textId="77777777" w:rsidR="00FF1EA6" w:rsidRDefault="00FF1EA6" w:rsidP="00FF1EA6">
      <w:pPr>
        <w:jc w:val="both"/>
        <w:rPr>
          <w:rFonts w:ascii="Arial" w:hAnsi="Arial" w:cs="Arial"/>
          <w:b/>
          <w:bCs/>
          <w:sz w:val="20"/>
        </w:rPr>
        <w:sectPr w:rsidR="00FF1EA6" w:rsidSect="00FF1EA6">
          <w:footerReference w:type="default" r:id="rId17"/>
          <w:type w:val="continuous"/>
          <w:pgSz w:w="11906" w:h="16838" w:code="9"/>
          <w:pgMar w:top="1298" w:right="1797" w:bottom="1298" w:left="1797" w:header="720" w:footer="720" w:gutter="0"/>
          <w:cols w:space="708"/>
          <w:docGrid w:linePitch="360"/>
        </w:sectPr>
      </w:pPr>
    </w:p>
    <w:p w14:paraId="7D63EA5A" w14:textId="77777777" w:rsidR="00FF1EA6" w:rsidRDefault="00FF1EA6" w:rsidP="00CC22FC">
      <w:pPr>
        <w:numPr>
          <w:ilvl w:val="0"/>
          <w:numId w:val="34"/>
        </w:numPr>
        <w:tabs>
          <w:tab w:val="clear" w:pos="1004"/>
        </w:tabs>
        <w:ind w:left="357" w:hanging="357"/>
        <w:jc w:val="both"/>
        <w:rPr>
          <w:rFonts w:ascii="Arial" w:hAnsi="Arial" w:cs="Arial"/>
          <w:sz w:val="20"/>
        </w:rPr>
      </w:pPr>
      <w:r>
        <w:rPr>
          <w:rFonts w:ascii="Arial" w:hAnsi="Arial" w:cs="Arial"/>
          <w:sz w:val="20"/>
        </w:rPr>
        <w:t>Purpose of family contact</w:t>
      </w:r>
    </w:p>
    <w:p w14:paraId="7D226BA3" w14:textId="77777777" w:rsidR="00FF1EA6" w:rsidRDefault="00FF1EA6" w:rsidP="00CC22FC">
      <w:pPr>
        <w:numPr>
          <w:ilvl w:val="0"/>
          <w:numId w:val="34"/>
        </w:numPr>
        <w:tabs>
          <w:tab w:val="clear" w:pos="1004"/>
        </w:tabs>
        <w:ind w:left="357" w:hanging="357"/>
        <w:jc w:val="both"/>
        <w:rPr>
          <w:rFonts w:ascii="Arial" w:hAnsi="Arial" w:cs="Arial"/>
          <w:sz w:val="20"/>
        </w:rPr>
      </w:pPr>
      <w:r>
        <w:rPr>
          <w:rFonts w:ascii="Arial" w:hAnsi="Arial" w:cs="Arial"/>
          <w:sz w:val="20"/>
        </w:rPr>
        <w:t>Indigenous children and family contact</w:t>
      </w:r>
    </w:p>
    <w:p w14:paraId="2C88509D" w14:textId="77777777" w:rsidR="00FF1EA6" w:rsidRDefault="00FF1EA6" w:rsidP="00CC22FC">
      <w:pPr>
        <w:numPr>
          <w:ilvl w:val="0"/>
          <w:numId w:val="34"/>
        </w:numPr>
        <w:tabs>
          <w:tab w:val="clear" w:pos="1004"/>
        </w:tabs>
        <w:ind w:left="357" w:hanging="357"/>
        <w:jc w:val="both"/>
        <w:rPr>
          <w:rFonts w:ascii="Arial" w:hAnsi="Arial" w:cs="Arial"/>
          <w:sz w:val="20"/>
        </w:rPr>
      </w:pPr>
      <w:r>
        <w:rPr>
          <w:rFonts w:ascii="Arial" w:hAnsi="Arial" w:cs="Arial"/>
          <w:sz w:val="20"/>
        </w:rPr>
        <w:t>Attachment and infant development</w:t>
      </w:r>
    </w:p>
    <w:p w14:paraId="04896F61" w14:textId="77777777" w:rsidR="00FF1EA6" w:rsidRDefault="00FF1EA6" w:rsidP="00CC22FC">
      <w:pPr>
        <w:numPr>
          <w:ilvl w:val="0"/>
          <w:numId w:val="34"/>
        </w:numPr>
        <w:tabs>
          <w:tab w:val="clear" w:pos="1004"/>
        </w:tabs>
        <w:ind w:left="357" w:hanging="357"/>
        <w:jc w:val="both"/>
        <w:rPr>
          <w:rFonts w:ascii="Arial" w:hAnsi="Arial" w:cs="Arial"/>
          <w:sz w:val="20"/>
        </w:rPr>
      </w:pPr>
      <w:r>
        <w:rPr>
          <w:rFonts w:ascii="Arial" w:hAnsi="Arial" w:cs="Arial"/>
          <w:sz w:val="20"/>
        </w:rPr>
        <w:t>Multiple attachments</w:t>
      </w:r>
    </w:p>
    <w:p w14:paraId="278295A3" w14:textId="77777777" w:rsidR="00FF1EA6" w:rsidRDefault="00FF1EA6" w:rsidP="00CC22FC">
      <w:pPr>
        <w:numPr>
          <w:ilvl w:val="0"/>
          <w:numId w:val="34"/>
        </w:numPr>
        <w:tabs>
          <w:tab w:val="clear" w:pos="1004"/>
        </w:tabs>
        <w:ind w:left="357" w:hanging="357"/>
        <w:jc w:val="both"/>
        <w:rPr>
          <w:rFonts w:ascii="Arial" w:hAnsi="Arial" w:cs="Arial"/>
          <w:sz w:val="20"/>
        </w:rPr>
      </w:pPr>
      <w:r>
        <w:rPr>
          <w:rFonts w:ascii="Arial" w:hAnsi="Arial" w:cs="Arial"/>
          <w:sz w:val="20"/>
        </w:rPr>
        <w:t>Attachment and neurobiology</w:t>
      </w:r>
    </w:p>
    <w:p w14:paraId="57B346EF" w14:textId="77777777" w:rsidR="00FF1EA6" w:rsidRDefault="00FF1EA6" w:rsidP="00CC22FC">
      <w:pPr>
        <w:numPr>
          <w:ilvl w:val="0"/>
          <w:numId w:val="34"/>
        </w:numPr>
        <w:tabs>
          <w:tab w:val="clear" w:pos="1004"/>
        </w:tabs>
        <w:ind w:left="357" w:hanging="357"/>
        <w:jc w:val="both"/>
        <w:rPr>
          <w:rFonts w:ascii="Arial" w:hAnsi="Arial" w:cs="Arial"/>
          <w:sz w:val="20"/>
        </w:rPr>
      </w:pPr>
      <w:r>
        <w:rPr>
          <w:rFonts w:ascii="Arial" w:hAnsi="Arial" w:cs="Arial"/>
          <w:sz w:val="20"/>
        </w:rPr>
        <w:t>Disrupted attachments</w:t>
      </w:r>
    </w:p>
    <w:p w14:paraId="13B52BEC" w14:textId="77777777" w:rsidR="00FF1EA6" w:rsidRDefault="00FF1EA6" w:rsidP="00CC22FC">
      <w:pPr>
        <w:numPr>
          <w:ilvl w:val="0"/>
          <w:numId w:val="34"/>
        </w:numPr>
        <w:tabs>
          <w:tab w:val="clear" w:pos="1004"/>
        </w:tabs>
        <w:ind w:left="357" w:hanging="357"/>
        <w:jc w:val="both"/>
        <w:rPr>
          <w:rFonts w:ascii="Arial" w:hAnsi="Arial" w:cs="Arial"/>
          <w:sz w:val="20"/>
        </w:rPr>
      </w:pPr>
      <w:r>
        <w:rPr>
          <w:rFonts w:ascii="Arial" w:hAnsi="Arial" w:cs="Arial"/>
          <w:sz w:val="20"/>
        </w:rPr>
        <w:t>Attachment and indigenous families</w:t>
      </w:r>
    </w:p>
    <w:p w14:paraId="2862C232" w14:textId="77777777" w:rsidR="00FF1EA6" w:rsidRDefault="00FF1EA6" w:rsidP="00CC22FC">
      <w:pPr>
        <w:numPr>
          <w:ilvl w:val="0"/>
          <w:numId w:val="34"/>
        </w:numPr>
        <w:tabs>
          <w:tab w:val="clear" w:pos="1004"/>
        </w:tabs>
        <w:ind w:left="357" w:hanging="357"/>
        <w:jc w:val="both"/>
        <w:rPr>
          <w:rFonts w:ascii="Arial" w:hAnsi="Arial" w:cs="Arial"/>
          <w:sz w:val="20"/>
        </w:rPr>
      </w:pPr>
      <w:r>
        <w:rPr>
          <w:rFonts w:ascii="Arial" w:hAnsi="Arial" w:cs="Arial"/>
          <w:sz w:val="20"/>
        </w:rPr>
        <w:t>Attachment and family contact</w:t>
      </w:r>
    </w:p>
    <w:p w14:paraId="6FC0BA40" w14:textId="77777777" w:rsidR="00FF1EA6" w:rsidRDefault="00FF1EA6" w:rsidP="00CC22FC">
      <w:pPr>
        <w:numPr>
          <w:ilvl w:val="0"/>
          <w:numId w:val="34"/>
        </w:numPr>
        <w:tabs>
          <w:tab w:val="clear" w:pos="1004"/>
        </w:tabs>
        <w:ind w:left="357" w:hanging="357"/>
        <w:jc w:val="both"/>
        <w:rPr>
          <w:rFonts w:ascii="Arial" w:hAnsi="Arial" w:cs="Arial"/>
          <w:sz w:val="20"/>
        </w:rPr>
      </w:pPr>
      <w:r>
        <w:rPr>
          <w:rFonts w:ascii="Arial" w:hAnsi="Arial" w:cs="Arial"/>
          <w:sz w:val="20"/>
        </w:rPr>
        <w:t>Family contact – in general</w:t>
      </w:r>
    </w:p>
    <w:p w14:paraId="4FB60B08" w14:textId="77777777" w:rsidR="00FF1EA6" w:rsidRDefault="00FF1EA6" w:rsidP="00CC22FC">
      <w:pPr>
        <w:numPr>
          <w:ilvl w:val="0"/>
          <w:numId w:val="34"/>
        </w:numPr>
        <w:tabs>
          <w:tab w:val="clear" w:pos="1004"/>
        </w:tabs>
        <w:ind w:left="357" w:hanging="357"/>
        <w:jc w:val="both"/>
        <w:rPr>
          <w:rFonts w:ascii="Arial" w:hAnsi="Arial" w:cs="Arial"/>
          <w:sz w:val="20"/>
        </w:rPr>
      </w:pPr>
      <w:r>
        <w:rPr>
          <w:rFonts w:ascii="Arial" w:hAnsi="Arial" w:cs="Arial"/>
          <w:sz w:val="20"/>
        </w:rPr>
        <w:t>Family reunification and family contact</w:t>
      </w:r>
    </w:p>
    <w:p w14:paraId="15D20D66" w14:textId="77777777" w:rsidR="00FF1EA6" w:rsidRDefault="00FF1EA6" w:rsidP="00CC22FC">
      <w:pPr>
        <w:numPr>
          <w:ilvl w:val="0"/>
          <w:numId w:val="34"/>
        </w:numPr>
        <w:tabs>
          <w:tab w:val="clear" w:pos="1004"/>
        </w:tabs>
        <w:ind w:left="357" w:hanging="357"/>
        <w:jc w:val="both"/>
        <w:rPr>
          <w:rFonts w:ascii="Arial" w:hAnsi="Arial" w:cs="Arial"/>
          <w:sz w:val="20"/>
        </w:rPr>
      </w:pPr>
      <w:r>
        <w:rPr>
          <w:rFonts w:ascii="Arial" w:hAnsi="Arial" w:cs="Arial"/>
          <w:sz w:val="20"/>
        </w:rPr>
        <w:t>Infants and car transport</w:t>
      </w:r>
    </w:p>
    <w:p w14:paraId="3658AD37" w14:textId="77777777" w:rsidR="00FF1EA6" w:rsidRDefault="00FF1EA6" w:rsidP="00CC22FC">
      <w:pPr>
        <w:numPr>
          <w:ilvl w:val="0"/>
          <w:numId w:val="34"/>
        </w:numPr>
        <w:tabs>
          <w:tab w:val="clear" w:pos="1004"/>
        </w:tabs>
        <w:ind w:left="357" w:hanging="357"/>
        <w:jc w:val="both"/>
        <w:rPr>
          <w:rFonts w:ascii="Arial" w:hAnsi="Arial" w:cs="Arial"/>
          <w:sz w:val="20"/>
        </w:rPr>
      </w:pPr>
      <w:r>
        <w:rPr>
          <w:rFonts w:ascii="Arial" w:hAnsi="Arial" w:cs="Arial"/>
          <w:sz w:val="20"/>
        </w:rPr>
        <w:t>Support for infants and families during family visits</w:t>
      </w:r>
    </w:p>
    <w:p w14:paraId="02F9E270" w14:textId="77777777" w:rsidR="00FF1EA6" w:rsidRDefault="00FF1EA6" w:rsidP="00FF1EA6">
      <w:pPr>
        <w:jc w:val="both"/>
        <w:rPr>
          <w:rFonts w:ascii="Arial" w:hAnsi="Arial" w:cs="Arial"/>
          <w:sz w:val="20"/>
        </w:rPr>
        <w:sectPr w:rsidR="00FF1EA6">
          <w:type w:val="continuous"/>
          <w:pgSz w:w="11906" w:h="16838" w:code="9"/>
          <w:pgMar w:top="1298" w:right="1797" w:bottom="1298" w:left="1797" w:header="720" w:footer="720" w:gutter="0"/>
          <w:cols w:num="2" w:space="708" w:equalWidth="0">
            <w:col w:w="3802" w:space="708"/>
            <w:col w:w="3802"/>
          </w:cols>
          <w:docGrid w:linePitch="360"/>
        </w:sectPr>
      </w:pPr>
    </w:p>
    <w:p w14:paraId="477092CB" w14:textId="77777777" w:rsidR="00491337" w:rsidRDefault="00491337" w:rsidP="00FB53EB">
      <w:pPr>
        <w:jc w:val="both"/>
        <w:rPr>
          <w:rFonts w:ascii="Arial" w:hAnsi="Arial" w:cs="Arial"/>
          <w:sz w:val="20"/>
        </w:rPr>
      </w:pPr>
    </w:p>
    <w:p w14:paraId="44BC40C0" w14:textId="77777777" w:rsidR="00655A69" w:rsidRPr="00CA2663" w:rsidRDefault="00655A69" w:rsidP="00655A69">
      <w:pPr>
        <w:pStyle w:val="Heading3"/>
        <w:keepNext/>
        <w:keepLines/>
        <w:spacing w:after="120" w:line="240" w:lineRule="auto"/>
        <w:rPr>
          <w:rFonts w:ascii="Arial" w:hAnsi="Arial" w:cs="Arial"/>
          <w:sz w:val="20"/>
          <w:lang w:val="en-US"/>
        </w:rPr>
      </w:pPr>
      <w:bookmarkStart w:id="1681" w:name="_4.14.2__Case"/>
      <w:bookmarkStart w:id="1682" w:name="B4142"/>
      <w:bookmarkEnd w:id="1681"/>
      <w:bookmarkEnd w:id="1682"/>
      <w:r>
        <w:rPr>
          <w:rFonts w:ascii="Arial" w:hAnsi="Arial" w:cs="Arial"/>
          <w:b/>
          <w:bCs/>
          <w:sz w:val="20"/>
        </w:rPr>
        <w:lastRenderedPageBreak/>
        <w:t>4.14.2</w:t>
      </w:r>
      <w:r>
        <w:rPr>
          <w:rFonts w:ascii="Arial" w:hAnsi="Arial" w:cs="Arial"/>
          <w:b/>
          <w:bCs/>
          <w:sz w:val="20"/>
        </w:rPr>
        <w:tab/>
      </w:r>
      <w:r>
        <w:rPr>
          <w:rFonts w:ascii="Arial" w:hAnsi="Arial" w:cs="Arial"/>
          <w:b/>
          <w:bCs/>
          <w:sz w:val="20"/>
        </w:rPr>
        <w:tab/>
        <w:t>Case law</w:t>
      </w:r>
    </w:p>
    <w:p w14:paraId="050CEFC7" w14:textId="77777777" w:rsidR="00081D5A" w:rsidRDefault="0055262C" w:rsidP="00FB53EB">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w:t>
      </w:r>
      <w:r w:rsidR="00A5277D" w:rsidRPr="006679D2">
        <w:rPr>
          <w:rFonts w:ascii="Arial" w:hAnsi="Arial" w:cs="Arial"/>
          <w:color w:val="000000"/>
          <w:sz w:val="20"/>
        </w:rPr>
        <w:t>]</w:t>
      </w:r>
      <w:r w:rsidR="00C74768" w:rsidRPr="006679D2">
        <w:rPr>
          <w:rFonts w:ascii="Arial" w:hAnsi="Arial" w:cs="Arial"/>
          <w:color w:val="000000"/>
          <w:sz w:val="20"/>
        </w:rPr>
        <w:t xml:space="preserve"> VChC 1</w:t>
      </w:r>
      <w:r w:rsidR="00A5277D" w:rsidRPr="006679D2">
        <w:rPr>
          <w:rFonts w:ascii="Arial" w:hAnsi="Arial" w:cs="Arial"/>
          <w:color w:val="000000"/>
          <w:sz w:val="20"/>
        </w:rPr>
        <w:t>, a case involving 4 children two of who</w:t>
      </w:r>
      <w:r w:rsidR="00BB5EFF" w:rsidRPr="006679D2">
        <w:rPr>
          <w:rFonts w:ascii="Arial" w:hAnsi="Arial" w:cs="Arial"/>
          <w:color w:val="000000"/>
          <w:sz w:val="20"/>
        </w:rPr>
        <w:t>m</w:t>
      </w:r>
      <w:r w:rsidR="00A5277D" w:rsidRPr="006679D2">
        <w:rPr>
          <w:rFonts w:ascii="Arial" w:hAnsi="Arial" w:cs="Arial"/>
          <w:color w:val="000000"/>
          <w:sz w:val="20"/>
        </w:rPr>
        <w:t xml:space="preserve"> were twins aged 10 months who had been out of parental care since birth, </w:t>
      </w:r>
      <w:r w:rsidR="0008501B" w:rsidRPr="006679D2">
        <w:rPr>
          <w:rFonts w:ascii="Arial" w:hAnsi="Arial" w:cs="Arial"/>
          <w:color w:val="000000"/>
          <w:sz w:val="20"/>
        </w:rPr>
        <w:t xml:space="preserve">a central issue was the frequency and duration of </w:t>
      </w:r>
      <w:r w:rsidR="00E55A14" w:rsidRPr="006679D2">
        <w:rPr>
          <w:rFonts w:ascii="Arial" w:hAnsi="Arial" w:cs="Arial"/>
          <w:color w:val="000000"/>
          <w:sz w:val="20"/>
        </w:rPr>
        <w:t>contact</w:t>
      </w:r>
      <w:r w:rsidR="0008501B" w:rsidRPr="006679D2">
        <w:rPr>
          <w:rFonts w:ascii="Arial" w:hAnsi="Arial" w:cs="Arial"/>
          <w:color w:val="000000"/>
          <w:sz w:val="20"/>
        </w:rPr>
        <w:t xml:space="preserve"> between the twins and their parents.  Initially the parents had had daily </w:t>
      </w:r>
      <w:r w:rsidR="006679D2">
        <w:rPr>
          <w:rFonts w:ascii="Arial" w:hAnsi="Arial" w:cs="Arial"/>
          <w:color w:val="000000"/>
          <w:sz w:val="20"/>
        </w:rPr>
        <w:t>contact</w:t>
      </w:r>
      <w:r w:rsidR="0008501B" w:rsidRPr="006679D2">
        <w:rPr>
          <w:rFonts w:ascii="Arial" w:hAnsi="Arial" w:cs="Arial"/>
          <w:color w:val="000000"/>
          <w:sz w:val="20"/>
        </w:rPr>
        <w:t xml:space="preserve"> in the hospital’s special care nursery.  When the twins were discharged </w:t>
      </w:r>
      <w:r w:rsidR="007B4FF6" w:rsidRPr="006679D2">
        <w:rPr>
          <w:rFonts w:ascii="Arial" w:hAnsi="Arial" w:cs="Arial"/>
          <w:color w:val="000000"/>
          <w:sz w:val="20"/>
        </w:rPr>
        <w:t xml:space="preserve">at 4 weeks of age </w:t>
      </w:r>
      <w:r w:rsidR="0008501B" w:rsidRPr="006679D2">
        <w:rPr>
          <w:rFonts w:ascii="Arial" w:hAnsi="Arial" w:cs="Arial"/>
          <w:color w:val="000000"/>
          <w:sz w:val="20"/>
        </w:rPr>
        <w:t xml:space="preserve">the Court heard a submissions contest and ordered supervised </w:t>
      </w:r>
      <w:r w:rsidR="00E55A14" w:rsidRPr="006679D2">
        <w:rPr>
          <w:rFonts w:ascii="Arial" w:hAnsi="Arial" w:cs="Arial"/>
          <w:color w:val="000000"/>
          <w:sz w:val="20"/>
        </w:rPr>
        <w:t>contact</w:t>
      </w:r>
      <w:r w:rsidR="0008501B" w:rsidRPr="006679D2">
        <w:rPr>
          <w:rFonts w:ascii="Arial" w:hAnsi="Arial" w:cs="Arial"/>
          <w:color w:val="000000"/>
          <w:sz w:val="20"/>
        </w:rPr>
        <w:t xml:space="preserve"> for 4 hours each day.  </w:t>
      </w:r>
      <w:r w:rsidR="007B4FF6" w:rsidRPr="006679D2">
        <w:rPr>
          <w:rFonts w:ascii="Arial" w:hAnsi="Arial" w:cs="Arial"/>
          <w:color w:val="000000"/>
          <w:sz w:val="20"/>
        </w:rPr>
        <w:t>When they were 11½ weeks old</w:t>
      </w:r>
      <w:r w:rsidR="0008501B" w:rsidRPr="006679D2">
        <w:rPr>
          <w:rFonts w:ascii="Arial" w:hAnsi="Arial" w:cs="Arial"/>
          <w:color w:val="000000"/>
          <w:sz w:val="20"/>
        </w:rPr>
        <w:t xml:space="preserve"> this </w:t>
      </w:r>
      <w:r w:rsidR="00150328" w:rsidRPr="006679D2">
        <w:rPr>
          <w:rFonts w:ascii="Arial" w:hAnsi="Arial" w:cs="Arial"/>
          <w:color w:val="000000"/>
          <w:sz w:val="20"/>
        </w:rPr>
        <w:t xml:space="preserve">regime </w:t>
      </w:r>
      <w:r w:rsidR="0008501B" w:rsidRPr="006679D2">
        <w:rPr>
          <w:rFonts w:ascii="Arial" w:hAnsi="Arial" w:cs="Arial"/>
          <w:color w:val="000000"/>
          <w:sz w:val="20"/>
        </w:rPr>
        <w:t xml:space="preserve">was varied by consent – after the Court had heard </w:t>
      </w:r>
      <w:r w:rsidR="0008501B" w:rsidRPr="006679D2">
        <w:rPr>
          <w:rFonts w:ascii="Arial" w:hAnsi="Arial" w:cs="Arial"/>
          <w:i/>
          <w:color w:val="000000"/>
          <w:sz w:val="20"/>
        </w:rPr>
        <w:t>viva voce</w:t>
      </w:r>
      <w:r w:rsidR="0008501B" w:rsidRPr="006679D2">
        <w:rPr>
          <w:rFonts w:ascii="Arial" w:hAnsi="Arial" w:cs="Arial"/>
          <w:color w:val="000000"/>
          <w:sz w:val="20"/>
        </w:rPr>
        <w:t xml:space="preserve"> evidence from </w:t>
      </w:r>
      <w:r w:rsidR="00D7448A" w:rsidRPr="006679D2">
        <w:rPr>
          <w:rFonts w:ascii="Arial" w:hAnsi="Arial" w:cs="Arial"/>
          <w:color w:val="000000"/>
          <w:sz w:val="20"/>
        </w:rPr>
        <w:t xml:space="preserve">Dr P, </w:t>
      </w:r>
      <w:r w:rsidR="0008501B" w:rsidRPr="006679D2">
        <w:rPr>
          <w:rFonts w:ascii="Arial" w:hAnsi="Arial" w:cs="Arial"/>
          <w:color w:val="000000"/>
          <w:sz w:val="20"/>
        </w:rPr>
        <w:t xml:space="preserve">a </w:t>
      </w:r>
      <w:r w:rsidR="000F5CC6" w:rsidRPr="006679D2">
        <w:rPr>
          <w:rFonts w:ascii="Arial" w:hAnsi="Arial" w:cs="Arial"/>
          <w:color w:val="000000"/>
          <w:sz w:val="20"/>
        </w:rPr>
        <w:t xml:space="preserve">highly </w:t>
      </w:r>
      <w:r w:rsidR="0008501B" w:rsidRPr="006679D2">
        <w:rPr>
          <w:rFonts w:ascii="Arial" w:hAnsi="Arial" w:cs="Arial"/>
          <w:color w:val="000000"/>
          <w:sz w:val="20"/>
        </w:rPr>
        <w:t xml:space="preserve">respected </w:t>
      </w:r>
      <w:r w:rsidR="00D7448A" w:rsidRPr="006679D2">
        <w:rPr>
          <w:rFonts w:ascii="Arial" w:hAnsi="Arial" w:cs="Arial"/>
          <w:color w:val="000000"/>
          <w:sz w:val="20"/>
        </w:rPr>
        <w:t>consultant</w:t>
      </w:r>
      <w:r w:rsidR="000F5CC6" w:rsidRPr="006679D2">
        <w:rPr>
          <w:rFonts w:ascii="Arial" w:hAnsi="Arial" w:cs="Arial"/>
          <w:color w:val="000000"/>
          <w:sz w:val="20"/>
        </w:rPr>
        <w:t xml:space="preserve"> psychiatrist </w:t>
      </w:r>
      <w:r w:rsidR="00D7448A" w:rsidRPr="006679D2">
        <w:rPr>
          <w:rFonts w:ascii="Arial" w:hAnsi="Arial" w:cs="Arial"/>
          <w:color w:val="000000"/>
          <w:sz w:val="20"/>
        </w:rPr>
        <w:t xml:space="preserve">in the field of infant mental health </w:t>
      </w:r>
      <w:r w:rsidR="000F5CC6" w:rsidRPr="006679D2">
        <w:rPr>
          <w:rFonts w:ascii="Arial" w:hAnsi="Arial" w:cs="Arial"/>
          <w:color w:val="000000"/>
          <w:sz w:val="20"/>
        </w:rPr>
        <w:t>– to 3</w:t>
      </w:r>
      <w:r w:rsidR="0008501B" w:rsidRPr="006679D2">
        <w:rPr>
          <w:rFonts w:ascii="Arial" w:hAnsi="Arial" w:cs="Arial"/>
          <w:color w:val="000000"/>
          <w:sz w:val="20"/>
        </w:rPr>
        <w:t xml:space="preserve">½ hours on each of 5 days per week for the mother and 1 hour on each of 3 days per week for the father.  When the twins were 6½ months old their mother’s </w:t>
      </w:r>
      <w:r w:rsidR="00E55A14" w:rsidRPr="006679D2">
        <w:rPr>
          <w:rFonts w:ascii="Arial" w:hAnsi="Arial" w:cs="Arial"/>
          <w:color w:val="000000"/>
          <w:sz w:val="20"/>
        </w:rPr>
        <w:t>contact</w:t>
      </w:r>
      <w:r w:rsidR="0008501B" w:rsidRPr="006679D2">
        <w:rPr>
          <w:rFonts w:ascii="Arial" w:hAnsi="Arial" w:cs="Arial"/>
          <w:color w:val="000000"/>
          <w:sz w:val="20"/>
        </w:rPr>
        <w:t xml:space="preserve"> was suspended as a consequence of serious threats made by her to a protective worker.  Six weeks later </w:t>
      </w:r>
      <w:r w:rsidR="000F5CC6" w:rsidRPr="006679D2">
        <w:rPr>
          <w:rFonts w:ascii="Arial" w:hAnsi="Arial" w:cs="Arial"/>
          <w:color w:val="000000"/>
          <w:sz w:val="20"/>
        </w:rPr>
        <w:t xml:space="preserve">her </w:t>
      </w:r>
      <w:r w:rsidR="0008501B" w:rsidRPr="006679D2">
        <w:rPr>
          <w:rFonts w:ascii="Arial" w:hAnsi="Arial" w:cs="Arial"/>
          <w:color w:val="000000"/>
          <w:sz w:val="20"/>
        </w:rPr>
        <w:t xml:space="preserve">supervised </w:t>
      </w:r>
      <w:r w:rsidR="00E55A14" w:rsidRPr="006679D2">
        <w:rPr>
          <w:rFonts w:ascii="Arial" w:hAnsi="Arial" w:cs="Arial"/>
          <w:color w:val="000000"/>
          <w:sz w:val="20"/>
        </w:rPr>
        <w:t>contact</w:t>
      </w:r>
      <w:r w:rsidR="0008501B" w:rsidRPr="006679D2">
        <w:rPr>
          <w:rFonts w:ascii="Arial" w:hAnsi="Arial" w:cs="Arial"/>
          <w:color w:val="000000"/>
          <w:sz w:val="20"/>
        </w:rPr>
        <w:t xml:space="preserve"> was reinstated for 1 hour on 1 day per week.</w:t>
      </w:r>
      <w:r w:rsidR="00CA3540" w:rsidRPr="006679D2">
        <w:rPr>
          <w:rFonts w:ascii="Arial" w:hAnsi="Arial" w:cs="Arial"/>
          <w:color w:val="000000"/>
          <w:sz w:val="20"/>
        </w:rPr>
        <w:t xml:space="preserve">  </w:t>
      </w:r>
      <w:r w:rsidR="007B4FF6" w:rsidRPr="006679D2">
        <w:rPr>
          <w:rFonts w:ascii="Arial" w:hAnsi="Arial" w:cs="Arial"/>
          <w:color w:val="000000"/>
          <w:sz w:val="20"/>
        </w:rPr>
        <w:t>When the twins were 9½ months old</w:t>
      </w:r>
      <w:r w:rsidR="00CA3540" w:rsidRPr="006679D2">
        <w:rPr>
          <w:rFonts w:ascii="Arial" w:hAnsi="Arial" w:cs="Arial"/>
          <w:color w:val="000000"/>
          <w:sz w:val="20"/>
        </w:rPr>
        <w:t xml:space="preserve"> the writer heard evidence from a number of expert witnesses, including </w:t>
      </w:r>
      <w:r w:rsidR="008F72B2" w:rsidRPr="006679D2">
        <w:rPr>
          <w:rFonts w:ascii="Arial" w:hAnsi="Arial" w:cs="Arial"/>
          <w:color w:val="000000"/>
          <w:sz w:val="20"/>
        </w:rPr>
        <w:t xml:space="preserve">Dr P and three </w:t>
      </w:r>
      <w:r w:rsidR="000F5CC6" w:rsidRPr="006679D2">
        <w:rPr>
          <w:rFonts w:ascii="Arial" w:hAnsi="Arial" w:cs="Arial"/>
          <w:color w:val="000000"/>
          <w:sz w:val="20"/>
        </w:rPr>
        <w:t>highly regarded</w:t>
      </w:r>
      <w:r w:rsidR="008F72B2" w:rsidRPr="006679D2">
        <w:rPr>
          <w:rFonts w:ascii="Arial" w:hAnsi="Arial" w:cs="Arial"/>
          <w:color w:val="000000"/>
          <w:sz w:val="20"/>
        </w:rPr>
        <w:t xml:space="preserve"> clinical psychologists, Dr </w:t>
      </w:r>
      <w:r w:rsidR="00281666" w:rsidRPr="006679D2">
        <w:rPr>
          <w:rFonts w:ascii="Arial" w:hAnsi="Arial" w:cs="Arial"/>
          <w:color w:val="000000"/>
          <w:sz w:val="20"/>
        </w:rPr>
        <w:t>M</w:t>
      </w:r>
      <w:r w:rsidR="008F72B2" w:rsidRPr="006679D2">
        <w:rPr>
          <w:rFonts w:ascii="Arial" w:hAnsi="Arial" w:cs="Arial"/>
          <w:color w:val="000000"/>
          <w:sz w:val="20"/>
        </w:rPr>
        <w:t xml:space="preserve">, Dr </w:t>
      </w:r>
      <w:r w:rsidR="00281666" w:rsidRPr="006679D2">
        <w:rPr>
          <w:rFonts w:ascii="Arial" w:hAnsi="Arial" w:cs="Arial"/>
          <w:color w:val="000000"/>
          <w:sz w:val="20"/>
        </w:rPr>
        <w:t>S</w:t>
      </w:r>
      <w:r w:rsidR="008F72B2" w:rsidRPr="006679D2">
        <w:rPr>
          <w:rFonts w:ascii="Arial" w:hAnsi="Arial" w:cs="Arial"/>
          <w:color w:val="000000"/>
          <w:sz w:val="20"/>
        </w:rPr>
        <w:t xml:space="preserve">M &amp; Dr W.  It is no criticism of these </w:t>
      </w:r>
      <w:r w:rsidR="00705135" w:rsidRPr="006679D2">
        <w:rPr>
          <w:rFonts w:ascii="Arial" w:hAnsi="Arial" w:cs="Arial"/>
          <w:color w:val="000000"/>
          <w:sz w:val="20"/>
        </w:rPr>
        <w:t xml:space="preserve">excellent </w:t>
      </w:r>
      <w:r w:rsidR="008F72B2" w:rsidRPr="006679D2">
        <w:rPr>
          <w:rFonts w:ascii="Arial" w:hAnsi="Arial" w:cs="Arial"/>
          <w:color w:val="000000"/>
          <w:sz w:val="20"/>
        </w:rPr>
        <w:t>witnesses to say that there w</w:t>
      </w:r>
      <w:r w:rsidR="00FA453B" w:rsidRPr="006679D2">
        <w:rPr>
          <w:rFonts w:ascii="Arial" w:hAnsi="Arial" w:cs="Arial"/>
          <w:color w:val="000000"/>
          <w:sz w:val="20"/>
        </w:rPr>
        <w:t>ere very significant differences</w:t>
      </w:r>
      <w:r w:rsidR="008F72B2" w:rsidRPr="006679D2">
        <w:rPr>
          <w:rFonts w:ascii="Arial" w:hAnsi="Arial" w:cs="Arial"/>
          <w:color w:val="000000"/>
          <w:sz w:val="20"/>
        </w:rPr>
        <w:t xml:space="preserve"> between them as to the optimal frequency and duration of </w:t>
      </w:r>
      <w:r w:rsidR="00E55A14" w:rsidRPr="006679D2">
        <w:rPr>
          <w:rFonts w:ascii="Arial" w:hAnsi="Arial" w:cs="Arial"/>
          <w:color w:val="000000"/>
          <w:sz w:val="20"/>
        </w:rPr>
        <w:t>contact</w:t>
      </w:r>
      <w:r w:rsidR="00081D5A" w:rsidRPr="006679D2">
        <w:rPr>
          <w:rFonts w:ascii="Arial" w:hAnsi="Arial" w:cs="Arial"/>
          <w:color w:val="000000"/>
          <w:sz w:val="20"/>
        </w:rPr>
        <w:t xml:space="preserve"> </w:t>
      </w:r>
      <w:r w:rsidR="008E414E" w:rsidRPr="006679D2">
        <w:rPr>
          <w:rFonts w:ascii="Arial" w:hAnsi="Arial" w:cs="Arial"/>
          <w:color w:val="000000"/>
          <w:sz w:val="20"/>
        </w:rPr>
        <w:t>even</w:t>
      </w:r>
      <w:r w:rsidR="008E414E">
        <w:rPr>
          <w:rFonts w:ascii="Arial" w:hAnsi="Arial" w:cs="Arial"/>
          <w:sz w:val="20"/>
        </w:rPr>
        <w:t xml:space="preserve"> </w:t>
      </w:r>
      <w:r w:rsidR="00081D5A">
        <w:rPr>
          <w:rFonts w:ascii="Arial" w:hAnsi="Arial" w:cs="Arial"/>
          <w:sz w:val="20"/>
        </w:rPr>
        <w:t xml:space="preserve">though there was </w:t>
      </w:r>
      <w:r w:rsidR="008E414E">
        <w:rPr>
          <w:rFonts w:ascii="Arial" w:hAnsi="Arial" w:cs="Arial"/>
          <w:sz w:val="20"/>
        </w:rPr>
        <w:t xml:space="preserve">a </w:t>
      </w:r>
      <w:r w:rsidR="00A160AD">
        <w:rPr>
          <w:rFonts w:ascii="Arial" w:hAnsi="Arial" w:cs="Arial"/>
          <w:sz w:val="20"/>
        </w:rPr>
        <w:t>high</w:t>
      </w:r>
      <w:r w:rsidR="008E414E">
        <w:rPr>
          <w:rFonts w:ascii="Arial" w:hAnsi="Arial" w:cs="Arial"/>
          <w:sz w:val="20"/>
        </w:rPr>
        <w:t xml:space="preserve"> degree of</w:t>
      </w:r>
      <w:r w:rsidR="00081D5A">
        <w:rPr>
          <w:rFonts w:ascii="Arial" w:hAnsi="Arial" w:cs="Arial"/>
          <w:sz w:val="20"/>
        </w:rPr>
        <w:t xml:space="preserve"> unanimity on </w:t>
      </w:r>
      <w:r w:rsidR="007B4FF6">
        <w:rPr>
          <w:rFonts w:ascii="Arial" w:hAnsi="Arial" w:cs="Arial"/>
          <w:sz w:val="20"/>
        </w:rPr>
        <w:t>the underlying theory of infant development.</w:t>
      </w:r>
    </w:p>
    <w:p w14:paraId="5C575997" w14:textId="77777777" w:rsidR="00081D5A" w:rsidRDefault="00081D5A" w:rsidP="00FB53EB">
      <w:pPr>
        <w:jc w:val="both"/>
        <w:rPr>
          <w:rFonts w:ascii="Arial" w:hAnsi="Arial" w:cs="Arial"/>
          <w:sz w:val="20"/>
        </w:rPr>
      </w:pPr>
    </w:p>
    <w:p w14:paraId="1E14EDD1" w14:textId="77777777" w:rsidR="00A5277D" w:rsidRPr="006679D2" w:rsidRDefault="006676FF" w:rsidP="00C74768">
      <w:pPr>
        <w:keepNext/>
        <w:keepLines/>
        <w:jc w:val="both"/>
        <w:rPr>
          <w:rFonts w:ascii="Arial" w:hAnsi="Arial" w:cs="Arial"/>
          <w:color w:val="000000"/>
          <w:sz w:val="20"/>
        </w:rPr>
      </w:pPr>
      <w:r w:rsidRPr="006679D2">
        <w:rPr>
          <w:rFonts w:ascii="Arial" w:hAnsi="Arial" w:cs="Arial"/>
          <w:color w:val="000000"/>
          <w:sz w:val="20"/>
        </w:rPr>
        <w:t xml:space="preserve">When the twins were 2 months old, </w:t>
      </w:r>
      <w:r w:rsidR="00281666" w:rsidRPr="006679D2">
        <w:rPr>
          <w:rFonts w:ascii="Arial" w:hAnsi="Arial" w:cs="Arial"/>
          <w:color w:val="000000"/>
          <w:sz w:val="20"/>
        </w:rPr>
        <w:t xml:space="preserve">Dr M had been asked by DOHS to provide an expert opinion as to whether </w:t>
      </w:r>
      <w:r w:rsidR="00E55A14" w:rsidRPr="006679D2">
        <w:rPr>
          <w:rFonts w:ascii="Arial" w:hAnsi="Arial" w:cs="Arial"/>
          <w:color w:val="000000"/>
          <w:sz w:val="20"/>
        </w:rPr>
        <w:t>contact</w:t>
      </w:r>
      <w:r w:rsidR="00281666" w:rsidRPr="006679D2">
        <w:rPr>
          <w:rFonts w:ascii="Arial" w:hAnsi="Arial" w:cs="Arial"/>
          <w:color w:val="000000"/>
          <w:sz w:val="20"/>
        </w:rPr>
        <w:t xml:space="preserve"> between the twins and the parents for several hours </w:t>
      </w:r>
      <w:r w:rsidRPr="006679D2">
        <w:rPr>
          <w:rFonts w:ascii="Arial" w:hAnsi="Arial" w:cs="Arial"/>
          <w:color w:val="000000"/>
          <w:sz w:val="20"/>
        </w:rPr>
        <w:t xml:space="preserve">each day </w:t>
      </w:r>
      <w:r w:rsidR="00281666" w:rsidRPr="006679D2">
        <w:rPr>
          <w:rFonts w:ascii="Arial" w:hAnsi="Arial" w:cs="Arial"/>
          <w:color w:val="000000"/>
          <w:sz w:val="20"/>
        </w:rPr>
        <w:t xml:space="preserve">was appropriate.  However she had not been given an opportunity to observe </w:t>
      </w:r>
      <w:r w:rsidR="00D52F77" w:rsidRPr="006679D2">
        <w:rPr>
          <w:rFonts w:ascii="Arial" w:hAnsi="Arial" w:cs="Arial"/>
          <w:color w:val="000000"/>
          <w:sz w:val="20"/>
        </w:rPr>
        <w:t xml:space="preserve">either </w:t>
      </w:r>
      <w:r w:rsidR="00281666" w:rsidRPr="006679D2">
        <w:rPr>
          <w:rFonts w:ascii="Arial" w:hAnsi="Arial" w:cs="Arial"/>
          <w:color w:val="000000"/>
          <w:sz w:val="20"/>
        </w:rPr>
        <w:t xml:space="preserve">the twins </w:t>
      </w:r>
      <w:r w:rsidR="00D52F77" w:rsidRPr="006679D2">
        <w:rPr>
          <w:rFonts w:ascii="Arial" w:hAnsi="Arial" w:cs="Arial"/>
          <w:color w:val="000000"/>
          <w:sz w:val="20"/>
        </w:rPr>
        <w:t>or</w:t>
      </w:r>
      <w:r w:rsidR="00281666" w:rsidRPr="006679D2">
        <w:rPr>
          <w:rFonts w:ascii="Arial" w:hAnsi="Arial" w:cs="Arial"/>
          <w:color w:val="000000"/>
          <w:sz w:val="20"/>
        </w:rPr>
        <w:t xml:space="preserve"> their parents.  It was her view that daily </w:t>
      </w:r>
      <w:r w:rsidR="00E55A14" w:rsidRPr="006679D2">
        <w:rPr>
          <w:rFonts w:ascii="Arial" w:hAnsi="Arial" w:cs="Arial"/>
          <w:color w:val="000000"/>
          <w:sz w:val="20"/>
        </w:rPr>
        <w:t>contact</w:t>
      </w:r>
      <w:r w:rsidR="00281666" w:rsidRPr="006679D2">
        <w:rPr>
          <w:rFonts w:ascii="Arial" w:hAnsi="Arial" w:cs="Arial"/>
          <w:color w:val="000000"/>
          <w:sz w:val="20"/>
        </w:rPr>
        <w:t xml:space="preserve"> was not appropriate and she recommended a reduction to once weekly for the following reasons:</w:t>
      </w:r>
    </w:p>
    <w:p w14:paraId="23F43D59" w14:textId="77777777" w:rsidR="00281666" w:rsidRDefault="00281666" w:rsidP="00281666">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6BE251AD" w14:textId="77777777" w:rsidR="00281666" w:rsidRDefault="00281666" w:rsidP="00FB53EB">
      <w:pPr>
        <w:jc w:val="both"/>
        <w:rPr>
          <w:rFonts w:ascii="Arial" w:hAnsi="Arial" w:cs="Arial"/>
          <w:sz w:val="20"/>
        </w:rPr>
      </w:pPr>
      <w:r>
        <w:rPr>
          <w:rFonts w:ascii="Arial" w:hAnsi="Arial" w:cs="Arial"/>
          <w:sz w:val="20"/>
        </w:rPr>
        <w:t>Dr M went on to identify three levels of contact for a non-custodial parent:</w:t>
      </w:r>
    </w:p>
    <w:p w14:paraId="64644B96" w14:textId="77777777" w:rsidR="00281666" w:rsidRDefault="00281666" w:rsidP="00281666">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sidR="00FA453B">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76B4AF80" w14:textId="77777777" w:rsidR="00FA453B" w:rsidRDefault="00FA453B" w:rsidP="00281666">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0CBDC4ED" w14:textId="77777777" w:rsidR="00FA453B" w:rsidRDefault="00FA453B" w:rsidP="00281666">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673882A6" w14:textId="77777777" w:rsidR="009F5EE8" w:rsidRDefault="009F5EE8" w:rsidP="009F5EE8">
      <w:pPr>
        <w:jc w:val="both"/>
        <w:rPr>
          <w:rFonts w:ascii="Arial" w:hAnsi="Arial" w:cs="Arial"/>
          <w:sz w:val="20"/>
        </w:rPr>
      </w:pPr>
    </w:p>
    <w:p w14:paraId="7DF9103D" w14:textId="77777777" w:rsidR="00081D5A" w:rsidRPr="006679D2" w:rsidRDefault="00081D5A" w:rsidP="009F5EE8">
      <w:pPr>
        <w:jc w:val="both"/>
        <w:rPr>
          <w:rFonts w:ascii="Arial" w:hAnsi="Arial" w:cs="Arial"/>
          <w:color w:val="000000"/>
          <w:sz w:val="20"/>
        </w:rPr>
      </w:pPr>
      <w:r w:rsidRPr="006679D2">
        <w:rPr>
          <w:rFonts w:ascii="Arial" w:hAnsi="Arial" w:cs="Arial"/>
          <w:color w:val="000000"/>
          <w:sz w:val="20"/>
        </w:rPr>
        <w:t xml:space="preserve">At </w:t>
      </w:r>
      <w:r w:rsidR="00D52F77" w:rsidRPr="006679D2">
        <w:rPr>
          <w:rFonts w:ascii="Arial" w:hAnsi="Arial" w:cs="Arial"/>
          <w:color w:val="000000"/>
          <w:sz w:val="20"/>
        </w:rPr>
        <w:t xml:space="preserve">about </w:t>
      </w:r>
      <w:r w:rsidRPr="006679D2">
        <w:rPr>
          <w:rFonts w:ascii="Arial" w:hAnsi="Arial" w:cs="Arial"/>
          <w:color w:val="000000"/>
          <w:sz w:val="20"/>
        </w:rPr>
        <w:t xml:space="preserve">the same time Dr P had also been asked by DOHS to provide an expert opinion on the optimal frequency of </w:t>
      </w:r>
      <w:r w:rsidR="006676FF" w:rsidRPr="006679D2">
        <w:rPr>
          <w:rFonts w:ascii="Arial" w:hAnsi="Arial" w:cs="Arial"/>
          <w:color w:val="000000"/>
          <w:sz w:val="20"/>
        </w:rPr>
        <w:t xml:space="preserve">the twins’ </w:t>
      </w:r>
      <w:r w:rsidR="00E55A14" w:rsidRPr="006679D2">
        <w:rPr>
          <w:rFonts w:ascii="Arial" w:hAnsi="Arial" w:cs="Arial"/>
          <w:color w:val="000000"/>
          <w:sz w:val="20"/>
        </w:rPr>
        <w:t>contact</w:t>
      </w:r>
      <w:r w:rsidRPr="006679D2">
        <w:rPr>
          <w:rFonts w:ascii="Arial" w:hAnsi="Arial" w:cs="Arial"/>
          <w:color w:val="000000"/>
          <w:sz w:val="20"/>
        </w:rPr>
        <w:t xml:space="preserve"> with parents who had a strong desire to assume their roles as parents but who were considered at that stage unable to provide the level of emotional consistency </w:t>
      </w:r>
      <w:r w:rsidR="00F536E9" w:rsidRPr="006679D2">
        <w:rPr>
          <w:rFonts w:ascii="Arial" w:hAnsi="Arial" w:cs="Arial"/>
          <w:color w:val="000000"/>
          <w:sz w:val="20"/>
        </w:rPr>
        <w:t>and absence of disruption and trauma necessary for optimal development.  H</w:t>
      </w:r>
      <w:r w:rsidR="00E673B6" w:rsidRPr="006679D2">
        <w:rPr>
          <w:rFonts w:ascii="Arial" w:hAnsi="Arial" w:cs="Arial"/>
          <w:color w:val="000000"/>
          <w:sz w:val="20"/>
        </w:rPr>
        <w:t>e too had not seen either the twins or their parents.  H</w:t>
      </w:r>
      <w:r w:rsidR="00F536E9" w:rsidRPr="006679D2">
        <w:rPr>
          <w:rFonts w:ascii="Arial" w:hAnsi="Arial" w:cs="Arial"/>
          <w:color w:val="000000"/>
          <w:sz w:val="20"/>
        </w:rPr>
        <w:t xml:space="preserve">is reported opinion about the then daily </w:t>
      </w:r>
      <w:r w:rsidR="00E55A14" w:rsidRPr="006679D2">
        <w:rPr>
          <w:rFonts w:ascii="Arial" w:hAnsi="Arial" w:cs="Arial"/>
          <w:color w:val="000000"/>
          <w:sz w:val="20"/>
        </w:rPr>
        <w:t>contact</w:t>
      </w:r>
      <w:r w:rsidR="00F536E9" w:rsidRPr="006679D2">
        <w:rPr>
          <w:rFonts w:ascii="Arial" w:hAnsi="Arial" w:cs="Arial"/>
          <w:color w:val="000000"/>
          <w:sz w:val="20"/>
        </w:rPr>
        <w:t xml:space="preserve"> regime was that it was potentially disruptive of the twins’ development:</w:t>
      </w:r>
    </w:p>
    <w:p w14:paraId="56F0F09D" w14:textId="77777777" w:rsidR="008E414E" w:rsidRPr="008E414E" w:rsidRDefault="008E414E" w:rsidP="009F5EE8">
      <w:pPr>
        <w:spacing w:before="120"/>
        <w:ind w:left="567" w:right="567"/>
        <w:jc w:val="both"/>
        <w:rPr>
          <w:rFonts w:ascii="Arial" w:hAnsi="Arial" w:cs="Arial"/>
          <w:sz w:val="20"/>
        </w:rPr>
      </w:pPr>
      <w:r w:rsidRPr="008E414E">
        <w:rPr>
          <w:rFonts w:ascii="Arial" w:hAnsi="Arial" w:cs="Arial"/>
          <w:sz w:val="20"/>
        </w:rPr>
        <w:t xml:space="preserve">“The fields of early childhood development and infant mental health have provided an increasing amount of powerful evidence that the very early </w:t>
      </w:r>
      <w:r w:rsidRPr="008E414E">
        <w:rPr>
          <w:rFonts w:ascii="Arial" w:hAnsi="Arial" w:cs="Arial"/>
          <w:sz w:val="20"/>
        </w:rPr>
        <w:lastRenderedPageBreak/>
        <w:t>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744BABFF" w14:textId="77777777" w:rsidR="008E414E" w:rsidRPr="008E414E" w:rsidRDefault="008E414E" w:rsidP="008E414E">
      <w:pPr>
        <w:spacing w:before="120"/>
        <w:ind w:left="567" w:right="567"/>
        <w:jc w:val="both"/>
        <w:rPr>
          <w:rFonts w:ascii="Arial" w:hAnsi="Arial" w:cs="Arial"/>
          <w:sz w:val="20"/>
        </w:rPr>
      </w:pPr>
      <w:r w:rsidRPr="008E414E">
        <w:rPr>
          <w:rFonts w:ascii="Arial" w:hAnsi="Arial" w:cs="Arial"/>
          <w:sz w:val="20"/>
        </w:rPr>
        <w:t>Babies in the first months of life have as their primary task the development of control of their own body, and self regulatory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self regulation.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1612443C" w14:textId="77777777" w:rsidR="008E414E" w:rsidRDefault="008E414E" w:rsidP="00A66699">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55D0692B" w14:textId="77777777" w:rsidR="009F5EE8" w:rsidRDefault="009F5EE8" w:rsidP="009F5EE8">
      <w:pPr>
        <w:jc w:val="both"/>
        <w:rPr>
          <w:rFonts w:ascii="Arial" w:hAnsi="Arial" w:cs="Arial"/>
          <w:sz w:val="20"/>
        </w:rPr>
      </w:pPr>
    </w:p>
    <w:p w14:paraId="375F7961" w14:textId="77777777" w:rsidR="00C86487" w:rsidRDefault="00C86487" w:rsidP="009F5EE8">
      <w:pPr>
        <w:jc w:val="both"/>
        <w:rPr>
          <w:rFonts w:ascii="Arial" w:hAnsi="Arial" w:cs="Arial"/>
          <w:sz w:val="20"/>
        </w:rPr>
      </w:pPr>
      <w:r>
        <w:rPr>
          <w:rFonts w:ascii="Arial" w:hAnsi="Arial" w:cs="Arial"/>
          <w:sz w:val="20"/>
        </w:rPr>
        <w:t>W</w:t>
      </w:r>
      <w:r w:rsidR="008E414E">
        <w:rPr>
          <w:rFonts w:ascii="Arial" w:hAnsi="Arial" w:cs="Arial"/>
          <w:sz w:val="20"/>
        </w:rPr>
        <w:t xml:space="preserve">hen he </w:t>
      </w:r>
      <w:r w:rsidR="003A68FC">
        <w:rPr>
          <w:rFonts w:ascii="Arial" w:hAnsi="Arial" w:cs="Arial"/>
          <w:sz w:val="20"/>
        </w:rPr>
        <w:t xml:space="preserve">first </w:t>
      </w:r>
      <w:r w:rsidR="008E414E">
        <w:rPr>
          <w:rFonts w:ascii="Arial" w:hAnsi="Arial" w:cs="Arial"/>
          <w:sz w:val="20"/>
        </w:rPr>
        <w:t>gave evidence about a month later</w:t>
      </w:r>
      <w:r w:rsidR="00C8479C">
        <w:rPr>
          <w:rFonts w:ascii="Arial" w:hAnsi="Arial" w:cs="Arial"/>
          <w:sz w:val="20"/>
        </w:rPr>
        <w:t xml:space="preserve"> – at which time the twins were </w:t>
      </w:r>
      <w:r w:rsidR="00D52F77">
        <w:rPr>
          <w:rFonts w:ascii="Arial" w:hAnsi="Arial" w:cs="Arial"/>
          <w:sz w:val="20"/>
        </w:rPr>
        <w:t>11½ weeks</w:t>
      </w:r>
      <w:r w:rsidR="00C8479C">
        <w:rPr>
          <w:rFonts w:ascii="Arial" w:hAnsi="Arial" w:cs="Arial"/>
          <w:sz w:val="20"/>
        </w:rPr>
        <w:t xml:space="preserve"> old -</w:t>
      </w:r>
      <w:r w:rsidR="008E414E">
        <w:rPr>
          <w:rFonts w:ascii="Arial" w:hAnsi="Arial" w:cs="Arial"/>
          <w:sz w:val="20"/>
        </w:rPr>
        <w:t xml:space="preserve"> Dr P </w:t>
      </w:r>
      <w:r>
        <w:rPr>
          <w:rFonts w:ascii="Arial" w:hAnsi="Arial" w:cs="Arial"/>
          <w:sz w:val="20"/>
        </w:rPr>
        <w:t xml:space="preserve">repeated </w:t>
      </w:r>
      <w:r w:rsidR="00144AFD">
        <w:rPr>
          <w:rFonts w:ascii="Arial" w:hAnsi="Arial" w:cs="Arial"/>
          <w:sz w:val="20"/>
        </w:rPr>
        <w:t xml:space="preserve">the </w:t>
      </w:r>
      <w:r>
        <w:rPr>
          <w:rFonts w:ascii="Arial" w:hAnsi="Arial" w:cs="Arial"/>
          <w:sz w:val="20"/>
        </w:rPr>
        <w:t>concern</w:t>
      </w:r>
      <w:r w:rsidR="0028439F">
        <w:rPr>
          <w:rFonts w:ascii="Arial" w:hAnsi="Arial" w:cs="Arial"/>
          <w:sz w:val="20"/>
        </w:rPr>
        <w:t>s</w:t>
      </w:r>
      <w:r>
        <w:rPr>
          <w:rFonts w:ascii="Arial" w:hAnsi="Arial" w:cs="Arial"/>
          <w:sz w:val="20"/>
        </w:rPr>
        <w:t xml:space="preserve"> </w:t>
      </w:r>
      <w:r w:rsidR="00144AFD">
        <w:rPr>
          <w:rFonts w:ascii="Arial" w:hAnsi="Arial" w:cs="Arial"/>
          <w:sz w:val="20"/>
        </w:rPr>
        <w:t xml:space="preserve">he had </w:t>
      </w:r>
      <w:r w:rsidR="00564409">
        <w:rPr>
          <w:rFonts w:ascii="Arial" w:hAnsi="Arial" w:cs="Arial"/>
          <w:sz w:val="20"/>
        </w:rPr>
        <w:t xml:space="preserve">earlier </w:t>
      </w:r>
      <w:r w:rsidR="00144AFD">
        <w:rPr>
          <w:rFonts w:ascii="Arial" w:hAnsi="Arial" w:cs="Arial"/>
          <w:sz w:val="20"/>
        </w:rPr>
        <w:t xml:space="preserve">reported </w:t>
      </w:r>
      <w:r>
        <w:rPr>
          <w:rFonts w:ascii="Arial" w:hAnsi="Arial" w:cs="Arial"/>
          <w:sz w:val="20"/>
        </w:rPr>
        <w:t>about disruption to the twins’ routines:</w:t>
      </w:r>
    </w:p>
    <w:p w14:paraId="64C04126" w14:textId="77777777" w:rsidR="00C86487" w:rsidRDefault="00C86487" w:rsidP="00C8648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 xml:space="preserve">daily </w:t>
      </w:r>
      <w:r w:rsidR="00E55A14" w:rsidRPr="006679D2">
        <w:rPr>
          <w:rFonts w:ascii="Arial" w:hAnsi="Arial" w:cs="Arial"/>
          <w:color w:val="000000"/>
          <w:sz w:val="20"/>
        </w:rPr>
        <w:t>contact</w:t>
      </w:r>
      <w:r w:rsidRPr="006679D2">
        <w:rPr>
          <w:rFonts w:ascii="Arial" w:hAnsi="Arial" w:cs="Arial"/>
          <w:color w:val="000000"/>
          <w:sz w:val="20"/>
        </w:rPr>
        <w: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w:t>
      </w:r>
      <w:r w:rsidR="00144AFD">
        <w:rPr>
          <w:rFonts w:ascii="Arial" w:hAnsi="Arial" w:cs="Arial"/>
          <w:sz w:val="20"/>
        </w:rPr>
        <w:t>n.</w:t>
      </w:r>
    </w:p>
    <w:p w14:paraId="3E903083" w14:textId="77777777" w:rsidR="00375F2B" w:rsidRDefault="00375F2B" w:rsidP="00C86487">
      <w:pPr>
        <w:spacing w:before="120"/>
        <w:ind w:left="567" w:right="567"/>
        <w:jc w:val="both"/>
        <w:rPr>
          <w:rFonts w:ascii="Arial" w:hAnsi="Arial" w:cs="Arial"/>
          <w:sz w:val="20"/>
        </w:rPr>
      </w:pPr>
      <w:r>
        <w:rPr>
          <w:rFonts w:ascii="Arial" w:hAnsi="Arial" w:cs="Arial"/>
          <w:sz w:val="20"/>
        </w:rPr>
        <w:t>The very young infant comes into the world</w:t>
      </w:r>
      <w:r w:rsidR="0021794E">
        <w:rPr>
          <w:rFonts w:ascii="Arial" w:hAnsi="Arial" w:cs="Arial"/>
          <w:sz w:val="20"/>
        </w:rPr>
        <w:t xml:space="preserve"> with a lot of skills </w:t>
      </w:r>
      <w:r w:rsidR="00144AFD">
        <w:rPr>
          <w:rFonts w:ascii="Arial" w:hAnsi="Arial" w:cs="Arial"/>
          <w:sz w:val="20"/>
        </w:rPr>
        <w:t xml:space="preserve">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w:t>
      </w:r>
      <w:r w:rsidR="00144AFD">
        <w:rPr>
          <w:rFonts w:ascii="Arial" w:hAnsi="Arial" w:cs="Arial"/>
          <w:sz w:val="20"/>
        </w:rPr>
        <w:lastRenderedPageBreak/>
        <w:t>at the very beginning.  And if there are major disruptions to the baby’s daily routine and 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3CA1E609" w14:textId="77777777" w:rsidR="00375F2B" w:rsidRDefault="00375F2B" w:rsidP="00C86487">
      <w:pPr>
        <w:spacing w:before="120"/>
        <w:ind w:left="567" w:right="567"/>
        <w:jc w:val="both"/>
        <w:rPr>
          <w:rFonts w:ascii="Arial" w:hAnsi="Arial" w:cs="Arial"/>
          <w:sz w:val="20"/>
        </w:rPr>
      </w:pPr>
      <w:r>
        <w:rPr>
          <w:rFonts w:ascii="Arial" w:hAnsi="Arial" w:cs="Arial"/>
          <w:sz w:val="20"/>
        </w:rPr>
        <w:t xml:space="preserve">There is no sort of standard rule about </w:t>
      </w:r>
      <w:r w:rsidR="00144AFD">
        <w:rPr>
          <w:rFonts w:ascii="Arial" w:hAnsi="Arial" w:cs="Arial"/>
          <w:sz w:val="20"/>
        </w:rPr>
        <w:t xml:space="preserve">what’s a reasonable disruption in routine that a baby can tolerate and that another baby can’t tolerate.  I think it is so much a thing that depends on the individual infant and caregiver.  </w:t>
      </w:r>
      <w:r w:rsidR="00564409">
        <w:rPr>
          <w:rFonts w:ascii="Arial" w:hAnsi="Arial" w:cs="Arial"/>
          <w:sz w:val="20"/>
        </w:rPr>
        <w:t>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involved in the transporting, I understand, would be enough to disrupt a baby’s sense of self and continuity at this stage…</w:t>
      </w:r>
    </w:p>
    <w:p w14:paraId="2A02B5F2" w14:textId="77777777" w:rsidR="00564409" w:rsidRDefault="00564409" w:rsidP="00C8648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w:t>
      </w:r>
      <w:r w:rsidR="00A860CC">
        <w:rPr>
          <w:rFonts w:ascii="Arial" w:hAnsi="Arial" w:cs="Arial"/>
          <w:sz w:val="20"/>
        </w:rPr>
        <w:t>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450AD41D" w14:textId="77777777" w:rsidR="00C86487" w:rsidRDefault="00C86487" w:rsidP="009F5EE8">
      <w:pPr>
        <w:jc w:val="both"/>
        <w:rPr>
          <w:rFonts w:ascii="Arial" w:hAnsi="Arial" w:cs="Arial"/>
          <w:sz w:val="20"/>
        </w:rPr>
      </w:pPr>
    </w:p>
    <w:p w14:paraId="4B783626" w14:textId="77777777" w:rsidR="00C86487" w:rsidRDefault="002637FD" w:rsidP="006021A3">
      <w:pPr>
        <w:jc w:val="both"/>
        <w:rPr>
          <w:rFonts w:ascii="Arial" w:hAnsi="Arial" w:cs="Arial"/>
          <w:sz w:val="20"/>
        </w:rPr>
      </w:pPr>
      <w:r>
        <w:rPr>
          <w:rFonts w:ascii="Arial" w:hAnsi="Arial" w:cs="Arial"/>
          <w:sz w:val="20"/>
        </w:rPr>
        <w:t xml:space="preserve">At the end of a series of questions by the Court seeking to convert Dr P’s </w:t>
      </w:r>
      <w:r w:rsidR="001E113D">
        <w:rPr>
          <w:rFonts w:ascii="Arial" w:hAnsi="Arial" w:cs="Arial"/>
          <w:sz w:val="20"/>
        </w:rPr>
        <w:t>opinion</w:t>
      </w:r>
      <w:r>
        <w:rPr>
          <w:rFonts w:ascii="Arial" w:hAnsi="Arial" w:cs="Arial"/>
          <w:sz w:val="20"/>
        </w:rPr>
        <w:t xml:space="preserve">s </w:t>
      </w:r>
      <w:r w:rsidR="001E113D">
        <w:rPr>
          <w:rFonts w:ascii="Arial" w:hAnsi="Arial" w:cs="Arial"/>
          <w:sz w:val="20"/>
        </w:rPr>
        <w:t xml:space="preserve">about </w:t>
      </w:r>
      <w:r w:rsidR="001E113D" w:rsidRPr="006679D2">
        <w:rPr>
          <w:rFonts w:ascii="Arial" w:hAnsi="Arial" w:cs="Arial"/>
          <w:color w:val="000000"/>
          <w:sz w:val="20"/>
        </w:rPr>
        <w:t xml:space="preserve">infant development </w:t>
      </w:r>
      <w:r w:rsidRPr="006679D2">
        <w:rPr>
          <w:rFonts w:ascii="Arial" w:hAnsi="Arial" w:cs="Arial"/>
          <w:color w:val="000000"/>
          <w:sz w:val="20"/>
        </w:rPr>
        <w:t xml:space="preserve">into a concrete opinion about </w:t>
      </w:r>
      <w:r w:rsidR="00E55A14" w:rsidRPr="006679D2">
        <w:rPr>
          <w:rFonts w:ascii="Arial" w:hAnsi="Arial" w:cs="Arial"/>
          <w:color w:val="000000"/>
          <w:sz w:val="20"/>
        </w:rPr>
        <w:t>contact</w:t>
      </w:r>
      <w:r w:rsidRPr="006679D2">
        <w:rPr>
          <w:rFonts w:ascii="Arial" w:hAnsi="Arial" w:cs="Arial"/>
          <w:color w:val="000000"/>
          <w:sz w:val="20"/>
        </w:rPr>
        <w:t xml:space="preserve"> frequency and duration Dr P was</w:t>
      </w:r>
      <w:r>
        <w:rPr>
          <w:rFonts w:ascii="Arial" w:hAnsi="Arial" w:cs="Arial"/>
          <w:sz w:val="20"/>
        </w:rPr>
        <w:t xml:space="preserve"> asked</w:t>
      </w:r>
      <w:r w:rsidR="00C53366">
        <w:rPr>
          <w:rFonts w:ascii="Arial" w:hAnsi="Arial" w:cs="Arial"/>
          <w:sz w:val="20"/>
        </w:rPr>
        <w:t>:</w:t>
      </w:r>
      <w:r>
        <w:rPr>
          <w:rFonts w:ascii="Arial" w:hAnsi="Arial" w:cs="Arial"/>
          <w:sz w:val="20"/>
        </w:rPr>
        <w:t xml:space="preserve">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w:t>
      </w:r>
      <w:r w:rsidR="0028439F">
        <w:rPr>
          <w:rFonts w:ascii="Arial" w:hAnsi="Arial" w:cs="Arial"/>
          <w:sz w:val="20"/>
        </w:rPr>
        <w:t xml:space="preserve">Giving evidence before the writer on a later occasion Dr P appeared regretful that he had been “pinned down” to his earlier </w:t>
      </w:r>
      <w:r w:rsidR="001E113D">
        <w:rPr>
          <w:rFonts w:ascii="Arial" w:hAnsi="Arial" w:cs="Arial"/>
          <w:sz w:val="20"/>
        </w:rPr>
        <w:t>answer</w:t>
      </w:r>
      <w:r w:rsidR="0028439F">
        <w:rPr>
          <w:rFonts w:ascii="Arial" w:hAnsi="Arial" w:cs="Arial"/>
          <w:sz w:val="20"/>
        </w:rPr>
        <w:t>,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5DC232EF" w14:textId="77777777" w:rsidR="00A860CC" w:rsidRDefault="00A860CC" w:rsidP="00A860CC">
      <w:pPr>
        <w:jc w:val="both"/>
        <w:rPr>
          <w:rFonts w:ascii="Arial" w:hAnsi="Arial" w:cs="Arial"/>
          <w:sz w:val="20"/>
        </w:rPr>
      </w:pPr>
    </w:p>
    <w:p w14:paraId="7E28E093" w14:textId="77777777" w:rsidR="00D52F77" w:rsidRDefault="0028439F" w:rsidP="009F5EE8">
      <w:pPr>
        <w:jc w:val="both"/>
        <w:rPr>
          <w:rFonts w:ascii="Arial" w:hAnsi="Arial" w:cs="Arial"/>
          <w:sz w:val="20"/>
        </w:rPr>
      </w:pPr>
      <w:r>
        <w:rPr>
          <w:rFonts w:ascii="Arial" w:hAnsi="Arial" w:cs="Arial"/>
          <w:sz w:val="20"/>
        </w:rPr>
        <w:t>W</w:t>
      </w:r>
      <w:r w:rsidR="00D52F77">
        <w:rPr>
          <w:rFonts w:ascii="Arial" w:hAnsi="Arial" w:cs="Arial"/>
          <w:sz w:val="20"/>
        </w:rPr>
        <w:t xml:space="preserve">hen the twins were about 8 months old – Dr P had </w:t>
      </w:r>
      <w:r w:rsidR="0073125B">
        <w:rPr>
          <w:rFonts w:ascii="Arial" w:hAnsi="Arial" w:cs="Arial"/>
          <w:sz w:val="20"/>
        </w:rPr>
        <w:t xml:space="preserve">briefly </w:t>
      </w:r>
      <w:r w:rsidR="00D52F77">
        <w:rPr>
          <w:rFonts w:ascii="Arial" w:hAnsi="Arial" w:cs="Arial"/>
          <w:sz w:val="20"/>
        </w:rPr>
        <w:t xml:space="preserve">observed the interactions between </w:t>
      </w:r>
      <w:r w:rsidR="00294327">
        <w:rPr>
          <w:rFonts w:ascii="Arial" w:hAnsi="Arial" w:cs="Arial"/>
          <w:sz w:val="20"/>
        </w:rPr>
        <w:t>them</w:t>
      </w:r>
      <w:r w:rsidR="00D52F77">
        <w:rPr>
          <w:rFonts w:ascii="Arial" w:hAnsi="Arial" w:cs="Arial"/>
          <w:sz w:val="20"/>
        </w:rPr>
        <w:t xml:space="preserve"> and their parents and between the</w:t>
      </w:r>
      <w:r w:rsidR="00294327">
        <w:rPr>
          <w:rFonts w:ascii="Arial" w:hAnsi="Arial" w:cs="Arial"/>
          <w:sz w:val="20"/>
        </w:rPr>
        <w:t>m</w:t>
      </w:r>
      <w:r w:rsidR="00D52F77">
        <w:rPr>
          <w:rFonts w:ascii="Arial" w:hAnsi="Arial" w:cs="Arial"/>
          <w:sz w:val="20"/>
        </w:rPr>
        <w:t xml:space="preserve"> and their carers</w:t>
      </w:r>
      <w:r w:rsidR="0073125B">
        <w:rPr>
          <w:rFonts w:ascii="Arial" w:hAnsi="Arial" w:cs="Arial"/>
          <w:sz w:val="20"/>
        </w:rPr>
        <w:t xml:space="preserve">.  He </w:t>
      </w:r>
      <w:r w:rsidR="00D52F77">
        <w:rPr>
          <w:rFonts w:ascii="Arial" w:hAnsi="Arial" w:cs="Arial"/>
          <w:sz w:val="20"/>
        </w:rPr>
        <w:t>said of this:</w:t>
      </w:r>
    </w:p>
    <w:p w14:paraId="013C5ADF" w14:textId="77777777" w:rsidR="00D52F77" w:rsidRDefault="00D52F77" w:rsidP="00D52F7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attachment.  It is true to say I didn’t see with the twins – with parents or carers – evidence of a severely disordered attachment relationship.</w:t>
      </w:r>
      <w:r>
        <w:rPr>
          <w:rFonts w:ascii="Arial" w:hAnsi="Arial" w:cs="Arial"/>
          <w:bCs/>
          <w:sz w:val="20"/>
        </w:rPr>
        <w:t>”</w:t>
      </w:r>
    </w:p>
    <w:p w14:paraId="0376CD0B" w14:textId="77777777" w:rsidR="00D52F77" w:rsidRDefault="00D52F77" w:rsidP="009F5EE8">
      <w:pPr>
        <w:jc w:val="both"/>
        <w:rPr>
          <w:rFonts w:ascii="Arial" w:hAnsi="Arial" w:cs="Arial"/>
          <w:sz w:val="20"/>
        </w:rPr>
      </w:pPr>
    </w:p>
    <w:p w14:paraId="7FA4E307" w14:textId="77777777" w:rsidR="00EC3E56" w:rsidRPr="006679D2" w:rsidRDefault="00E673B6" w:rsidP="008D0BD2">
      <w:pPr>
        <w:keepNext/>
        <w:keepLines/>
        <w:jc w:val="both"/>
        <w:rPr>
          <w:rFonts w:ascii="Arial" w:hAnsi="Arial" w:cs="Arial"/>
          <w:color w:val="000000"/>
          <w:sz w:val="20"/>
        </w:rPr>
      </w:pPr>
      <w:r w:rsidRPr="006679D2">
        <w:rPr>
          <w:rFonts w:ascii="Arial" w:hAnsi="Arial" w:cs="Arial"/>
          <w:color w:val="000000"/>
          <w:sz w:val="20"/>
        </w:rPr>
        <w:lastRenderedPageBreak/>
        <w:t>G</w:t>
      </w:r>
      <w:r w:rsidR="003A68FC" w:rsidRPr="006679D2">
        <w:rPr>
          <w:rFonts w:ascii="Arial" w:hAnsi="Arial" w:cs="Arial"/>
          <w:color w:val="000000"/>
          <w:sz w:val="20"/>
        </w:rPr>
        <w:t xml:space="preserve">iving evidence when the twins were 9½ months old, Dr P </w:t>
      </w:r>
      <w:r w:rsidR="0028439F" w:rsidRPr="006679D2">
        <w:rPr>
          <w:rFonts w:ascii="Arial" w:hAnsi="Arial" w:cs="Arial"/>
          <w:color w:val="000000"/>
          <w:sz w:val="20"/>
        </w:rPr>
        <w:t xml:space="preserve">was </w:t>
      </w:r>
      <w:r w:rsidR="00EC3E56" w:rsidRPr="006679D2">
        <w:rPr>
          <w:rFonts w:ascii="Arial" w:hAnsi="Arial" w:cs="Arial"/>
          <w:color w:val="000000"/>
          <w:sz w:val="20"/>
        </w:rPr>
        <w:t xml:space="preserve">advocating a much less frequent </w:t>
      </w:r>
      <w:r w:rsidR="00E55A14" w:rsidRPr="006679D2">
        <w:rPr>
          <w:rFonts w:ascii="Arial" w:hAnsi="Arial" w:cs="Arial"/>
          <w:color w:val="000000"/>
          <w:sz w:val="20"/>
        </w:rPr>
        <w:t>contact</w:t>
      </w:r>
      <w:r w:rsidR="00EC3E56" w:rsidRPr="006679D2">
        <w:rPr>
          <w:rFonts w:ascii="Arial" w:hAnsi="Arial" w:cs="Arial"/>
          <w:color w:val="000000"/>
          <w:sz w:val="20"/>
        </w:rPr>
        <w:t xml:space="preserve"> regime if the plan was for non-reunification.  However, he also believed that it would be of benefit to each of the twins and their parents if </w:t>
      </w:r>
      <w:r w:rsidR="00E55A14" w:rsidRPr="006679D2">
        <w:rPr>
          <w:rFonts w:ascii="Arial" w:hAnsi="Arial" w:cs="Arial"/>
          <w:color w:val="000000"/>
          <w:sz w:val="20"/>
        </w:rPr>
        <w:t>contact</w:t>
      </w:r>
      <w:r w:rsidR="00EC3E56" w:rsidRPr="006679D2">
        <w:rPr>
          <w:rFonts w:ascii="Arial" w:hAnsi="Arial" w:cs="Arial"/>
          <w:color w:val="000000"/>
          <w:sz w:val="20"/>
        </w:rPr>
        <w:t xml:space="preserve"> was restructured “to provide </w:t>
      </w:r>
      <w:r w:rsidR="00EC3E56" w:rsidRPr="006679D2">
        <w:rPr>
          <w:rFonts w:ascii="Arial" w:hAnsi="Arial" w:cs="Arial"/>
          <w:b/>
          <w:color w:val="000000"/>
          <w:sz w:val="20"/>
          <w:u w:val="single"/>
        </w:rPr>
        <w:t>less frequent but longer periods of contact</w:t>
      </w:r>
      <w:r w:rsidR="00EC3E56" w:rsidRPr="006679D2">
        <w:rPr>
          <w:rFonts w:ascii="Arial" w:hAnsi="Arial" w:cs="Arial"/>
          <w:color w:val="000000"/>
          <w:sz w:val="20"/>
        </w:rPr>
        <w:t xml:space="preserve"> for [the twins] in an environment which is as much like a family setting as is possible.  A longer period of visiting would allow for the experience to be more positive and less disruptive for each of [the twins] and their parents.”</w:t>
      </w:r>
      <w:r w:rsidR="00294327" w:rsidRPr="006679D2">
        <w:rPr>
          <w:rFonts w:ascii="Arial" w:hAnsi="Arial" w:cs="Arial"/>
          <w:color w:val="000000"/>
          <w:sz w:val="20"/>
        </w:rPr>
        <w:t xml:space="preserve"> [emphasis added]</w:t>
      </w:r>
      <w:r w:rsidR="00EC3E56" w:rsidRPr="006679D2">
        <w:rPr>
          <w:rFonts w:ascii="Arial" w:hAnsi="Arial" w:cs="Arial"/>
          <w:color w:val="000000"/>
          <w:sz w:val="20"/>
        </w:rPr>
        <w:t xml:space="preserve">  Asked about the optimal duration of each of these longer </w:t>
      </w:r>
      <w:r w:rsidR="00A135BE" w:rsidRPr="006679D2">
        <w:rPr>
          <w:rFonts w:ascii="Arial" w:hAnsi="Arial" w:cs="Arial"/>
          <w:color w:val="000000"/>
          <w:sz w:val="20"/>
        </w:rPr>
        <w:t>contact</w:t>
      </w:r>
      <w:r w:rsidR="00EC3E56" w:rsidRPr="006679D2">
        <w:rPr>
          <w:rFonts w:ascii="Arial" w:hAnsi="Arial" w:cs="Arial"/>
          <w:color w:val="000000"/>
          <w:sz w:val="20"/>
        </w:rPr>
        <w:t xml:space="preserve"> visits Dr</w:t>
      </w:r>
      <w:r w:rsidR="001E113D" w:rsidRPr="006679D2">
        <w:rPr>
          <w:rFonts w:ascii="Arial" w:hAnsi="Arial" w:cs="Arial"/>
          <w:color w:val="000000"/>
          <w:sz w:val="20"/>
        </w:rPr>
        <w:t> </w:t>
      </w:r>
      <w:r w:rsidR="00EC3E56" w:rsidRPr="006679D2">
        <w:rPr>
          <w:rFonts w:ascii="Arial" w:hAnsi="Arial" w:cs="Arial"/>
          <w:color w:val="000000"/>
          <w:sz w:val="20"/>
        </w:rPr>
        <w:t>P said:</w:t>
      </w:r>
    </w:p>
    <w:p w14:paraId="73A68C8B" w14:textId="77777777" w:rsidR="00A66699" w:rsidRDefault="00EC3E56" w:rsidP="00A07795">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sidR="00A66699">
        <w:rPr>
          <w:rFonts w:ascii="Arial" w:hAnsi="Arial" w:cs="Arial"/>
          <w:bCs/>
          <w:sz w:val="20"/>
        </w:rPr>
        <w:t>…</w:t>
      </w:r>
    </w:p>
    <w:p w14:paraId="576A9AF8" w14:textId="77777777" w:rsidR="00A66699" w:rsidRDefault="00A66699" w:rsidP="00031B60">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Who are my parents? Who are the primary persons responsible for me?  Why am I not with them?  Why am I with fostercarers?</w:t>
      </w:r>
      <w:r w:rsidRPr="009F5EE8">
        <w:rPr>
          <w:rFonts w:ascii="Arial" w:hAnsi="Arial" w:cs="Arial"/>
          <w:bCs/>
          <w:sz w:val="20"/>
        </w:rPr>
        <w:t>’  As a child gets more cognitively developed, the more likely the child is to ask.</w:t>
      </w:r>
      <w:r>
        <w:rPr>
          <w:rFonts w:ascii="Arial" w:hAnsi="Arial" w:cs="Arial"/>
          <w:bCs/>
          <w:sz w:val="20"/>
        </w:rPr>
        <w:t>”</w:t>
      </w:r>
    </w:p>
    <w:p w14:paraId="2FC7FA48" w14:textId="77777777" w:rsidR="009F5EE8" w:rsidRPr="00C53366" w:rsidRDefault="009F5EE8" w:rsidP="009F5EE8">
      <w:pPr>
        <w:jc w:val="both"/>
        <w:rPr>
          <w:rFonts w:ascii="Arial" w:hAnsi="Arial" w:cs="Arial"/>
          <w:sz w:val="16"/>
        </w:rPr>
      </w:pPr>
    </w:p>
    <w:p w14:paraId="25D95BFF" w14:textId="77777777" w:rsidR="009F5EE8" w:rsidRDefault="00A66699" w:rsidP="009F5EE8">
      <w:pPr>
        <w:jc w:val="both"/>
        <w:rPr>
          <w:rFonts w:ascii="Arial" w:hAnsi="Arial" w:cs="Arial"/>
          <w:sz w:val="20"/>
        </w:rPr>
      </w:pPr>
      <w:r>
        <w:rPr>
          <w:rFonts w:ascii="Arial" w:hAnsi="Arial" w:cs="Arial"/>
          <w:sz w:val="20"/>
        </w:rPr>
        <w:t xml:space="preserve">However </w:t>
      </w:r>
      <w:r w:rsidR="009F5EE8">
        <w:rPr>
          <w:rFonts w:ascii="Arial" w:hAnsi="Arial" w:cs="Arial"/>
          <w:sz w:val="20"/>
        </w:rPr>
        <w:t>Dr P</w:t>
      </w:r>
      <w:r>
        <w:rPr>
          <w:rFonts w:ascii="Arial" w:hAnsi="Arial" w:cs="Arial"/>
          <w:sz w:val="20"/>
        </w:rPr>
        <w:t xml:space="preserve"> made it clear that in recommending </w:t>
      </w:r>
      <w:r w:rsidR="00205578">
        <w:rPr>
          <w:rFonts w:ascii="Arial" w:hAnsi="Arial" w:cs="Arial"/>
          <w:sz w:val="20"/>
        </w:rPr>
        <w:t xml:space="preserve">3 hours per fortnight – which he </w:t>
      </w:r>
      <w:r w:rsidR="0073125B">
        <w:rPr>
          <w:rFonts w:ascii="Arial" w:hAnsi="Arial" w:cs="Arial"/>
          <w:sz w:val="20"/>
        </w:rPr>
        <w:t>subsequently</w:t>
      </w:r>
      <w:r w:rsidR="00205578">
        <w:rPr>
          <w:rFonts w:ascii="Arial" w:hAnsi="Arial" w:cs="Arial"/>
          <w:sz w:val="20"/>
        </w:rPr>
        <w:t xml:space="preserve"> changed to 3-4 hours per fortnight - he was giving significant weight to the adverse history of the parents in this particular case.  Hypothetically </w:t>
      </w:r>
      <w:r w:rsidR="00294327">
        <w:rPr>
          <w:rFonts w:ascii="Arial" w:hAnsi="Arial" w:cs="Arial"/>
          <w:sz w:val="20"/>
        </w:rPr>
        <w:t xml:space="preserve">- </w:t>
      </w:r>
      <w:r w:rsidR="00205578">
        <w:rPr>
          <w:rFonts w:ascii="Arial" w:hAnsi="Arial" w:cs="Arial"/>
          <w:sz w:val="20"/>
        </w:rPr>
        <w:t xml:space="preserve">in relation to children generally </w:t>
      </w:r>
      <w:r w:rsidR="00294327">
        <w:rPr>
          <w:rFonts w:ascii="Arial" w:hAnsi="Arial" w:cs="Arial"/>
          <w:sz w:val="20"/>
        </w:rPr>
        <w:t xml:space="preserve">- </w:t>
      </w:r>
      <w:r w:rsidR="00205578">
        <w:rPr>
          <w:rFonts w:ascii="Arial" w:hAnsi="Arial" w:cs="Arial"/>
          <w:sz w:val="20"/>
        </w:rPr>
        <w:t>he would have been looking at 3-4 hours per week.</w:t>
      </w:r>
    </w:p>
    <w:p w14:paraId="1EAB1630" w14:textId="77777777" w:rsidR="00205578" w:rsidRPr="00C53366" w:rsidRDefault="00205578" w:rsidP="009F5EE8">
      <w:pPr>
        <w:jc w:val="both"/>
        <w:rPr>
          <w:rFonts w:ascii="Arial" w:hAnsi="Arial" w:cs="Arial"/>
          <w:sz w:val="18"/>
        </w:rPr>
      </w:pPr>
    </w:p>
    <w:p w14:paraId="247EED08" w14:textId="77777777" w:rsidR="00205578" w:rsidRDefault="00205578" w:rsidP="009F5EE8">
      <w:pPr>
        <w:jc w:val="both"/>
        <w:rPr>
          <w:rFonts w:ascii="Arial" w:hAnsi="Arial" w:cs="Arial"/>
          <w:sz w:val="20"/>
        </w:rPr>
      </w:pPr>
      <w:r w:rsidRPr="006679D2">
        <w:rPr>
          <w:rFonts w:ascii="Arial" w:hAnsi="Arial" w:cs="Arial"/>
          <w:color w:val="000000"/>
          <w:sz w:val="20"/>
        </w:rPr>
        <w:t xml:space="preserve">Dr P also pointed out the importance of considering the impact of </w:t>
      </w:r>
      <w:r w:rsidR="00294327" w:rsidRPr="006679D2">
        <w:rPr>
          <w:rFonts w:ascii="Arial" w:hAnsi="Arial" w:cs="Arial"/>
          <w:color w:val="000000"/>
          <w:sz w:val="20"/>
        </w:rPr>
        <w:t>any</w:t>
      </w:r>
      <w:r w:rsidRPr="006679D2">
        <w:rPr>
          <w:rFonts w:ascii="Arial" w:hAnsi="Arial" w:cs="Arial"/>
          <w:color w:val="000000"/>
          <w:sz w:val="20"/>
        </w:rPr>
        <w:t xml:space="preserve"> </w:t>
      </w:r>
      <w:r w:rsidR="00A135BE" w:rsidRPr="006679D2">
        <w:rPr>
          <w:rFonts w:ascii="Arial" w:hAnsi="Arial" w:cs="Arial"/>
          <w:color w:val="000000"/>
          <w:sz w:val="20"/>
        </w:rPr>
        <w:t>contact</w:t>
      </w:r>
      <w:r w:rsidRPr="006679D2">
        <w:rPr>
          <w:rFonts w:ascii="Arial" w:hAnsi="Arial" w:cs="Arial"/>
          <w:color w:val="000000"/>
          <w:sz w:val="20"/>
        </w:rPr>
        <w:t xml:space="preserve"> regime on the</w:t>
      </w:r>
      <w:r>
        <w:rPr>
          <w:rFonts w:ascii="Arial" w:hAnsi="Arial" w:cs="Arial"/>
          <w:sz w:val="20"/>
        </w:rPr>
        <w:t xml:space="preserve"> children, the parents and the caregivers:</w:t>
      </w:r>
    </w:p>
    <w:p w14:paraId="34580B39" w14:textId="77777777" w:rsidR="004B5056" w:rsidRDefault="004B5056" w:rsidP="00E673B6">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sidR="002F5929">
        <w:rPr>
          <w:rFonts w:ascii="Arial" w:hAnsi="Arial" w:cs="Arial"/>
          <w:bCs/>
          <w:sz w:val="20"/>
          <w:szCs w:val="20"/>
        </w:rPr>
        <w:t>,</w:t>
      </w:r>
      <w:r w:rsidRPr="004B5056">
        <w:rPr>
          <w:rFonts w:ascii="Arial" w:hAnsi="Arial" w:cs="Arial"/>
          <w:bCs/>
          <w:sz w:val="20"/>
          <w:szCs w:val="20"/>
        </w:rPr>
        <w:t xml:space="preserve"> for example</w:t>
      </w:r>
      <w:r w:rsidR="002F5929">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sidR="00294327">
        <w:rPr>
          <w:rFonts w:ascii="Arial" w:hAnsi="Arial" w:cs="Arial"/>
          <w:bCs/>
          <w:sz w:val="20"/>
          <w:szCs w:val="20"/>
        </w:rPr>
        <w:t xml:space="preserve"> i</w:t>
      </w:r>
      <w:r w:rsidRPr="004B5056">
        <w:rPr>
          <w:rFonts w:ascii="Arial" w:hAnsi="Arial" w:cs="Arial"/>
          <w:bCs/>
          <w:sz w:val="20"/>
          <w:szCs w:val="20"/>
        </w:rPr>
        <w:t xml:space="preserve">s how one would approach </w:t>
      </w:r>
      <w:r w:rsidR="00294327">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30B34FD7" w14:textId="77777777" w:rsidR="004B5056" w:rsidRDefault="004B5056" w:rsidP="00E673B6">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sidR="00F927EC">
        <w:rPr>
          <w:rFonts w:ascii="Arial" w:hAnsi="Arial" w:cs="Arial"/>
          <w:sz w:val="20"/>
          <w:szCs w:val="20"/>
        </w:rPr>
        <w:t xml:space="preserve">the </w:t>
      </w:r>
      <w:r w:rsidRPr="004B5056">
        <w:rPr>
          <w:rFonts w:ascii="Arial" w:hAnsi="Arial" w:cs="Arial"/>
          <w:sz w:val="20"/>
          <w:szCs w:val="20"/>
        </w:rPr>
        <w:t>impact on foster carers</w:t>
      </w:r>
      <w:r w:rsidR="00294327">
        <w:rPr>
          <w:rFonts w:ascii="Arial" w:hAnsi="Arial" w:cs="Arial"/>
          <w:sz w:val="20"/>
          <w:szCs w:val="20"/>
        </w:rPr>
        <w:t>...</w:t>
      </w:r>
      <w:r w:rsidRPr="004B5056">
        <w:rPr>
          <w:rFonts w:ascii="Arial" w:hAnsi="Arial" w:cs="Arial"/>
          <w:sz w:val="20"/>
          <w:szCs w:val="20"/>
        </w:rPr>
        <w:t>,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a situation where they are feeling insecure and anxious.  If it is possible to provide some sense of consistency and predictability about a child’s longer term care arrangements then that’s in the interests of the child as well.</w:t>
      </w:r>
      <w:r w:rsidR="00F927EC">
        <w:rPr>
          <w:rFonts w:ascii="Arial" w:hAnsi="Arial" w:cs="Arial"/>
          <w:sz w:val="20"/>
          <w:szCs w:val="20"/>
        </w:rPr>
        <w:t>”</w:t>
      </w:r>
    </w:p>
    <w:p w14:paraId="6A0AC58B" w14:textId="77777777" w:rsidR="00205578" w:rsidRPr="00C53366" w:rsidRDefault="00205578" w:rsidP="009F5EE8">
      <w:pPr>
        <w:jc w:val="both"/>
        <w:rPr>
          <w:rFonts w:ascii="Arial" w:hAnsi="Arial" w:cs="Arial"/>
          <w:sz w:val="18"/>
        </w:rPr>
      </w:pPr>
    </w:p>
    <w:p w14:paraId="3A49488D" w14:textId="77777777" w:rsidR="00281666" w:rsidRPr="006679D2" w:rsidRDefault="002F5929" w:rsidP="00281666">
      <w:pPr>
        <w:jc w:val="both"/>
        <w:rPr>
          <w:rFonts w:ascii="Arial" w:hAnsi="Arial" w:cs="Arial"/>
          <w:color w:val="000000"/>
          <w:sz w:val="20"/>
        </w:rPr>
      </w:pPr>
      <w:r w:rsidRPr="006679D2">
        <w:rPr>
          <w:rFonts w:ascii="Arial" w:hAnsi="Arial" w:cs="Arial"/>
          <w:color w:val="000000"/>
          <w:sz w:val="20"/>
        </w:rPr>
        <w:t xml:space="preserve">By contrast, </w:t>
      </w:r>
      <w:r w:rsidR="00BE3166" w:rsidRPr="006679D2">
        <w:rPr>
          <w:rFonts w:ascii="Arial" w:hAnsi="Arial" w:cs="Arial"/>
          <w:color w:val="000000"/>
          <w:sz w:val="20"/>
        </w:rPr>
        <w:t xml:space="preserve">Dr W did not see any particular reason to change the </w:t>
      </w:r>
      <w:r w:rsidR="00BE3166" w:rsidRPr="006679D2">
        <w:rPr>
          <w:rFonts w:ascii="Arial" w:hAnsi="Arial" w:cs="Arial"/>
          <w:i/>
          <w:color w:val="000000"/>
          <w:sz w:val="20"/>
        </w:rPr>
        <w:t>status quo</w:t>
      </w:r>
      <w:r w:rsidR="00BE3166" w:rsidRPr="006679D2">
        <w:rPr>
          <w:rFonts w:ascii="Arial" w:hAnsi="Arial" w:cs="Arial"/>
          <w:color w:val="000000"/>
          <w:sz w:val="20"/>
        </w:rPr>
        <w:t xml:space="preserve"> for </w:t>
      </w:r>
      <w:r w:rsidR="00A135BE" w:rsidRPr="006679D2">
        <w:rPr>
          <w:rFonts w:ascii="Arial" w:hAnsi="Arial" w:cs="Arial"/>
          <w:color w:val="000000"/>
          <w:sz w:val="20"/>
        </w:rPr>
        <w:t>contact</w:t>
      </w:r>
      <w:r w:rsidR="00BE3166" w:rsidRPr="006679D2">
        <w:rPr>
          <w:rFonts w:ascii="Arial" w:hAnsi="Arial" w:cs="Arial"/>
          <w:color w:val="000000"/>
          <w:sz w:val="20"/>
        </w:rPr>
        <w:t xml:space="preserve"> between the twins and their parents.  </w:t>
      </w:r>
      <w:r w:rsidR="003A68FC" w:rsidRPr="006679D2">
        <w:rPr>
          <w:rFonts w:ascii="Arial" w:hAnsi="Arial" w:cs="Arial"/>
          <w:color w:val="000000"/>
          <w:sz w:val="20"/>
        </w:rPr>
        <w:t xml:space="preserve">Ultimately - </w:t>
      </w:r>
      <w:r w:rsidRPr="006679D2">
        <w:rPr>
          <w:rFonts w:ascii="Arial" w:hAnsi="Arial" w:cs="Arial"/>
          <w:color w:val="000000"/>
          <w:sz w:val="20"/>
        </w:rPr>
        <w:t xml:space="preserve">balancing </w:t>
      </w:r>
      <w:r w:rsidR="003A68FC" w:rsidRPr="006679D2">
        <w:rPr>
          <w:rFonts w:ascii="Arial" w:hAnsi="Arial" w:cs="Arial"/>
          <w:color w:val="000000"/>
          <w:sz w:val="20"/>
        </w:rPr>
        <w:t xml:space="preserve">the </w:t>
      </w:r>
      <w:r w:rsidR="00150328" w:rsidRPr="006679D2">
        <w:rPr>
          <w:rFonts w:ascii="Arial" w:hAnsi="Arial" w:cs="Arial"/>
          <w:color w:val="000000"/>
          <w:sz w:val="20"/>
        </w:rPr>
        <w:t>large</w:t>
      </w:r>
      <w:r w:rsidRPr="006679D2">
        <w:rPr>
          <w:rFonts w:ascii="Arial" w:hAnsi="Arial" w:cs="Arial"/>
          <w:color w:val="000000"/>
          <w:sz w:val="20"/>
        </w:rPr>
        <w:t xml:space="preserve"> amount of </w:t>
      </w:r>
      <w:r w:rsidR="003A68FC" w:rsidRPr="006679D2">
        <w:rPr>
          <w:rFonts w:ascii="Arial" w:hAnsi="Arial" w:cs="Arial"/>
          <w:color w:val="000000"/>
          <w:sz w:val="20"/>
        </w:rPr>
        <w:t xml:space="preserve">evidence </w:t>
      </w:r>
      <w:r w:rsidRPr="006679D2">
        <w:rPr>
          <w:rFonts w:ascii="Arial" w:hAnsi="Arial" w:cs="Arial"/>
          <w:color w:val="000000"/>
          <w:sz w:val="20"/>
        </w:rPr>
        <w:t>elicited in the case</w:t>
      </w:r>
      <w:r w:rsidR="003A68FC" w:rsidRPr="006679D2">
        <w:rPr>
          <w:rFonts w:ascii="Arial" w:hAnsi="Arial" w:cs="Arial"/>
          <w:color w:val="000000"/>
          <w:sz w:val="20"/>
        </w:rPr>
        <w:t xml:space="preserve"> - the writer ordered that each parent have supervised </w:t>
      </w:r>
      <w:r w:rsidR="00A135BE" w:rsidRPr="006679D2">
        <w:rPr>
          <w:rFonts w:ascii="Arial" w:hAnsi="Arial" w:cs="Arial"/>
          <w:color w:val="000000"/>
          <w:sz w:val="20"/>
        </w:rPr>
        <w:t>contact</w:t>
      </w:r>
      <w:r w:rsidR="003A68FC" w:rsidRPr="006679D2">
        <w:rPr>
          <w:rFonts w:ascii="Arial" w:hAnsi="Arial" w:cs="Arial"/>
          <w:color w:val="000000"/>
          <w:sz w:val="20"/>
        </w:rPr>
        <w:t xml:space="preserve"> with the twins once per week for a minimum of 3 hours.</w:t>
      </w:r>
      <w:r w:rsidR="002E24B3" w:rsidRPr="006679D2">
        <w:rPr>
          <w:rFonts w:ascii="Arial" w:hAnsi="Arial" w:cs="Arial"/>
          <w:color w:val="000000"/>
          <w:sz w:val="20"/>
        </w:rPr>
        <w:t xml:space="preserve">  He also set a condition providing for increased </w:t>
      </w:r>
      <w:r w:rsidR="00A135BE" w:rsidRPr="006679D2">
        <w:rPr>
          <w:rFonts w:ascii="Arial" w:hAnsi="Arial" w:cs="Arial"/>
          <w:color w:val="000000"/>
          <w:sz w:val="20"/>
        </w:rPr>
        <w:t>contact</w:t>
      </w:r>
      <w:r w:rsidR="002E24B3" w:rsidRPr="006679D2">
        <w:rPr>
          <w:rFonts w:ascii="Arial" w:hAnsi="Arial" w:cs="Arial"/>
          <w:color w:val="000000"/>
          <w:sz w:val="20"/>
        </w:rPr>
        <w:t xml:space="preserve"> for the mother after 4 months if the mother demonstrated a commitment to live separately and apart from the father.</w:t>
      </w:r>
    </w:p>
    <w:p w14:paraId="28712802" w14:textId="77777777" w:rsidR="007B4FF6" w:rsidRPr="006679D2" w:rsidRDefault="007B4FF6" w:rsidP="007B4FF6">
      <w:pPr>
        <w:jc w:val="both"/>
        <w:rPr>
          <w:rFonts w:ascii="Arial" w:hAnsi="Arial" w:cs="Arial"/>
          <w:color w:val="000000"/>
          <w:sz w:val="18"/>
        </w:rPr>
      </w:pPr>
    </w:p>
    <w:p w14:paraId="1818A5F4" w14:textId="77777777" w:rsidR="007B4FF6" w:rsidRPr="006679D2" w:rsidRDefault="007B4FF6" w:rsidP="007B4FF6">
      <w:pPr>
        <w:jc w:val="both"/>
        <w:rPr>
          <w:rFonts w:ascii="Arial" w:hAnsi="Arial" w:cs="Arial"/>
          <w:color w:val="000000"/>
          <w:sz w:val="20"/>
        </w:rPr>
      </w:pPr>
      <w:r w:rsidRPr="006679D2">
        <w:rPr>
          <w:rFonts w:ascii="Arial" w:hAnsi="Arial" w:cs="Arial"/>
          <w:color w:val="000000"/>
          <w:sz w:val="20"/>
        </w:rPr>
        <w:t xml:space="preserve">Notwithstanding Dr M’s opinion that there </w:t>
      </w:r>
      <w:r w:rsidR="00CE5847" w:rsidRPr="006679D2">
        <w:rPr>
          <w:rFonts w:ascii="Arial" w:hAnsi="Arial" w:cs="Arial"/>
          <w:color w:val="000000"/>
          <w:sz w:val="20"/>
        </w:rPr>
        <w:t>has been</w:t>
      </w:r>
      <w:r w:rsidRPr="006679D2">
        <w:rPr>
          <w:rFonts w:ascii="Arial" w:hAnsi="Arial" w:cs="Arial"/>
          <w:color w:val="000000"/>
          <w:sz w:val="20"/>
        </w:rPr>
        <w:t xml:space="preserve"> much greater precision on th</w:t>
      </w:r>
      <w:r w:rsidR="00CE5847" w:rsidRPr="006679D2">
        <w:rPr>
          <w:rFonts w:ascii="Arial" w:hAnsi="Arial" w:cs="Arial"/>
          <w:color w:val="000000"/>
          <w:sz w:val="20"/>
        </w:rPr>
        <w:t>e</w:t>
      </w:r>
      <w:r w:rsidRPr="006679D2">
        <w:rPr>
          <w:rFonts w:ascii="Arial" w:hAnsi="Arial" w:cs="Arial"/>
          <w:color w:val="000000"/>
          <w:sz w:val="20"/>
        </w:rPr>
        <w:t xml:space="preserve"> issue </w:t>
      </w:r>
      <w:r w:rsidR="00CE5847" w:rsidRPr="006679D2">
        <w:rPr>
          <w:rFonts w:ascii="Arial" w:hAnsi="Arial" w:cs="Arial"/>
          <w:color w:val="000000"/>
          <w:sz w:val="20"/>
        </w:rPr>
        <w:t xml:space="preserve">of optimal </w:t>
      </w:r>
      <w:r w:rsidR="00A135BE" w:rsidRPr="006679D2">
        <w:rPr>
          <w:rFonts w:ascii="Arial" w:hAnsi="Arial" w:cs="Arial"/>
          <w:color w:val="000000"/>
          <w:sz w:val="20"/>
        </w:rPr>
        <w:t>contact</w:t>
      </w:r>
      <w:r w:rsidR="00CE5847" w:rsidRPr="006679D2">
        <w:rPr>
          <w:rFonts w:ascii="Arial" w:hAnsi="Arial" w:cs="Arial"/>
          <w:color w:val="000000"/>
          <w:sz w:val="20"/>
        </w:rPr>
        <w:t xml:space="preserve"> frequency </w:t>
      </w:r>
      <w:r w:rsidRPr="006679D2">
        <w:rPr>
          <w:rFonts w:ascii="Arial" w:hAnsi="Arial" w:cs="Arial"/>
          <w:color w:val="000000"/>
          <w:sz w:val="20"/>
        </w:rPr>
        <w:t>in the last 5</w:t>
      </w:r>
      <w:r w:rsidR="00150328" w:rsidRPr="006679D2">
        <w:rPr>
          <w:rFonts w:ascii="Arial" w:hAnsi="Arial" w:cs="Arial"/>
          <w:color w:val="000000"/>
          <w:sz w:val="20"/>
        </w:rPr>
        <w:noBreakHyphen/>
      </w:r>
      <w:r w:rsidRPr="006679D2">
        <w:rPr>
          <w:rFonts w:ascii="Arial" w:hAnsi="Arial" w:cs="Arial"/>
          <w:color w:val="000000"/>
          <w:sz w:val="20"/>
        </w:rPr>
        <w:t>7 years</w:t>
      </w:r>
      <w:r w:rsidR="00E8297B" w:rsidRPr="006679D2">
        <w:rPr>
          <w:rFonts w:ascii="Arial" w:hAnsi="Arial" w:cs="Arial"/>
          <w:color w:val="000000"/>
          <w:sz w:val="20"/>
        </w:rPr>
        <w:t xml:space="preserve">, the writer </w:t>
      </w:r>
      <w:r w:rsidRPr="006679D2">
        <w:rPr>
          <w:rFonts w:ascii="Arial" w:hAnsi="Arial" w:cs="Arial"/>
          <w:color w:val="000000"/>
          <w:sz w:val="20"/>
        </w:rPr>
        <w:t xml:space="preserve">believes that </w:t>
      </w:r>
      <w:r w:rsidR="00A135BE" w:rsidRPr="006679D2">
        <w:rPr>
          <w:rFonts w:ascii="Arial" w:hAnsi="Arial" w:cs="Arial"/>
          <w:color w:val="000000"/>
          <w:sz w:val="20"/>
        </w:rPr>
        <w:t>contact</w:t>
      </w:r>
      <w:r w:rsidRPr="006679D2">
        <w:rPr>
          <w:rFonts w:ascii="Arial" w:hAnsi="Arial" w:cs="Arial"/>
          <w:color w:val="000000"/>
          <w:sz w:val="20"/>
        </w:rPr>
        <w:t xml:space="preserve"> frequency </w:t>
      </w:r>
      <w:r w:rsidR="00E8297B" w:rsidRPr="006679D2">
        <w:rPr>
          <w:rFonts w:ascii="Arial" w:hAnsi="Arial" w:cs="Arial"/>
          <w:color w:val="000000"/>
          <w:sz w:val="20"/>
        </w:rPr>
        <w:t>remains</w:t>
      </w:r>
      <w:r w:rsidRPr="006679D2">
        <w:rPr>
          <w:rFonts w:ascii="Arial" w:hAnsi="Arial" w:cs="Arial"/>
          <w:color w:val="000000"/>
          <w:sz w:val="20"/>
        </w:rPr>
        <w:t xml:space="preserve"> a very inexact science.  For example, Dr M was advocating </w:t>
      </w:r>
      <w:r w:rsidR="00A135BE" w:rsidRPr="006679D2">
        <w:rPr>
          <w:rFonts w:ascii="Arial" w:hAnsi="Arial" w:cs="Arial"/>
          <w:color w:val="000000"/>
          <w:sz w:val="20"/>
        </w:rPr>
        <w:t>contact</w:t>
      </w:r>
      <w:r w:rsidRPr="006679D2">
        <w:rPr>
          <w:rFonts w:ascii="Arial" w:hAnsi="Arial" w:cs="Arial"/>
          <w:color w:val="000000"/>
          <w:sz w:val="20"/>
        </w:rPr>
        <w:t xml:space="preserve"> once per week at the same time as Dr P was advocating 5 times per week.  To her credit Dr M smilingly conceded that Dr P “would have advocated more” than she did, a clear acknowledgment of the subjective nature of their respective opinions.  Dr P </w:t>
      </w:r>
      <w:r w:rsidR="0021630D" w:rsidRPr="006679D2">
        <w:rPr>
          <w:rFonts w:ascii="Arial" w:hAnsi="Arial" w:cs="Arial"/>
          <w:color w:val="000000"/>
          <w:sz w:val="20"/>
        </w:rPr>
        <w:t>conceded that “in some scenarios 7 days would be right, in others 1 day would be right.”  He also acknowledge</w:t>
      </w:r>
      <w:r w:rsidRPr="006679D2">
        <w:rPr>
          <w:rFonts w:ascii="Arial" w:hAnsi="Arial" w:cs="Arial"/>
          <w:color w:val="000000"/>
          <w:sz w:val="20"/>
        </w:rPr>
        <w:t xml:space="preserve">d the lack of research in this area and </w:t>
      </w:r>
      <w:r w:rsidR="00E8297B" w:rsidRPr="006679D2">
        <w:rPr>
          <w:rFonts w:ascii="Arial" w:hAnsi="Arial" w:cs="Arial"/>
          <w:color w:val="000000"/>
          <w:sz w:val="20"/>
        </w:rPr>
        <w:t xml:space="preserve">often prefaced his answers with a comment that </w:t>
      </w:r>
      <w:r w:rsidRPr="006679D2">
        <w:rPr>
          <w:rFonts w:ascii="Arial" w:hAnsi="Arial" w:cs="Arial"/>
          <w:color w:val="000000"/>
          <w:sz w:val="20"/>
        </w:rPr>
        <w:t>i</w:t>
      </w:r>
      <w:r w:rsidR="00F927EC" w:rsidRPr="006679D2">
        <w:rPr>
          <w:rFonts w:ascii="Arial" w:hAnsi="Arial" w:cs="Arial"/>
          <w:color w:val="000000"/>
          <w:sz w:val="20"/>
        </w:rPr>
        <w:t>t</w:t>
      </w:r>
      <w:r w:rsidRPr="006679D2">
        <w:rPr>
          <w:rFonts w:ascii="Arial" w:hAnsi="Arial" w:cs="Arial"/>
          <w:color w:val="000000"/>
          <w:sz w:val="20"/>
        </w:rPr>
        <w:t xml:space="preserve"> was a difficult question to answer.  For example</w:t>
      </w:r>
      <w:r w:rsidR="0021630D" w:rsidRPr="006679D2">
        <w:rPr>
          <w:rFonts w:ascii="Arial" w:hAnsi="Arial" w:cs="Arial"/>
          <w:color w:val="000000"/>
          <w:sz w:val="20"/>
        </w:rPr>
        <w:t>,</w:t>
      </w:r>
      <w:r w:rsidRPr="006679D2">
        <w:rPr>
          <w:rFonts w:ascii="Arial" w:hAnsi="Arial" w:cs="Arial"/>
          <w:color w:val="000000"/>
          <w:sz w:val="20"/>
        </w:rPr>
        <w:t xml:space="preserve"> in answer to the question “Joint parental access for how many hours per week in the initial stages?” Dr P replied:</w:t>
      </w:r>
    </w:p>
    <w:p w14:paraId="04A33139" w14:textId="77777777" w:rsidR="007B4FF6" w:rsidRDefault="007B4FF6" w:rsidP="00294327">
      <w:pPr>
        <w:spacing w:before="120"/>
        <w:ind w:left="567" w:right="567"/>
        <w:jc w:val="both"/>
        <w:rPr>
          <w:rFonts w:ascii="Arial" w:hAnsi="Arial" w:cs="Arial"/>
          <w:sz w:val="20"/>
        </w:rPr>
      </w:pPr>
      <w:r>
        <w:rPr>
          <w:rFonts w:ascii="Arial" w:hAnsi="Arial" w:cs="Arial"/>
          <w:sz w:val="20"/>
        </w:rPr>
        <w:t>“You are pushing me to specifics.  It’s a hard question.  We have a group putting forward a research proposal to see what works best for children of particular developmental ages because the scientific literature is fairly silent.  What is best for the childr</w:t>
      </w:r>
      <w:r w:rsidR="00705135">
        <w:rPr>
          <w:rFonts w:ascii="Arial" w:hAnsi="Arial" w:cs="Arial"/>
          <w:sz w:val="20"/>
        </w:rPr>
        <w:t xml:space="preserve">en is not well supported by </w:t>
      </w:r>
      <w:r>
        <w:rPr>
          <w:rFonts w:ascii="Arial" w:hAnsi="Arial" w:cs="Arial"/>
          <w:sz w:val="20"/>
        </w:rPr>
        <w:t>fact</w:t>
      </w:r>
      <w:r w:rsidR="00705135">
        <w:rPr>
          <w:rFonts w:ascii="Arial" w:hAnsi="Arial" w:cs="Arial"/>
          <w:sz w:val="20"/>
        </w:rPr>
        <w:t>s</w:t>
      </w:r>
      <w:r>
        <w:rPr>
          <w:rFonts w:ascii="Arial" w:hAnsi="Arial" w:cs="Arial"/>
          <w:sz w:val="20"/>
        </w:rPr>
        <w:t>.  I’d be going from first principles in working with very young children and families.”</w:t>
      </w:r>
    </w:p>
    <w:p w14:paraId="03A4184D" w14:textId="77777777" w:rsidR="00A37039" w:rsidRDefault="00A37039" w:rsidP="00A37039">
      <w:pPr>
        <w:rPr>
          <w:rFonts w:ascii="Arial" w:hAnsi="Arial" w:cs="Arial"/>
          <w:b/>
          <w:bCs/>
          <w:sz w:val="20"/>
        </w:rPr>
      </w:pPr>
    </w:p>
    <w:p w14:paraId="4944E51D" w14:textId="77777777" w:rsidR="00A37039" w:rsidRPr="00CA2663" w:rsidRDefault="00A37039" w:rsidP="00A37039">
      <w:pPr>
        <w:pStyle w:val="Heading3"/>
        <w:keepNext/>
        <w:keepLines/>
        <w:spacing w:after="120" w:line="240" w:lineRule="auto"/>
        <w:rPr>
          <w:rFonts w:ascii="Arial" w:hAnsi="Arial" w:cs="Arial"/>
          <w:sz w:val="20"/>
          <w:lang w:val="en-US"/>
        </w:rPr>
      </w:pPr>
      <w:bookmarkStart w:id="1683" w:name="_4.14.3__American"/>
      <w:bookmarkStart w:id="1684" w:name="B4143"/>
      <w:bookmarkEnd w:id="1683"/>
      <w:bookmarkEnd w:id="1684"/>
      <w:r>
        <w:rPr>
          <w:rFonts w:ascii="Arial" w:hAnsi="Arial" w:cs="Arial"/>
          <w:b/>
          <w:bCs/>
          <w:sz w:val="20"/>
        </w:rPr>
        <w:t>4.14.3</w:t>
      </w:r>
      <w:r>
        <w:rPr>
          <w:rFonts w:ascii="Arial" w:hAnsi="Arial" w:cs="Arial"/>
          <w:b/>
          <w:bCs/>
          <w:sz w:val="20"/>
        </w:rPr>
        <w:tab/>
      </w:r>
      <w:r>
        <w:rPr>
          <w:rFonts w:ascii="Arial" w:hAnsi="Arial" w:cs="Arial"/>
          <w:b/>
          <w:bCs/>
          <w:sz w:val="20"/>
        </w:rPr>
        <w:tab/>
        <w:t xml:space="preserve">American judicial </w:t>
      </w:r>
      <w:r w:rsidR="00247BF7">
        <w:rPr>
          <w:rFonts w:ascii="Arial" w:hAnsi="Arial" w:cs="Arial"/>
          <w:b/>
          <w:bCs/>
          <w:sz w:val="20"/>
        </w:rPr>
        <w:t>guidelines</w:t>
      </w:r>
      <w:r w:rsidR="00806118">
        <w:rPr>
          <w:rFonts w:ascii="Arial" w:hAnsi="Arial" w:cs="Arial"/>
          <w:b/>
          <w:bCs/>
          <w:sz w:val="20"/>
        </w:rPr>
        <w:t xml:space="preserve"> 2009</w:t>
      </w:r>
    </w:p>
    <w:p w14:paraId="73166AA4" w14:textId="77777777" w:rsidR="00BF48B5" w:rsidRPr="006679D2" w:rsidRDefault="00A37039" w:rsidP="00BF48B5">
      <w:pPr>
        <w:jc w:val="both"/>
        <w:rPr>
          <w:rFonts w:ascii="Arial" w:hAnsi="Arial" w:cs="Arial"/>
          <w:color w:val="000000"/>
          <w:sz w:val="20"/>
        </w:rPr>
      </w:pPr>
      <w:r>
        <w:rPr>
          <w:rFonts w:ascii="Arial" w:hAnsi="Arial" w:cs="Arial"/>
          <w:sz w:val="20"/>
        </w:rPr>
        <w:t xml:space="preserve">It is clear from the quite diverse expert opinions expressed in the </w:t>
      </w:r>
      <w:r w:rsidR="004844FE">
        <w:rPr>
          <w:rFonts w:ascii="Arial" w:hAnsi="Arial" w:cs="Arial"/>
          <w:sz w:val="20"/>
        </w:rPr>
        <w:t xml:space="preserve">above </w:t>
      </w:r>
      <w:r>
        <w:rPr>
          <w:rFonts w:ascii="Arial" w:hAnsi="Arial" w:cs="Arial"/>
          <w:sz w:val="20"/>
        </w:rPr>
        <w:t xml:space="preserve">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VChC 1</w:t>
      </w:r>
      <w:r w:rsidR="004844FE" w:rsidRPr="006679D2">
        <w:rPr>
          <w:rFonts w:ascii="Arial" w:hAnsi="Arial" w:cs="Arial"/>
          <w:color w:val="000000"/>
          <w:sz w:val="20"/>
        </w:rPr>
        <w:t xml:space="preserve"> </w:t>
      </w:r>
      <w:r w:rsidRPr="006679D2">
        <w:rPr>
          <w:rFonts w:ascii="Arial" w:hAnsi="Arial" w:cs="Arial"/>
          <w:color w:val="000000"/>
          <w:sz w:val="20"/>
        </w:rPr>
        <w:t xml:space="preserve">that there is no clear unanimity of </w:t>
      </w:r>
      <w:r w:rsidR="004844FE" w:rsidRPr="006679D2">
        <w:rPr>
          <w:rFonts w:ascii="Arial" w:hAnsi="Arial" w:cs="Arial"/>
          <w:color w:val="000000"/>
          <w:sz w:val="20"/>
        </w:rPr>
        <w:t xml:space="preserve">expert </w:t>
      </w:r>
      <w:r w:rsidRPr="006679D2">
        <w:rPr>
          <w:rFonts w:ascii="Arial" w:hAnsi="Arial" w:cs="Arial"/>
          <w:color w:val="000000"/>
          <w:sz w:val="20"/>
        </w:rPr>
        <w:t xml:space="preserve">view </w:t>
      </w:r>
      <w:r w:rsidR="00810034" w:rsidRPr="006679D2">
        <w:rPr>
          <w:rFonts w:ascii="Arial" w:hAnsi="Arial" w:cs="Arial"/>
          <w:color w:val="000000"/>
          <w:sz w:val="20"/>
        </w:rPr>
        <w:t xml:space="preserve">in Victoria </w:t>
      </w:r>
      <w:r w:rsidRPr="006679D2">
        <w:rPr>
          <w:rFonts w:ascii="Arial" w:hAnsi="Arial" w:cs="Arial"/>
          <w:color w:val="000000"/>
          <w:sz w:val="20"/>
        </w:rPr>
        <w:t xml:space="preserve">about the optimal frequency of </w:t>
      </w:r>
      <w:r w:rsidR="00A135BE" w:rsidRPr="006679D2">
        <w:rPr>
          <w:rFonts w:ascii="Arial" w:hAnsi="Arial" w:cs="Arial"/>
          <w:color w:val="000000"/>
          <w:sz w:val="20"/>
        </w:rPr>
        <w:t>contact</w:t>
      </w:r>
      <w:r w:rsidRPr="006679D2">
        <w:rPr>
          <w:rFonts w:ascii="Arial" w:hAnsi="Arial" w:cs="Arial"/>
          <w:color w:val="000000"/>
          <w:sz w:val="20"/>
        </w:rPr>
        <w:t xml:space="preserve"> between an infant and </w:t>
      </w:r>
      <w:r w:rsidR="0021434F" w:rsidRPr="006679D2">
        <w:rPr>
          <w:rFonts w:ascii="Arial" w:hAnsi="Arial" w:cs="Arial"/>
          <w:color w:val="000000"/>
          <w:sz w:val="20"/>
        </w:rPr>
        <w:t xml:space="preserve">his or her </w:t>
      </w:r>
      <w:r w:rsidRPr="006679D2">
        <w:rPr>
          <w:rFonts w:ascii="Arial" w:hAnsi="Arial" w:cs="Arial"/>
          <w:color w:val="000000"/>
          <w:sz w:val="20"/>
        </w:rPr>
        <w:t>non-custodial parents.  The</w:t>
      </w:r>
      <w:r w:rsidR="00115736" w:rsidRPr="006679D2">
        <w:rPr>
          <w:rFonts w:ascii="Arial" w:hAnsi="Arial" w:cs="Arial"/>
          <w:color w:val="000000"/>
          <w:sz w:val="20"/>
        </w:rPr>
        <w:t>re is no clear unanimity in the rest of the western world either.  The</w:t>
      </w:r>
      <w:r w:rsidRPr="006679D2">
        <w:rPr>
          <w:rFonts w:ascii="Arial" w:hAnsi="Arial" w:cs="Arial"/>
          <w:color w:val="000000"/>
          <w:sz w:val="20"/>
        </w:rPr>
        <w:t xml:space="preserve"> </w:t>
      </w:r>
      <w:r w:rsidR="002152DF" w:rsidRPr="006679D2">
        <w:rPr>
          <w:rFonts w:ascii="Arial" w:hAnsi="Arial" w:cs="Arial"/>
          <w:color w:val="000000"/>
          <w:sz w:val="20"/>
        </w:rPr>
        <w:t xml:space="preserve">authors of “Baby on Board” have one view.  A diametrically opposite view appears in a recent publication: “Healthy Beginnings, Healthy Futures: A Judge’s Guide” compiled in 2009 by </w:t>
      </w:r>
      <w:r w:rsidR="00B94F90" w:rsidRPr="006679D2">
        <w:rPr>
          <w:rFonts w:ascii="Arial" w:hAnsi="Arial" w:cs="Arial"/>
          <w:color w:val="000000"/>
          <w:sz w:val="20"/>
        </w:rPr>
        <w:t xml:space="preserve">a team of </w:t>
      </w:r>
      <w:r w:rsidR="002152DF" w:rsidRPr="006679D2">
        <w:rPr>
          <w:rFonts w:ascii="Arial" w:hAnsi="Arial" w:cs="Arial"/>
          <w:color w:val="000000"/>
          <w:sz w:val="20"/>
        </w:rPr>
        <w:t xml:space="preserve">six </w:t>
      </w:r>
      <w:r w:rsidR="00115736" w:rsidRPr="006679D2">
        <w:rPr>
          <w:rFonts w:ascii="Arial" w:hAnsi="Arial" w:cs="Arial"/>
          <w:color w:val="000000"/>
          <w:sz w:val="20"/>
        </w:rPr>
        <w:t xml:space="preserve">professionals </w:t>
      </w:r>
      <w:r w:rsidR="00B94F90" w:rsidRPr="006679D2">
        <w:rPr>
          <w:rFonts w:ascii="Arial" w:hAnsi="Arial" w:cs="Arial"/>
          <w:color w:val="000000"/>
          <w:sz w:val="20"/>
        </w:rPr>
        <w:t xml:space="preserve">drawn </w:t>
      </w:r>
      <w:r w:rsidR="00115736" w:rsidRPr="006679D2">
        <w:rPr>
          <w:rFonts w:ascii="Arial" w:hAnsi="Arial" w:cs="Arial"/>
          <w:color w:val="000000"/>
          <w:sz w:val="20"/>
        </w:rPr>
        <w:t xml:space="preserve">from </w:t>
      </w:r>
      <w:r w:rsidR="00B94F90" w:rsidRPr="006679D2">
        <w:rPr>
          <w:rFonts w:ascii="Arial" w:hAnsi="Arial" w:cs="Arial"/>
          <w:color w:val="000000"/>
          <w:sz w:val="20"/>
        </w:rPr>
        <w:t xml:space="preserve">(i) </w:t>
      </w:r>
      <w:r w:rsidR="00115736" w:rsidRPr="006679D2">
        <w:rPr>
          <w:rFonts w:ascii="Arial" w:hAnsi="Arial" w:cs="Arial"/>
          <w:color w:val="000000"/>
          <w:sz w:val="20"/>
        </w:rPr>
        <w:t xml:space="preserve">the American Bar Association Center on Children and the Law, </w:t>
      </w:r>
      <w:r w:rsidR="00B94F90" w:rsidRPr="006679D2">
        <w:rPr>
          <w:rFonts w:ascii="Arial" w:hAnsi="Arial" w:cs="Arial"/>
          <w:color w:val="000000"/>
          <w:sz w:val="20"/>
        </w:rPr>
        <w:t>(ii)</w:t>
      </w:r>
      <w:r w:rsidR="00115736" w:rsidRPr="006679D2">
        <w:rPr>
          <w:rFonts w:ascii="Arial" w:hAnsi="Arial" w:cs="Arial"/>
          <w:color w:val="000000"/>
          <w:sz w:val="20"/>
        </w:rPr>
        <w:t xml:space="preserve"> the National Council of Juvenile and Family Court Judges and </w:t>
      </w:r>
      <w:r w:rsidR="00B94F90" w:rsidRPr="006679D2">
        <w:rPr>
          <w:rFonts w:ascii="Arial" w:hAnsi="Arial" w:cs="Arial"/>
          <w:color w:val="000000"/>
          <w:sz w:val="20"/>
        </w:rPr>
        <w:t>(iii)</w:t>
      </w:r>
      <w:r w:rsidR="00115736" w:rsidRPr="006679D2">
        <w:rPr>
          <w:rFonts w:ascii="Arial" w:hAnsi="Arial" w:cs="Arial"/>
          <w:color w:val="000000"/>
          <w:sz w:val="20"/>
        </w:rPr>
        <w:t xml:space="preserve"> the Zero to Three National Policy Center.  </w:t>
      </w:r>
      <w:r w:rsidR="00BF48B5" w:rsidRPr="006679D2">
        <w:rPr>
          <w:rFonts w:ascii="Arial" w:hAnsi="Arial" w:cs="Arial"/>
          <w:color w:val="000000"/>
          <w:sz w:val="20"/>
        </w:rPr>
        <w:t>This publication consists of 135 pages organized into five chapters:</w:t>
      </w:r>
    </w:p>
    <w:p w14:paraId="3E05FF01" w14:textId="77777777" w:rsidR="00BF48B5" w:rsidRPr="006679D2" w:rsidRDefault="00BF48B5" w:rsidP="00CC22FC">
      <w:pPr>
        <w:numPr>
          <w:ilvl w:val="0"/>
          <w:numId w:val="40"/>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address">
        <w:smartTag w:uri="urn:schemas-microsoft-com:office:smarttags" w:element="Street">
          <w:r w:rsidRPr="006679D2">
            <w:rPr>
              <w:rFonts w:ascii="Arial" w:hAnsi="Arial" w:cs="Arial"/>
              <w:color w:val="000000"/>
              <w:sz w:val="20"/>
            </w:rPr>
            <w:t>Dependency Court</w:t>
          </w:r>
        </w:smartTag>
      </w:smartTag>
    </w:p>
    <w:p w14:paraId="071492B9" w14:textId="77777777" w:rsidR="00BF48B5" w:rsidRPr="006679D2" w:rsidRDefault="00BF48B5" w:rsidP="00CC22FC">
      <w:pPr>
        <w:numPr>
          <w:ilvl w:val="0"/>
          <w:numId w:val="40"/>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3B4D7004" w14:textId="77777777" w:rsidR="00BF48B5" w:rsidRPr="006679D2" w:rsidRDefault="00BF48B5" w:rsidP="00CC22FC">
      <w:pPr>
        <w:numPr>
          <w:ilvl w:val="0"/>
          <w:numId w:val="40"/>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Needs</w:t>
      </w:r>
    </w:p>
    <w:p w14:paraId="24CF14C2" w14:textId="77777777" w:rsidR="00BF48B5" w:rsidRPr="006679D2" w:rsidRDefault="00BF48B5" w:rsidP="00CC22FC">
      <w:pPr>
        <w:numPr>
          <w:ilvl w:val="0"/>
          <w:numId w:val="40"/>
        </w:numPr>
        <w:ind w:left="924" w:hanging="357"/>
        <w:jc w:val="both"/>
        <w:rPr>
          <w:rFonts w:ascii="Arial" w:hAnsi="Arial" w:cs="Arial"/>
          <w:color w:val="000000"/>
          <w:sz w:val="20"/>
        </w:rPr>
      </w:pPr>
      <w:r w:rsidRPr="006679D2">
        <w:rPr>
          <w:rFonts w:ascii="Arial" w:hAnsi="Arial" w:cs="Arial"/>
          <w:color w:val="000000"/>
          <w:sz w:val="20"/>
        </w:rPr>
        <w:t>Achieving Permanency</w:t>
      </w:r>
    </w:p>
    <w:p w14:paraId="375C1F02" w14:textId="77777777" w:rsidR="00BF48B5" w:rsidRPr="006679D2" w:rsidRDefault="00BF48B5" w:rsidP="00CC22FC">
      <w:pPr>
        <w:numPr>
          <w:ilvl w:val="0"/>
          <w:numId w:val="40"/>
        </w:numPr>
        <w:ind w:left="924" w:hanging="357"/>
        <w:jc w:val="both"/>
        <w:rPr>
          <w:rFonts w:ascii="Arial" w:hAnsi="Arial" w:cs="Arial"/>
          <w:color w:val="000000"/>
          <w:sz w:val="20"/>
        </w:rPr>
      </w:pPr>
      <w:r w:rsidRPr="006679D2">
        <w:rPr>
          <w:rFonts w:ascii="Arial" w:hAnsi="Arial" w:cs="Arial"/>
          <w:color w:val="000000"/>
          <w:sz w:val="20"/>
        </w:rPr>
        <w:t>A Call to Action: Improving the Court’s Reponse.</w:t>
      </w:r>
    </w:p>
    <w:p w14:paraId="641E62F8" w14:textId="77777777" w:rsidR="002152DF" w:rsidRPr="006679D2" w:rsidRDefault="00BF48B5" w:rsidP="00BF48B5">
      <w:pPr>
        <w:spacing w:before="60"/>
        <w:jc w:val="both"/>
        <w:rPr>
          <w:rFonts w:ascii="Arial" w:hAnsi="Arial" w:cs="Arial"/>
          <w:color w:val="000000"/>
          <w:sz w:val="20"/>
        </w:rPr>
      </w:pPr>
      <w:r w:rsidRPr="006679D2">
        <w:rPr>
          <w:rFonts w:ascii="Arial" w:hAnsi="Arial" w:cs="Arial"/>
          <w:color w:val="000000"/>
          <w:sz w:val="20"/>
        </w:rPr>
        <w:t>In Chapter 3 at</w:t>
      </w:r>
      <w:r w:rsidR="00EF55AE" w:rsidRPr="006679D2">
        <w:rPr>
          <w:rFonts w:ascii="Arial" w:hAnsi="Arial" w:cs="Arial"/>
          <w:color w:val="000000"/>
          <w:sz w:val="20"/>
        </w:rPr>
        <w:t> </w:t>
      </w:r>
      <w:r w:rsidR="00115736" w:rsidRPr="006679D2">
        <w:rPr>
          <w:rFonts w:ascii="Arial" w:hAnsi="Arial" w:cs="Arial"/>
          <w:color w:val="000000"/>
          <w:sz w:val="20"/>
        </w:rPr>
        <w:t xml:space="preserve">pp.72-73 the authors (Eva J Klain JD, Lisa Pilnik JD MS, Erin Talati JD MD, Candice L Maze JD, Kimberley Diamond-Berry PhD &amp; Lucy Hudson MS) outline their philosophy on child </w:t>
      </w:r>
      <w:r w:rsidR="00A135BE" w:rsidRPr="006679D2">
        <w:rPr>
          <w:rFonts w:ascii="Arial" w:hAnsi="Arial" w:cs="Arial"/>
          <w:color w:val="000000"/>
          <w:sz w:val="20"/>
        </w:rPr>
        <w:t>contact</w:t>
      </w:r>
      <w:r w:rsidR="00115736" w:rsidRPr="006679D2">
        <w:rPr>
          <w:rFonts w:ascii="Arial" w:hAnsi="Arial" w:cs="Arial"/>
          <w:color w:val="000000"/>
          <w:sz w:val="20"/>
        </w:rPr>
        <w:t>:</w:t>
      </w:r>
    </w:p>
    <w:p w14:paraId="7CC7BCBA" w14:textId="77777777" w:rsidR="00115736" w:rsidRDefault="00115736" w:rsidP="006662BB">
      <w:pPr>
        <w:spacing w:before="120"/>
        <w:ind w:left="567" w:right="567"/>
        <w:jc w:val="both"/>
        <w:rPr>
          <w:rFonts w:ascii="Arial" w:hAnsi="Arial" w:cs="Arial"/>
          <w:sz w:val="20"/>
        </w:rPr>
      </w:pPr>
      <w:r w:rsidRPr="00115736">
        <w:rPr>
          <w:rFonts w:ascii="Arial" w:hAnsi="Arial" w:cs="Arial"/>
          <w:b/>
          <w:sz w:val="20"/>
          <w:u w:val="single"/>
        </w:rPr>
        <w:t>Ensure frequent parent-child contact</w:t>
      </w:r>
      <w:r>
        <w:rPr>
          <w:rFonts w:ascii="Arial" w:hAnsi="Arial" w:cs="Arial"/>
          <w:sz w:val="20"/>
        </w:rPr>
        <w:t xml:space="preserve"> (This section includes excerpts from Smariga M, </w:t>
      </w:r>
      <w:r w:rsidRPr="00490AD2">
        <w:rPr>
          <w:rFonts w:ascii="Arial" w:hAnsi="Arial" w:cs="Arial"/>
          <w:i/>
          <w:sz w:val="20"/>
        </w:rPr>
        <w:t>Visitation with Infants and Toddlers in Foster Care: What Judges and Attorneys Need to Know</w:t>
      </w:r>
      <w:r>
        <w:rPr>
          <w:rFonts w:ascii="Arial" w:hAnsi="Arial" w:cs="Arial"/>
          <w:sz w:val="20"/>
        </w:rPr>
        <w:t xml:space="preserve">.  </w:t>
      </w:r>
      <w:smartTag w:uri="urn:schemas-microsoft-com:office:smarttags" w:element="City">
        <w:r>
          <w:rPr>
            <w:rFonts w:ascii="Arial" w:hAnsi="Arial" w:cs="Arial"/>
            <w:sz w:val="20"/>
          </w:rPr>
          <w:t>Washington</w:t>
        </w:r>
      </w:smartTag>
      <w:r>
        <w:rPr>
          <w:rFonts w:ascii="Arial" w:hAnsi="Arial" w:cs="Arial"/>
          <w:sz w:val="20"/>
        </w:rPr>
        <w:t xml:space="preserve"> </w:t>
      </w:r>
      <w:smartTag w:uri="urn:schemas-microsoft-com:office:smarttags" w:element="State">
        <w:r>
          <w:rPr>
            <w:rFonts w:ascii="Arial" w:hAnsi="Arial" w:cs="Arial"/>
            <w:sz w:val="20"/>
          </w:rPr>
          <w:t>DC</w:t>
        </w:r>
      </w:smartTag>
      <w:r>
        <w:rPr>
          <w:rFonts w:ascii="Arial" w:hAnsi="Arial" w:cs="Arial"/>
          <w:sz w:val="20"/>
        </w:rPr>
        <w:t xml:space="preserve">: </w:t>
      </w:r>
      <w:smartTag w:uri="urn:schemas-microsoft-com:office:smarttags" w:element="PlaceName">
        <w:r>
          <w:rPr>
            <w:rFonts w:ascii="Arial" w:hAnsi="Arial" w:cs="Arial"/>
            <w:sz w:val="20"/>
          </w:rPr>
          <w:t>American</w:t>
        </w:r>
      </w:smartTag>
      <w:r>
        <w:rPr>
          <w:rFonts w:ascii="Arial" w:hAnsi="Arial" w:cs="Arial"/>
          <w:sz w:val="20"/>
        </w:rPr>
        <w:t xml:space="preserve"> </w:t>
      </w:r>
      <w:smartTag w:uri="urn:schemas-microsoft-com:office:smarttags" w:element="PlaceType">
        <w:r>
          <w:rPr>
            <w:rFonts w:ascii="Arial" w:hAnsi="Arial" w:cs="Arial"/>
            <w:sz w:val="20"/>
          </w:rPr>
          <w:t>Bar</w:t>
        </w:r>
      </w:smartTag>
      <w:r>
        <w:rPr>
          <w:rFonts w:ascii="Arial" w:hAnsi="Arial" w:cs="Arial"/>
          <w:sz w:val="20"/>
        </w:rPr>
        <w:t xml:space="preserve"> </w:t>
      </w:r>
      <w:smartTag w:uri="urn:schemas-microsoft-com:office:smarttags" w:element="PlaceName">
        <w:r>
          <w:rPr>
            <w:rFonts w:ascii="Arial" w:hAnsi="Arial" w:cs="Arial"/>
            <w:sz w:val="20"/>
          </w:rPr>
          <w:t>Association</w:t>
        </w:r>
      </w:smartTag>
      <w:r>
        <w:rPr>
          <w:rFonts w:ascii="Arial" w:hAnsi="Arial" w:cs="Arial"/>
          <w:sz w:val="20"/>
        </w:rPr>
        <w:t xml:space="preserve"> </w:t>
      </w:r>
      <w:smartTag w:uri="urn:schemas-microsoft-com:office:smarttags" w:element="PlaceType">
        <w:r>
          <w:rPr>
            <w:rFonts w:ascii="Arial" w:hAnsi="Arial" w:cs="Arial"/>
            <w:sz w:val="20"/>
          </w:rPr>
          <w:t>Center</w:t>
        </w:r>
      </w:smartTag>
      <w:r>
        <w:rPr>
          <w:rFonts w:ascii="Arial" w:hAnsi="Arial" w:cs="Arial"/>
          <w:sz w:val="20"/>
        </w:rPr>
        <w:t xml:space="preserve"> on Children and the Law &amp; Zero to </w:t>
      </w:r>
      <w:smartTag w:uri="urn:schemas-microsoft-com:office:smarttags" w:element="place">
        <w:smartTag w:uri="urn:schemas-microsoft-com:office:smarttags" w:element="PlaceName">
          <w:r>
            <w:rPr>
              <w:rFonts w:ascii="Arial" w:hAnsi="Arial" w:cs="Arial"/>
              <w:sz w:val="20"/>
            </w:rPr>
            <w:t>Three</w:t>
          </w:r>
        </w:smartTag>
        <w:r>
          <w:rPr>
            <w:rFonts w:ascii="Arial" w:hAnsi="Arial" w:cs="Arial"/>
            <w:sz w:val="20"/>
          </w:rPr>
          <w:t xml:space="preserve"> </w:t>
        </w:r>
        <w:smartTag w:uri="urn:schemas-microsoft-com:office:smarttags" w:element="PlaceName">
          <w:r>
            <w:rPr>
              <w:rFonts w:ascii="Arial" w:hAnsi="Arial" w:cs="Arial"/>
              <w:sz w:val="20"/>
            </w:rPr>
            <w:t>Policy</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 2007)</w:t>
      </w:r>
    </w:p>
    <w:p w14:paraId="15A01659" w14:textId="77777777" w:rsidR="00490AD2" w:rsidRDefault="00490AD2" w:rsidP="00490AD2">
      <w:pPr>
        <w:spacing w:before="120"/>
        <w:ind w:left="567" w:right="567"/>
        <w:jc w:val="both"/>
        <w:rPr>
          <w:rFonts w:ascii="Arial" w:hAnsi="Arial" w:cs="Arial"/>
          <w:sz w:val="20"/>
        </w:rPr>
      </w:pPr>
      <w:r>
        <w:rPr>
          <w:rFonts w:ascii="Arial" w:hAnsi="Arial" w:cs="Arial"/>
          <w:sz w:val="20"/>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490AD2">
        <w:rPr>
          <w:rFonts w:ascii="Arial" w:hAnsi="Arial" w:cs="Arial"/>
          <w:i/>
          <w:sz w:val="20"/>
        </w:rPr>
        <w:t>Juvenile and Family Court Journal</w:t>
      </w:r>
      <w:r>
        <w:rPr>
          <w:rFonts w:ascii="Arial" w:hAnsi="Arial" w:cs="Arial"/>
          <w:sz w:val="20"/>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Pr>
              <w:rFonts w:ascii="Arial" w:hAnsi="Arial" w:cs="Arial"/>
              <w:sz w:val="20"/>
            </w:rPr>
            <w:t>Academy</w:t>
          </w:r>
        </w:smartTag>
        <w:r>
          <w:rPr>
            <w:rFonts w:ascii="Arial" w:hAnsi="Arial" w:cs="Arial"/>
            <w:sz w:val="20"/>
          </w:rPr>
          <w:t xml:space="preserve"> of </w:t>
        </w:r>
        <w:smartTag w:uri="urn:schemas-microsoft-com:office:smarttags" w:element="PlaceName">
          <w:r>
            <w:rPr>
              <w:rFonts w:ascii="Arial" w:hAnsi="Arial" w:cs="Arial"/>
              <w:sz w:val="20"/>
            </w:rPr>
            <w:t>Pediatrics Committee</w:t>
          </w:r>
        </w:smartTag>
      </w:smartTag>
      <w:r>
        <w:rPr>
          <w:rFonts w:ascii="Arial" w:hAnsi="Arial" w:cs="Arial"/>
          <w:sz w:val="20"/>
        </w:rPr>
        <w:t xml:space="preserve"> on Early Childhood, Adoption and Dependent Care. “Developmental Issues for Young Children in Foster Care.” </w:t>
      </w:r>
      <w:r w:rsidRPr="00490AD2">
        <w:rPr>
          <w:rFonts w:ascii="Arial" w:hAnsi="Arial" w:cs="Arial"/>
          <w:i/>
          <w:sz w:val="20"/>
        </w:rPr>
        <w:t>Pediatrics</w:t>
      </w:r>
      <w:r>
        <w:rPr>
          <w:rFonts w:ascii="Arial" w:hAnsi="Arial" w:cs="Arial"/>
          <w:sz w:val="20"/>
        </w:rPr>
        <w:t xml:space="preserve"> 105(5), 2000, 1146).  </w:t>
      </w:r>
      <w:r w:rsidR="00585496">
        <w:rPr>
          <w:rFonts w:ascii="Arial" w:hAnsi="Arial" w:cs="Arial"/>
          <w:sz w:val="20"/>
        </w:rPr>
        <w:t xml:space="preserve">Maintaining </w:t>
      </w:r>
      <w:r w:rsidR="00585496">
        <w:rPr>
          <w:rFonts w:ascii="Arial" w:hAnsi="Arial" w:cs="Arial"/>
          <w:sz w:val="20"/>
        </w:rPr>
        <w:lastRenderedPageBreak/>
        <w:t>consistent contact between the child and his or her parents and siblings is critical unless visits would harm the child (</w:t>
      </w:r>
      <w:smartTag w:uri="urn:schemas-microsoft-com:office:smarttags" w:element="place">
        <w:smartTag w:uri="urn:schemas-microsoft-com:office:smarttags" w:element="PlaceName">
          <w:r w:rsidR="00585496">
            <w:rPr>
              <w:rFonts w:ascii="Arial" w:hAnsi="Arial" w:cs="Arial"/>
              <w:sz w:val="20"/>
            </w:rPr>
            <w:t>American</w:t>
          </w:r>
        </w:smartTag>
        <w:r w:rsidR="00585496">
          <w:rPr>
            <w:rFonts w:ascii="Arial" w:hAnsi="Arial" w:cs="Arial"/>
            <w:sz w:val="20"/>
          </w:rPr>
          <w:t xml:space="preserve"> </w:t>
        </w:r>
        <w:smartTag w:uri="urn:schemas-microsoft-com:office:smarttags" w:element="PlaceType">
          <w:r w:rsidR="00585496">
            <w:rPr>
              <w:rFonts w:ascii="Arial" w:hAnsi="Arial" w:cs="Arial"/>
              <w:sz w:val="20"/>
            </w:rPr>
            <w:t>Academy</w:t>
          </w:r>
        </w:smartTag>
      </w:smartTag>
      <w:r w:rsidR="00585496">
        <w:rPr>
          <w:rFonts w:ascii="Arial" w:hAnsi="Arial" w:cs="Arial"/>
          <w:sz w:val="20"/>
        </w:rPr>
        <w:t xml:space="preserve"> of Pediatrics Committee on Early Childhood, Adoption and Dependent Care. “Developmental Issues for Young Children in Foster Care.” {Policy Statement} </w:t>
      </w:r>
      <w:r w:rsidR="00585496" w:rsidRPr="00490AD2">
        <w:rPr>
          <w:rFonts w:ascii="Arial" w:hAnsi="Arial" w:cs="Arial"/>
          <w:i/>
          <w:sz w:val="20"/>
        </w:rPr>
        <w:t>Pediatrics</w:t>
      </w:r>
      <w:r w:rsidR="00585496">
        <w:rPr>
          <w:rFonts w:ascii="Arial" w:hAnsi="Arial" w:cs="Arial"/>
          <w:sz w:val="20"/>
        </w:rPr>
        <w:t xml:space="preserve"> 106(5), 2000, 1145-1150).  In fact, parent-child contact is the number one indicator of reunification (</w:t>
      </w:r>
      <w:smartTag w:uri="urn:schemas-microsoft-com:office:smarttags" w:element="place">
        <w:smartTag w:uri="urn:schemas-microsoft-com:office:smarttags" w:element="City">
          <w:r w:rsidR="00585496">
            <w:rPr>
              <w:rFonts w:ascii="Arial" w:hAnsi="Arial" w:cs="Arial"/>
              <w:sz w:val="20"/>
            </w:rPr>
            <w:t>Ginther</w:t>
          </w:r>
        </w:smartTag>
        <w:r w:rsidR="00585496">
          <w:rPr>
            <w:rFonts w:ascii="Arial" w:hAnsi="Arial" w:cs="Arial"/>
            <w:sz w:val="20"/>
          </w:rPr>
          <w:t xml:space="preserve">, </w:t>
        </w:r>
        <w:smartTag w:uri="urn:schemas-microsoft-com:office:smarttags" w:element="State">
          <w:r w:rsidR="00585496">
            <w:rPr>
              <w:rFonts w:ascii="Arial" w:hAnsi="Arial" w:cs="Arial"/>
              <w:sz w:val="20"/>
            </w:rPr>
            <w:t>N.M.</w:t>
          </w:r>
        </w:smartTag>
      </w:smartTag>
      <w:r w:rsidR="00585496">
        <w:rPr>
          <w:rFonts w:ascii="Arial" w:hAnsi="Arial" w:cs="Arial"/>
          <w:sz w:val="20"/>
        </w:rPr>
        <w:t xml:space="preserve"> and J.D. Ginther, “Family Interaction: The Expressway to Permanency – Facilitating Successful Visitation” Presentation prepared for Western Training Partnership at the University of Wisconsin River Falls, 2005, 12-13).  </w:t>
      </w:r>
      <w:r w:rsidR="004E4AAE">
        <w:rPr>
          <w:rFonts w:ascii="Arial" w:hAnsi="Arial" w:cs="Arial"/>
          <w:sz w:val="20"/>
        </w:rPr>
        <w:t>Family contact and interaction is important and the relationship between the foster family and biological family can be crucial.</w:t>
      </w:r>
    </w:p>
    <w:p w14:paraId="398601AA" w14:textId="77777777" w:rsidR="004E4AAE" w:rsidRDefault="004E4AAE" w:rsidP="00490AD2">
      <w:pPr>
        <w:spacing w:before="120"/>
        <w:ind w:left="567" w:right="567"/>
        <w:jc w:val="both"/>
        <w:rPr>
          <w:rFonts w:ascii="Arial" w:hAnsi="Arial" w:cs="Arial"/>
          <w:sz w:val="20"/>
        </w:rPr>
      </w:pPr>
      <w:r>
        <w:rPr>
          <w:rFonts w:ascii="Arial" w:hAnsi="Arial" w:cs="Arial"/>
          <w:sz w:val="20"/>
        </w:rPr>
        <w:t xml:space="preserve">Because physical proximity with the caregiver is central to the attachment process for infants and toddlers (Ohio Caseload Analysis Initiative, </w:t>
      </w:r>
      <w:r w:rsidRPr="004E4AAE">
        <w:rPr>
          <w:rFonts w:ascii="Arial" w:hAnsi="Arial" w:cs="Arial"/>
          <w:i/>
          <w:sz w:val="20"/>
        </w:rPr>
        <w:t>Visitation/Family Access Guide: A Best Practice Model for Social Workers and Agencies</w:t>
      </w:r>
      <w:r>
        <w:rPr>
          <w:rFonts w:ascii="Arial" w:hAnsi="Arial" w:cs="Arial"/>
          <w:sz w:val="20"/>
        </w:rPr>
        <w:t xml:space="preserve">, 2005, 14), </w:t>
      </w:r>
      <w:r w:rsidRPr="004E4AAE">
        <w:rPr>
          <w:rFonts w:ascii="Arial" w:hAnsi="Arial" w:cs="Arial"/>
          <w:b/>
          <w:sz w:val="20"/>
          <w:u w:val="single"/>
        </w:rPr>
        <w:t>an infant should ideally spend time with the parent(s) daily, and a toddler should see the parent(s) at least every two to three days</w:t>
      </w:r>
      <w:r w:rsidRPr="004E4AAE">
        <w:rPr>
          <w:rFonts w:ascii="Arial" w:hAnsi="Arial" w:cs="Arial"/>
          <w:sz w:val="20"/>
        </w:rPr>
        <w:t xml:space="preserve"> (</w:t>
      </w:r>
      <w:r w:rsidR="00B75F4E">
        <w:rPr>
          <w:rFonts w:ascii="Arial" w:hAnsi="Arial" w:cs="Arial"/>
          <w:sz w:val="20"/>
        </w:rPr>
        <w:t>Ginther and Ginther, 2005, 10, 21</w:t>
      </w:r>
      <w:r w:rsidRPr="004E4AAE">
        <w:rPr>
          <w:rFonts w:ascii="Arial" w:hAnsi="Arial" w:cs="Arial"/>
          <w:sz w:val="20"/>
        </w:rPr>
        <w:t>).</w:t>
      </w:r>
      <w:r>
        <w:rPr>
          <w:rFonts w:ascii="Arial" w:hAnsi="Arial" w:cs="Arial"/>
          <w:sz w:val="20"/>
        </w:rPr>
        <w:t xml:space="preserve">  [</w:t>
      </w:r>
      <w:r w:rsidR="00806118">
        <w:rPr>
          <w:rFonts w:ascii="Arial" w:hAnsi="Arial" w:cs="Arial"/>
          <w:sz w:val="20"/>
        </w:rPr>
        <w:t>E</w:t>
      </w:r>
      <w:r>
        <w:rPr>
          <w:rFonts w:ascii="Arial" w:hAnsi="Arial" w:cs="Arial"/>
          <w:sz w:val="20"/>
        </w:rPr>
        <w:t xml:space="preserve">mphasis </w:t>
      </w:r>
      <w:r w:rsidR="00806118">
        <w:rPr>
          <w:rFonts w:ascii="Arial" w:hAnsi="Arial" w:cs="Arial"/>
          <w:sz w:val="20"/>
        </w:rPr>
        <w:t>added</w:t>
      </w:r>
      <w:r>
        <w:rPr>
          <w:rFonts w:ascii="Arial" w:hAnsi="Arial" w:cs="Arial"/>
          <w:sz w:val="20"/>
        </w:rPr>
        <w:t>].  To reduce the trauma of sudden separation, the first parent-child visit should occur as soon as possible and no later than 48 hours after the child is removed from the home (</w:t>
      </w:r>
      <w:r w:rsidR="00E8061A">
        <w:rPr>
          <w:rFonts w:ascii="Arial" w:hAnsi="Arial" w:cs="Arial"/>
          <w:sz w:val="20"/>
        </w:rPr>
        <w:t xml:space="preserve">Wright, Lois E. </w:t>
      </w:r>
      <w:r w:rsidR="00E8061A" w:rsidRPr="00E8061A">
        <w:rPr>
          <w:rFonts w:ascii="Arial" w:hAnsi="Arial" w:cs="Arial"/>
          <w:i/>
          <w:sz w:val="20"/>
        </w:rPr>
        <w:t>Toolbox No. 1: Using Visitation to Support Permanency</w:t>
      </w:r>
      <w:r w:rsidR="00E8061A">
        <w:rPr>
          <w:rFonts w:ascii="Arial" w:hAnsi="Arial" w:cs="Arial"/>
          <w:sz w:val="20"/>
        </w:rPr>
        <w:t xml:space="preserve">.  </w:t>
      </w:r>
      <w:smartTag w:uri="urn:schemas-microsoft-com:office:smarttags" w:element="City">
        <w:r w:rsidR="00E8061A">
          <w:rPr>
            <w:rFonts w:ascii="Arial" w:hAnsi="Arial" w:cs="Arial"/>
            <w:sz w:val="20"/>
          </w:rPr>
          <w:t>Washington</w:t>
        </w:r>
      </w:smartTag>
      <w:r w:rsidR="00E8061A">
        <w:rPr>
          <w:rFonts w:ascii="Arial" w:hAnsi="Arial" w:cs="Arial"/>
          <w:sz w:val="20"/>
        </w:rPr>
        <w:t xml:space="preserve"> </w:t>
      </w:r>
      <w:smartTag w:uri="urn:schemas-microsoft-com:office:smarttags" w:element="State">
        <w:r w:rsidR="00E8061A">
          <w:rPr>
            <w:rFonts w:ascii="Arial" w:hAnsi="Arial" w:cs="Arial"/>
            <w:sz w:val="20"/>
          </w:rPr>
          <w:t>DC</w:t>
        </w:r>
      </w:smartTag>
      <w:r w:rsidR="00E8061A">
        <w:rPr>
          <w:rFonts w:ascii="Arial" w:hAnsi="Arial" w:cs="Arial"/>
          <w:sz w:val="20"/>
        </w:rPr>
        <w:t xml:space="preserve">: CWLA Press, 2001; </w:t>
      </w:r>
      <w:smartTag w:uri="urn:schemas-microsoft-com:office:smarttags" w:element="place">
        <w:smartTag w:uri="urn:schemas-microsoft-com:office:smarttags" w:element="State">
          <w:r w:rsidR="00E8061A">
            <w:rPr>
              <w:rFonts w:ascii="Arial" w:hAnsi="Arial" w:cs="Arial"/>
              <w:sz w:val="20"/>
            </w:rPr>
            <w:t>Ohio</w:t>
          </w:r>
        </w:smartTag>
      </w:smartTag>
      <w:r w:rsidR="00E8061A">
        <w:rPr>
          <w:rFonts w:ascii="Arial" w:hAnsi="Arial" w:cs="Arial"/>
          <w:sz w:val="20"/>
        </w:rPr>
        <w:t xml:space="preserve"> Caseload Analysis Initiative, 2005, 16</w:t>
      </w:r>
      <w:r>
        <w:rPr>
          <w:rFonts w:ascii="Arial" w:hAnsi="Arial" w:cs="Arial"/>
          <w:sz w:val="20"/>
        </w:rPr>
        <w:t>).</w:t>
      </w:r>
    </w:p>
    <w:p w14:paraId="64FAAC79" w14:textId="77777777" w:rsidR="004E4AAE" w:rsidRDefault="00E8061A" w:rsidP="00BF48B5">
      <w:pPr>
        <w:spacing w:before="120"/>
        <w:ind w:left="567" w:right="567"/>
        <w:jc w:val="both"/>
        <w:rPr>
          <w:rFonts w:ascii="Arial" w:hAnsi="Arial" w:cs="Arial"/>
          <w:sz w:val="20"/>
        </w:rPr>
      </w:pPr>
      <w:r>
        <w:rPr>
          <w:rFonts w:ascii="Arial" w:hAnsi="Arial" w:cs="Arial"/>
          <w:sz w:val="20"/>
        </w:rPr>
        <w:t>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approaches reunification, unsupervised, all-day, overnight and weekend visits should be completed (</w:t>
      </w:r>
      <w:r w:rsidR="00EF55AE">
        <w:rPr>
          <w:rFonts w:ascii="Arial" w:hAnsi="Arial" w:cs="Arial"/>
          <w:sz w:val="20"/>
        </w:rPr>
        <w:t>Wright 2001; Ohio Caseload Initiative Analysis, 2005</w:t>
      </w:r>
      <w:r>
        <w:rPr>
          <w:rFonts w:ascii="Arial" w:hAnsi="Arial" w:cs="Arial"/>
          <w:sz w:val="20"/>
        </w:rPr>
        <w:t>).</w:t>
      </w:r>
    </w:p>
    <w:p w14:paraId="7FB7965D" w14:textId="77777777" w:rsidR="00EF55AE" w:rsidRDefault="00EF55AE" w:rsidP="00EF55AE">
      <w:pPr>
        <w:spacing w:before="120"/>
        <w:ind w:left="567" w:right="567"/>
        <w:jc w:val="both"/>
        <w:rPr>
          <w:rFonts w:ascii="Arial" w:hAnsi="Arial" w:cs="Arial"/>
          <w:sz w:val="20"/>
        </w:rPr>
      </w:pPr>
      <w:r>
        <w:rPr>
          <w:rFonts w:ascii="Arial" w:hAnsi="Arial" w:cs="Arial"/>
          <w:sz w:val="20"/>
        </w:rPr>
        <w:t xml:space="preserve">A young child’s emotional dysregulation following a visit does not necessarily mean the parent did something harmful during the visit (Goldsmith </w:t>
      </w:r>
      <w:r w:rsidRPr="00EF55AE">
        <w:rPr>
          <w:rFonts w:ascii="Arial" w:hAnsi="Arial" w:cs="Arial"/>
          <w:i/>
          <w:sz w:val="20"/>
        </w:rPr>
        <w:t>et al.</w:t>
      </w:r>
      <w:r>
        <w:rPr>
          <w:rFonts w:ascii="Arial" w:hAnsi="Arial" w:cs="Arial"/>
          <w:sz w:val="20"/>
        </w:rPr>
        <w:t>, 2004, 2; Wright, 2001, 28-32).  Visitation can be extremely upsetting for children, and it is important to understand the developmental context of their feelings and behaviors.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behaviors, depression, physical symptoms, or behavioral problems.  Foster caregivers may need information to help them understand and support young children who are distressed after a visit.</w:t>
      </w:r>
    </w:p>
    <w:p w14:paraId="41106A04" w14:textId="77777777" w:rsidR="00EF55AE" w:rsidRDefault="00F033DE" w:rsidP="00EF55AE">
      <w:pPr>
        <w:spacing w:before="120"/>
        <w:ind w:left="567" w:right="567"/>
        <w:jc w:val="both"/>
        <w:rPr>
          <w:rFonts w:ascii="Arial" w:hAnsi="Arial" w:cs="Arial"/>
          <w:sz w:val="20"/>
        </w:rPr>
      </w:pPr>
      <w:r>
        <w:rPr>
          <w:rFonts w:ascii="Arial" w:hAnsi="Arial" w:cs="Arial"/>
          <w:sz w:val="20"/>
        </w:rPr>
        <w:t>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t>
      </w:r>
      <w:r w:rsidR="00AC7B1A">
        <w:rPr>
          <w:rFonts w:ascii="Arial" w:hAnsi="Arial" w:cs="Arial"/>
          <w:sz w:val="20"/>
        </w:rPr>
        <w:t xml:space="preserve">Wright 2001, 23-28; Haight, W.L. </w:t>
      </w:r>
      <w:r w:rsidR="00AC7B1A" w:rsidRPr="00AC7B1A">
        <w:rPr>
          <w:rFonts w:ascii="Arial" w:hAnsi="Arial" w:cs="Arial"/>
          <w:i/>
          <w:sz w:val="20"/>
        </w:rPr>
        <w:t>et al</w:t>
      </w:r>
      <w:r w:rsidR="00AC7B1A">
        <w:rPr>
          <w:rFonts w:ascii="Arial" w:hAnsi="Arial" w:cs="Arial"/>
          <w:sz w:val="20"/>
        </w:rPr>
        <w:t xml:space="preserve">. “Making Visits Better: The Perspectives of Parents, Foster Parents and Child Welfare Workers” </w:t>
      </w:r>
      <w:r w:rsidR="00AC7B1A" w:rsidRPr="00AC7B1A">
        <w:rPr>
          <w:rFonts w:ascii="Arial" w:hAnsi="Arial" w:cs="Arial"/>
          <w:i/>
          <w:sz w:val="20"/>
        </w:rPr>
        <w:t>Child Welfare</w:t>
      </w:r>
      <w:r w:rsidR="00AC7B1A">
        <w:rPr>
          <w:rFonts w:ascii="Arial" w:hAnsi="Arial" w:cs="Arial"/>
          <w:sz w:val="20"/>
        </w:rPr>
        <w:t xml:space="preserve"> 81(2), 2002, 173-202</w:t>
      </w:r>
      <w:r>
        <w:rPr>
          <w:rFonts w:ascii="Arial" w:hAnsi="Arial" w:cs="Arial"/>
          <w:sz w:val="20"/>
        </w:rPr>
        <w:t>).</w:t>
      </w:r>
    </w:p>
    <w:p w14:paraId="2DBFFB96" w14:textId="77777777" w:rsidR="00F033DE" w:rsidRPr="00F033DE" w:rsidRDefault="00F033DE" w:rsidP="00EF55AE">
      <w:pPr>
        <w:spacing w:before="120"/>
        <w:ind w:left="567" w:right="567"/>
        <w:jc w:val="both"/>
        <w:rPr>
          <w:rFonts w:ascii="Arial" w:hAnsi="Arial" w:cs="Arial"/>
          <w:b/>
          <w:sz w:val="20"/>
          <w:u w:val="single"/>
        </w:rPr>
      </w:pPr>
      <w:r w:rsidRPr="00F033DE">
        <w:rPr>
          <w:rFonts w:ascii="Arial" w:hAnsi="Arial" w:cs="Arial"/>
          <w:b/>
          <w:sz w:val="20"/>
          <w:u w:val="single"/>
        </w:rPr>
        <w:t>Ensure frequent sibling contact</w:t>
      </w:r>
    </w:p>
    <w:p w14:paraId="3923850E" w14:textId="77777777" w:rsidR="00F033DE" w:rsidRDefault="00AC7B1A" w:rsidP="00EF55AE">
      <w:pPr>
        <w:spacing w:before="120"/>
        <w:ind w:left="567" w:right="567"/>
        <w:jc w:val="both"/>
        <w:rPr>
          <w:rFonts w:ascii="Arial" w:hAnsi="Arial" w:cs="Arial"/>
          <w:sz w:val="20"/>
        </w:rPr>
      </w:pPr>
      <w:r>
        <w:rPr>
          <w:rFonts w:ascii="Arial" w:hAnsi="Arial" w:cs="Arial"/>
          <w:sz w:val="20"/>
        </w:rPr>
        <w:t xml:space="preserve">The Fostering Connections to Success and Increasing Adoptions Act of 2008 addresses many issues that promote permanency and affect the health and wellbeing of very young children in foster care, including placing greater priority on keeping siblings together.  </w:t>
      </w:r>
      <w:r w:rsidR="00D47E5D">
        <w:rPr>
          <w:rFonts w:ascii="Arial" w:hAnsi="Arial" w:cs="Arial"/>
          <w:sz w:val="20"/>
        </w:rPr>
        <w:t xml:space="preserve">While placements that can accommodate a very young child’s siblings should be sought, it may be necessary to separate siblings due to the special needs or circumstances of the very young child.  When </w:t>
      </w:r>
      <w:r w:rsidR="00D47E5D">
        <w:rPr>
          <w:rFonts w:ascii="Arial" w:hAnsi="Arial" w:cs="Arial"/>
          <w:sz w:val="20"/>
        </w:rPr>
        <w:lastRenderedPageBreak/>
        <w:t>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22B44294" w14:textId="77777777" w:rsidR="002152DF" w:rsidRDefault="002152DF" w:rsidP="00A37039">
      <w:pPr>
        <w:jc w:val="both"/>
        <w:rPr>
          <w:rFonts w:ascii="Arial" w:hAnsi="Arial" w:cs="Arial"/>
          <w:sz w:val="20"/>
        </w:rPr>
      </w:pPr>
    </w:p>
    <w:p w14:paraId="786AEF18" w14:textId="77777777" w:rsidR="00FB0F65" w:rsidRPr="00FB0F65" w:rsidRDefault="00D47E5D" w:rsidP="00FB0F65">
      <w:pPr>
        <w:jc w:val="both"/>
        <w:rPr>
          <w:rFonts w:ascii="Arial" w:hAnsi="Arial" w:cs="Arial"/>
          <w:sz w:val="20"/>
        </w:rPr>
      </w:pPr>
      <w:r>
        <w:rPr>
          <w:rFonts w:ascii="Arial" w:hAnsi="Arial" w:cs="Arial"/>
          <w:sz w:val="20"/>
        </w:rPr>
        <w:t xml:space="preserve">It is important to note that these guidelines </w:t>
      </w:r>
      <w:r w:rsidR="001A647B">
        <w:rPr>
          <w:rFonts w:ascii="Arial" w:hAnsi="Arial" w:cs="Arial"/>
          <w:sz w:val="20"/>
        </w:rPr>
        <w:t>we</w:t>
      </w:r>
      <w:r>
        <w:rPr>
          <w:rFonts w:ascii="Arial" w:hAnsi="Arial" w:cs="Arial"/>
          <w:sz w:val="20"/>
        </w:rPr>
        <w:t xml:space="preserve">re not merely written by lawyers for lawyers.  The guidelines </w:t>
      </w:r>
      <w:r w:rsidR="00B94F90">
        <w:rPr>
          <w:rFonts w:ascii="Arial" w:hAnsi="Arial" w:cs="Arial"/>
          <w:sz w:val="20"/>
        </w:rPr>
        <w:t>were</w:t>
      </w:r>
      <w:r>
        <w:rPr>
          <w:rFonts w:ascii="Arial" w:hAnsi="Arial" w:cs="Arial"/>
          <w:sz w:val="20"/>
        </w:rPr>
        <w:t xml:space="preserve"> prepared by both </w:t>
      </w:r>
      <w:r w:rsidR="001A647B">
        <w:rPr>
          <w:rFonts w:ascii="Arial" w:hAnsi="Arial" w:cs="Arial"/>
          <w:sz w:val="20"/>
        </w:rPr>
        <w:t>lawyers and social scientists</w:t>
      </w:r>
      <w:r w:rsidR="00EE7788">
        <w:rPr>
          <w:rFonts w:ascii="Arial" w:hAnsi="Arial" w:cs="Arial"/>
          <w:sz w:val="20"/>
        </w:rPr>
        <w:t xml:space="preserve">.  </w:t>
      </w:r>
      <w:r>
        <w:rPr>
          <w:rFonts w:ascii="Arial" w:hAnsi="Arial" w:cs="Arial"/>
          <w:sz w:val="20"/>
        </w:rPr>
        <w:t xml:space="preserve">In addition the </w:t>
      </w:r>
      <w:r w:rsidR="00B94F90">
        <w:rPr>
          <w:rFonts w:ascii="Arial" w:hAnsi="Arial" w:cs="Arial"/>
          <w:sz w:val="20"/>
        </w:rPr>
        <w:t>project</w:t>
      </w:r>
      <w:r>
        <w:rPr>
          <w:rFonts w:ascii="Arial" w:hAnsi="Arial" w:cs="Arial"/>
          <w:sz w:val="20"/>
        </w:rPr>
        <w:t xml:space="preserve"> w</w:t>
      </w:r>
      <w:r w:rsidR="00B94F90">
        <w:rPr>
          <w:rFonts w:ascii="Arial" w:hAnsi="Arial" w:cs="Arial"/>
          <w:sz w:val="20"/>
        </w:rPr>
        <w:t>as</w:t>
      </w:r>
      <w:r>
        <w:rPr>
          <w:rFonts w:ascii="Arial" w:hAnsi="Arial" w:cs="Arial"/>
          <w:sz w:val="20"/>
        </w:rPr>
        <w:t xml:space="preserve"> overseen by an Advisory Committee consisting of some of the most </w:t>
      </w:r>
      <w:r w:rsidR="00B94F90">
        <w:rPr>
          <w:rFonts w:ascii="Arial" w:hAnsi="Arial" w:cs="Arial"/>
          <w:sz w:val="20"/>
        </w:rPr>
        <w:t>respected</w:t>
      </w:r>
      <w:r>
        <w:rPr>
          <w:rFonts w:ascii="Arial" w:hAnsi="Arial" w:cs="Arial"/>
          <w:sz w:val="20"/>
        </w:rPr>
        <w:t xml:space="preserve"> American social scientists and judicial officers.  </w:t>
      </w:r>
      <w:r w:rsidR="001A647B">
        <w:rPr>
          <w:rFonts w:ascii="Arial" w:hAnsi="Arial" w:cs="Arial"/>
          <w:sz w:val="20"/>
        </w:rPr>
        <w:t>These include Dr Joy D. Osofsky (Professor of Public Health, Psychiatry &amp; Paediatrics at Louisiana State University Health Sciences Center), Dr Sheri L Hill (Early Childhood Policy Specialist Seattle, WA), Dr Brenda Jones Harden (Institute for Child Study, University of Maryland, College Park</w:t>
      </w:r>
      <w:r w:rsidR="00BF48B5">
        <w:rPr>
          <w:rFonts w:ascii="Arial" w:hAnsi="Arial" w:cs="Arial"/>
          <w:sz w:val="20"/>
        </w:rPr>
        <w:t>,</w:t>
      </w:r>
      <w:r w:rsidR="001A647B">
        <w:rPr>
          <w:rFonts w:ascii="Arial" w:hAnsi="Arial" w:cs="Arial"/>
          <w:sz w:val="20"/>
        </w:rPr>
        <w:t xml:space="preserve"> MD), </w:t>
      </w:r>
      <w:r w:rsidR="00BF48B5">
        <w:rPr>
          <w:rFonts w:ascii="Arial" w:hAnsi="Arial" w:cs="Arial"/>
          <w:sz w:val="20"/>
        </w:rPr>
        <w:t>The Honorable Pamela L Abernethy (Marion County Circuit Court Salem, OR) and The Honorable Katherine Lucero (Superior Court, Santa Clara County, San Jose, CA).</w:t>
      </w:r>
      <w:r w:rsidR="00EE7788">
        <w:rPr>
          <w:rFonts w:ascii="Arial" w:hAnsi="Arial" w:cs="Arial"/>
          <w:sz w:val="20"/>
        </w:rPr>
        <w:t xml:space="preserve">  It is also important to note that operation of the guidelines is not simply confined to one small state.  They are </w:t>
      </w:r>
      <w:r w:rsidR="00547131">
        <w:rPr>
          <w:rFonts w:ascii="Arial" w:hAnsi="Arial" w:cs="Arial"/>
          <w:sz w:val="20"/>
        </w:rPr>
        <w:t xml:space="preserve">intended </w:t>
      </w:r>
      <w:r w:rsidR="00EE7788">
        <w:rPr>
          <w:rFonts w:ascii="Arial" w:hAnsi="Arial" w:cs="Arial"/>
          <w:sz w:val="20"/>
        </w:rPr>
        <w:t xml:space="preserve">for </w:t>
      </w:r>
      <w:r w:rsidR="00547131">
        <w:rPr>
          <w:rFonts w:ascii="Arial" w:hAnsi="Arial" w:cs="Arial"/>
          <w:sz w:val="20"/>
        </w:rPr>
        <w:t xml:space="preserve">application in </w:t>
      </w:r>
      <w:r w:rsidR="00EE7788">
        <w:rPr>
          <w:rFonts w:ascii="Arial" w:hAnsi="Arial" w:cs="Arial"/>
          <w:sz w:val="20"/>
        </w:rPr>
        <w:t xml:space="preserve">the whole of the </w:t>
      </w:r>
      <w:smartTag w:uri="urn:schemas-microsoft-com:office:smarttags" w:element="country-region">
        <w:smartTag w:uri="urn:schemas-microsoft-com:office:smarttags" w:element="place">
          <w:r w:rsidR="00EE7788">
            <w:rPr>
              <w:rFonts w:ascii="Arial" w:hAnsi="Arial" w:cs="Arial"/>
              <w:sz w:val="20"/>
            </w:rPr>
            <w:t>U.S.A.</w:t>
          </w:r>
        </w:smartTag>
      </w:smartTag>
      <w:r w:rsidR="00EE7788">
        <w:rPr>
          <w:rFonts w:ascii="Arial" w:hAnsi="Arial" w:cs="Arial"/>
          <w:sz w:val="20"/>
        </w:rPr>
        <w:t xml:space="preserve">  As Justice Abernethy says: “This guide helps to ensure that </w:t>
      </w:r>
      <w:r w:rsidR="00EE7788" w:rsidRPr="00806118">
        <w:rPr>
          <w:rFonts w:ascii="Arial" w:hAnsi="Arial" w:cs="Arial"/>
          <w:b/>
          <w:sz w:val="20"/>
          <w:u w:val="single"/>
        </w:rPr>
        <w:t>as a nation</w:t>
      </w:r>
      <w:r w:rsidR="00EE7788">
        <w:rPr>
          <w:rFonts w:ascii="Arial" w:hAnsi="Arial" w:cs="Arial"/>
          <w:sz w:val="20"/>
        </w:rPr>
        <w:t>, we equip the bench to do better by babies every day.  Judges can be key players in breaking the intergenerational cycle of abuse and neglect…Let’s act now.  Let’s usher in a new future now, one baby at a time.”</w:t>
      </w:r>
      <w:r w:rsidR="00806118">
        <w:rPr>
          <w:rFonts w:ascii="Arial" w:hAnsi="Arial" w:cs="Arial"/>
          <w:sz w:val="20"/>
        </w:rPr>
        <w:t xml:space="preserve"> [Emphasis added]</w:t>
      </w:r>
    </w:p>
    <w:p w14:paraId="396368ED" w14:textId="77777777" w:rsidR="00490AD2" w:rsidRDefault="00490AD2" w:rsidP="00A37039">
      <w:pPr>
        <w:jc w:val="both"/>
        <w:rPr>
          <w:rFonts w:ascii="Arial" w:hAnsi="Arial" w:cs="Arial"/>
          <w:sz w:val="20"/>
        </w:rPr>
      </w:pPr>
    </w:p>
    <w:p w14:paraId="35BD13A8" w14:textId="77777777" w:rsidR="00B94F90" w:rsidRDefault="00B94F90" w:rsidP="00BE5170">
      <w:pPr>
        <w:jc w:val="both"/>
        <w:rPr>
          <w:rFonts w:ascii="Arial" w:hAnsi="Arial" w:cs="Arial"/>
          <w:sz w:val="20"/>
        </w:rPr>
      </w:pPr>
      <w:r>
        <w:rPr>
          <w:rFonts w:ascii="Arial" w:hAnsi="Arial" w:cs="Arial"/>
          <w:sz w:val="20"/>
        </w:rPr>
        <w:t xml:space="preserve">An electronic copy of the American judicial guidelines </w:t>
      </w:r>
      <w:r w:rsidR="00547131">
        <w:rPr>
          <w:rFonts w:ascii="Arial" w:hAnsi="Arial" w:cs="Arial"/>
          <w:sz w:val="20"/>
        </w:rPr>
        <w:t xml:space="preserve">2009 </w:t>
      </w:r>
      <w:r>
        <w:rPr>
          <w:rFonts w:ascii="Arial" w:hAnsi="Arial" w:cs="Arial"/>
          <w:sz w:val="20"/>
        </w:rPr>
        <w:t xml:space="preserve">can be downloaded from the website of the </w:t>
      </w:r>
      <w:r w:rsidR="00722D9E">
        <w:rPr>
          <w:rFonts w:ascii="Arial" w:hAnsi="Arial" w:cs="Arial"/>
          <w:sz w:val="20"/>
        </w:rPr>
        <w:t xml:space="preserve">American Bar Association </w:t>
      </w:r>
      <w:hyperlink r:id="rId18" w:history="1">
        <w:r w:rsidR="00722D9E" w:rsidRPr="00AF707D">
          <w:rPr>
            <w:rStyle w:val="Hyperlink"/>
            <w:rFonts w:ascii="Arial" w:hAnsi="Arial" w:cs="Arial"/>
            <w:sz w:val="20"/>
          </w:rPr>
          <w:t>www.abanet.org</w:t>
        </w:r>
      </w:hyperlink>
      <w:r w:rsidR="00722D9E">
        <w:rPr>
          <w:rFonts w:ascii="Arial" w:hAnsi="Arial" w:cs="Arial"/>
          <w:sz w:val="20"/>
        </w:rPr>
        <w:t xml:space="preserve">.  The </w:t>
      </w:r>
      <w:smartTag w:uri="urn:schemas-microsoft-com:office:smarttags" w:element="place">
        <w:smartTag w:uri="urn:schemas-microsoft-com:office:smarttags" w:element="City">
          <w:r w:rsidR="00722D9E">
            <w:rPr>
              <w:rFonts w:ascii="Arial" w:hAnsi="Arial" w:cs="Arial"/>
              <w:sz w:val="20"/>
            </w:rPr>
            <w:t>ABA</w:t>
          </w:r>
        </w:smartTag>
      </w:smartTag>
      <w:r w:rsidR="00722D9E">
        <w:rPr>
          <w:rFonts w:ascii="Arial" w:hAnsi="Arial" w:cs="Arial"/>
          <w:sz w:val="20"/>
        </w:rPr>
        <w:t xml:space="preserve"> - whose catchcry is “Defending Liberty, Pursuing Justice” - is the largest professional organization in the world and provides services, including educational services, to almost every area of the legal profession.  The Zero to </w:t>
      </w:r>
      <w:smartTag w:uri="urn:schemas-microsoft-com:office:smarttags" w:element="place">
        <w:smartTag w:uri="urn:schemas-microsoft-com:office:smarttags" w:element="PlaceName">
          <w:r w:rsidR="00722D9E">
            <w:rPr>
              <w:rFonts w:ascii="Arial" w:hAnsi="Arial" w:cs="Arial"/>
              <w:sz w:val="20"/>
            </w:rPr>
            <w:t>Three</w:t>
          </w:r>
        </w:smartTag>
        <w:r w:rsidR="00722D9E">
          <w:rPr>
            <w:rFonts w:ascii="Arial" w:hAnsi="Arial" w:cs="Arial"/>
            <w:sz w:val="20"/>
          </w:rPr>
          <w:t xml:space="preserve"> </w:t>
        </w:r>
        <w:smartTag w:uri="urn:schemas-microsoft-com:office:smarttags" w:element="PlaceName">
          <w:r w:rsidR="00722D9E">
            <w:rPr>
              <w:rFonts w:ascii="Arial" w:hAnsi="Arial" w:cs="Arial"/>
              <w:sz w:val="20"/>
            </w:rPr>
            <w:t>National</w:t>
          </w:r>
        </w:smartTag>
        <w:r w:rsidR="00722D9E">
          <w:rPr>
            <w:rFonts w:ascii="Arial" w:hAnsi="Arial" w:cs="Arial"/>
            <w:sz w:val="20"/>
          </w:rPr>
          <w:t xml:space="preserve"> </w:t>
        </w:r>
        <w:smartTag w:uri="urn:schemas-microsoft-com:office:smarttags" w:element="PlaceName">
          <w:r w:rsidR="00722D9E">
            <w:rPr>
              <w:rFonts w:ascii="Arial" w:hAnsi="Arial" w:cs="Arial"/>
              <w:sz w:val="20"/>
            </w:rPr>
            <w:t>Policy</w:t>
          </w:r>
        </w:smartTag>
        <w:r w:rsidR="00722D9E">
          <w:rPr>
            <w:rFonts w:ascii="Arial" w:hAnsi="Arial" w:cs="Arial"/>
            <w:sz w:val="20"/>
          </w:rPr>
          <w:t xml:space="preserve"> </w:t>
        </w:r>
        <w:smartTag w:uri="urn:schemas-microsoft-com:office:smarttags" w:element="PlaceType">
          <w:r w:rsidR="00722D9E">
            <w:rPr>
              <w:rFonts w:ascii="Arial" w:hAnsi="Arial" w:cs="Arial"/>
              <w:sz w:val="20"/>
            </w:rPr>
            <w:t>Center</w:t>
          </w:r>
        </w:smartTag>
      </w:smartTag>
      <w:r w:rsidR="00722D9E">
        <w:rPr>
          <w:rFonts w:ascii="Arial" w:hAnsi="Arial" w:cs="Arial"/>
          <w:sz w:val="20"/>
        </w:rPr>
        <w:t xml:space="preserve">, whose website is </w:t>
      </w:r>
      <w:hyperlink r:id="rId19" w:history="1">
        <w:r w:rsidR="00C36CC7" w:rsidRPr="00AF707D">
          <w:rPr>
            <w:rStyle w:val="Hyperlink"/>
            <w:rFonts w:ascii="Arial" w:hAnsi="Arial" w:cs="Arial"/>
            <w:sz w:val="20"/>
          </w:rPr>
          <w:t>www.zerotothree.org</w:t>
        </w:r>
      </w:hyperlink>
      <w:r w:rsidR="00722D9E">
        <w:rPr>
          <w:rFonts w:ascii="Arial" w:hAnsi="Arial" w:cs="Arial"/>
          <w:sz w:val="20"/>
        </w:rPr>
        <w:t>, is a non-partisan, research-based resource for American federal</w:t>
      </w:r>
      <w:r w:rsidR="00316C68">
        <w:rPr>
          <w:rFonts w:ascii="Arial" w:hAnsi="Arial" w:cs="Arial"/>
          <w:sz w:val="20"/>
        </w:rPr>
        <w:t xml:space="preserve"> </w:t>
      </w:r>
      <w:r w:rsidR="00722D9E">
        <w:rPr>
          <w:rFonts w:ascii="Arial" w:hAnsi="Arial" w:cs="Arial"/>
          <w:sz w:val="20"/>
        </w:rPr>
        <w:t xml:space="preserve">and state policymakers and advocates on the unique developmental needs of infants and toddlers.  </w:t>
      </w:r>
      <w:r w:rsidR="00DD072C">
        <w:rPr>
          <w:rFonts w:ascii="Arial" w:hAnsi="Arial" w:cs="Arial"/>
          <w:sz w:val="20"/>
        </w:rPr>
        <w:t xml:space="preserve">The eminent Dr Joy D Osofsky is the organization’s President-Elect.  </w:t>
      </w:r>
      <w:r w:rsidR="00722D9E">
        <w:rPr>
          <w:rFonts w:ascii="Arial" w:hAnsi="Arial" w:cs="Arial"/>
          <w:sz w:val="20"/>
        </w:rPr>
        <w:t xml:space="preserve">The </w:t>
      </w:r>
      <w:smartTag w:uri="urn:schemas-microsoft-com:office:smarttags" w:element="PlaceName">
        <w:r w:rsidR="00722D9E">
          <w:rPr>
            <w:rFonts w:ascii="Arial" w:hAnsi="Arial" w:cs="Arial"/>
            <w:sz w:val="20"/>
          </w:rPr>
          <w:t>Policy</w:t>
        </w:r>
      </w:smartTag>
      <w:r w:rsidR="00722D9E">
        <w:rPr>
          <w:rFonts w:ascii="Arial" w:hAnsi="Arial" w:cs="Arial"/>
          <w:sz w:val="20"/>
        </w:rPr>
        <w:t xml:space="preserve"> </w:t>
      </w:r>
      <w:smartTag w:uri="urn:schemas-microsoft-com:office:smarttags" w:element="PlaceType">
        <w:r w:rsidR="00722D9E">
          <w:rPr>
            <w:rFonts w:ascii="Arial" w:hAnsi="Arial" w:cs="Arial"/>
            <w:sz w:val="20"/>
          </w:rPr>
          <w:t>Center</w:t>
        </w:r>
      </w:smartTag>
      <w:r w:rsidR="00722D9E">
        <w:rPr>
          <w:rFonts w:ascii="Arial" w:hAnsi="Arial" w:cs="Arial"/>
          <w:sz w:val="20"/>
        </w:rPr>
        <w:t xml:space="preserve"> brings to bear the organization’s more than 30 years of research-based expertise on</w:t>
      </w:r>
      <w:r w:rsidR="00316C68">
        <w:rPr>
          <w:rFonts w:ascii="Arial" w:hAnsi="Arial" w:cs="Arial"/>
          <w:sz w:val="20"/>
        </w:rPr>
        <w:t xml:space="preserve"> infant and toddler development to ensure that American public policies reflect best practices and current research in support of </w:t>
      </w:r>
      <w:smartTag w:uri="urn:schemas-microsoft-com:office:smarttags" w:element="place">
        <w:smartTag w:uri="urn:schemas-microsoft-com:office:smarttags" w:element="country-region">
          <w:r w:rsidR="00316C68">
            <w:rPr>
              <w:rFonts w:ascii="Arial" w:hAnsi="Arial" w:cs="Arial"/>
              <w:sz w:val="20"/>
            </w:rPr>
            <w:t>America</w:t>
          </w:r>
        </w:smartTag>
      </w:smartTag>
      <w:r w:rsidR="00316C68">
        <w:rPr>
          <w:rFonts w:ascii="Arial" w:hAnsi="Arial" w:cs="Arial"/>
          <w:sz w:val="20"/>
        </w:rPr>
        <w:t xml:space="preserve">’s very young children.  The name of the National Council of Juvenile and Family Court </w:t>
      </w:r>
      <w:r w:rsidR="00876B84">
        <w:rPr>
          <w:rFonts w:ascii="Arial" w:hAnsi="Arial" w:cs="Arial"/>
          <w:sz w:val="20"/>
        </w:rPr>
        <w:t>J</w:t>
      </w:r>
      <w:r w:rsidR="00316C68">
        <w:rPr>
          <w:rFonts w:ascii="Arial" w:hAnsi="Arial" w:cs="Arial"/>
          <w:sz w:val="20"/>
        </w:rPr>
        <w:t xml:space="preserve">udges speaks for itself.  </w:t>
      </w:r>
      <w:r w:rsidR="00216B97">
        <w:rPr>
          <w:rFonts w:ascii="Arial" w:hAnsi="Arial" w:cs="Arial"/>
          <w:sz w:val="20"/>
        </w:rPr>
        <w:t>It is difficult to think of a more diverse and authoritative professional group than that which was responsible for the generation of the American judicial guidelines 2009.</w:t>
      </w:r>
    </w:p>
    <w:p w14:paraId="31A7D96B" w14:textId="77777777" w:rsidR="00B94F90" w:rsidRDefault="00B94F90" w:rsidP="00A37039">
      <w:pPr>
        <w:jc w:val="both"/>
        <w:rPr>
          <w:rFonts w:ascii="Arial" w:hAnsi="Arial" w:cs="Arial"/>
          <w:sz w:val="20"/>
        </w:rPr>
      </w:pPr>
    </w:p>
    <w:p w14:paraId="0F4C98FE" w14:textId="77777777" w:rsidR="00BE5170" w:rsidRPr="00CA2663" w:rsidRDefault="00FB0F65" w:rsidP="00BE5170">
      <w:pPr>
        <w:pStyle w:val="Heading3"/>
        <w:keepNext/>
        <w:keepLines/>
        <w:spacing w:line="240" w:lineRule="auto"/>
        <w:rPr>
          <w:rFonts w:ascii="Arial" w:hAnsi="Arial" w:cs="Arial"/>
          <w:sz w:val="20"/>
          <w:lang w:val="en-US"/>
        </w:rPr>
      </w:pPr>
      <w:bookmarkStart w:id="1685" w:name="_4.14.4__Contact"/>
      <w:bookmarkStart w:id="1686" w:name="B4144"/>
      <w:bookmarkEnd w:id="1685"/>
      <w:bookmarkEnd w:id="1686"/>
      <w:r w:rsidRPr="006679D2">
        <w:rPr>
          <w:rFonts w:ascii="Arial" w:hAnsi="Arial" w:cs="Arial"/>
          <w:b/>
          <w:bCs/>
          <w:color w:val="000000"/>
          <w:sz w:val="20"/>
        </w:rPr>
        <w:t>4.14.4</w:t>
      </w:r>
      <w:r w:rsidRPr="006679D2">
        <w:rPr>
          <w:rFonts w:ascii="Arial" w:hAnsi="Arial" w:cs="Arial"/>
          <w:b/>
          <w:bCs/>
          <w:color w:val="000000"/>
          <w:sz w:val="20"/>
        </w:rPr>
        <w:tab/>
      </w:r>
      <w:r w:rsidRPr="006679D2">
        <w:rPr>
          <w:rFonts w:ascii="Arial" w:hAnsi="Arial" w:cs="Arial"/>
          <w:b/>
          <w:bCs/>
          <w:color w:val="000000"/>
          <w:sz w:val="20"/>
        </w:rPr>
        <w:tab/>
      </w:r>
      <w:r w:rsidR="00CF6AAD" w:rsidRPr="006679D2">
        <w:rPr>
          <w:rFonts w:ascii="Arial" w:hAnsi="Arial" w:cs="Arial"/>
          <w:b/>
          <w:bCs/>
          <w:color w:val="000000"/>
          <w:sz w:val="20"/>
        </w:rPr>
        <w:t>Contact</w:t>
      </w:r>
      <w:r w:rsidRPr="006679D2">
        <w:rPr>
          <w:rFonts w:ascii="Arial" w:hAnsi="Arial" w:cs="Arial"/>
          <w:b/>
          <w:bCs/>
          <w:color w:val="000000"/>
          <w:sz w:val="20"/>
        </w:rPr>
        <w:t xml:space="preserve"> conditions </w:t>
      </w:r>
      <w:r w:rsidR="00310561" w:rsidRPr="006679D2">
        <w:rPr>
          <w:rFonts w:ascii="Arial" w:hAnsi="Arial" w:cs="Arial"/>
          <w:b/>
          <w:bCs/>
          <w:color w:val="000000"/>
          <w:sz w:val="20"/>
        </w:rPr>
        <w:t xml:space="preserve">are </w:t>
      </w:r>
      <w:r w:rsidRPr="006679D2">
        <w:rPr>
          <w:rFonts w:ascii="Arial" w:hAnsi="Arial" w:cs="Arial"/>
          <w:b/>
          <w:bCs/>
          <w:color w:val="000000"/>
          <w:sz w:val="20"/>
        </w:rPr>
        <w:t>an integral part of a court order</w:t>
      </w:r>
    </w:p>
    <w:p w14:paraId="089607D1" w14:textId="77777777" w:rsidR="00FB0F65" w:rsidRDefault="00FB0F65" w:rsidP="00BE5170">
      <w:pPr>
        <w:jc w:val="both"/>
        <w:rPr>
          <w:rFonts w:ascii="Arial" w:hAnsi="Arial" w:cs="Arial"/>
          <w:sz w:val="20"/>
        </w:rPr>
      </w:pPr>
    </w:p>
    <w:p w14:paraId="7EB69199" w14:textId="77777777" w:rsidR="00FB0F65" w:rsidRPr="006679D2" w:rsidRDefault="00454BD5" w:rsidP="00A37039">
      <w:pPr>
        <w:jc w:val="both"/>
        <w:rPr>
          <w:rFonts w:ascii="Arial" w:hAnsi="Arial" w:cs="Arial"/>
          <w:color w:val="000000"/>
          <w:sz w:val="20"/>
        </w:rPr>
      </w:pPr>
      <w:r>
        <w:rPr>
          <w:rFonts w:ascii="Arial" w:hAnsi="Arial" w:cs="Arial"/>
          <w:sz w:val="20"/>
        </w:rPr>
        <w:t xml:space="preserve">Section </w:t>
      </w:r>
      <w:r w:rsidR="004D0346">
        <w:rPr>
          <w:rFonts w:ascii="Arial" w:hAnsi="Arial" w:cs="Arial"/>
          <w:sz w:val="20"/>
        </w:rPr>
        <w:t xml:space="preserve">10(3) of the CYFA sets out 18 matters to which the Court must have regard in determining whether a decision or action is in </w:t>
      </w:r>
      <w:r>
        <w:rPr>
          <w:rFonts w:ascii="Arial" w:hAnsi="Arial" w:cs="Arial"/>
          <w:sz w:val="20"/>
        </w:rPr>
        <w:t>the best interests of a child. As the writer has noted</w:t>
      </w:r>
      <w:r w:rsidR="00E75912">
        <w:rPr>
          <w:rFonts w:ascii="Arial" w:hAnsi="Arial" w:cs="Arial"/>
          <w:sz w:val="20"/>
        </w:rPr>
        <w:t xml:space="preserve"> above</w:t>
      </w:r>
      <w:r>
        <w:rPr>
          <w:rFonts w:ascii="Arial" w:hAnsi="Arial" w:cs="Arial"/>
          <w:sz w:val="20"/>
        </w:rPr>
        <w:t>, p</w:t>
      </w:r>
      <w:r w:rsidR="004D0346">
        <w:rPr>
          <w:rFonts w:ascii="Arial" w:hAnsi="Arial" w:cs="Arial"/>
          <w:sz w:val="20"/>
        </w:rPr>
        <w:t xml:space="preserve">aragraph (k) of that </w:t>
      </w:r>
      <w:r w:rsidR="001040F9">
        <w:rPr>
          <w:rFonts w:ascii="Arial" w:hAnsi="Arial" w:cs="Arial"/>
          <w:sz w:val="20"/>
        </w:rPr>
        <w:t>sub-</w:t>
      </w:r>
      <w:r w:rsidR="004D0346">
        <w:rPr>
          <w:rFonts w:ascii="Arial" w:hAnsi="Arial" w:cs="Arial"/>
          <w:sz w:val="20"/>
        </w:rPr>
        <w:t>section provides that the Court must give consideration to</w:t>
      </w:r>
      <w:r w:rsidR="00DB3C4C">
        <w:rPr>
          <w:rFonts w:ascii="Arial" w:hAnsi="Arial" w:cs="Arial"/>
          <w:sz w:val="20"/>
        </w:rPr>
        <w:t xml:space="preserve"> “</w:t>
      </w:r>
      <w:r w:rsidR="00CF6AAD" w:rsidRPr="006679D2">
        <w:rPr>
          <w:rFonts w:ascii="Arial" w:hAnsi="Arial" w:cs="Arial"/>
          <w:color w:val="000000"/>
          <w:sz w:val="20"/>
        </w:rPr>
        <w:t>contact</w:t>
      </w:r>
      <w:r w:rsidR="00DB3C4C" w:rsidRPr="006679D2">
        <w:rPr>
          <w:rFonts w:ascii="Arial" w:hAnsi="Arial" w:cs="Arial"/>
          <w:color w:val="000000"/>
          <w:sz w:val="20"/>
        </w:rPr>
        <w:t xml:space="preserve"> arrangements between the child and the child’s parents, siblings, family members and other persons significant to the child”.</w:t>
      </w:r>
    </w:p>
    <w:p w14:paraId="3CFC8F05" w14:textId="77777777" w:rsidR="00454BD5" w:rsidRPr="006679D2" w:rsidRDefault="00454BD5" w:rsidP="00A37039">
      <w:pPr>
        <w:jc w:val="both"/>
        <w:rPr>
          <w:rFonts w:ascii="Arial" w:hAnsi="Arial" w:cs="Arial"/>
          <w:color w:val="000000"/>
          <w:sz w:val="20"/>
        </w:rPr>
      </w:pPr>
    </w:p>
    <w:p w14:paraId="40079725" w14:textId="77777777" w:rsidR="00454BD5" w:rsidRPr="006679D2" w:rsidRDefault="00454BD5" w:rsidP="00A37039">
      <w:pPr>
        <w:jc w:val="both"/>
        <w:rPr>
          <w:rFonts w:ascii="Arial" w:hAnsi="Arial" w:cs="Arial"/>
          <w:color w:val="000000"/>
          <w:sz w:val="20"/>
        </w:rPr>
      </w:pPr>
      <w:r w:rsidRPr="006679D2">
        <w:rPr>
          <w:rFonts w:ascii="Arial" w:hAnsi="Arial" w:cs="Arial"/>
          <w:color w:val="000000"/>
          <w:sz w:val="20"/>
        </w:rPr>
        <w:t xml:space="preserve">It appears that </w:t>
      </w:r>
      <w:r w:rsidR="00E75912" w:rsidRPr="006679D2">
        <w:rPr>
          <w:rFonts w:ascii="Arial" w:hAnsi="Arial" w:cs="Arial"/>
          <w:color w:val="000000"/>
          <w:sz w:val="20"/>
        </w:rPr>
        <w:t xml:space="preserve">recently </w:t>
      </w:r>
      <w:r w:rsidR="00785D2D">
        <w:rPr>
          <w:rFonts w:ascii="Arial" w:hAnsi="Arial" w:cs="Arial"/>
          <w:color w:val="000000"/>
          <w:sz w:val="20"/>
        </w:rPr>
        <w:t>DFFH</w:t>
      </w:r>
      <w:r w:rsidR="00D8131F" w:rsidRPr="006679D2">
        <w:rPr>
          <w:rFonts w:ascii="Arial" w:hAnsi="Arial" w:cs="Arial"/>
          <w:color w:val="000000"/>
          <w:sz w:val="20"/>
        </w:rPr>
        <w:t xml:space="preserve"> </w:t>
      </w:r>
      <w:r w:rsidR="000402B6" w:rsidRPr="006679D2">
        <w:rPr>
          <w:rFonts w:ascii="Arial" w:hAnsi="Arial" w:cs="Arial"/>
          <w:color w:val="000000"/>
          <w:sz w:val="20"/>
        </w:rPr>
        <w:t xml:space="preserve">has </w:t>
      </w:r>
      <w:r w:rsidR="0021434F" w:rsidRPr="006679D2">
        <w:rPr>
          <w:rFonts w:ascii="Arial" w:hAnsi="Arial" w:cs="Arial"/>
          <w:color w:val="000000"/>
          <w:sz w:val="20"/>
        </w:rPr>
        <w:t xml:space="preserve">been championing a view that conditions relating to child </w:t>
      </w:r>
      <w:r w:rsidR="00CF6AAD" w:rsidRPr="006679D2">
        <w:rPr>
          <w:rFonts w:ascii="Arial" w:hAnsi="Arial" w:cs="Arial"/>
          <w:color w:val="000000"/>
          <w:sz w:val="20"/>
        </w:rPr>
        <w:t>contact</w:t>
      </w:r>
      <w:r w:rsidR="0021434F" w:rsidRPr="006679D2">
        <w:rPr>
          <w:rFonts w:ascii="Arial" w:hAnsi="Arial" w:cs="Arial"/>
          <w:color w:val="000000"/>
          <w:sz w:val="20"/>
        </w:rPr>
        <w:t xml:space="preserve"> should be determined </w:t>
      </w:r>
      <w:r w:rsidR="00A736FD" w:rsidRPr="006679D2">
        <w:rPr>
          <w:rFonts w:ascii="Arial" w:hAnsi="Arial" w:cs="Arial"/>
          <w:color w:val="000000"/>
          <w:sz w:val="20"/>
        </w:rPr>
        <w:t>administratively</w:t>
      </w:r>
      <w:r w:rsidR="00D8131F" w:rsidRPr="006679D2">
        <w:rPr>
          <w:rFonts w:ascii="Arial" w:hAnsi="Arial" w:cs="Arial"/>
          <w:color w:val="000000"/>
          <w:sz w:val="20"/>
        </w:rPr>
        <w:t xml:space="preserve"> </w:t>
      </w:r>
      <w:r w:rsidR="0021434F" w:rsidRPr="006679D2">
        <w:rPr>
          <w:rFonts w:ascii="Arial" w:hAnsi="Arial" w:cs="Arial"/>
          <w:color w:val="000000"/>
          <w:sz w:val="20"/>
        </w:rPr>
        <w:t xml:space="preserve">and should not be justiciable in the Children’s Court.  </w:t>
      </w:r>
      <w:r w:rsidR="00D8131F" w:rsidRPr="006679D2">
        <w:rPr>
          <w:rFonts w:ascii="Arial" w:hAnsi="Arial" w:cs="Arial"/>
          <w:color w:val="000000"/>
          <w:sz w:val="20"/>
        </w:rPr>
        <w:t xml:space="preserve">In the writer’s view that would be </w:t>
      </w:r>
      <w:r w:rsidR="00A736FD" w:rsidRPr="006679D2">
        <w:rPr>
          <w:rFonts w:ascii="Arial" w:hAnsi="Arial" w:cs="Arial"/>
          <w:color w:val="000000"/>
          <w:sz w:val="20"/>
        </w:rPr>
        <w:t>unwise</w:t>
      </w:r>
      <w:r w:rsidR="00D8131F" w:rsidRPr="006679D2">
        <w:rPr>
          <w:rFonts w:ascii="Arial" w:hAnsi="Arial" w:cs="Arial"/>
          <w:color w:val="000000"/>
          <w:sz w:val="20"/>
        </w:rPr>
        <w:t xml:space="preserve">.  There is no doubt that </w:t>
      </w:r>
      <w:r w:rsidR="00785D2D">
        <w:rPr>
          <w:rFonts w:ascii="Arial" w:hAnsi="Arial" w:cs="Arial"/>
          <w:color w:val="000000"/>
          <w:sz w:val="20"/>
        </w:rPr>
        <w:t>DFFH</w:t>
      </w:r>
      <w:r w:rsidR="00D8131F" w:rsidRPr="006679D2">
        <w:rPr>
          <w:rFonts w:ascii="Arial" w:hAnsi="Arial" w:cs="Arial"/>
          <w:color w:val="000000"/>
          <w:sz w:val="20"/>
        </w:rPr>
        <w:t xml:space="preserve"> enthusiastically adopted the “Baby on Board” </w:t>
      </w:r>
      <w:r w:rsidR="000402B6" w:rsidRPr="006679D2">
        <w:rPr>
          <w:rFonts w:ascii="Arial" w:hAnsi="Arial" w:cs="Arial"/>
          <w:color w:val="000000"/>
          <w:sz w:val="20"/>
        </w:rPr>
        <w:t xml:space="preserve">report.  But </w:t>
      </w:r>
      <w:r w:rsidR="00247BF7" w:rsidRPr="006679D2">
        <w:rPr>
          <w:rFonts w:ascii="Arial" w:hAnsi="Arial" w:cs="Arial"/>
          <w:color w:val="000000"/>
          <w:sz w:val="20"/>
        </w:rPr>
        <w:t xml:space="preserve">“Baby on Board” </w:t>
      </w:r>
      <w:r w:rsidR="000402B6" w:rsidRPr="006679D2">
        <w:rPr>
          <w:rFonts w:ascii="Arial" w:hAnsi="Arial" w:cs="Arial"/>
          <w:color w:val="000000"/>
          <w:sz w:val="20"/>
        </w:rPr>
        <w:t xml:space="preserve">is only one of a number of diverse </w:t>
      </w:r>
      <w:r w:rsidR="00247BF7" w:rsidRPr="006679D2">
        <w:rPr>
          <w:rFonts w:ascii="Arial" w:hAnsi="Arial" w:cs="Arial"/>
          <w:color w:val="000000"/>
          <w:sz w:val="20"/>
        </w:rPr>
        <w:t>vie</w:t>
      </w:r>
      <w:r w:rsidR="00247BF7">
        <w:rPr>
          <w:rFonts w:ascii="Arial" w:hAnsi="Arial" w:cs="Arial"/>
          <w:sz w:val="20"/>
        </w:rPr>
        <w:t>w</w:t>
      </w:r>
      <w:r w:rsidR="000402B6">
        <w:rPr>
          <w:rFonts w:ascii="Arial" w:hAnsi="Arial" w:cs="Arial"/>
          <w:sz w:val="20"/>
        </w:rPr>
        <w:t xml:space="preserve">s, a view </w:t>
      </w:r>
      <w:r w:rsidR="00E75912">
        <w:rPr>
          <w:rFonts w:ascii="Arial" w:hAnsi="Arial" w:cs="Arial"/>
          <w:sz w:val="20"/>
        </w:rPr>
        <w:t xml:space="preserve">moreover </w:t>
      </w:r>
      <w:r w:rsidR="00547131">
        <w:rPr>
          <w:rFonts w:ascii="Arial" w:hAnsi="Arial" w:cs="Arial"/>
          <w:sz w:val="20"/>
        </w:rPr>
        <w:t xml:space="preserve">which is diametrically </w:t>
      </w:r>
      <w:r w:rsidR="00436120">
        <w:rPr>
          <w:rFonts w:ascii="Arial" w:hAnsi="Arial" w:cs="Arial"/>
          <w:sz w:val="20"/>
        </w:rPr>
        <w:t>at odds with</w:t>
      </w:r>
      <w:r w:rsidR="000402B6">
        <w:rPr>
          <w:rFonts w:ascii="Arial" w:hAnsi="Arial" w:cs="Arial"/>
          <w:sz w:val="20"/>
        </w:rPr>
        <w:t xml:space="preserve"> </w:t>
      </w:r>
      <w:r w:rsidR="00436120">
        <w:rPr>
          <w:rFonts w:ascii="Arial" w:hAnsi="Arial" w:cs="Arial"/>
          <w:sz w:val="20"/>
        </w:rPr>
        <w:t>the</w:t>
      </w:r>
      <w:r w:rsidR="00806118">
        <w:rPr>
          <w:rFonts w:ascii="Arial" w:hAnsi="Arial" w:cs="Arial"/>
          <w:sz w:val="20"/>
        </w:rPr>
        <w:t xml:space="preserve"> </w:t>
      </w:r>
      <w:r w:rsidR="000402B6">
        <w:rPr>
          <w:rFonts w:ascii="Arial" w:hAnsi="Arial" w:cs="Arial"/>
          <w:sz w:val="20"/>
        </w:rPr>
        <w:t xml:space="preserve">modern </w:t>
      </w:r>
      <w:r w:rsidR="000402B6" w:rsidRPr="006679D2">
        <w:rPr>
          <w:rFonts w:ascii="Arial" w:hAnsi="Arial" w:cs="Arial"/>
          <w:color w:val="000000"/>
          <w:sz w:val="20"/>
        </w:rPr>
        <w:t xml:space="preserve">American </w:t>
      </w:r>
      <w:r w:rsidR="00436120" w:rsidRPr="006679D2">
        <w:rPr>
          <w:rFonts w:ascii="Arial" w:hAnsi="Arial" w:cs="Arial"/>
          <w:color w:val="000000"/>
          <w:sz w:val="20"/>
        </w:rPr>
        <w:t xml:space="preserve">child developmental </w:t>
      </w:r>
      <w:r w:rsidR="000402B6" w:rsidRPr="006679D2">
        <w:rPr>
          <w:rFonts w:ascii="Arial" w:hAnsi="Arial" w:cs="Arial"/>
          <w:color w:val="000000"/>
          <w:sz w:val="20"/>
        </w:rPr>
        <w:t>opinion</w:t>
      </w:r>
      <w:r w:rsidR="00810034" w:rsidRPr="006679D2">
        <w:rPr>
          <w:rFonts w:ascii="Arial" w:hAnsi="Arial" w:cs="Arial"/>
          <w:color w:val="000000"/>
          <w:sz w:val="20"/>
        </w:rPr>
        <w:t xml:space="preserve"> upon which the </w:t>
      </w:r>
      <w:r w:rsidR="00103F02" w:rsidRPr="006679D2">
        <w:rPr>
          <w:rFonts w:ascii="Arial" w:hAnsi="Arial" w:cs="Arial"/>
          <w:color w:val="000000"/>
          <w:sz w:val="20"/>
        </w:rPr>
        <w:t xml:space="preserve">American </w:t>
      </w:r>
      <w:r w:rsidR="00810034" w:rsidRPr="006679D2">
        <w:rPr>
          <w:rFonts w:ascii="Arial" w:hAnsi="Arial" w:cs="Arial"/>
          <w:color w:val="000000"/>
          <w:sz w:val="20"/>
        </w:rPr>
        <w:t xml:space="preserve">judicial guidelines </w:t>
      </w:r>
      <w:r w:rsidR="001040F9" w:rsidRPr="006679D2">
        <w:rPr>
          <w:rFonts w:ascii="Arial" w:hAnsi="Arial" w:cs="Arial"/>
          <w:color w:val="000000"/>
          <w:sz w:val="20"/>
        </w:rPr>
        <w:t>2009 a</w:t>
      </w:r>
      <w:r w:rsidR="00810034" w:rsidRPr="006679D2">
        <w:rPr>
          <w:rFonts w:ascii="Arial" w:hAnsi="Arial" w:cs="Arial"/>
          <w:color w:val="000000"/>
          <w:sz w:val="20"/>
        </w:rPr>
        <w:t>re based</w:t>
      </w:r>
      <w:r w:rsidR="000402B6" w:rsidRPr="006679D2">
        <w:rPr>
          <w:rFonts w:ascii="Arial" w:hAnsi="Arial" w:cs="Arial"/>
          <w:color w:val="000000"/>
          <w:sz w:val="20"/>
        </w:rPr>
        <w:t>.  In</w:t>
      </w:r>
      <w:r w:rsidR="00806118" w:rsidRPr="006679D2">
        <w:rPr>
          <w:rFonts w:ascii="Arial" w:hAnsi="Arial" w:cs="Arial"/>
          <w:color w:val="000000"/>
          <w:sz w:val="20"/>
        </w:rPr>
        <w:t> </w:t>
      </w:r>
      <w:r w:rsidR="000402B6" w:rsidRPr="006679D2">
        <w:rPr>
          <w:rFonts w:ascii="Arial" w:hAnsi="Arial" w:cs="Arial"/>
          <w:color w:val="000000"/>
          <w:sz w:val="20"/>
        </w:rPr>
        <w:t xml:space="preserve">addition, the proper determination of what is in the best interests of any child </w:t>
      </w:r>
      <w:r w:rsidR="003959CF" w:rsidRPr="006679D2">
        <w:rPr>
          <w:rFonts w:ascii="Arial" w:hAnsi="Arial" w:cs="Arial"/>
          <w:color w:val="000000"/>
          <w:sz w:val="20"/>
        </w:rPr>
        <w:t>in</w:t>
      </w:r>
      <w:r w:rsidR="000402B6" w:rsidRPr="006679D2">
        <w:rPr>
          <w:rFonts w:ascii="Arial" w:hAnsi="Arial" w:cs="Arial"/>
          <w:color w:val="000000"/>
          <w:sz w:val="20"/>
        </w:rPr>
        <w:t xml:space="preserve"> the Children’s Court requires a holistic determination, not just </w:t>
      </w:r>
      <w:r w:rsidR="00247BF7" w:rsidRPr="006679D2">
        <w:rPr>
          <w:rFonts w:ascii="Arial" w:hAnsi="Arial" w:cs="Arial"/>
          <w:color w:val="000000"/>
          <w:sz w:val="20"/>
        </w:rPr>
        <w:t xml:space="preserve">the </w:t>
      </w:r>
      <w:r w:rsidR="000402B6" w:rsidRPr="006679D2">
        <w:rPr>
          <w:rFonts w:ascii="Arial" w:hAnsi="Arial" w:cs="Arial"/>
          <w:color w:val="000000"/>
          <w:sz w:val="20"/>
        </w:rPr>
        <w:t xml:space="preserve">determination of </w:t>
      </w:r>
      <w:r w:rsidR="00547131" w:rsidRPr="006679D2">
        <w:rPr>
          <w:rFonts w:ascii="Arial" w:hAnsi="Arial" w:cs="Arial"/>
          <w:color w:val="000000"/>
          <w:sz w:val="20"/>
        </w:rPr>
        <w:t xml:space="preserve">whether the child is in need of protection </w:t>
      </w:r>
      <w:r w:rsidR="00A06EBC" w:rsidRPr="006679D2">
        <w:rPr>
          <w:rFonts w:ascii="Arial" w:hAnsi="Arial" w:cs="Arial"/>
          <w:color w:val="000000"/>
          <w:sz w:val="20"/>
        </w:rPr>
        <w:t>and/</w:t>
      </w:r>
      <w:r w:rsidR="00547131" w:rsidRPr="006679D2">
        <w:rPr>
          <w:rFonts w:ascii="Arial" w:hAnsi="Arial" w:cs="Arial"/>
          <w:color w:val="000000"/>
          <w:sz w:val="20"/>
        </w:rPr>
        <w:t xml:space="preserve">or the appropriate </w:t>
      </w:r>
      <w:r w:rsidR="000402B6" w:rsidRPr="006679D2">
        <w:rPr>
          <w:rFonts w:ascii="Arial" w:hAnsi="Arial" w:cs="Arial"/>
          <w:color w:val="000000"/>
          <w:sz w:val="20"/>
        </w:rPr>
        <w:t xml:space="preserve">placement but determination of </w:t>
      </w:r>
      <w:r w:rsidR="00CF6AAD" w:rsidRPr="006679D2">
        <w:rPr>
          <w:rFonts w:ascii="Arial" w:hAnsi="Arial" w:cs="Arial"/>
          <w:color w:val="000000"/>
          <w:sz w:val="20"/>
        </w:rPr>
        <w:t>contact</w:t>
      </w:r>
      <w:r w:rsidR="000402B6" w:rsidRPr="006679D2">
        <w:rPr>
          <w:rFonts w:ascii="Arial" w:hAnsi="Arial" w:cs="Arial"/>
          <w:color w:val="000000"/>
          <w:sz w:val="20"/>
        </w:rPr>
        <w:t xml:space="preserve"> conditions in the event that a child is placed out of parental care.  </w:t>
      </w:r>
      <w:r w:rsidRPr="006679D2">
        <w:rPr>
          <w:rFonts w:ascii="Arial" w:hAnsi="Arial" w:cs="Arial"/>
          <w:color w:val="000000"/>
          <w:sz w:val="20"/>
        </w:rPr>
        <w:t xml:space="preserve">Section 10(3)(k) </w:t>
      </w:r>
      <w:r w:rsidR="00E75912" w:rsidRPr="006679D2">
        <w:rPr>
          <w:rFonts w:ascii="Arial" w:hAnsi="Arial" w:cs="Arial"/>
          <w:color w:val="000000"/>
          <w:sz w:val="20"/>
        </w:rPr>
        <w:t>of the CYPA effectivel</w:t>
      </w:r>
      <w:r w:rsidRPr="006679D2">
        <w:rPr>
          <w:rFonts w:ascii="Arial" w:hAnsi="Arial" w:cs="Arial"/>
          <w:color w:val="000000"/>
          <w:sz w:val="20"/>
        </w:rPr>
        <w:t xml:space="preserve">y provides a child with an inherent right to </w:t>
      </w:r>
      <w:r w:rsidR="00CF6AAD" w:rsidRPr="006679D2">
        <w:rPr>
          <w:rFonts w:ascii="Arial" w:hAnsi="Arial" w:cs="Arial"/>
          <w:color w:val="000000"/>
          <w:sz w:val="20"/>
        </w:rPr>
        <w:t>contact</w:t>
      </w:r>
      <w:r w:rsidRPr="006679D2">
        <w:rPr>
          <w:rFonts w:ascii="Arial" w:hAnsi="Arial" w:cs="Arial"/>
          <w:color w:val="000000"/>
          <w:sz w:val="20"/>
        </w:rPr>
        <w:t xml:space="preserve"> and provides a parent and a sibling with a consequential right, these rights hav</w:t>
      </w:r>
      <w:r w:rsidR="00425E9D" w:rsidRPr="006679D2">
        <w:rPr>
          <w:rFonts w:ascii="Arial" w:hAnsi="Arial" w:cs="Arial"/>
          <w:color w:val="000000"/>
          <w:sz w:val="20"/>
        </w:rPr>
        <w:t>ing</w:t>
      </w:r>
      <w:r w:rsidRPr="006679D2">
        <w:rPr>
          <w:rFonts w:ascii="Arial" w:hAnsi="Arial" w:cs="Arial"/>
          <w:color w:val="000000"/>
          <w:sz w:val="20"/>
        </w:rPr>
        <w:t xml:space="preserve"> been </w:t>
      </w:r>
      <w:r w:rsidR="00425E9D" w:rsidRPr="006679D2">
        <w:rPr>
          <w:rFonts w:ascii="Arial" w:hAnsi="Arial" w:cs="Arial"/>
          <w:color w:val="000000"/>
          <w:sz w:val="20"/>
        </w:rPr>
        <w:t>recognized</w:t>
      </w:r>
      <w:r w:rsidRPr="006679D2">
        <w:rPr>
          <w:rFonts w:ascii="Arial" w:hAnsi="Arial" w:cs="Arial"/>
          <w:color w:val="000000"/>
          <w:sz w:val="20"/>
        </w:rPr>
        <w:t xml:space="preserve"> by the Victorian </w:t>
      </w:r>
      <w:r w:rsidR="00425E9D" w:rsidRPr="006679D2">
        <w:rPr>
          <w:rFonts w:ascii="Arial" w:hAnsi="Arial" w:cs="Arial"/>
          <w:color w:val="000000"/>
          <w:sz w:val="20"/>
        </w:rPr>
        <w:t>parliament</w:t>
      </w:r>
      <w:r w:rsidRPr="006679D2">
        <w:rPr>
          <w:rFonts w:ascii="Arial" w:hAnsi="Arial" w:cs="Arial"/>
          <w:color w:val="000000"/>
          <w:sz w:val="20"/>
        </w:rPr>
        <w:t xml:space="preserve"> in compliance with Australia’s obligations under the </w:t>
      </w:r>
      <w:r w:rsidR="00425E9D" w:rsidRPr="006679D2">
        <w:rPr>
          <w:rFonts w:ascii="Arial" w:hAnsi="Arial" w:cs="Arial"/>
          <w:color w:val="000000"/>
          <w:sz w:val="20"/>
        </w:rPr>
        <w:t xml:space="preserve">United Nations Convention on the Rights of the Child.  Even if expert opinion about the appropriate frequency of </w:t>
      </w:r>
      <w:r w:rsidR="00CF6AAD" w:rsidRPr="006679D2">
        <w:rPr>
          <w:rFonts w:ascii="Arial" w:hAnsi="Arial" w:cs="Arial"/>
          <w:color w:val="000000"/>
          <w:sz w:val="20"/>
        </w:rPr>
        <w:t>contact</w:t>
      </w:r>
      <w:r w:rsidR="00425E9D" w:rsidRPr="006679D2">
        <w:rPr>
          <w:rFonts w:ascii="Arial" w:hAnsi="Arial" w:cs="Arial"/>
          <w:color w:val="000000"/>
          <w:sz w:val="20"/>
        </w:rPr>
        <w:t xml:space="preserve"> between a child and a family member was a non-controversial matter – which it absolutely is not – it is the writer’s strong view that protection of these important rights requires </w:t>
      </w:r>
      <w:r w:rsidR="00E75912" w:rsidRPr="006679D2">
        <w:rPr>
          <w:rFonts w:ascii="Arial" w:hAnsi="Arial" w:cs="Arial"/>
          <w:color w:val="000000"/>
          <w:sz w:val="20"/>
        </w:rPr>
        <w:t>judicial intervention and is manifestly not a matter that should be left for administrative determination.</w:t>
      </w:r>
    </w:p>
    <w:p w14:paraId="7E3E4898" w14:textId="77777777" w:rsidR="00454BD5" w:rsidRDefault="00454BD5" w:rsidP="00A37039">
      <w:pPr>
        <w:jc w:val="both"/>
        <w:rPr>
          <w:rFonts w:ascii="Arial" w:hAnsi="Arial" w:cs="Arial"/>
          <w:sz w:val="20"/>
        </w:rPr>
      </w:pPr>
    </w:p>
    <w:p w14:paraId="3673ED79" w14:textId="77777777" w:rsidR="00FB53EB" w:rsidRDefault="00FB53EB" w:rsidP="00FB53EB">
      <w:pPr>
        <w:pStyle w:val="Heading2"/>
        <w:tabs>
          <w:tab w:val="left" w:pos="567"/>
        </w:tabs>
        <w:spacing w:line="240" w:lineRule="auto"/>
        <w:rPr>
          <w:rFonts w:ascii="Arial" w:hAnsi="Arial" w:cs="Arial"/>
          <w:b/>
          <w:bCs/>
        </w:rPr>
      </w:pPr>
      <w:bookmarkStart w:id="1687" w:name="_4.15_Cumulative_harm"/>
      <w:bookmarkStart w:id="1688" w:name="B415"/>
      <w:bookmarkEnd w:id="1687"/>
      <w:bookmarkEnd w:id="1688"/>
      <w:r>
        <w:rPr>
          <w:rFonts w:ascii="Arial" w:hAnsi="Arial" w:cs="Arial"/>
          <w:b/>
          <w:bCs/>
        </w:rPr>
        <w:lastRenderedPageBreak/>
        <w:t>4.1</w:t>
      </w:r>
      <w:r w:rsidR="00E14F02">
        <w:rPr>
          <w:rFonts w:ascii="Arial" w:hAnsi="Arial" w:cs="Arial"/>
          <w:b/>
          <w:bCs/>
        </w:rPr>
        <w:t>5</w:t>
      </w:r>
      <w:r>
        <w:rPr>
          <w:rFonts w:ascii="Arial" w:hAnsi="Arial" w:cs="Arial"/>
          <w:b/>
          <w:bCs/>
        </w:rPr>
        <w:tab/>
        <w:t>Cumulative harm</w:t>
      </w:r>
    </w:p>
    <w:p w14:paraId="186A1759" w14:textId="77777777" w:rsidR="00FB53EB" w:rsidRDefault="00FB53EB" w:rsidP="00FB53EB">
      <w:pPr>
        <w:rPr>
          <w:rFonts w:ascii="Arial" w:hAnsi="Arial" w:cs="Arial"/>
          <w:sz w:val="16"/>
        </w:rPr>
      </w:pPr>
    </w:p>
    <w:p w14:paraId="390E636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78078D53"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54C5AA7A" w14:textId="77777777" w:rsidR="003216F3" w:rsidRDefault="003216F3" w:rsidP="003216F3">
      <w:pPr>
        <w:jc w:val="both"/>
        <w:rPr>
          <w:rFonts w:ascii="Arial" w:hAnsi="Arial" w:cs="Arial"/>
          <w:sz w:val="20"/>
        </w:rPr>
      </w:pPr>
      <w:r>
        <w:rPr>
          <w:rFonts w:ascii="Arial" w:hAnsi="Arial" w:cs="Arial"/>
          <w:sz w:val="20"/>
        </w:rPr>
        <w:t>(b)</w:t>
      </w:r>
      <w:r>
        <w:rPr>
          <w:rFonts w:ascii="Arial" w:hAnsi="Arial" w:cs="Arial"/>
          <w:sz w:val="20"/>
        </w:rPr>
        <w:tab/>
        <w:t>death or incapacity of parent;</w:t>
      </w:r>
    </w:p>
    <w:p w14:paraId="3E29F7F1"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6B19A86C"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525F2933"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27BC6E02"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02D50C7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424BB427" w14:textId="77777777" w:rsidR="003216F3" w:rsidRDefault="003216F3">
      <w:pPr>
        <w:jc w:val="both"/>
        <w:rPr>
          <w:rFonts w:ascii="Arial" w:hAnsi="Arial" w:cs="Arial"/>
          <w:sz w:val="20"/>
        </w:rPr>
      </w:pPr>
    </w:p>
    <w:p w14:paraId="6D4B193B"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Month" w:val="4"/>
          <w:attr w:name="Day" w:val="23"/>
          <w:attr w:name="Year" w:val="2007"/>
        </w:smartTagPr>
        <w:r>
          <w:rPr>
            <w:rFonts w:ascii="Arial" w:hAnsi="Arial" w:cs="Arial"/>
            <w:sz w:val="20"/>
          </w:rPr>
          <w:t>23/04/2007</w:t>
        </w:r>
      </w:smartTag>
      <w:r>
        <w:rPr>
          <w:rFonts w:ascii="Arial" w:hAnsi="Arial" w:cs="Arial"/>
          <w:sz w:val="20"/>
        </w:rPr>
        <w:t xml:space="preserve">, the concept of “cumulative harm” is </w:t>
      </w:r>
      <w:r w:rsidRPr="00B355F8">
        <w:rPr>
          <w:rFonts w:ascii="Arial" w:hAnsi="Arial" w:cs="Arial"/>
          <w:sz w:val="20"/>
          <w:u w:val="single"/>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7513CDD6" w14:textId="77777777" w:rsidR="00DD66EE" w:rsidRDefault="00DD66EE">
      <w:pPr>
        <w:jc w:val="both"/>
        <w:rPr>
          <w:rFonts w:ascii="Arial" w:hAnsi="Arial" w:cs="Arial"/>
          <w:sz w:val="20"/>
        </w:rPr>
      </w:pPr>
    </w:p>
    <w:p w14:paraId="13CC900B" w14:textId="77777777" w:rsidR="00DD66EE" w:rsidRDefault="00B355F8" w:rsidP="00E75912">
      <w:pPr>
        <w:keepNext/>
        <w:keepLines/>
        <w:jc w:val="both"/>
        <w:rPr>
          <w:rFonts w:ascii="Arial" w:hAnsi="Arial" w:cs="Arial"/>
          <w:sz w:val="20"/>
        </w:rPr>
      </w:pPr>
      <w:r>
        <w:rPr>
          <w:rFonts w:ascii="Arial" w:hAnsi="Arial" w:cs="Arial"/>
          <w:sz w:val="20"/>
        </w:rPr>
        <w:t xml:space="preserve">The Department’s Victorian Risk Framework, which has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 xml:space="preserve">has a section labelled “Pattern and history of harm” which is part of every intake investigation.  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29BEAEDE" w14:textId="77777777" w:rsidR="00DD66EE" w:rsidRDefault="00DD66EE">
      <w:pPr>
        <w:jc w:val="both"/>
        <w:rPr>
          <w:rFonts w:ascii="Arial" w:hAnsi="Arial" w:cs="Arial"/>
          <w:sz w:val="20"/>
        </w:rPr>
      </w:pPr>
    </w:p>
    <w:p w14:paraId="13474F52"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31BABA02" w14:textId="77777777" w:rsidR="00C20A4D" w:rsidRDefault="00C20A4D" w:rsidP="00DD66EE">
      <w:pPr>
        <w:keepNext/>
        <w:keepLines/>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637EA190" w14:textId="77777777" w:rsidR="00B355F8" w:rsidRDefault="00B355F8">
      <w:pPr>
        <w:jc w:val="both"/>
        <w:rPr>
          <w:rFonts w:ascii="Arial" w:hAnsi="Arial" w:cs="Arial"/>
          <w:sz w:val="20"/>
        </w:rPr>
      </w:pPr>
    </w:p>
    <w:p w14:paraId="0C08EC0E"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4D54874A" w14:textId="77777777" w:rsidR="00DD66EE" w:rsidRDefault="00DD66EE" w:rsidP="00DD66EE">
      <w:pPr>
        <w:keepNext/>
        <w:keepLines/>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3ED6F02F" w14:textId="77777777" w:rsidR="00DD66EE" w:rsidRDefault="00DD66EE">
      <w:pPr>
        <w:jc w:val="both"/>
        <w:rPr>
          <w:rFonts w:ascii="Arial" w:hAnsi="Arial" w:cs="Arial"/>
          <w:sz w:val="20"/>
        </w:rPr>
      </w:pPr>
    </w:p>
    <w:p w14:paraId="56C90DCB"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7A2312F6" w14:textId="77777777" w:rsidR="00DD66EE" w:rsidRDefault="00DD66EE">
      <w:pPr>
        <w:jc w:val="both"/>
        <w:rPr>
          <w:rFonts w:ascii="Arial" w:hAnsi="Arial" w:cs="Arial"/>
          <w:sz w:val="20"/>
        </w:rPr>
      </w:pPr>
    </w:p>
    <w:p w14:paraId="2E9B6EFD" w14:textId="77777777" w:rsidR="00DD66EE" w:rsidRDefault="007726E2">
      <w:pPr>
        <w:jc w:val="both"/>
        <w:rPr>
          <w:rFonts w:ascii="Arial" w:hAnsi="Arial" w:cs="Arial"/>
          <w:sz w:val="20"/>
        </w:rPr>
      </w:pPr>
      <w:r>
        <w:rPr>
          <w:rFonts w:ascii="Arial" w:hAnsi="Arial" w:cs="Arial"/>
          <w:sz w:val="20"/>
        </w:rPr>
        <w:t xml:space="preserve">In her interesting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 xml:space="preserve">cumulative harm and provides a conceptual </w:t>
      </w:r>
      <w:r>
        <w:rPr>
          <w:rFonts w:ascii="Arial" w:hAnsi="Arial" w:cs="Arial"/>
          <w:sz w:val="20"/>
        </w:rPr>
        <w:lastRenderedPageBreak/>
        <w:t>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t>explored and a range of relevant paradigms and research is presented under various headings, including:</w:t>
      </w:r>
    </w:p>
    <w:p w14:paraId="1BFDB10F"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Culture</w:t>
      </w:r>
    </w:p>
    <w:p w14:paraId="6E7E5B6C"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The impact of cumulative harm on early brain development</w:t>
      </w:r>
    </w:p>
    <w:p w14:paraId="00862950"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Cumulative harm and childhood trauma</w:t>
      </w:r>
    </w:p>
    <w:p w14:paraId="35EB84E8"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The impact of nurture on nature</w:t>
      </w:r>
    </w:p>
    <w:p w14:paraId="27567D85"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Cumulative harm and neglect</w:t>
      </w:r>
    </w:p>
    <w:p w14:paraId="3C1A0FF6"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The cumulative impact of family violence on development</w:t>
      </w:r>
    </w:p>
    <w:p w14:paraId="4EE3367E"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Early childhood development and cumulative harm</w:t>
      </w:r>
    </w:p>
    <w:p w14:paraId="7DAE6FB6"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Broad practice implications</w:t>
      </w:r>
    </w:p>
    <w:p w14:paraId="2800A78F"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C28D7F7" w14:textId="77777777" w:rsidR="003216F3" w:rsidRDefault="003216F3">
      <w:pPr>
        <w:jc w:val="both"/>
        <w:rPr>
          <w:rFonts w:ascii="Arial" w:hAnsi="Arial" w:cs="Arial"/>
          <w:sz w:val="20"/>
        </w:rPr>
      </w:pPr>
    </w:p>
    <w:p w14:paraId="05F1EF5B" w14:textId="77777777" w:rsidR="00796994" w:rsidRDefault="00796994">
      <w:pPr>
        <w:jc w:val="both"/>
        <w:rPr>
          <w:rFonts w:ascii="Arial" w:hAnsi="Arial" w:cs="Arial"/>
          <w:sz w:val="20"/>
        </w:rPr>
      </w:pPr>
      <w:r>
        <w:rPr>
          <w:rFonts w:ascii="Arial" w:hAnsi="Arial" w:cs="Arial"/>
          <w:sz w:val="20"/>
        </w:rPr>
        <w:t xml:space="preserve">In </w:t>
      </w:r>
      <w:r w:rsidRPr="00796994">
        <w:rPr>
          <w:rFonts w:ascii="Arial" w:hAnsi="Arial" w:cs="Arial"/>
          <w:i/>
          <w:sz w:val="20"/>
        </w:rPr>
        <w:t>DOHS v Mr D &amp; Ms W</w:t>
      </w:r>
      <w:r>
        <w:rPr>
          <w:rFonts w:ascii="Arial" w:hAnsi="Arial" w:cs="Arial"/>
          <w:sz w:val="20"/>
        </w:rPr>
        <w:t xml:space="preserve"> [2009] </w:t>
      </w:r>
      <w:r w:rsidR="00C74768">
        <w:rPr>
          <w:rFonts w:ascii="Arial" w:hAnsi="Arial" w:cs="Arial"/>
          <w:sz w:val="20"/>
        </w:rPr>
        <w:t xml:space="preserve">VChC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2D783A9F"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786DA0F4"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20C49D83" w14:textId="77777777" w:rsidR="00DC7D04" w:rsidRPr="00DC7D04" w:rsidRDefault="00DC7D04" w:rsidP="00DC7D04">
      <w:pPr>
        <w:keepNext/>
        <w:keepLines/>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31DB819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4D07068C"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21930566"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2042DA0C"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3FB3B67B" w14:textId="77777777"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6C6C6865" w14:textId="77777777"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w:t>
      </w:r>
      <w:r w:rsidRPr="00862834">
        <w:rPr>
          <w:rFonts w:ascii="Arial" w:hAnsi="Arial" w:cs="Arial"/>
          <w:sz w:val="20"/>
          <w:szCs w:val="20"/>
        </w:rPr>
        <w:lastRenderedPageBreak/>
        <w:t>psychologically harmed as yet by exposure to life events.  This suggests to me that they are 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Pr>
          <w:rFonts w:ascii="Arial" w:hAnsi="Arial" w:cs="Arial"/>
          <w:i/>
          <w:sz w:val="20"/>
          <w:szCs w:val="20"/>
        </w:rPr>
        <w:t>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15EDD11F" w14:textId="77777777" w:rsidR="00F034D2" w:rsidRDefault="00F034D2" w:rsidP="00F034D2">
      <w:pPr>
        <w:jc w:val="both"/>
        <w:rPr>
          <w:rFonts w:ascii="Arial" w:hAnsi="Arial" w:cs="Arial"/>
          <w:sz w:val="20"/>
        </w:rPr>
      </w:pPr>
    </w:p>
    <w:p w14:paraId="5F7C516D" w14:textId="77777777" w:rsidR="00F034D2" w:rsidRPr="00841D14" w:rsidRDefault="00F034D2" w:rsidP="00F034D2">
      <w:pPr>
        <w:pStyle w:val="Heading2"/>
        <w:tabs>
          <w:tab w:val="left" w:pos="567"/>
        </w:tabs>
        <w:spacing w:line="240" w:lineRule="auto"/>
        <w:rPr>
          <w:rFonts w:ascii="Arial" w:hAnsi="Arial" w:cs="Arial"/>
          <w:b/>
          <w:bCs/>
          <w:color w:val="000000"/>
        </w:rPr>
      </w:pPr>
      <w:bookmarkStart w:id="1689" w:name="_4.16_Effect_on"/>
      <w:bookmarkStart w:id="1690" w:name="B416"/>
      <w:bookmarkEnd w:id="1689"/>
      <w:bookmarkEnd w:id="1690"/>
      <w:r w:rsidRPr="00841D14">
        <w:rPr>
          <w:rFonts w:ascii="Arial" w:hAnsi="Arial" w:cs="Arial"/>
          <w:b/>
          <w:bCs/>
          <w:color w:val="000000"/>
        </w:rPr>
        <w:t>4.16</w:t>
      </w:r>
      <w:r w:rsidRPr="00841D14">
        <w:rPr>
          <w:rFonts w:ascii="Arial" w:hAnsi="Arial" w:cs="Arial"/>
          <w:b/>
          <w:bCs/>
          <w:color w:val="000000"/>
        </w:rPr>
        <w:tab/>
      </w:r>
      <w:r w:rsidR="003F5149" w:rsidRPr="00841D14">
        <w:rPr>
          <w:rFonts w:ascii="Arial" w:hAnsi="Arial" w:cs="Arial"/>
          <w:b/>
          <w:bCs/>
          <w:color w:val="000000"/>
        </w:rPr>
        <w:t>Effect o</w:t>
      </w:r>
      <w:r w:rsidR="006A48FD" w:rsidRPr="00841D14">
        <w:rPr>
          <w:rFonts w:ascii="Arial" w:hAnsi="Arial" w:cs="Arial"/>
          <w:b/>
          <w:bCs/>
          <w:color w:val="000000"/>
        </w:rPr>
        <w:t xml:space="preserve">n child of separation </w:t>
      </w:r>
      <w:r w:rsidR="003F5149" w:rsidRPr="00841D14">
        <w:rPr>
          <w:rFonts w:ascii="Arial" w:hAnsi="Arial" w:cs="Arial"/>
          <w:b/>
          <w:bCs/>
          <w:color w:val="000000"/>
        </w:rPr>
        <w:t>from primary attachment figure</w:t>
      </w:r>
    </w:p>
    <w:p w14:paraId="3F4CA128" w14:textId="77777777" w:rsidR="002E2492" w:rsidRDefault="002E2492" w:rsidP="002E2492">
      <w:pPr>
        <w:rPr>
          <w:rFonts w:ascii="Arial" w:hAnsi="Arial" w:cs="Arial"/>
          <w:sz w:val="20"/>
          <w:szCs w:val="20"/>
        </w:rPr>
      </w:pPr>
    </w:p>
    <w:p w14:paraId="79CF5E35" w14:textId="77777777" w:rsidR="00E50918" w:rsidRPr="00E50918" w:rsidRDefault="00E50918" w:rsidP="00E50918">
      <w:pPr>
        <w:pBdr>
          <w:top w:val="single" w:sz="4" w:space="1" w:color="auto"/>
          <w:left w:val="single" w:sz="4" w:space="4" w:color="auto"/>
          <w:bottom w:val="single" w:sz="4" w:space="1" w:color="auto"/>
          <w:right w:val="single" w:sz="4" w:space="4" w:color="auto"/>
        </w:pBdr>
        <w:jc w:val="center"/>
        <w:rPr>
          <w:rFonts w:ascii="Arial" w:hAnsi="Arial" w:cs="Arial"/>
          <w:sz w:val="18"/>
          <w:szCs w:val="20"/>
        </w:rPr>
      </w:pPr>
      <w:r w:rsidRPr="00E50918">
        <w:rPr>
          <w:rFonts w:ascii="Arial" w:hAnsi="Arial" w:cs="Arial"/>
          <w:sz w:val="18"/>
          <w:szCs w:val="20"/>
        </w:rPr>
        <w:t>Th</w:t>
      </w:r>
      <w:r>
        <w:rPr>
          <w:rFonts w:ascii="Arial" w:hAnsi="Arial" w:cs="Arial"/>
          <w:sz w:val="18"/>
          <w:szCs w:val="20"/>
        </w:rPr>
        <w:t xml:space="preserve">e Court is indebted to </w:t>
      </w:r>
      <w:r w:rsidRPr="00E50918">
        <w:rPr>
          <w:rFonts w:ascii="Arial" w:hAnsi="Arial" w:cs="Arial"/>
          <w:sz w:val="18"/>
          <w:szCs w:val="20"/>
        </w:rPr>
        <w:t xml:space="preserve">psychologists Dr Carmel Fahey and Dr </w:t>
      </w:r>
      <w:r>
        <w:rPr>
          <w:rFonts w:ascii="Arial" w:hAnsi="Arial" w:cs="Arial"/>
          <w:sz w:val="18"/>
          <w:szCs w:val="20"/>
        </w:rPr>
        <w:t xml:space="preserve">Oriella </w:t>
      </w:r>
      <w:r w:rsidRPr="00E50918">
        <w:rPr>
          <w:rFonts w:ascii="Arial" w:hAnsi="Arial" w:cs="Arial"/>
          <w:sz w:val="18"/>
          <w:szCs w:val="20"/>
        </w:rPr>
        <w:t>Ca</w:t>
      </w:r>
      <w:r>
        <w:rPr>
          <w:rFonts w:ascii="Arial" w:hAnsi="Arial" w:cs="Arial"/>
          <w:sz w:val="18"/>
          <w:szCs w:val="20"/>
        </w:rPr>
        <w:t>t</w:t>
      </w:r>
      <w:r w:rsidRPr="00E50918">
        <w:rPr>
          <w:rFonts w:ascii="Arial" w:hAnsi="Arial" w:cs="Arial"/>
          <w:sz w:val="18"/>
          <w:szCs w:val="20"/>
        </w:rPr>
        <w:t xml:space="preserve">tapan </w:t>
      </w:r>
      <w:r>
        <w:rPr>
          <w:rFonts w:ascii="Arial" w:hAnsi="Arial" w:cs="Arial"/>
          <w:sz w:val="18"/>
          <w:szCs w:val="20"/>
        </w:rPr>
        <w:t xml:space="preserve">of the Children’s Court Clinic </w:t>
      </w:r>
      <w:r w:rsidRPr="00AC3492">
        <w:rPr>
          <w:rFonts w:ascii="Arial" w:hAnsi="Arial" w:cs="Arial"/>
          <w:sz w:val="18"/>
        </w:rPr>
        <w:t xml:space="preserve">for </w:t>
      </w:r>
      <w:r>
        <w:rPr>
          <w:rFonts w:ascii="Arial" w:hAnsi="Arial" w:cs="Arial"/>
          <w:sz w:val="18"/>
        </w:rPr>
        <w:t xml:space="preserve">providing much of this material on “separation distress” and </w:t>
      </w:r>
      <w:r w:rsidR="00A3241D">
        <w:rPr>
          <w:rFonts w:ascii="Arial" w:hAnsi="Arial" w:cs="Arial"/>
          <w:sz w:val="18"/>
        </w:rPr>
        <w:t>some</w:t>
      </w:r>
      <w:r>
        <w:rPr>
          <w:rFonts w:ascii="Arial" w:hAnsi="Arial" w:cs="Arial"/>
          <w:sz w:val="18"/>
        </w:rPr>
        <w:t xml:space="preserve"> of the attached bibliography.</w:t>
      </w:r>
    </w:p>
    <w:p w14:paraId="235E1FED" w14:textId="77777777" w:rsidR="00E50918" w:rsidRPr="00F04E13" w:rsidRDefault="00E50918" w:rsidP="002E2492">
      <w:pPr>
        <w:rPr>
          <w:rFonts w:ascii="Arial" w:hAnsi="Arial" w:cs="Arial"/>
          <w:sz w:val="20"/>
          <w:szCs w:val="20"/>
        </w:rPr>
      </w:pPr>
    </w:p>
    <w:p w14:paraId="6CFB868F" w14:textId="77777777" w:rsidR="00AC260C" w:rsidRPr="003A7BC5" w:rsidRDefault="00AC260C" w:rsidP="00AC260C">
      <w:pPr>
        <w:jc w:val="both"/>
        <w:rPr>
          <w:rFonts w:ascii="Arial" w:hAnsi="Arial" w:cs="Arial"/>
          <w:sz w:val="20"/>
          <w:szCs w:val="20"/>
        </w:rPr>
      </w:pP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08661663" w14:textId="77777777" w:rsidR="00AC260C" w:rsidRPr="003A7BC5" w:rsidRDefault="00AC260C" w:rsidP="0077281F">
      <w:pPr>
        <w:jc w:val="both"/>
        <w:rPr>
          <w:rFonts w:ascii="Arial" w:hAnsi="Arial" w:cs="Arial"/>
          <w:sz w:val="20"/>
          <w:szCs w:val="20"/>
        </w:rPr>
      </w:pPr>
    </w:p>
    <w:p w14:paraId="4F757FF2" w14:textId="77777777" w:rsidR="00AC260C" w:rsidRPr="003A7BC5" w:rsidRDefault="00AC260C" w:rsidP="0077281F">
      <w:pPr>
        <w:jc w:val="both"/>
        <w:rPr>
          <w:rFonts w:ascii="Arial" w:hAnsi="Arial" w:cs="Arial"/>
          <w:sz w:val="20"/>
          <w:szCs w:val="20"/>
        </w:rPr>
      </w:pPr>
      <w:r w:rsidRPr="003A7BC5">
        <w:rPr>
          <w:rFonts w:ascii="Arial" w:hAnsi="Arial" w:cs="Arial"/>
          <w:sz w:val="20"/>
          <w:szCs w:val="20"/>
        </w:rPr>
        <w:t xml:space="preserve">Children of all ages are </w:t>
      </w:r>
      <w:r w:rsidR="0077281F" w:rsidRPr="003A7BC5">
        <w:rPr>
          <w:rFonts w:ascii="Arial" w:hAnsi="Arial" w:cs="Arial"/>
          <w:sz w:val="20"/>
          <w:szCs w:val="20"/>
        </w:rPr>
        <w:t xml:space="preserve">potentially </w:t>
      </w:r>
      <w:r w:rsidRPr="003A7BC5">
        <w:rPr>
          <w:rFonts w:ascii="Arial" w:hAnsi="Arial" w:cs="Arial"/>
          <w:sz w:val="20"/>
          <w:szCs w:val="20"/>
        </w:rPr>
        <w:t xml:space="preserve">affected by separation.  It was previously thought that for infants prior to the age of six to nine months, the effect of separation from the mother was less detrimental because the infant had not reached the stage of </w:t>
      </w:r>
      <w:r w:rsidR="0077281F" w:rsidRPr="003A7BC5">
        <w:rPr>
          <w:rFonts w:ascii="Arial" w:hAnsi="Arial" w:cs="Arial"/>
          <w:sz w:val="20"/>
          <w:szCs w:val="20"/>
        </w:rPr>
        <w:t>“</w:t>
      </w:r>
      <w:r w:rsidRPr="003A7BC5">
        <w:rPr>
          <w:rFonts w:ascii="Arial" w:hAnsi="Arial" w:cs="Arial"/>
          <w:sz w:val="20"/>
          <w:szCs w:val="20"/>
        </w:rPr>
        <w:t>object permanence</w:t>
      </w:r>
      <w:r w:rsidR="0077281F" w:rsidRPr="003A7BC5">
        <w:rPr>
          <w:rFonts w:ascii="Arial" w:hAnsi="Arial" w:cs="Arial"/>
          <w:sz w:val="20"/>
          <w:szCs w:val="20"/>
        </w:rPr>
        <w:t>”, a term coined by Piaget to relate to an infant’s capacity to perceive the mother as a separate object.</w:t>
      </w:r>
      <w:r w:rsidRPr="003A7BC5">
        <w:rPr>
          <w:rFonts w:ascii="Arial" w:hAnsi="Arial" w:cs="Arial"/>
          <w:sz w:val="20"/>
          <w:szCs w:val="20"/>
        </w:rPr>
        <w:t xml:space="preserve">  The empirical evidence in relation to the experience of very young infants when separated from the mother (who, it must be remembered, has carried the child through pregnancy) is continuing to emerge through measures of body chemistry</w:t>
      </w:r>
      <w:r w:rsidR="0077281F" w:rsidRPr="003A7BC5">
        <w:rPr>
          <w:rFonts w:ascii="Arial" w:hAnsi="Arial" w:cs="Arial"/>
          <w:sz w:val="20"/>
          <w:szCs w:val="20"/>
        </w:rPr>
        <w:t xml:space="preserve">: see, for example, Goldsmith, D.F., Oppenheim, D. &amp; Wanless, J. (2004) Separation and reunification: Using attachment theory and research to inform decisions affecting the placements of children in foster care.  </w:t>
      </w:r>
      <w:r w:rsidR="0077281F" w:rsidRPr="003A7BC5">
        <w:rPr>
          <w:rFonts w:ascii="Arial" w:hAnsi="Arial" w:cs="Arial"/>
          <w:i/>
          <w:sz w:val="20"/>
          <w:szCs w:val="20"/>
        </w:rPr>
        <w:t>Juvenile and Family Court Journal, 55, 1-14</w:t>
      </w:r>
      <w:r w:rsidR="0077281F" w:rsidRPr="003A7BC5">
        <w:rPr>
          <w:rFonts w:ascii="Arial" w:hAnsi="Arial" w:cs="Arial"/>
          <w:sz w:val="20"/>
          <w:szCs w:val="20"/>
        </w:rPr>
        <w:t xml:space="preserve">.  </w:t>
      </w:r>
      <w:r w:rsidRPr="003A7BC5">
        <w:rPr>
          <w:rFonts w:ascii="Arial" w:hAnsi="Arial" w:cs="Arial"/>
          <w:sz w:val="20"/>
          <w:szCs w:val="20"/>
        </w:rPr>
        <w:t>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through the “Strange Situation”.  Initially the “Strange Situation” involved the child remaining with an unfamiliar therapist while the mother left the room for just three minutes.  It</w:t>
      </w:r>
      <w:r w:rsidR="002D166A" w:rsidRPr="003A7BC5">
        <w:rPr>
          <w:rFonts w:ascii="Arial" w:hAnsi="Arial" w:cs="Arial"/>
          <w:sz w:val="20"/>
          <w:szCs w:val="20"/>
        </w:rPr>
        <w:t> </w:t>
      </w:r>
      <w:r w:rsidRPr="003A7BC5">
        <w:rPr>
          <w:rFonts w:ascii="Arial" w:hAnsi="Arial" w:cs="Arial"/>
          <w:sz w:val="20"/>
          <w:szCs w:val="20"/>
        </w:rPr>
        <w:t>is well</w:t>
      </w:r>
      <w:r w:rsidR="002E2492" w:rsidRPr="003A7BC5">
        <w:rPr>
          <w:rFonts w:ascii="Arial" w:hAnsi="Arial" w:cs="Arial"/>
          <w:sz w:val="20"/>
          <w:szCs w:val="20"/>
        </w:rPr>
        <w:t>-</w:t>
      </w:r>
      <w:r w:rsidRPr="003A7BC5">
        <w:rPr>
          <w:rFonts w:ascii="Arial" w:hAnsi="Arial" w:cs="Arial"/>
          <w:sz w:val="20"/>
          <w:szCs w:val="20"/>
        </w:rPr>
        <w:t>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69BA58A7" w14:textId="77777777" w:rsidR="003F5149" w:rsidRPr="003A7BC5" w:rsidRDefault="003F5149" w:rsidP="003F5149">
      <w:pPr>
        <w:jc w:val="both"/>
        <w:rPr>
          <w:rFonts w:ascii="Arial" w:hAnsi="Arial" w:cs="Arial"/>
          <w:sz w:val="20"/>
          <w:szCs w:val="20"/>
        </w:rPr>
      </w:pPr>
    </w:p>
    <w:p w14:paraId="2CE7F488" w14:textId="77777777" w:rsidR="003F5149" w:rsidRPr="003A7BC5" w:rsidRDefault="003F5149" w:rsidP="003F5149">
      <w:pPr>
        <w:jc w:val="both"/>
        <w:rPr>
          <w:rFonts w:ascii="Arial" w:hAnsi="Arial" w:cs="Arial"/>
          <w:sz w:val="20"/>
          <w:szCs w:val="20"/>
        </w:rPr>
      </w:pPr>
      <w:r w:rsidRPr="003A7BC5">
        <w:rPr>
          <w:rFonts w:ascii="Arial" w:hAnsi="Arial" w:cs="Arial"/>
          <w:sz w:val="20"/>
          <w:szCs w:val="20"/>
        </w:rPr>
        <w:t>In t</w:t>
      </w:r>
      <w:r w:rsidR="00A3241D">
        <w:rPr>
          <w:rFonts w:ascii="Arial" w:hAnsi="Arial" w:cs="Arial"/>
          <w:sz w:val="20"/>
          <w:szCs w:val="20"/>
        </w:rPr>
        <w:t>he recent publication entitled “</w:t>
      </w:r>
      <w:r w:rsidRPr="003A7BC5">
        <w:rPr>
          <w:rFonts w:ascii="Arial" w:hAnsi="Arial" w:cs="Arial"/>
          <w:sz w:val="20"/>
          <w:szCs w:val="20"/>
        </w:rPr>
        <w:t>Healthy Beginnings, He</w:t>
      </w:r>
      <w:r w:rsidR="00A3241D">
        <w:rPr>
          <w:rFonts w:ascii="Arial" w:hAnsi="Arial" w:cs="Arial"/>
          <w:sz w:val="20"/>
          <w:szCs w:val="20"/>
        </w:rPr>
        <w:t>althy Futures – A Judge’s Guide”</w:t>
      </w:r>
      <w:r w:rsidRPr="003A7BC5">
        <w:rPr>
          <w:rFonts w:ascii="Arial" w:hAnsi="Arial" w:cs="Arial"/>
          <w:sz w:val="20"/>
          <w:szCs w:val="20"/>
        </w:rPr>
        <w:t xml:space="preserve"> (discussed in greater detail above in </w:t>
      </w:r>
      <w:r w:rsidR="0030413C" w:rsidRPr="003A7BC5">
        <w:rPr>
          <w:rFonts w:ascii="Arial" w:hAnsi="Arial" w:cs="Arial"/>
          <w:sz w:val="20"/>
          <w:szCs w:val="20"/>
        </w:rPr>
        <w:t xml:space="preserve">the </w:t>
      </w:r>
      <w:r w:rsidRPr="003A7BC5">
        <w:rPr>
          <w:rFonts w:ascii="Arial" w:hAnsi="Arial" w:cs="Arial"/>
          <w:sz w:val="20"/>
          <w:szCs w:val="20"/>
        </w:rPr>
        <w:t>section entitled “American judicial guidelines 2009</w:t>
      </w:r>
      <w:r w:rsidR="00A3241D">
        <w:rPr>
          <w:rFonts w:ascii="Arial" w:hAnsi="Arial" w:cs="Arial"/>
          <w:sz w:val="20"/>
          <w:szCs w:val="20"/>
        </w:rPr>
        <w:t>”</w:t>
      </w:r>
      <w:r w:rsidRPr="003A7BC5">
        <w:rPr>
          <w:rFonts w:ascii="Arial" w:hAnsi="Arial" w:cs="Arial"/>
          <w:sz w:val="20"/>
          <w:szCs w:val="20"/>
        </w:rPr>
        <w:t>) a number of comments are made about the effects of removing children from their parents, including the following opinion:</w:t>
      </w:r>
    </w:p>
    <w:p w14:paraId="599CD487" w14:textId="77777777" w:rsidR="003F5149" w:rsidRPr="003A7BC5" w:rsidRDefault="002D166A" w:rsidP="003F5149">
      <w:pPr>
        <w:spacing w:before="120"/>
        <w:ind w:left="567" w:right="567"/>
        <w:jc w:val="both"/>
        <w:rPr>
          <w:rFonts w:ascii="Arial" w:hAnsi="Arial" w:cs="Arial"/>
          <w:sz w:val="20"/>
          <w:szCs w:val="20"/>
        </w:rPr>
      </w:pPr>
      <w:r w:rsidRPr="003A7BC5">
        <w:rPr>
          <w:rFonts w:ascii="Arial" w:hAnsi="Arial" w:cs="Arial"/>
          <w:sz w:val="20"/>
          <w:szCs w:val="20"/>
        </w:rPr>
        <w:t>“</w:t>
      </w:r>
      <w:r w:rsidR="003F5149" w:rsidRPr="003A7BC5">
        <w:rPr>
          <w:rFonts w:ascii="Arial" w:hAnsi="Arial" w:cs="Arial"/>
          <w:sz w:val="20"/>
          <w:szCs w:val="20"/>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w:t>
      </w:r>
      <w:r w:rsidR="003F5149" w:rsidRPr="003A7BC5">
        <w:rPr>
          <w:rFonts w:ascii="Arial" w:hAnsi="Arial" w:cs="Arial"/>
          <w:sz w:val="20"/>
          <w:szCs w:val="20"/>
        </w:rPr>
        <w:lastRenderedPageBreak/>
        <w:t xml:space="preserve">“Separation and Reunification: Using Attachment Theory and Research to Inform Decisions Affecting the Placements of Children in Foster Care”. </w:t>
      </w:r>
      <w:r w:rsidR="003F5149" w:rsidRPr="003A7BC5">
        <w:rPr>
          <w:rFonts w:ascii="Arial" w:hAnsi="Arial" w:cs="Arial"/>
          <w:i/>
          <w:sz w:val="20"/>
          <w:szCs w:val="20"/>
        </w:rPr>
        <w:t>Juvenile and Family Court Journal</w:t>
      </w:r>
      <w:r w:rsidR="003F5149" w:rsidRPr="003A7BC5">
        <w:rPr>
          <w:rFonts w:ascii="Arial" w:hAnsi="Arial" w:cs="Arial"/>
          <w:sz w:val="20"/>
          <w:szCs w:val="20"/>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3F5149" w:rsidRPr="003A7BC5">
            <w:rPr>
              <w:rFonts w:ascii="Arial" w:hAnsi="Arial" w:cs="Arial"/>
              <w:sz w:val="20"/>
              <w:szCs w:val="20"/>
            </w:rPr>
            <w:t>Academy</w:t>
          </w:r>
        </w:smartTag>
        <w:r w:rsidR="003F5149" w:rsidRPr="003A7BC5">
          <w:rPr>
            <w:rFonts w:ascii="Arial" w:hAnsi="Arial" w:cs="Arial"/>
            <w:sz w:val="20"/>
            <w:szCs w:val="20"/>
          </w:rPr>
          <w:t xml:space="preserve"> of </w:t>
        </w:r>
        <w:smartTag w:uri="urn:schemas-microsoft-com:office:smarttags" w:element="PlaceName">
          <w:r w:rsidR="003F5149" w:rsidRPr="003A7BC5">
            <w:rPr>
              <w:rFonts w:ascii="Arial" w:hAnsi="Arial" w:cs="Arial"/>
              <w:sz w:val="20"/>
              <w:szCs w:val="20"/>
            </w:rPr>
            <w:t>Pediatrics Committee</w:t>
          </w:r>
        </w:smartTag>
      </w:smartTag>
      <w:r w:rsidR="003F5149" w:rsidRPr="003A7BC5">
        <w:rPr>
          <w:rFonts w:ascii="Arial" w:hAnsi="Arial" w:cs="Arial"/>
          <w:sz w:val="20"/>
          <w:szCs w:val="20"/>
        </w:rPr>
        <w:t xml:space="preserve"> on Early Childhood, Adoption and Dependent Care. “Developmental Issues for Young Children in Foster Care.” </w:t>
      </w:r>
      <w:r w:rsidR="003F5149" w:rsidRPr="003A7BC5">
        <w:rPr>
          <w:rFonts w:ascii="Arial" w:hAnsi="Arial" w:cs="Arial"/>
          <w:i/>
          <w:sz w:val="20"/>
          <w:szCs w:val="20"/>
        </w:rPr>
        <w:t>Pediatrics</w:t>
      </w:r>
      <w:r w:rsidR="003F5149" w:rsidRPr="003A7BC5">
        <w:rPr>
          <w:rFonts w:ascii="Arial" w:hAnsi="Arial" w:cs="Arial"/>
          <w:sz w:val="20"/>
          <w:szCs w:val="20"/>
        </w:rPr>
        <w:t xml:space="preserve"> 105(5), 2000, 1146).”</w:t>
      </w:r>
    </w:p>
    <w:p w14:paraId="7092380D" w14:textId="77777777" w:rsidR="00B47D65" w:rsidRPr="003A7BC5" w:rsidRDefault="00B47D65" w:rsidP="003F5149">
      <w:pPr>
        <w:jc w:val="both"/>
        <w:rPr>
          <w:rFonts w:ascii="Arial" w:hAnsi="Arial" w:cs="Arial"/>
          <w:sz w:val="20"/>
          <w:szCs w:val="20"/>
        </w:rPr>
      </w:pPr>
    </w:p>
    <w:p w14:paraId="347D31FA" w14:textId="77777777" w:rsidR="00B8277B" w:rsidRPr="003A7BC5" w:rsidRDefault="00B8277B" w:rsidP="003F5149">
      <w:pPr>
        <w:jc w:val="both"/>
        <w:rPr>
          <w:rFonts w:ascii="Arial" w:hAnsi="Arial" w:cs="Arial"/>
          <w:sz w:val="20"/>
          <w:szCs w:val="20"/>
        </w:rPr>
      </w:pPr>
      <w:r w:rsidRPr="003A7BC5">
        <w:rPr>
          <w:rFonts w:ascii="Arial" w:hAnsi="Arial" w:cs="Arial"/>
          <w:sz w:val="20"/>
          <w:szCs w:val="20"/>
        </w:rPr>
        <w:t xml:space="preserve">There is </w:t>
      </w:r>
      <w:r w:rsidR="002D166A" w:rsidRPr="003A7BC5">
        <w:rPr>
          <w:rFonts w:ascii="Arial" w:hAnsi="Arial" w:cs="Arial"/>
          <w:sz w:val="20"/>
          <w:szCs w:val="20"/>
        </w:rPr>
        <w:t xml:space="preserve">now </w:t>
      </w:r>
      <w:r w:rsidRPr="003A7BC5">
        <w:rPr>
          <w:rFonts w:ascii="Arial" w:hAnsi="Arial" w:cs="Arial"/>
          <w:sz w:val="20"/>
          <w:szCs w:val="20"/>
        </w:rPr>
        <w:t xml:space="preserve">an abundance of literature over </w:t>
      </w:r>
      <w:r w:rsidR="002D166A" w:rsidRPr="003A7BC5">
        <w:rPr>
          <w:rFonts w:ascii="Arial" w:hAnsi="Arial" w:cs="Arial"/>
          <w:sz w:val="20"/>
          <w:szCs w:val="20"/>
        </w:rPr>
        <w:t xml:space="preserve">four </w:t>
      </w:r>
      <w:r w:rsidRPr="003A7BC5">
        <w:rPr>
          <w:rFonts w:ascii="Arial" w:hAnsi="Arial" w:cs="Arial"/>
          <w:sz w:val="20"/>
          <w:szCs w:val="20"/>
        </w:rPr>
        <w:t xml:space="preserve">decades that describes the psychological impact on a child of separation from his or her primary attachment figure.  A bibliography together with </w:t>
      </w:r>
      <w:r w:rsidR="00E50918">
        <w:rPr>
          <w:rFonts w:ascii="Arial" w:hAnsi="Arial" w:cs="Arial"/>
          <w:sz w:val="20"/>
          <w:szCs w:val="20"/>
        </w:rPr>
        <w:t xml:space="preserve">extracts from and comments on </w:t>
      </w:r>
      <w:r w:rsidR="002D166A" w:rsidRPr="003A7BC5">
        <w:rPr>
          <w:rFonts w:ascii="Arial" w:hAnsi="Arial" w:cs="Arial"/>
          <w:sz w:val="20"/>
          <w:szCs w:val="20"/>
        </w:rPr>
        <w:t xml:space="preserve">cited literature with </w:t>
      </w:r>
      <w:r w:rsidRPr="003A7BC5">
        <w:rPr>
          <w:rFonts w:ascii="Arial" w:hAnsi="Arial" w:cs="Arial"/>
          <w:sz w:val="20"/>
          <w:szCs w:val="20"/>
        </w:rPr>
        <w:t>particular relevance to the psychological impact of such separation follows.</w:t>
      </w:r>
    </w:p>
    <w:p w14:paraId="41F302FC" w14:textId="77777777" w:rsidR="00B8277B" w:rsidRPr="003A7BC5" w:rsidRDefault="00B8277B" w:rsidP="00B8277B">
      <w:pPr>
        <w:spacing w:before="120"/>
        <w:jc w:val="both"/>
        <w:rPr>
          <w:rFonts w:ascii="Arial" w:hAnsi="Arial" w:cs="Arial"/>
          <w:sz w:val="20"/>
          <w:szCs w:val="20"/>
        </w:rPr>
      </w:pPr>
    </w:p>
    <w:p w14:paraId="22C65C1C" w14:textId="77777777" w:rsidR="00AC260C" w:rsidRPr="00AC260C" w:rsidRDefault="00B8277B" w:rsidP="00B8277B">
      <w:pPr>
        <w:jc w:val="center"/>
        <w:rPr>
          <w:rFonts w:ascii="Arial" w:hAnsi="Arial" w:cs="Arial"/>
          <w:b/>
          <w:i/>
          <w:sz w:val="20"/>
          <w:szCs w:val="20"/>
        </w:rPr>
      </w:pPr>
      <w:r>
        <w:rPr>
          <w:rFonts w:ascii="Arial" w:hAnsi="Arial" w:cs="Arial"/>
          <w:b/>
          <w:i/>
          <w:sz w:val="20"/>
          <w:szCs w:val="20"/>
        </w:rPr>
        <w:t>Bibliography</w:t>
      </w:r>
    </w:p>
    <w:p w14:paraId="2EC85A7E" w14:textId="77777777" w:rsidR="00AC260C" w:rsidRPr="00AC260C" w:rsidRDefault="00AC260C" w:rsidP="00AC260C">
      <w:pPr>
        <w:rPr>
          <w:rFonts w:ascii="Arial" w:hAnsi="Arial" w:cs="Arial"/>
          <w:sz w:val="20"/>
          <w:szCs w:val="20"/>
        </w:rPr>
      </w:pPr>
    </w:p>
    <w:p w14:paraId="57444FB7"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Agrawal, H.R., Gunderson, J., Holmes, B.M., &amp; Lyons-Ruth, K. (2004) Attachment studies with borderline patients: A review.  </w:t>
      </w:r>
      <w:r w:rsidRPr="00AC260C">
        <w:rPr>
          <w:rFonts w:ascii="Arial" w:hAnsi="Arial" w:cs="Arial"/>
          <w:i/>
          <w:sz w:val="20"/>
          <w:szCs w:val="20"/>
        </w:rPr>
        <w:t>Harvard Review of Psychiatry, 12,</w:t>
      </w:r>
      <w:r w:rsidRPr="00AC260C">
        <w:rPr>
          <w:rFonts w:ascii="Arial" w:hAnsi="Arial" w:cs="Arial"/>
          <w:sz w:val="20"/>
          <w:szCs w:val="20"/>
        </w:rPr>
        <w:t xml:space="preserve"> 94-104.</w:t>
      </w:r>
    </w:p>
    <w:p w14:paraId="72B3054E" w14:textId="77777777" w:rsidR="00AC260C" w:rsidRPr="00AC260C" w:rsidRDefault="00AC260C" w:rsidP="00AC260C">
      <w:pPr>
        <w:ind w:left="720" w:hanging="720"/>
        <w:jc w:val="both"/>
        <w:rPr>
          <w:rFonts w:ascii="Arial" w:hAnsi="Arial" w:cs="Arial"/>
          <w:sz w:val="20"/>
          <w:szCs w:val="20"/>
        </w:rPr>
      </w:pPr>
    </w:p>
    <w:p w14:paraId="58DF7BC5"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Ainsworth, M.D.S., Blehar, M.C., Waters, E. &amp; Wall, S. (1978) </w:t>
      </w:r>
      <w:r w:rsidRPr="00AC260C">
        <w:rPr>
          <w:rFonts w:ascii="Arial" w:hAnsi="Arial" w:cs="Arial"/>
          <w:i/>
          <w:sz w:val="20"/>
          <w:szCs w:val="20"/>
        </w:rPr>
        <w:t>Patterns of Attachment: A psychological study of the Strange Situation</w:t>
      </w:r>
      <w:r w:rsidRPr="00AC260C">
        <w:rPr>
          <w:rFonts w:ascii="Arial" w:hAnsi="Arial" w:cs="Arial"/>
          <w:sz w:val="20"/>
          <w:szCs w:val="20"/>
        </w:rPr>
        <w:t xml:space="preserve">.  Erlbaum, </w:t>
      </w:r>
      <w:smartTag w:uri="urn:schemas-microsoft-com:office:smarttags" w:element="place">
        <w:smartTag w:uri="urn:schemas-microsoft-com:office:smarttags" w:element="City">
          <w:r w:rsidRPr="00AC260C">
            <w:rPr>
              <w:rFonts w:ascii="Arial" w:hAnsi="Arial" w:cs="Arial"/>
              <w:sz w:val="20"/>
              <w:szCs w:val="20"/>
            </w:rPr>
            <w:t>Hillsdale</w:t>
          </w:r>
        </w:smartTag>
        <w:r w:rsidRPr="00AC260C">
          <w:rPr>
            <w:rFonts w:ascii="Arial" w:hAnsi="Arial" w:cs="Arial"/>
            <w:sz w:val="20"/>
            <w:szCs w:val="20"/>
          </w:rPr>
          <w:t xml:space="preserve">, </w:t>
        </w:r>
        <w:smartTag w:uri="urn:schemas-microsoft-com:office:smarttags" w:element="State">
          <w:r w:rsidRPr="00AC260C">
            <w:rPr>
              <w:rFonts w:ascii="Arial" w:hAnsi="Arial" w:cs="Arial"/>
              <w:sz w:val="20"/>
              <w:szCs w:val="20"/>
            </w:rPr>
            <w:t>NJ</w:t>
          </w:r>
        </w:smartTag>
      </w:smartTag>
      <w:r w:rsidRPr="00AC260C">
        <w:rPr>
          <w:rFonts w:ascii="Arial" w:hAnsi="Arial" w:cs="Arial"/>
          <w:sz w:val="20"/>
          <w:szCs w:val="20"/>
        </w:rPr>
        <w:t>.</w:t>
      </w:r>
    </w:p>
    <w:p w14:paraId="109C06EA" w14:textId="77777777" w:rsidR="00AC260C" w:rsidRPr="00AC260C" w:rsidRDefault="00AC260C" w:rsidP="00AC260C">
      <w:pPr>
        <w:ind w:left="720" w:hanging="720"/>
        <w:jc w:val="both"/>
        <w:rPr>
          <w:rFonts w:ascii="Arial" w:hAnsi="Arial" w:cs="Arial"/>
          <w:sz w:val="20"/>
          <w:szCs w:val="20"/>
        </w:rPr>
      </w:pPr>
    </w:p>
    <w:p w14:paraId="4CC20A63"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Bartholomew, K., Kwong, M.J., &amp; Hart, S.D., (2001) Attachment.  In W.J. Livesley (Ed.) </w:t>
      </w:r>
      <w:r w:rsidRPr="00AC260C">
        <w:rPr>
          <w:rFonts w:ascii="Arial" w:hAnsi="Arial" w:cs="Arial"/>
          <w:i/>
          <w:sz w:val="20"/>
          <w:szCs w:val="20"/>
        </w:rPr>
        <w:t>Handbook of personality disorders</w:t>
      </w:r>
      <w:r w:rsidRPr="00AC260C">
        <w:rPr>
          <w:rFonts w:ascii="Arial" w:hAnsi="Arial" w:cs="Arial"/>
          <w:sz w:val="20"/>
          <w:szCs w:val="20"/>
        </w:rPr>
        <w:t xml:space="preserve"> (pp.196-230).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w:t>
      </w:r>
    </w:p>
    <w:p w14:paraId="4B154777" w14:textId="77777777" w:rsidR="00AC260C" w:rsidRPr="00AC260C" w:rsidRDefault="00AC260C" w:rsidP="00AC260C">
      <w:pPr>
        <w:jc w:val="both"/>
        <w:rPr>
          <w:rFonts w:ascii="Arial" w:hAnsi="Arial" w:cs="Arial"/>
          <w:sz w:val="20"/>
          <w:szCs w:val="20"/>
        </w:rPr>
      </w:pPr>
    </w:p>
    <w:p w14:paraId="0A636F5C"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(1969).  </w:t>
      </w:r>
      <w:r w:rsidRPr="00AC260C">
        <w:rPr>
          <w:rFonts w:ascii="Arial" w:hAnsi="Arial" w:cs="Arial"/>
          <w:i/>
          <w:sz w:val="20"/>
          <w:szCs w:val="20"/>
        </w:rPr>
        <w:t>Attachment and loss: Vol.1 Attachment.</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23B3C8B5" w14:textId="77777777" w:rsidR="00AC260C" w:rsidRPr="00AC260C" w:rsidRDefault="00AC260C" w:rsidP="00AC260C">
      <w:pPr>
        <w:ind w:left="720" w:hanging="720"/>
        <w:jc w:val="both"/>
        <w:rPr>
          <w:rFonts w:ascii="Arial" w:hAnsi="Arial" w:cs="Arial"/>
          <w:sz w:val="20"/>
          <w:szCs w:val="20"/>
        </w:rPr>
      </w:pPr>
    </w:p>
    <w:p w14:paraId="432788A4"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(1973).  </w:t>
      </w:r>
      <w:r w:rsidRPr="00AC260C">
        <w:rPr>
          <w:rFonts w:ascii="Arial" w:hAnsi="Arial" w:cs="Arial"/>
          <w:i/>
          <w:sz w:val="20"/>
          <w:szCs w:val="20"/>
        </w:rPr>
        <w:t>Attachment and loss: Vol.2 Separation.</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5EB1E0F4" w14:textId="77777777" w:rsidR="00AC260C" w:rsidRPr="00AC260C" w:rsidRDefault="00AC260C" w:rsidP="00AC260C">
      <w:pPr>
        <w:ind w:left="720" w:hanging="720"/>
        <w:jc w:val="both"/>
        <w:rPr>
          <w:rFonts w:ascii="Arial" w:hAnsi="Arial" w:cs="Arial"/>
          <w:sz w:val="20"/>
          <w:szCs w:val="20"/>
        </w:rPr>
      </w:pPr>
    </w:p>
    <w:p w14:paraId="690FE7A0"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(1980).  </w:t>
      </w:r>
      <w:r w:rsidRPr="00AC260C">
        <w:rPr>
          <w:rFonts w:ascii="Arial" w:hAnsi="Arial" w:cs="Arial"/>
          <w:i/>
          <w:sz w:val="20"/>
          <w:szCs w:val="20"/>
        </w:rPr>
        <w:t>Attachment and loss: Vol.3 Loss, sadness and depression.</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2235D00D" w14:textId="77777777" w:rsidR="00AC260C" w:rsidRPr="00AC260C" w:rsidRDefault="00AC260C" w:rsidP="00AC260C">
      <w:pPr>
        <w:jc w:val="both"/>
        <w:rPr>
          <w:rFonts w:ascii="Arial" w:hAnsi="Arial" w:cs="Arial"/>
          <w:sz w:val="20"/>
          <w:szCs w:val="20"/>
        </w:rPr>
      </w:pPr>
    </w:p>
    <w:p w14:paraId="057B3DEB"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Brennan, K.A., &amp; Shaver, P.R. (1998) Attachment styles and personality disorders: Their connection to each other and parental divorce, parental death, and perception of parental caregiving.  </w:t>
      </w:r>
      <w:r w:rsidRPr="00AC260C">
        <w:rPr>
          <w:rFonts w:ascii="Arial" w:hAnsi="Arial" w:cs="Arial"/>
          <w:i/>
          <w:sz w:val="20"/>
          <w:szCs w:val="20"/>
        </w:rPr>
        <w:t>Journal of Personality, 66,</w:t>
      </w:r>
      <w:r w:rsidRPr="00AC260C">
        <w:rPr>
          <w:rFonts w:ascii="Arial" w:hAnsi="Arial" w:cs="Arial"/>
          <w:sz w:val="20"/>
          <w:szCs w:val="20"/>
        </w:rPr>
        <w:t xml:space="preserve"> 835-878.</w:t>
      </w:r>
    </w:p>
    <w:p w14:paraId="640326E0" w14:textId="77777777" w:rsidR="00AC260C" w:rsidRPr="00AC260C" w:rsidRDefault="00AC260C" w:rsidP="00AC260C">
      <w:pPr>
        <w:jc w:val="both"/>
        <w:rPr>
          <w:rFonts w:ascii="Arial" w:hAnsi="Arial" w:cs="Arial"/>
          <w:sz w:val="20"/>
          <w:szCs w:val="20"/>
        </w:rPr>
      </w:pPr>
    </w:p>
    <w:p w14:paraId="67F75CA7"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Browne, D. &amp; Moloney, A. (2002). ‘Contact irregular’: A qualitative analysis of the impact of visiting patterns of natural parents on foster placements. </w:t>
      </w:r>
      <w:r w:rsidRPr="00AC260C">
        <w:rPr>
          <w:rFonts w:ascii="Arial" w:hAnsi="Arial" w:cs="Arial"/>
          <w:i/>
          <w:sz w:val="20"/>
          <w:szCs w:val="20"/>
        </w:rPr>
        <w:t xml:space="preserve">Child and Family Social Work, 7, </w:t>
      </w:r>
      <w:r w:rsidRPr="00AC260C">
        <w:rPr>
          <w:rFonts w:ascii="Arial" w:hAnsi="Arial" w:cs="Arial"/>
          <w:sz w:val="20"/>
          <w:szCs w:val="20"/>
        </w:rPr>
        <w:t>35-45.</w:t>
      </w:r>
    </w:p>
    <w:p w14:paraId="17AA677C" w14:textId="77777777" w:rsidR="00AC260C" w:rsidRPr="00AC260C" w:rsidRDefault="00AC260C" w:rsidP="00AC260C">
      <w:pPr>
        <w:ind w:left="720" w:hanging="720"/>
        <w:jc w:val="both"/>
        <w:rPr>
          <w:rFonts w:ascii="Arial" w:hAnsi="Arial" w:cs="Arial"/>
          <w:sz w:val="20"/>
          <w:szCs w:val="20"/>
        </w:rPr>
      </w:pPr>
    </w:p>
    <w:p w14:paraId="7F50BA56"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lang w:val="de-DE"/>
        </w:rPr>
        <w:t xml:space="preserve">Crawford, T.N., Cohen, P.R., Chen, H. Anglin, D., &amp; Ehrensaft, M. (2009). </w:t>
      </w:r>
      <w:r w:rsidRPr="00AC260C">
        <w:rPr>
          <w:rFonts w:ascii="Arial" w:hAnsi="Arial" w:cs="Arial"/>
          <w:sz w:val="20"/>
          <w:szCs w:val="20"/>
        </w:rPr>
        <w:t xml:space="preserve">Early maternal separation and the trajectory of borderline personality disorder symptoms. </w:t>
      </w:r>
      <w:r w:rsidRPr="00AC260C">
        <w:rPr>
          <w:rFonts w:ascii="Arial" w:hAnsi="Arial" w:cs="Arial"/>
          <w:i/>
          <w:sz w:val="20"/>
          <w:szCs w:val="20"/>
        </w:rPr>
        <w:t xml:space="preserve">Development and Psychopathology, 21, </w:t>
      </w:r>
      <w:r w:rsidRPr="00AC260C">
        <w:rPr>
          <w:rFonts w:ascii="Arial" w:hAnsi="Arial" w:cs="Arial"/>
          <w:sz w:val="20"/>
          <w:szCs w:val="20"/>
        </w:rPr>
        <w:t>1013 -1030.</w:t>
      </w:r>
    </w:p>
    <w:p w14:paraId="57098195" w14:textId="77777777" w:rsidR="00AC260C" w:rsidRPr="00AC260C" w:rsidRDefault="00AC260C"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“Bowlby (1969, 1973, 1980) identified early separations as significant threats to emotional development while working in a paediatric hospital during World War II.  He observed how infants were severely traumatised when separated from mother, first calling out frantically and then eventually falling into long periods of despair.  Bowlby hypothesized that extended separations undermine the emotional security infants or toddlers normally experience when they are closely attached to primary caregivers.  Young children rely heavily on caregivers to be available, sensitive, and responsive to their needs, especially insofar as their own coping resources are developmentally immature.  As such, separations from a parent are not just alarming in early childhood; that distress is compounded when infants and toddlers have limited ability to modulate potentially overwhelming emotions on their own.  Subsequent research confirmed that childhood separations are associated with lasting attachment insecurity (Moss, Cyr, Bureau, Tarabulsy &amp; Dubois-Comtois, 2005; Waters, Merrick, Treboux, Cromwell &amp; Albersheim 2000).  The link between insecure attachment and early separation is important, in turn, because insecure attachment is strongly associated with a wide range of psychopathology in young children, adolescents, and adults (see Milkulincer &amp; Shaver, 2007, for a review).” [p.1014]</w:t>
      </w:r>
    </w:p>
    <w:p w14:paraId="22BD1336" w14:textId="77777777" w:rsidR="00AC260C" w:rsidRPr="00AC260C" w:rsidRDefault="00AC260C"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lastRenderedPageBreak/>
        <w:t xml:space="preserve">“Insecure attachment plays an especially salient role in borderline personality disorder [BPD] (Agrawal </w:t>
      </w:r>
      <w:r w:rsidRPr="00AC260C">
        <w:rPr>
          <w:rFonts w:ascii="Arial" w:hAnsi="Arial" w:cs="Arial"/>
          <w:i/>
          <w:sz w:val="20"/>
          <w:szCs w:val="20"/>
        </w:rPr>
        <w:t>et al.</w:t>
      </w:r>
      <w:r w:rsidRPr="00AC260C">
        <w:rPr>
          <w:rFonts w:ascii="Arial" w:hAnsi="Arial" w:cs="Arial"/>
          <w:sz w:val="20"/>
          <w:szCs w:val="20"/>
        </w:rPr>
        <w:t>, 2004; Bartholomew, Kwong &amp; Hart, 2001).  As detailed in a recent interview (Levy, 2005), there is a robust link between BPD diagnoses and insecurely attached adults identified with the identified with the Adult Attachment Interview (AAI: George, Kaplan &amp; Main, 1985), which elicits thoughts, feelings and memories about childhood attachment experiences with caregivers.  BPD is also robustly associated with a different domain of attachment insecurity measured with self-report questionnaires assessing close relationships between adolescents or adults (Brennan &amp; Shaver, 1998).  However attachment insecurity is conceptualized or measured, it is closely linked with BPD and may even mediate associations between extended separations in childhood and subsequent personality disorder in adults.  Attachment insecurity in adolescence and early adulthood also could maintain BPD symptoms at elevated levels during development when these symptoms normally subside.” [p.1014]</w:t>
      </w:r>
    </w:p>
    <w:p w14:paraId="4A96CF8A" w14:textId="77777777" w:rsidR="00AC260C" w:rsidRPr="00AC260C" w:rsidRDefault="00AC260C" w:rsidP="00AC260C">
      <w:pPr>
        <w:ind w:left="720" w:hanging="720"/>
        <w:rPr>
          <w:rFonts w:ascii="Arial" w:hAnsi="Arial" w:cs="Arial"/>
          <w:i/>
          <w:sz w:val="20"/>
          <w:szCs w:val="20"/>
        </w:rPr>
      </w:pPr>
    </w:p>
    <w:p w14:paraId="16A4C192"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Eagle, R.S. (1990). Denial of access: Past, present, and future. </w:t>
      </w:r>
      <w:r w:rsidRPr="00AC260C">
        <w:rPr>
          <w:rFonts w:ascii="Arial" w:hAnsi="Arial" w:cs="Arial"/>
          <w:i/>
          <w:sz w:val="20"/>
          <w:szCs w:val="20"/>
        </w:rPr>
        <w:t>Canadian Psychology, 31 (2), 121-131.</w:t>
      </w:r>
    </w:p>
    <w:p w14:paraId="49A2A8BF" w14:textId="77777777" w:rsidR="00AC260C" w:rsidRPr="00AC260C" w:rsidRDefault="00AC260C" w:rsidP="00AC260C">
      <w:pPr>
        <w:ind w:left="720" w:hanging="720"/>
        <w:jc w:val="both"/>
        <w:rPr>
          <w:rFonts w:ascii="Arial" w:hAnsi="Arial" w:cs="Arial"/>
          <w:i/>
          <w:sz w:val="20"/>
          <w:szCs w:val="20"/>
        </w:rPr>
      </w:pPr>
    </w:p>
    <w:p w14:paraId="003095C3"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Eagle, R.S. (1994). The separation experience of children in long-term care: Theory, research, and implications for practice. </w:t>
      </w:r>
      <w:r w:rsidRPr="00AC260C">
        <w:rPr>
          <w:rFonts w:ascii="Arial" w:hAnsi="Arial" w:cs="Arial"/>
          <w:i/>
          <w:sz w:val="20"/>
          <w:szCs w:val="20"/>
        </w:rPr>
        <w:t xml:space="preserve">American Journal of Orthopsychiatry, 64 (3), </w:t>
      </w:r>
      <w:r w:rsidRPr="00AC260C">
        <w:rPr>
          <w:rFonts w:ascii="Arial" w:hAnsi="Arial" w:cs="Arial"/>
          <w:sz w:val="20"/>
          <w:szCs w:val="20"/>
        </w:rPr>
        <w:t>421-434.</w:t>
      </w:r>
      <w:r w:rsidRPr="00AC260C">
        <w:rPr>
          <w:rFonts w:ascii="Arial" w:hAnsi="Arial" w:cs="Arial"/>
          <w:i/>
          <w:sz w:val="20"/>
          <w:szCs w:val="20"/>
        </w:rPr>
        <w:t xml:space="preserve"> </w:t>
      </w:r>
    </w:p>
    <w:p w14:paraId="62EDFC4E" w14:textId="77777777" w:rsidR="00AC260C" w:rsidRPr="00AC260C" w:rsidRDefault="00AC260C"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“Young toddlers may react strongly to the mother’s absence because they experience it not as a finite separation, but as interminable abandonment (i.e., complete loss) and are at an age when children cannot sustain themselves without attachment.  The very young child’s distress at such separation would therefore reflect the intensity and magnitude of dependency upon the mother as well as a developmentally determined lack of understanding that separation is not loss.  (Bowlby claimed that older toddlers may also protest in an effort to prevent this loss, and their anger may express their frustration when this effort to keep or regain the person who is leaving has been unsuccessful.)” [p.428]</w:t>
      </w:r>
    </w:p>
    <w:p w14:paraId="5EF52B74" w14:textId="77777777" w:rsidR="00AC260C" w:rsidRPr="00AC260C" w:rsidRDefault="00AC260C" w:rsidP="00AC260C">
      <w:pPr>
        <w:ind w:left="720" w:hanging="720"/>
        <w:rPr>
          <w:rFonts w:ascii="Arial" w:hAnsi="Arial" w:cs="Arial"/>
          <w:i/>
          <w:sz w:val="20"/>
          <w:szCs w:val="20"/>
        </w:rPr>
      </w:pPr>
    </w:p>
    <w:p w14:paraId="7E90F7AC"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George, C., Kaplan, N., &amp; Main, M. (1985)</w:t>
      </w:r>
      <w:r w:rsidRPr="00AC260C">
        <w:rPr>
          <w:rFonts w:ascii="Arial" w:hAnsi="Arial" w:cs="Arial"/>
          <w:i/>
          <w:sz w:val="20"/>
          <w:szCs w:val="20"/>
        </w:rPr>
        <w:t xml:space="preserve"> The </w:t>
      </w:r>
      <w:smartTag w:uri="urn:schemas-microsoft-com:office:smarttags" w:element="City">
        <w:smartTag w:uri="urn:schemas-microsoft-com:office:smarttags" w:element="place">
          <w:r w:rsidRPr="00AC260C">
            <w:rPr>
              <w:rFonts w:ascii="Arial" w:hAnsi="Arial" w:cs="Arial"/>
              <w:i/>
              <w:sz w:val="20"/>
              <w:szCs w:val="20"/>
            </w:rPr>
            <w:t>Berkeley</w:t>
          </w:r>
        </w:smartTag>
      </w:smartTag>
      <w:r w:rsidRPr="00AC260C">
        <w:rPr>
          <w:rFonts w:ascii="Arial" w:hAnsi="Arial" w:cs="Arial"/>
          <w:i/>
          <w:sz w:val="20"/>
          <w:szCs w:val="20"/>
        </w:rPr>
        <w:t xml:space="preserve"> Adult Attachment Interview</w:t>
      </w:r>
      <w:r w:rsidRPr="00AC260C">
        <w:rPr>
          <w:rFonts w:ascii="Arial" w:hAnsi="Arial" w:cs="Arial"/>
          <w:sz w:val="20"/>
          <w:szCs w:val="20"/>
        </w:rPr>
        <w:t xml:space="preserve">.  Unpublished manuscript, </w:t>
      </w:r>
      <w:smartTag w:uri="urn:schemas-microsoft-com:office:smarttags" w:element="PlaceType">
        <w:r w:rsidRPr="00AC260C">
          <w:rPr>
            <w:rFonts w:ascii="Arial" w:hAnsi="Arial" w:cs="Arial"/>
            <w:sz w:val="20"/>
            <w:szCs w:val="20"/>
          </w:rPr>
          <w:t>University</w:t>
        </w:r>
      </w:smartTag>
      <w:r w:rsidRPr="00AC260C">
        <w:rPr>
          <w:rFonts w:ascii="Arial" w:hAnsi="Arial" w:cs="Arial"/>
          <w:sz w:val="20"/>
          <w:szCs w:val="20"/>
        </w:rPr>
        <w:t xml:space="preserve"> of </w:t>
      </w:r>
      <w:smartTag w:uri="urn:schemas-microsoft-com:office:smarttags" w:element="PlaceName">
        <w:r w:rsidRPr="00AC260C">
          <w:rPr>
            <w:rFonts w:ascii="Arial" w:hAnsi="Arial" w:cs="Arial"/>
            <w:sz w:val="20"/>
            <w:szCs w:val="20"/>
          </w:rPr>
          <w:t>California</w:t>
        </w:r>
      </w:smartTag>
      <w:r w:rsidRPr="00AC260C">
        <w:rPr>
          <w:rFonts w:ascii="Arial" w:hAnsi="Arial" w:cs="Arial"/>
          <w:sz w:val="20"/>
          <w:szCs w:val="20"/>
        </w:rPr>
        <w:t xml:space="preserve">, </w:t>
      </w:r>
      <w:smartTag w:uri="urn:schemas-microsoft-com:office:smarttags" w:element="City">
        <w:smartTag w:uri="urn:schemas-microsoft-com:office:smarttags" w:element="place">
          <w:r w:rsidRPr="00AC260C">
            <w:rPr>
              <w:rFonts w:ascii="Arial" w:hAnsi="Arial" w:cs="Arial"/>
              <w:sz w:val="20"/>
              <w:szCs w:val="20"/>
            </w:rPr>
            <w:t>Berkeley</w:t>
          </w:r>
        </w:smartTag>
      </w:smartTag>
      <w:r w:rsidRPr="00AC260C">
        <w:rPr>
          <w:rFonts w:ascii="Arial" w:hAnsi="Arial" w:cs="Arial"/>
          <w:sz w:val="20"/>
          <w:szCs w:val="20"/>
        </w:rPr>
        <w:t>.</w:t>
      </w:r>
    </w:p>
    <w:p w14:paraId="1A7A8F54" w14:textId="77777777" w:rsidR="00AC260C" w:rsidRPr="00AC260C" w:rsidRDefault="00AC260C" w:rsidP="00AC260C">
      <w:pPr>
        <w:ind w:left="720" w:hanging="720"/>
        <w:rPr>
          <w:rFonts w:ascii="Arial" w:hAnsi="Arial" w:cs="Arial"/>
          <w:i/>
          <w:sz w:val="20"/>
          <w:szCs w:val="20"/>
        </w:rPr>
      </w:pPr>
    </w:p>
    <w:p w14:paraId="6AD93725"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Goldsmith, D.F., Oppenheim, D., &amp; Wanless, J. (2004). Separation and reunification: Using attachment theory and research to inform decisions affecting the placements of children in foster care. </w:t>
      </w:r>
      <w:r w:rsidRPr="00AC260C">
        <w:rPr>
          <w:rFonts w:ascii="Arial" w:hAnsi="Arial" w:cs="Arial"/>
          <w:i/>
          <w:sz w:val="20"/>
          <w:szCs w:val="20"/>
        </w:rPr>
        <w:t xml:space="preserve">Juvenile and Family Court Journal, 55, </w:t>
      </w:r>
      <w:r w:rsidRPr="00AC260C">
        <w:rPr>
          <w:rFonts w:ascii="Arial" w:hAnsi="Arial" w:cs="Arial"/>
          <w:sz w:val="20"/>
          <w:szCs w:val="20"/>
        </w:rPr>
        <w:t>1-14.</w:t>
      </w:r>
    </w:p>
    <w:p w14:paraId="2A257809" w14:textId="77777777" w:rsidR="00AC260C" w:rsidRPr="00AC260C" w:rsidRDefault="00AC260C"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This article discusses how a child develops a secure attachment to a caregiver, the deleterious consequences associated with maltreatment and separation and how attachment theory and research can inform permanency decisions that are in the best interests of the child. [ABSTRACT, p.1]  It looks at both removal and reunification through the prism of attachment theory from the point of view of the disruption in a child’s attachment consequent upon either type of change in the child’s care arrangements.</w:t>
      </w:r>
    </w:p>
    <w:p w14:paraId="7A7AB2D4" w14:textId="77777777" w:rsidR="00AC260C" w:rsidRPr="00AC260C" w:rsidRDefault="00AC260C"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“When children are removed from their homes due to physical abuse, neglect, or inadequate supervision, they may find relief in the protection offered by foster families.  As a result of the separation, however, they simultaneously begin to experience grief over the loss of their caregivers.  While the long-term risks of maltreatment have received extensive recognition by professionals, less recognized and often under-appreciated is the severe risk endured by the child as a result of separation from the caregiver, and the long-term effects of separation on the child.  In keeping with the best interest of the child, decisions about child placement must look beyond maltreatment as a single risk factor, giving additional consideration to the emotional costs of separation on a child’s developing attachments and examining how system responses and legal decision-making may help or harm the child’s attachment system.  Thus, both maltreatment and attachment concerns are critically important factors in child placement decisions which have long-term consequences for a child’s overall life adjustment.” [p.1]</w:t>
      </w:r>
    </w:p>
    <w:p w14:paraId="502B6CBF" w14:textId="77777777" w:rsidR="00AC260C" w:rsidRPr="00AC260C" w:rsidRDefault="00AC260C"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“Perhaps the most significant protective factor during the early years is a secure attachment to a stable, sensitive and supportive caregiver. (Weinfield </w:t>
      </w:r>
      <w:r w:rsidRPr="00AC260C">
        <w:rPr>
          <w:rFonts w:ascii="Arial" w:hAnsi="Arial" w:cs="Arial"/>
          <w:i/>
          <w:sz w:val="20"/>
          <w:szCs w:val="20"/>
        </w:rPr>
        <w:t>et al.</w:t>
      </w:r>
      <w:r w:rsidRPr="00AC260C">
        <w:rPr>
          <w:rFonts w:ascii="Arial" w:hAnsi="Arial" w:cs="Arial"/>
          <w:sz w:val="20"/>
          <w:szCs w:val="20"/>
        </w:rPr>
        <w:t>, 1999).” [p.8]</w:t>
      </w:r>
    </w:p>
    <w:p w14:paraId="2CF7AD6F" w14:textId="77777777" w:rsidR="00AC260C" w:rsidRPr="00AC260C" w:rsidRDefault="00AC260C"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lastRenderedPageBreak/>
        <w:t xml:space="preserve">“In our experience, expert witnesses frequently introduce the idea that very young children will not be able to recall trauma suffered in their early years.  This belief is often extended to suggest that early attachment relationships are forgotten and thus should not be taken into consideration when making permanency decisions.  Recent research suggests differently, however.  Infants are capable of recalling experiences from the first days of life (Siegel, 1999).  Early on, the recall is experienced through what is termed implicit memory.  The memories are largely perceptual and are encoded through touch and sound.  By the child’s second birthday, as language skills are developing, the memory is explicit and involves the ability to actually recall an event verbally (Siegel, 1999).  Although the child’s early memory skills are obviously not fully developed, research demonstrates that even years following an event, though inaccessible to consciousness, the memory may still influence the child’s behaviour and psychological responses.  For example, while children may not be capable of verbally recalling details of experience, physiological measures such as skin conducive tests demonstrate that memory is encoded nonverbally {Fox, N.A. &amp; Card, J.A., (1999)  Psychophysiological measures in the study of attachment.  In J. Cassidy and P. R. Shaver (Eds) </w:t>
      </w:r>
      <w:r w:rsidRPr="00AC260C">
        <w:rPr>
          <w:rFonts w:ascii="Arial" w:hAnsi="Arial" w:cs="Arial"/>
          <w:i/>
          <w:sz w:val="20"/>
          <w:szCs w:val="20"/>
        </w:rPr>
        <w:t>Handbook of Attachment Theory: Theory, research and clinical applications</w:t>
      </w:r>
      <w:r w:rsidRPr="00AC260C">
        <w:rPr>
          <w:rFonts w:ascii="Arial" w:hAnsi="Arial" w:cs="Arial"/>
          <w:sz w:val="20"/>
          <w:szCs w:val="20"/>
        </w:rPr>
        <w:t xml:space="preserve"> (pp.226-245).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 [p.8]</w:t>
      </w:r>
    </w:p>
    <w:p w14:paraId="34C55131" w14:textId="77777777" w:rsidR="00AC260C" w:rsidRPr="00AC260C" w:rsidRDefault="00AC260C"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“Because of its lasting impact on children’s abilities to form healthy relationships throughout life, the importance of a secure relationship with caregivers cannot be overestimated.  Thus, the decision to return a child to his or her biological parents should begin to look beyond whether or not the child is in physical danger and carefully consider the child’s history and attachment status.  To this end, it is critical that parents be given adequate support, treatment and respite to help them develop skills needed to provide security, nurturing, and psychological availability to their children.” [p.14]</w:t>
      </w:r>
    </w:p>
    <w:p w14:paraId="10C8A4CA" w14:textId="77777777" w:rsidR="00AC260C" w:rsidRPr="00AC260C" w:rsidRDefault="00AC260C" w:rsidP="00AC260C">
      <w:pPr>
        <w:ind w:left="720" w:hanging="720"/>
        <w:jc w:val="both"/>
        <w:rPr>
          <w:rFonts w:ascii="Arial" w:hAnsi="Arial" w:cs="Arial"/>
          <w:sz w:val="20"/>
          <w:szCs w:val="20"/>
        </w:rPr>
      </w:pPr>
    </w:p>
    <w:p w14:paraId="7C6680A4"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Haight, W.L., Kagle, J.D., &amp; Black, J.E. (2003). Understanding and supporting parent-child relationships during foster care visits: Attachment theory and research. </w:t>
      </w:r>
      <w:r w:rsidRPr="00AC260C">
        <w:rPr>
          <w:rFonts w:ascii="Arial" w:hAnsi="Arial" w:cs="Arial"/>
          <w:i/>
          <w:sz w:val="20"/>
          <w:szCs w:val="20"/>
        </w:rPr>
        <w:t>Social Work, 48 (2), 195-207.</w:t>
      </w:r>
    </w:p>
    <w:p w14:paraId="03621AAE" w14:textId="77777777" w:rsidR="00AC260C" w:rsidRPr="00AC260C" w:rsidRDefault="00AC260C" w:rsidP="00AC260C">
      <w:pPr>
        <w:ind w:left="720" w:hanging="720"/>
        <w:jc w:val="both"/>
        <w:rPr>
          <w:rFonts w:ascii="Arial" w:hAnsi="Arial" w:cs="Arial"/>
          <w:i/>
          <w:sz w:val="20"/>
          <w:szCs w:val="20"/>
        </w:rPr>
      </w:pPr>
    </w:p>
    <w:p w14:paraId="65A62581"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Haight, W.L., Mangelsdorf, S., Black, J., Szewczyk, M., Schoppe, S., Giorgio, G., Madrigal, K., &amp; Lakshmi, T. (2005). </w:t>
      </w:r>
      <w:r w:rsidRPr="00AC260C">
        <w:rPr>
          <w:rFonts w:ascii="Arial" w:hAnsi="Arial" w:cs="Arial"/>
          <w:i/>
          <w:sz w:val="20"/>
          <w:szCs w:val="20"/>
        </w:rPr>
        <w:t>Child Welfare, 84 (4), 459-481.</w:t>
      </w:r>
    </w:p>
    <w:p w14:paraId="31F9AAB8" w14:textId="77777777" w:rsidR="00EC539F" w:rsidRPr="00AC260C" w:rsidRDefault="00EC539F" w:rsidP="00EC539F">
      <w:pPr>
        <w:ind w:left="720" w:hanging="720"/>
        <w:jc w:val="both"/>
        <w:rPr>
          <w:rFonts w:ascii="Arial" w:hAnsi="Arial" w:cs="Arial"/>
          <w:sz w:val="20"/>
          <w:szCs w:val="20"/>
        </w:rPr>
      </w:pPr>
    </w:p>
    <w:p w14:paraId="52171B0D"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Holmes, J. (1993). </w:t>
      </w:r>
      <w:r w:rsidRPr="00AC260C">
        <w:rPr>
          <w:rFonts w:ascii="Arial" w:hAnsi="Arial" w:cs="Arial"/>
          <w:i/>
          <w:sz w:val="20"/>
          <w:szCs w:val="20"/>
        </w:rPr>
        <w:t xml:space="preserve">John Bowlby and Attachment Theory. </w:t>
      </w:r>
      <w:r w:rsidRPr="00AC260C">
        <w:rPr>
          <w:rFonts w:ascii="Arial" w:hAnsi="Arial" w:cs="Arial"/>
          <w:sz w:val="20"/>
          <w:szCs w:val="20"/>
        </w:rPr>
        <w:t>NY: Routledge.</w:t>
      </w:r>
      <w:r w:rsidRPr="00AC260C">
        <w:rPr>
          <w:rFonts w:ascii="Arial" w:hAnsi="Arial" w:cs="Arial"/>
          <w:i/>
          <w:sz w:val="20"/>
          <w:szCs w:val="20"/>
        </w:rPr>
        <w:t xml:space="preserve"> </w:t>
      </w:r>
    </w:p>
    <w:p w14:paraId="5B75A321" w14:textId="77777777" w:rsidR="00AC260C" w:rsidRPr="00AC260C" w:rsidRDefault="00AC260C" w:rsidP="00AC260C">
      <w:pPr>
        <w:ind w:left="720" w:hanging="720"/>
        <w:jc w:val="both"/>
        <w:rPr>
          <w:rFonts w:ascii="Arial" w:hAnsi="Arial" w:cs="Arial"/>
          <w:sz w:val="20"/>
          <w:szCs w:val="20"/>
        </w:rPr>
      </w:pPr>
    </w:p>
    <w:p w14:paraId="4B0007EC"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Levy, K.N. (2005) The implications of attachment theory and research for understanding borderline personality disorder.  </w:t>
      </w:r>
      <w:r w:rsidRPr="00AC260C">
        <w:rPr>
          <w:rFonts w:ascii="Arial" w:hAnsi="Arial" w:cs="Arial"/>
          <w:i/>
          <w:sz w:val="20"/>
          <w:szCs w:val="20"/>
        </w:rPr>
        <w:t>Development and Psychopathology, 17,</w:t>
      </w:r>
      <w:r w:rsidRPr="00AC260C">
        <w:rPr>
          <w:rFonts w:ascii="Arial" w:hAnsi="Arial" w:cs="Arial"/>
          <w:sz w:val="20"/>
          <w:szCs w:val="20"/>
        </w:rPr>
        <w:t xml:space="preserve"> 959-986.</w:t>
      </w:r>
    </w:p>
    <w:p w14:paraId="5B3CC7E4" w14:textId="77777777" w:rsidR="00AC260C" w:rsidRPr="00AC260C" w:rsidRDefault="00AC260C" w:rsidP="00AC260C">
      <w:pPr>
        <w:jc w:val="both"/>
        <w:rPr>
          <w:rFonts w:ascii="Arial" w:hAnsi="Arial" w:cs="Arial"/>
          <w:sz w:val="20"/>
          <w:szCs w:val="20"/>
        </w:rPr>
      </w:pPr>
    </w:p>
    <w:p w14:paraId="45CD69E4"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McWey, L.M., &amp; Mullis, A.K. (2004). Improving the lives of children in foster care: The impact of supervised visitation. </w:t>
      </w:r>
      <w:r w:rsidRPr="00AC260C">
        <w:rPr>
          <w:rFonts w:ascii="Arial" w:hAnsi="Arial" w:cs="Arial"/>
          <w:i/>
          <w:sz w:val="20"/>
          <w:szCs w:val="20"/>
        </w:rPr>
        <w:t>Family Relations, 53</w:t>
      </w:r>
      <w:r w:rsidRPr="00AC260C">
        <w:rPr>
          <w:rFonts w:ascii="Arial" w:hAnsi="Arial" w:cs="Arial"/>
          <w:sz w:val="20"/>
          <w:szCs w:val="20"/>
        </w:rPr>
        <w:t xml:space="preserve"> (3), 293-300.</w:t>
      </w:r>
    </w:p>
    <w:p w14:paraId="74643787" w14:textId="77777777" w:rsidR="00AC260C" w:rsidRPr="00AC260C" w:rsidRDefault="00AC260C" w:rsidP="00AC260C">
      <w:pPr>
        <w:ind w:left="720" w:hanging="720"/>
        <w:jc w:val="both"/>
        <w:rPr>
          <w:rFonts w:ascii="Arial" w:hAnsi="Arial" w:cs="Arial"/>
          <w:sz w:val="20"/>
          <w:szCs w:val="20"/>
        </w:rPr>
      </w:pPr>
    </w:p>
    <w:p w14:paraId="43B31EDE"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lang w:val="de-DE"/>
        </w:rPr>
        <w:t xml:space="preserve">Mennen, F.E., &amp; O’Keefe, M. (2005). </w:t>
      </w:r>
      <w:r w:rsidRPr="00AC260C">
        <w:rPr>
          <w:rFonts w:ascii="Arial" w:hAnsi="Arial" w:cs="Arial"/>
          <w:sz w:val="20"/>
          <w:szCs w:val="20"/>
        </w:rPr>
        <w:t xml:space="preserve">Informed decisions in child welfare: The use of attachment theory. </w:t>
      </w:r>
      <w:r w:rsidRPr="00AC260C">
        <w:rPr>
          <w:rFonts w:ascii="Arial" w:hAnsi="Arial" w:cs="Arial"/>
          <w:i/>
          <w:sz w:val="20"/>
          <w:szCs w:val="20"/>
        </w:rPr>
        <w:t>Children and Youth Services Review, 27</w:t>
      </w:r>
      <w:r w:rsidRPr="00AC260C">
        <w:rPr>
          <w:rFonts w:ascii="Arial" w:hAnsi="Arial" w:cs="Arial"/>
          <w:sz w:val="20"/>
          <w:szCs w:val="20"/>
        </w:rPr>
        <w:t>, 557-593.</w:t>
      </w:r>
    </w:p>
    <w:p w14:paraId="49B408FC" w14:textId="77777777" w:rsidR="00AC260C" w:rsidRPr="00AC260C" w:rsidRDefault="00AC260C" w:rsidP="00AC260C">
      <w:pPr>
        <w:ind w:left="720" w:hanging="720"/>
        <w:jc w:val="both"/>
        <w:rPr>
          <w:rFonts w:ascii="Arial" w:hAnsi="Arial" w:cs="Arial"/>
          <w:sz w:val="20"/>
          <w:szCs w:val="20"/>
        </w:rPr>
      </w:pPr>
    </w:p>
    <w:p w14:paraId="1AC97953"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Milkulincer, M. &amp; Shaver, P.R. (2007). </w:t>
      </w:r>
      <w:r w:rsidRPr="00AC260C">
        <w:rPr>
          <w:rFonts w:ascii="Arial" w:hAnsi="Arial" w:cs="Arial"/>
          <w:i/>
          <w:sz w:val="20"/>
          <w:szCs w:val="20"/>
        </w:rPr>
        <w:t>Attachment in adulthood: Structure, dynamics and change.</w:t>
      </w:r>
      <w:r w:rsidRPr="00AC260C">
        <w:rPr>
          <w:rFonts w:ascii="Arial" w:hAnsi="Arial" w:cs="Arial"/>
          <w:sz w:val="20"/>
          <w:szCs w:val="20"/>
        </w:rPr>
        <w:t xml:space="preserve">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w:t>
      </w:r>
    </w:p>
    <w:p w14:paraId="3E402D75" w14:textId="77777777" w:rsidR="00AC260C" w:rsidRPr="00AC260C" w:rsidRDefault="00AC260C" w:rsidP="00AC260C">
      <w:pPr>
        <w:ind w:left="720" w:hanging="720"/>
        <w:jc w:val="both"/>
        <w:rPr>
          <w:rFonts w:ascii="Arial" w:hAnsi="Arial" w:cs="Arial"/>
          <w:sz w:val="20"/>
          <w:szCs w:val="20"/>
        </w:rPr>
      </w:pPr>
    </w:p>
    <w:p w14:paraId="3F1CC635"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Moss, E., Cyr, C., Bureau, J.-F., Tarabulsy, G.M., &amp; Dubois-Comtois, K., (2005). Stability of attachment during the pre-school period.  </w:t>
      </w:r>
      <w:r w:rsidRPr="00AC260C">
        <w:rPr>
          <w:rFonts w:ascii="Arial" w:hAnsi="Arial" w:cs="Arial"/>
          <w:i/>
          <w:sz w:val="20"/>
          <w:szCs w:val="20"/>
        </w:rPr>
        <w:t>Developmental psychology, 41,</w:t>
      </w:r>
      <w:r w:rsidRPr="00AC260C">
        <w:rPr>
          <w:rFonts w:ascii="Arial" w:hAnsi="Arial" w:cs="Arial"/>
          <w:sz w:val="20"/>
          <w:szCs w:val="20"/>
        </w:rPr>
        <w:t>773-783.</w:t>
      </w:r>
    </w:p>
    <w:p w14:paraId="4DECBDE3" w14:textId="77777777" w:rsidR="00AC260C" w:rsidRPr="00AC260C" w:rsidRDefault="00AC260C" w:rsidP="00AC260C">
      <w:pPr>
        <w:ind w:left="720" w:hanging="720"/>
        <w:jc w:val="both"/>
        <w:rPr>
          <w:rFonts w:ascii="Arial" w:hAnsi="Arial" w:cs="Arial"/>
          <w:sz w:val="20"/>
          <w:szCs w:val="20"/>
        </w:rPr>
      </w:pPr>
    </w:p>
    <w:p w14:paraId="0E3D971E"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Newman, L. (2008). Attachment theory and personality disorder: approaches to high-risk families. </w:t>
      </w:r>
      <w:r w:rsidRPr="00AC260C">
        <w:rPr>
          <w:rFonts w:ascii="Arial" w:hAnsi="Arial" w:cs="Arial"/>
          <w:i/>
          <w:sz w:val="20"/>
          <w:szCs w:val="20"/>
        </w:rPr>
        <w:t xml:space="preserve">Communities, Children and Families </w:t>
      </w:r>
      <w:smartTag w:uri="urn:schemas-microsoft-com:office:smarttags" w:element="place">
        <w:smartTag w:uri="urn:schemas-microsoft-com:office:smarttags" w:element="country-region">
          <w:r w:rsidRPr="00AC260C">
            <w:rPr>
              <w:rFonts w:ascii="Arial" w:hAnsi="Arial" w:cs="Arial"/>
              <w:i/>
              <w:sz w:val="20"/>
              <w:szCs w:val="20"/>
            </w:rPr>
            <w:t>Australia</w:t>
          </w:r>
        </w:smartTag>
      </w:smartTag>
      <w:r w:rsidRPr="00AC260C">
        <w:rPr>
          <w:rFonts w:ascii="Arial" w:hAnsi="Arial" w:cs="Arial"/>
          <w:i/>
          <w:sz w:val="20"/>
          <w:szCs w:val="20"/>
        </w:rPr>
        <w:t>, 3</w:t>
      </w:r>
      <w:r w:rsidRPr="00AC260C">
        <w:rPr>
          <w:rFonts w:ascii="Arial" w:hAnsi="Arial" w:cs="Arial"/>
          <w:sz w:val="20"/>
          <w:szCs w:val="20"/>
        </w:rPr>
        <w:t xml:space="preserve"> (2), 4-18.</w:t>
      </w:r>
    </w:p>
    <w:p w14:paraId="6BDB11B8" w14:textId="77777777" w:rsidR="00AC260C" w:rsidRPr="00AC260C" w:rsidRDefault="00AC260C"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“Infancy refers to the crucial developmental period from birth to three years.  Experiences in infancy, particularly the quality of care-giving relationships and socio-emotional interaction, are increasingly recognised as ‘foundational’ – that is, forming the basis of development in neurological, psychological and social domains (Schore, 1994; Siegel, 1999, Panksepp, 1998).  From a neurodevelopmental viewpoint, infancy (0-3 years) is significant as it represents the period of most rapid brain growth across the lifespan (Dobbing &amp; Sands, 1973), and the establishment of neural pathways and networks </w:t>
      </w:r>
      <w:r w:rsidRPr="00AC260C">
        <w:rPr>
          <w:rFonts w:ascii="Arial" w:hAnsi="Arial" w:cs="Arial"/>
          <w:sz w:val="20"/>
          <w:szCs w:val="20"/>
        </w:rPr>
        <w:lastRenderedPageBreak/>
        <w:t>underlying basic neuropsychological functions such as learning, memory, attention and the processing and regulation of emotional states.  These capacities are central to later psychological and emotional health.” [p.4]</w:t>
      </w:r>
    </w:p>
    <w:p w14:paraId="4E43A60C" w14:textId="77777777" w:rsidR="00AC260C" w:rsidRPr="00AC260C" w:rsidRDefault="00AC260C"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“Neurodevelopmental and infant research over the last 20 years has been examining the interpersonal context of infant brain development – the way in which experience influences neurological functioning and brain architecture (Milner, Squire &amp; Kandel, 1998).  The quality of emotional interaction and input the infant brain receives from caretakers is held to directly affect brain growth, a process described as the ‘experience-dependent’ nature of brain development.  </w:t>
      </w:r>
      <w:r w:rsidRPr="00AC260C">
        <w:rPr>
          <w:rFonts w:ascii="Arial" w:hAnsi="Arial" w:cs="Arial"/>
          <w:b/>
          <w:sz w:val="20"/>
          <w:szCs w:val="20"/>
        </w:rPr>
        <w:t>Traumatic experiences and disturbances of emotional interaction in infancy have potential long-term effects on psychological and emotional functioning.</w:t>
      </w:r>
      <w:r w:rsidRPr="00AC260C">
        <w:rPr>
          <w:rFonts w:ascii="Arial" w:hAnsi="Arial" w:cs="Arial"/>
          <w:sz w:val="20"/>
          <w:szCs w:val="20"/>
        </w:rPr>
        <w:t>” [pp.4-5]</w:t>
      </w:r>
    </w:p>
    <w:p w14:paraId="1445EAE9" w14:textId="77777777" w:rsidR="002D166A" w:rsidRDefault="00AC260C"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“Attachment Theory is arguably the most significant theoretical framework in developmental psychology.  With broad-ranging influences including psychoanalysis, systems theory, cognitive theories and ethology, Bowlby (1969) provided an integrative account of human development, stressing the role of the attachment behavioural system as a homeostatic system regulating infant proximity seeking and contact maintaining behaviour.  For Bowlby, the need for attachment is innate and life-long and is the equivalent in terms of a motivational system to other drive-behavioural systems such as feeding and exploration.   Human development is seen as requiring, and occurring in the context of, relationships which can provide feelings of security and comfort.  Early work in non-human primates, for example, demonstrated very clearly the significance of infants’ need for comfort, overriding even the need for food (</w:t>
      </w:r>
      <w:smartTag w:uri="urn:schemas-microsoft-com:office:smarttags" w:element="place">
        <w:r w:rsidRPr="00AC260C">
          <w:rPr>
            <w:rFonts w:ascii="Arial" w:hAnsi="Arial" w:cs="Arial"/>
            <w:sz w:val="20"/>
            <w:szCs w:val="20"/>
          </w:rPr>
          <w:t>Harlow</w:t>
        </w:r>
      </w:smartTag>
      <w:r w:rsidRPr="00AC260C">
        <w:rPr>
          <w:rFonts w:ascii="Arial" w:hAnsi="Arial" w:cs="Arial"/>
          <w:sz w:val="20"/>
          <w:szCs w:val="20"/>
        </w:rPr>
        <w:t xml:space="preserve">, 1966).  </w:t>
      </w:r>
      <w:r w:rsidRPr="00AC260C">
        <w:rPr>
          <w:rFonts w:ascii="Arial" w:hAnsi="Arial" w:cs="Arial"/>
          <w:b/>
          <w:sz w:val="20"/>
          <w:szCs w:val="20"/>
        </w:rPr>
        <w:t>Both Bowlby and Harlow noted the implications of early deprivation of care and separation from caregivers on adult functioning</w:t>
      </w:r>
      <w:r w:rsidRPr="00AC260C">
        <w:rPr>
          <w:rFonts w:ascii="Arial" w:hAnsi="Arial" w:cs="Arial"/>
          <w:sz w:val="20"/>
          <w:szCs w:val="20"/>
        </w:rPr>
        <w:t>, and subsequently on later parenting behaviour, challenging the notion that parenting behaviour is ‘instinctual’ and stressing the role of early experience in providing models for behaviour within relationships.” [p.5]</w:t>
      </w:r>
    </w:p>
    <w:p w14:paraId="5951AA3C" w14:textId="77777777" w:rsidR="00AC260C" w:rsidRPr="002D166A" w:rsidRDefault="002D166A"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Pr>
          <w:rFonts w:ascii="Arial" w:hAnsi="Arial" w:cs="Arial"/>
          <w:sz w:val="20"/>
          <w:szCs w:val="20"/>
        </w:rPr>
        <w:t>Magistrate Power</w:t>
      </w:r>
      <w:r w:rsidRPr="002D166A">
        <w:rPr>
          <w:rFonts w:ascii="Arial" w:hAnsi="Arial" w:cs="Arial"/>
          <w:sz w:val="20"/>
          <w:szCs w:val="20"/>
        </w:rPr>
        <w:t xml:space="preserve"> notes that neurodevelopmental research in the last 20 years or so has substantially validated the Bowlby-based theory of attachment although that research seems to suggest that the development of attachment commences at a much earlier stage in an infant’s life than the 6 months or so postulated by Bowlby, </w:t>
      </w:r>
      <w:smartTag w:uri="urn:schemas-microsoft-com:office:smarttags" w:element="place">
        <w:r w:rsidRPr="002D166A">
          <w:rPr>
            <w:rFonts w:ascii="Arial" w:hAnsi="Arial" w:cs="Arial"/>
            <w:sz w:val="20"/>
            <w:szCs w:val="20"/>
          </w:rPr>
          <w:t>Main</w:t>
        </w:r>
      </w:smartTag>
      <w:r w:rsidRPr="002D166A">
        <w:rPr>
          <w:rFonts w:ascii="Arial" w:hAnsi="Arial" w:cs="Arial"/>
          <w:sz w:val="20"/>
          <w:szCs w:val="20"/>
        </w:rPr>
        <w:t xml:space="preserve"> and others.</w:t>
      </w:r>
    </w:p>
    <w:p w14:paraId="2CFCA57A" w14:textId="77777777" w:rsidR="00AC260C" w:rsidRPr="00AC260C" w:rsidRDefault="00AC260C" w:rsidP="00AC260C">
      <w:pPr>
        <w:ind w:left="720" w:hanging="720"/>
        <w:jc w:val="both"/>
        <w:rPr>
          <w:rFonts w:ascii="Arial" w:hAnsi="Arial" w:cs="Arial"/>
          <w:sz w:val="20"/>
          <w:szCs w:val="20"/>
        </w:rPr>
      </w:pPr>
    </w:p>
    <w:p w14:paraId="7364FF73"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Quinton, D., Selwyn. J., Rushton, A., &amp; Dance, C. (1999). Contact between children placed away form home and their birth parents: Ryburn’s ‘Reanalysis’ analysed. </w:t>
      </w:r>
      <w:r w:rsidRPr="00AC260C">
        <w:rPr>
          <w:rFonts w:ascii="Arial" w:hAnsi="Arial" w:cs="Arial"/>
          <w:i/>
          <w:sz w:val="20"/>
          <w:szCs w:val="20"/>
        </w:rPr>
        <w:t>Clinical Child Psychology and Psychiatry</w:t>
      </w:r>
      <w:r w:rsidRPr="00AC260C">
        <w:rPr>
          <w:rFonts w:ascii="Arial" w:hAnsi="Arial" w:cs="Arial"/>
          <w:sz w:val="20"/>
          <w:szCs w:val="20"/>
        </w:rPr>
        <w:t xml:space="preserve">, 4, 519-531. </w:t>
      </w:r>
    </w:p>
    <w:p w14:paraId="04A8DF95" w14:textId="77777777" w:rsidR="00AC260C" w:rsidRPr="00AC260C" w:rsidRDefault="00AC260C" w:rsidP="00AC260C">
      <w:pPr>
        <w:ind w:left="720" w:hanging="720"/>
        <w:jc w:val="both"/>
        <w:rPr>
          <w:rFonts w:ascii="Arial" w:hAnsi="Arial" w:cs="Arial"/>
          <w:sz w:val="20"/>
          <w:szCs w:val="20"/>
        </w:rPr>
      </w:pPr>
    </w:p>
    <w:p w14:paraId="5D9613E5"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Ryburn, M. (1999). Contact between children placed away from home and their birth parents: A reanalysis of the evidence in relation to permanent placements. </w:t>
      </w:r>
      <w:r w:rsidRPr="00AC260C">
        <w:rPr>
          <w:rFonts w:ascii="Arial" w:hAnsi="Arial" w:cs="Arial"/>
          <w:i/>
          <w:sz w:val="20"/>
          <w:szCs w:val="20"/>
        </w:rPr>
        <w:t>Clinical Child Psychology  and Psychiatry 4</w:t>
      </w:r>
      <w:r w:rsidRPr="00AC260C">
        <w:rPr>
          <w:rFonts w:ascii="Arial" w:hAnsi="Arial" w:cs="Arial"/>
          <w:sz w:val="20"/>
          <w:szCs w:val="20"/>
        </w:rPr>
        <w:t xml:space="preserve">, 505-518. </w:t>
      </w:r>
    </w:p>
    <w:p w14:paraId="61861DF1" w14:textId="77777777" w:rsidR="00AC260C" w:rsidRPr="00AC260C" w:rsidRDefault="00AC260C" w:rsidP="00AC260C">
      <w:pPr>
        <w:ind w:left="720" w:hanging="720"/>
        <w:jc w:val="both"/>
        <w:rPr>
          <w:rFonts w:ascii="Arial" w:hAnsi="Arial" w:cs="Arial"/>
          <w:sz w:val="20"/>
          <w:szCs w:val="20"/>
        </w:rPr>
      </w:pPr>
    </w:p>
    <w:p w14:paraId="71379A03"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Van der Horst, F.C., &amp; Van der Veer, R. (2008). Loneliness in infancy: Harry Harlow, John Bowlby and issues of separation. </w:t>
      </w:r>
      <w:r w:rsidRPr="00AC260C">
        <w:rPr>
          <w:rFonts w:ascii="Arial" w:hAnsi="Arial" w:cs="Arial"/>
          <w:i/>
          <w:sz w:val="20"/>
          <w:szCs w:val="20"/>
        </w:rPr>
        <w:t>Integr Psych Behav 42</w:t>
      </w:r>
      <w:r w:rsidRPr="00AC260C">
        <w:rPr>
          <w:rFonts w:ascii="Arial" w:hAnsi="Arial" w:cs="Arial"/>
          <w:sz w:val="20"/>
          <w:szCs w:val="20"/>
        </w:rPr>
        <w:t xml:space="preserve">, 325-335. </w:t>
      </w:r>
    </w:p>
    <w:p w14:paraId="7D1C61C4" w14:textId="77777777" w:rsidR="002D166A" w:rsidRDefault="00AC260C"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After giving an overview of the different studies in the 1940s and 1950s on the effect of separation and deprivation on infants – including Spitz’s 1947 film </w:t>
      </w:r>
      <w:r w:rsidRPr="00AC260C">
        <w:rPr>
          <w:rFonts w:ascii="Arial" w:hAnsi="Arial" w:cs="Arial"/>
          <w:i/>
          <w:sz w:val="20"/>
          <w:szCs w:val="20"/>
        </w:rPr>
        <w:t>Grief: A Peril in Infancy</w:t>
      </w:r>
      <w:r w:rsidRPr="00AC260C">
        <w:rPr>
          <w:rFonts w:ascii="Arial" w:hAnsi="Arial" w:cs="Arial"/>
          <w:sz w:val="20"/>
          <w:szCs w:val="20"/>
        </w:rPr>
        <w:t xml:space="preserve"> where a baby placed in a foundling home developed within weeks from a happy and approachable child into a distant and withdrawn one and Robertson’s 1952 film </w:t>
      </w:r>
      <w:r w:rsidRPr="00AC260C">
        <w:rPr>
          <w:rFonts w:ascii="Arial" w:hAnsi="Arial" w:cs="Arial"/>
          <w:i/>
          <w:sz w:val="20"/>
          <w:szCs w:val="20"/>
        </w:rPr>
        <w:t>A Two-Year-Old Goes to Hospital</w:t>
      </w:r>
      <w:r w:rsidRPr="00AC260C">
        <w:rPr>
          <w:rFonts w:ascii="Arial" w:hAnsi="Arial" w:cs="Arial"/>
          <w:sz w:val="20"/>
          <w:szCs w:val="20"/>
        </w:rPr>
        <w:t xml:space="preserve"> where a child admitted to hospital for 9 days for an operation for an umbilical hernia changed from “a ravishing little girl” to a silent and unresponsive one – the authors concluded: “Slowly but surely people – in hospitals, foundling homes, nurseries – were beginning to see the effects of separation and deprivation on young children.  The evidence gathered in studies by Lowrey, Bakwin, Edelston, Goldfarb and Spitz on the effects of early hospitalization – both in </w:t>
      </w:r>
      <w:smartTag w:uri="urn:schemas-microsoft-com:office:smarttags" w:element="country-region">
        <w:r w:rsidRPr="00AC260C">
          <w:rPr>
            <w:rFonts w:ascii="Arial" w:hAnsi="Arial" w:cs="Arial"/>
            <w:sz w:val="20"/>
            <w:szCs w:val="20"/>
          </w:rPr>
          <w:t>Britain</w:t>
        </w:r>
      </w:smartTag>
      <w:r w:rsidRPr="00AC260C">
        <w:rPr>
          <w:rFonts w:ascii="Arial" w:hAnsi="Arial" w:cs="Arial"/>
          <w:sz w:val="20"/>
          <w:szCs w:val="20"/>
        </w:rPr>
        <w:t xml:space="preserve"> and </w:t>
      </w:r>
      <w:smartTag w:uri="urn:schemas-microsoft-com:office:smarttags" w:element="place">
        <w:smartTag w:uri="urn:schemas-microsoft-com:office:smarttags" w:element="country-region">
          <w:r w:rsidRPr="00AC260C">
            <w:rPr>
              <w:rFonts w:ascii="Arial" w:hAnsi="Arial" w:cs="Arial"/>
              <w:sz w:val="20"/>
              <w:szCs w:val="20"/>
            </w:rPr>
            <w:t>U.S.A.</w:t>
          </w:r>
        </w:smartTag>
      </w:smartTag>
      <w:r w:rsidRPr="00AC260C">
        <w:rPr>
          <w:rFonts w:ascii="Arial" w:hAnsi="Arial" w:cs="Arial"/>
          <w:sz w:val="20"/>
          <w:szCs w:val="20"/>
        </w:rPr>
        <w:t xml:space="preserve"> – led people to believe that the physical and emotional separation from a familiar environment was detrimental to the child’s well-being.” [pp.332-333]</w:t>
      </w:r>
    </w:p>
    <w:p w14:paraId="44DFA5FF" w14:textId="77777777" w:rsidR="00AC260C" w:rsidRPr="008A58C3" w:rsidRDefault="008A58C3" w:rsidP="00CC22FC">
      <w:pPr>
        <w:numPr>
          <w:ilvl w:val="0"/>
          <w:numId w:val="41"/>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2"/>
          <w:szCs w:val="20"/>
        </w:rPr>
      </w:pPr>
      <w:r>
        <w:rPr>
          <w:rFonts w:ascii="Arial" w:hAnsi="Arial" w:cs="Arial"/>
          <w:sz w:val="20"/>
          <w:szCs w:val="18"/>
        </w:rPr>
        <w:t xml:space="preserve">Of course, </w:t>
      </w:r>
      <w:r w:rsidR="002D166A" w:rsidRPr="008A58C3">
        <w:rPr>
          <w:rFonts w:ascii="Arial" w:hAnsi="Arial" w:cs="Arial"/>
          <w:sz w:val="20"/>
          <w:szCs w:val="18"/>
        </w:rPr>
        <w:t xml:space="preserve">modern child hospital nursing practice is totally different from that which was the subject of such strong criticism by Bowlby, Spitz </w:t>
      </w:r>
      <w:r w:rsidR="002D166A" w:rsidRPr="008A58C3">
        <w:rPr>
          <w:rFonts w:ascii="Arial" w:hAnsi="Arial" w:cs="Arial"/>
          <w:i/>
          <w:sz w:val="20"/>
          <w:szCs w:val="18"/>
        </w:rPr>
        <w:t>et al</w:t>
      </w:r>
      <w:r w:rsidR="002D166A" w:rsidRPr="008A58C3">
        <w:rPr>
          <w:rFonts w:ascii="Arial" w:hAnsi="Arial" w:cs="Arial"/>
          <w:sz w:val="20"/>
          <w:szCs w:val="18"/>
        </w:rPr>
        <w:t xml:space="preserve"> in the 1940s &amp; 1950s.  Modern practice has very much taken into account the lessons drawn from the psychological studies of earlier times.</w:t>
      </w:r>
    </w:p>
    <w:p w14:paraId="52F002F9" w14:textId="77777777" w:rsidR="00AC260C" w:rsidRPr="00AC260C" w:rsidRDefault="00AC260C" w:rsidP="00AC260C">
      <w:pPr>
        <w:jc w:val="both"/>
        <w:rPr>
          <w:rFonts w:ascii="Arial" w:hAnsi="Arial" w:cs="Arial"/>
          <w:sz w:val="20"/>
          <w:szCs w:val="20"/>
        </w:rPr>
      </w:pPr>
    </w:p>
    <w:p w14:paraId="5CAEF467"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Waters, E., Merrick, S., Treboux, D., Cromwell J., &amp; Albersheim, L. (2000) Attachment security in infancy and early adulthood: A twenty-year longitudinal study.  </w:t>
      </w:r>
      <w:r w:rsidRPr="00AC260C">
        <w:rPr>
          <w:rFonts w:ascii="Arial" w:hAnsi="Arial" w:cs="Arial"/>
          <w:i/>
          <w:sz w:val="20"/>
          <w:szCs w:val="20"/>
        </w:rPr>
        <w:t>Child Development, 71,</w:t>
      </w:r>
      <w:r w:rsidRPr="00AC260C">
        <w:rPr>
          <w:rFonts w:ascii="Arial" w:hAnsi="Arial" w:cs="Arial"/>
          <w:sz w:val="20"/>
          <w:szCs w:val="20"/>
        </w:rPr>
        <w:t xml:space="preserve"> 695-702.</w:t>
      </w:r>
    </w:p>
    <w:p w14:paraId="3EE30D7A" w14:textId="77777777" w:rsidR="00B47D65" w:rsidRPr="008329EB" w:rsidRDefault="00B47D65" w:rsidP="00B47D65">
      <w:pPr>
        <w:jc w:val="both"/>
        <w:rPr>
          <w:rFonts w:ascii="Arial" w:hAnsi="Arial" w:cs="Arial"/>
          <w:color w:val="000000"/>
          <w:sz w:val="20"/>
          <w:szCs w:val="20"/>
        </w:rPr>
      </w:pPr>
    </w:p>
    <w:p w14:paraId="2788D70A" w14:textId="77777777" w:rsidR="00B47D65" w:rsidRPr="008329EB" w:rsidRDefault="00CC2566" w:rsidP="00CC2566">
      <w:pPr>
        <w:ind w:left="357" w:hanging="357"/>
        <w:jc w:val="both"/>
        <w:rPr>
          <w:rFonts w:ascii="Arial" w:hAnsi="Arial" w:cs="Arial"/>
          <w:color w:val="000000"/>
          <w:sz w:val="20"/>
          <w:szCs w:val="20"/>
        </w:rPr>
      </w:pPr>
      <w:r w:rsidRPr="008329EB">
        <w:rPr>
          <w:rFonts w:ascii="Arial" w:hAnsi="Arial" w:cs="Arial"/>
          <w:color w:val="000000"/>
          <w:sz w:val="20"/>
          <w:szCs w:val="20"/>
        </w:rPr>
        <w:t xml:space="preserve">For </w:t>
      </w:r>
      <w:r w:rsidR="00F84A93" w:rsidRPr="008329EB">
        <w:rPr>
          <w:rFonts w:ascii="Arial" w:hAnsi="Arial" w:cs="Arial"/>
          <w:color w:val="000000"/>
          <w:sz w:val="20"/>
          <w:szCs w:val="20"/>
        </w:rPr>
        <w:t>example</w:t>
      </w:r>
      <w:r w:rsidRPr="008329EB">
        <w:rPr>
          <w:rFonts w:ascii="Arial" w:hAnsi="Arial" w:cs="Arial"/>
          <w:color w:val="000000"/>
          <w:sz w:val="20"/>
          <w:szCs w:val="20"/>
        </w:rPr>
        <w:t xml:space="preserve">s </w:t>
      </w:r>
      <w:r w:rsidR="00B47D65" w:rsidRPr="008329EB">
        <w:rPr>
          <w:rFonts w:ascii="Arial" w:hAnsi="Arial" w:cs="Arial"/>
          <w:color w:val="000000"/>
          <w:sz w:val="20"/>
          <w:szCs w:val="20"/>
        </w:rPr>
        <w:t>in which the writer has applied the above learning, see</w:t>
      </w:r>
      <w:r w:rsidRPr="008329EB">
        <w:rPr>
          <w:rFonts w:ascii="Arial" w:hAnsi="Arial" w:cs="Arial"/>
          <w:color w:val="000000"/>
          <w:sz w:val="20"/>
          <w:szCs w:val="20"/>
        </w:rPr>
        <w:t xml:space="preserve"> his judgments in</w:t>
      </w:r>
      <w:r w:rsidR="00B47D65" w:rsidRPr="008329EB">
        <w:rPr>
          <w:rFonts w:ascii="Arial" w:hAnsi="Arial" w:cs="Arial"/>
          <w:color w:val="000000"/>
          <w:sz w:val="20"/>
          <w:szCs w:val="20"/>
        </w:rPr>
        <w:t>:</w:t>
      </w:r>
    </w:p>
    <w:p w14:paraId="47AE6CAE" w14:textId="77777777" w:rsidR="00CC2566" w:rsidRPr="008329EB" w:rsidRDefault="00CC2566" w:rsidP="00CC2566">
      <w:pPr>
        <w:numPr>
          <w:ilvl w:val="0"/>
          <w:numId w:val="13"/>
        </w:numPr>
        <w:tabs>
          <w:tab w:val="clear" w:pos="420"/>
        </w:tabs>
        <w:ind w:left="357" w:hanging="357"/>
        <w:jc w:val="both"/>
        <w:rPr>
          <w:rFonts w:ascii="Arial" w:hAnsi="Arial" w:cs="Arial"/>
          <w:color w:val="000000"/>
          <w:sz w:val="20"/>
        </w:rPr>
      </w:pPr>
      <w:r w:rsidRPr="008329EB">
        <w:rPr>
          <w:rFonts w:ascii="Arial" w:hAnsi="Arial" w:cs="Arial"/>
          <w:i/>
          <w:iCs/>
          <w:color w:val="000000"/>
          <w:sz w:val="20"/>
        </w:rPr>
        <w:t>DOHS v M</w:t>
      </w:r>
      <w:r w:rsidR="00420BF2" w:rsidRPr="008329EB">
        <w:rPr>
          <w:rFonts w:ascii="Arial" w:hAnsi="Arial" w:cs="Arial"/>
          <w:i/>
          <w:iCs/>
          <w:color w:val="000000"/>
          <w:sz w:val="20"/>
        </w:rPr>
        <w:t>s McC [interim]</w:t>
      </w:r>
      <w:r w:rsidRPr="008329EB">
        <w:rPr>
          <w:rFonts w:ascii="Arial" w:hAnsi="Arial" w:cs="Arial"/>
          <w:i/>
          <w:iCs/>
          <w:color w:val="000000"/>
          <w:sz w:val="20"/>
        </w:rPr>
        <w:t xml:space="preserve"> </w:t>
      </w:r>
      <w:r w:rsidR="00420BF2" w:rsidRPr="008329EB">
        <w:rPr>
          <w:rFonts w:ascii="Arial" w:hAnsi="Arial" w:cs="Arial"/>
          <w:iCs/>
          <w:color w:val="000000"/>
          <w:sz w:val="20"/>
        </w:rPr>
        <w:t>[Children’s Court of Victoria-Power M, 05/04/2011] at pp.</w:t>
      </w:r>
      <w:r w:rsidR="00420BF2" w:rsidRPr="008329EB">
        <w:rPr>
          <w:rFonts w:ascii="Arial" w:hAnsi="Arial" w:cs="Arial"/>
          <w:color w:val="000000"/>
          <w:sz w:val="20"/>
        </w:rPr>
        <w:t>70-72.</w:t>
      </w:r>
    </w:p>
    <w:p w14:paraId="098C2515" w14:textId="77777777" w:rsidR="00CC2566" w:rsidRPr="008329EB" w:rsidRDefault="00CC2566" w:rsidP="00CC2566">
      <w:pPr>
        <w:numPr>
          <w:ilvl w:val="0"/>
          <w:numId w:val="1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00420BF2" w:rsidRPr="008329EB">
        <w:rPr>
          <w:rFonts w:ascii="Arial" w:hAnsi="Arial" w:cs="Arial"/>
          <w:color w:val="000000"/>
          <w:sz w:val="20"/>
        </w:rPr>
        <w:t>130-1</w:t>
      </w:r>
      <w:r w:rsidRPr="008329EB">
        <w:rPr>
          <w:rFonts w:ascii="Arial" w:hAnsi="Arial" w:cs="Arial"/>
          <w:color w:val="000000"/>
          <w:sz w:val="20"/>
        </w:rPr>
        <w:t>.</w:t>
      </w:r>
    </w:p>
    <w:p w14:paraId="6077503F" w14:textId="77777777" w:rsidR="00B47D65" w:rsidRDefault="00B47D65">
      <w:pPr>
        <w:jc w:val="both"/>
        <w:rPr>
          <w:rFonts w:ascii="Arial" w:hAnsi="Arial" w:cs="Arial"/>
          <w:sz w:val="20"/>
        </w:rPr>
      </w:pPr>
    </w:p>
    <w:p w14:paraId="5C4E74E0" w14:textId="77777777" w:rsidR="00693223" w:rsidRDefault="00693223" w:rsidP="00CA2663">
      <w:pPr>
        <w:pStyle w:val="Heading2"/>
        <w:keepNext/>
        <w:keepLines/>
        <w:tabs>
          <w:tab w:val="left" w:pos="567"/>
        </w:tabs>
        <w:spacing w:line="240" w:lineRule="auto"/>
        <w:rPr>
          <w:rFonts w:ascii="Arial" w:hAnsi="Arial" w:cs="Arial"/>
          <w:b/>
          <w:bCs/>
        </w:rPr>
      </w:pPr>
      <w:bookmarkStart w:id="1691" w:name="_Toc60736220"/>
      <w:bookmarkStart w:id="1692" w:name="_4.17_Family_Drug"/>
      <w:bookmarkStart w:id="1693" w:name="B417"/>
      <w:bookmarkEnd w:id="1692"/>
      <w:bookmarkEnd w:id="1693"/>
      <w:r>
        <w:rPr>
          <w:rFonts w:ascii="Arial" w:hAnsi="Arial" w:cs="Arial"/>
          <w:b/>
          <w:bCs/>
        </w:rPr>
        <w:t>4.1</w:t>
      </w:r>
      <w:r w:rsidR="00F034D2" w:rsidRPr="00841D14">
        <w:rPr>
          <w:rFonts w:ascii="Arial" w:hAnsi="Arial" w:cs="Arial"/>
          <w:b/>
          <w:bCs/>
          <w:color w:val="000000"/>
        </w:rPr>
        <w:t>7</w:t>
      </w:r>
      <w:r>
        <w:rPr>
          <w:rFonts w:ascii="Arial" w:hAnsi="Arial" w:cs="Arial"/>
          <w:b/>
          <w:bCs/>
        </w:rPr>
        <w:tab/>
      </w:r>
      <w:bookmarkEnd w:id="1691"/>
      <w:r w:rsidR="00B22DF4">
        <w:rPr>
          <w:rFonts w:ascii="Arial" w:hAnsi="Arial" w:cs="Arial"/>
          <w:b/>
          <w:bCs/>
        </w:rPr>
        <w:t>Family Drug Treatment Court</w:t>
      </w:r>
    </w:p>
    <w:p w14:paraId="48E6961B" w14:textId="77777777" w:rsidR="00693223" w:rsidRDefault="00693223">
      <w:pPr>
        <w:rPr>
          <w:rFonts w:ascii="Arial" w:hAnsi="Arial" w:cs="Arial"/>
          <w:sz w:val="16"/>
        </w:rPr>
      </w:pPr>
    </w:p>
    <w:p w14:paraId="511976C1"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58EDA7FF" w14:textId="77777777" w:rsidR="008D1A09" w:rsidRDefault="008D1A09" w:rsidP="00B22DF4">
      <w:pPr>
        <w:jc w:val="both"/>
        <w:rPr>
          <w:rFonts w:ascii="Arial" w:hAnsi="Arial" w:cs="Arial"/>
          <w:sz w:val="20"/>
        </w:rPr>
      </w:pPr>
    </w:p>
    <w:p w14:paraId="3052D255" w14:textId="77777777"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substance misuse/dependence has played a significant part in their 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45BC18B" w14:textId="77777777" w:rsidR="00E81E1D" w:rsidRDefault="00E81E1D" w:rsidP="00B22DF4">
      <w:pPr>
        <w:jc w:val="both"/>
        <w:rPr>
          <w:rFonts w:ascii="Arial" w:hAnsi="Arial" w:cs="Arial"/>
          <w:sz w:val="20"/>
        </w:rPr>
      </w:pPr>
    </w:p>
    <w:p w14:paraId="7F1CFA50"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15BBC2FB" w14:textId="77777777" w:rsidR="00E81E1D" w:rsidRDefault="00E81E1D" w:rsidP="00B22DF4">
      <w:pPr>
        <w:jc w:val="both"/>
        <w:rPr>
          <w:rFonts w:ascii="Arial" w:hAnsi="Arial" w:cs="Arial"/>
          <w:sz w:val="20"/>
        </w:rPr>
      </w:pPr>
    </w:p>
    <w:p w14:paraId="5F33CAA8"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0F28711" w14:textId="77777777" w:rsidR="00E81E1D" w:rsidRDefault="00E81E1D" w:rsidP="00B22DF4">
      <w:pPr>
        <w:jc w:val="both"/>
        <w:rPr>
          <w:rFonts w:ascii="Arial" w:hAnsi="Arial" w:cs="Arial"/>
          <w:sz w:val="20"/>
        </w:rPr>
      </w:pPr>
    </w:p>
    <w:p w14:paraId="53347090"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1DCF38E7" w14:textId="77777777" w:rsidR="00E81E1D" w:rsidRDefault="00276528" w:rsidP="000C54CD">
      <w:pPr>
        <w:numPr>
          <w:ilvl w:val="0"/>
          <w:numId w:val="61"/>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31C6C1AC" w14:textId="77777777" w:rsidR="00276528" w:rsidRDefault="00276528" w:rsidP="000C54CD">
      <w:pPr>
        <w:numPr>
          <w:ilvl w:val="0"/>
          <w:numId w:val="61"/>
        </w:numPr>
        <w:ind w:left="357" w:hanging="357"/>
        <w:jc w:val="both"/>
        <w:rPr>
          <w:rFonts w:ascii="Arial" w:hAnsi="Arial" w:cs="Arial"/>
          <w:sz w:val="20"/>
        </w:rPr>
      </w:pPr>
      <w:r>
        <w:rPr>
          <w:rFonts w:ascii="Arial" w:hAnsi="Arial" w:cs="Arial"/>
          <w:sz w:val="20"/>
        </w:rPr>
        <w:t>participating in regular tests for the use of non-prescribed substances; and</w:t>
      </w:r>
    </w:p>
    <w:p w14:paraId="3100AF77" w14:textId="77777777" w:rsidR="00276528" w:rsidRDefault="00276528" w:rsidP="000C54CD">
      <w:pPr>
        <w:numPr>
          <w:ilvl w:val="0"/>
          <w:numId w:val="61"/>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025822C1" w14:textId="77777777" w:rsidR="00276528" w:rsidRDefault="00276528" w:rsidP="00276528">
      <w:pPr>
        <w:jc w:val="both"/>
        <w:rPr>
          <w:rFonts w:ascii="Arial" w:hAnsi="Arial" w:cs="Arial"/>
          <w:sz w:val="20"/>
        </w:rPr>
      </w:pPr>
      <w:r>
        <w:rPr>
          <w:rFonts w:ascii="Arial" w:hAnsi="Arial" w:cs="Arial"/>
          <w:sz w:val="20"/>
        </w:rPr>
        <w:t>Upon advice from the team, the FDTC judicial officer may impose a range of rewards or consequences according to positive or negative behaviours of the parent in relation to the treatment plan.</w:t>
      </w:r>
    </w:p>
    <w:p w14:paraId="0A39F446" w14:textId="77777777" w:rsidR="00276528" w:rsidRDefault="00276528" w:rsidP="00276528">
      <w:pPr>
        <w:jc w:val="both"/>
        <w:rPr>
          <w:rFonts w:ascii="Arial" w:hAnsi="Arial" w:cs="Arial"/>
          <w:sz w:val="20"/>
        </w:rPr>
      </w:pPr>
    </w:p>
    <w:p w14:paraId="6C5CD0B6"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3FBFB830" w14:textId="77777777" w:rsidR="00276528" w:rsidRDefault="00276528" w:rsidP="00276528">
      <w:pPr>
        <w:jc w:val="both"/>
        <w:rPr>
          <w:rFonts w:ascii="Arial" w:hAnsi="Arial" w:cs="Arial"/>
          <w:sz w:val="20"/>
        </w:rPr>
      </w:pPr>
    </w:p>
    <w:p w14:paraId="3909F183"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4D8313E4" w14:textId="77777777" w:rsidR="00276528" w:rsidRDefault="00276528" w:rsidP="00276528">
      <w:pPr>
        <w:jc w:val="both"/>
        <w:rPr>
          <w:rFonts w:ascii="Arial" w:hAnsi="Arial" w:cs="Arial"/>
          <w:sz w:val="20"/>
        </w:rPr>
      </w:pPr>
    </w:p>
    <w:p w14:paraId="389F01D9" w14:textId="77777777" w:rsidR="003D782E" w:rsidRDefault="003D782E" w:rsidP="00276528">
      <w:pPr>
        <w:jc w:val="both"/>
        <w:rPr>
          <w:rFonts w:ascii="Arial" w:hAnsi="Arial" w:cs="Arial"/>
          <w:sz w:val="20"/>
        </w:rPr>
      </w:pPr>
      <w:r>
        <w:rPr>
          <w:rFonts w:ascii="Arial" w:hAnsi="Arial" w:cs="Arial"/>
          <w:sz w:val="20"/>
        </w:rPr>
        <w:t>In 2019 the FDTC received the Robin Clark ‘Making a Difference’ award at the Victorian Protecting Children Awards ceremony.  The award recognises an individual, team or group within the child and family service sector that has made an exceptional contribution to directly improve the lives of children, young people and families in Victoria.  It is the first time this kind of award has been conferred on a court-based program.</w:t>
      </w:r>
    </w:p>
    <w:p w14:paraId="4716AA83" w14:textId="77777777" w:rsidR="003D782E" w:rsidRDefault="003D782E" w:rsidP="00276528">
      <w:pPr>
        <w:jc w:val="both"/>
        <w:rPr>
          <w:rFonts w:ascii="Arial" w:hAnsi="Arial" w:cs="Arial"/>
          <w:sz w:val="20"/>
        </w:rPr>
      </w:pPr>
    </w:p>
    <w:p w14:paraId="4B9844C5" w14:textId="77777777" w:rsidR="00EE0D10" w:rsidRDefault="00EE0D10" w:rsidP="00EE0D10">
      <w:pPr>
        <w:jc w:val="both"/>
        <w:rPr>
          <w:rFonts w:ascii="Arial" w:hAnsi="Arial" w:cs="Arial"/>
          <w:sz w:val="20"/>
        </w:rPr>
      </w:pPr>
      <w:r>
        <w:rPr>
          <w:rFonts w:ascii="Arial" w:hAnsi="Arial" w:cs="Arial"/>
          <w:sz w:val="20"/>
        </w:rPr>
        <w:t xml:space="preserve">Magistrate Greg Levine OAM was the first head of the FDTC.  </w:t>
      </w:r>
      <w:r w:rsidR="00D21BA4">
        <w:rPr>
          <w:rFonts w:ascii="Arial" w:hAnsi="Arial" w:cs="Arial"/>
          <w:sz w:val="20"/>
        </w:rPr>
        <w:t>In April 2015 he</w:t>
      </w:r>
      <w:r>
        <w:rPr>
          <w:rFonts w:ascii="Arial" w:hAnsi="Arial" w:cs="Arial"/>
          <w:sz w:val="20"/>
        </w:rPr>
        <w:t xml:space="preserve"> reached mandatory retiring age – although he has been reappointed as a Reserve Magistrate – and Magistrate Kay Macpherson </w:t>
      </w:r>
      <w:r w:rsidR="009E418F">
        <w:rPr>
          <w:rFonts w:ascii="Arial" w:hAnsi="Arial" w:cs="Arial"/>
          <w:sz w:val="20"/>
        </w:rPr>
        <w:t>is now</w:t>
      </w:r>
      <w:r>
        <w:rPr>
          <w:rFonts w:ascii="Arial" w:hAnsi="Arial" w:cs="Arial"/>
          <w:sz w:val="20"/>
        </w:rPr>
        <w:t xml:space="preserve"> head of the FDTC in his place.  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 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2B9329F6" w14:textId="77777777" w:rsidR="00B22DF4" w:rsidRDefault="00B22DF4" w:rsidP="00B22DF4">
      <w:pPr>
        <w:rPr>
          <w:rFonts w:ascii="Arial" w:hAnsi="Arial" w:cs="Arial"/>
          <w:sz w:val="16"/>
        </w:rPr>
      </w:pPr>
    </w:p>
    <w:p w14:paraId="47BD8787" w14:textId="77777777" w:rsidR="00D24154" w:rsidRDefault="00D24154" w:rsidP="00B22DF4">
      <w:pPr>
        <w:rPr>
          <w:rFonts w:ascii="Arial" w:hAnsi="Arial" w:cs="Arial"/>
          <w:sz w:val="20"/>
          <w:szCs w:val="32"/>
        </w:rPr>
      </w:pPr>
      <w:r w:rsidRPr="00D24154">
        <w:rPr>
          <w:rFonts w:ascii="Arial" w:hAnsi="Arial" w:cs="Arial"/>
          <w:sz w:val="20"/>
          <w:szCs w:val="32"/>
        </w:rPr>
        <w:t xml:space="preserve">In the Children’s Court of Victoria 2018/19 Annual Report the </w:t>
      </w:r>
      <w:r>
        <w:rPr>
          <w:rFonts w:ascii="Arial" w:hAnsi="Arial" w:cs="Arial"/>
          <w:sz w:val="20"/>
          <w:szCs w:val="32"/>
        </w:rPr>
        <w:t>following information is provided about the FDTC:</w:t>
      </w:r>
    </w:p>
    <w:p w14:paraId="4D05129F"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56A829AA" w14:textId="77777777" w:rsidR="003D782E" w:rsidRDefault="003D782E" w:rsidP="003D782E">
      <w:pPr>
        <w:rPr>
          <w:rFonts w:ascii="Arial" w:hAnsi="Arial" w:cs="Arial"/>
          <w:sz w:val="16"/>
        </w:rPr>
      </w:pPr>
    </w:p>
    <w:p w14:paraId="0C5338AD" w14:textId="77777777" w:rsidR="003D782E" w:rsidRDefault="003D782E" w:rsidP="003D782E">
      <w:pPr>
        <w:rPr>
          <w:rFonts w:ascii="Arial" w:hAnsi="Arial" w:cs="Arial"/>
          <w:sz w:val="20"/>
          <w:szCs w:val="32"/>
        </w:rPr>
      </w:pPr>
      <w:r w:rsidRPr="00D24154">
        <w:rPr>
          <w:rFonts w:ascii="Arial" w:hAnsi="Arial" w:cs="Arial"/>
          <w:sz w:val="20"/>
          <w:szCs w:val="32"/>
        </w:rPr>
        <w:t>In the Children’s Court of Victoria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6FB1F71F"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19625BE5"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6D6C2EF0" w14:textId="77777777" w:rsidR="003D782E" w:rsidRDefault="003D782E" w:rsidP="00B22DF4">
      <w:pPr>
        <w:rPr>
          <w:rFonts w:ascii="Arial" w:hAnsi="Arial" w:cs="Arial"/>
          <w:sz w:val="16"/>
        </w:rPr>
      </w:pPr>
    </w:p>
    <w:p w14:paraId="6A51A9B7" w14:textId="77777777" w:rsidR="00B22DF4" w:rsidRDefault="00B22DF4" w:rsidP="00B22DF4">
      <w:pPr>
        <w:pStyle w:val="Heading2"/>
        <w:keepNext/>
        <w:keepLines/>
        <w:tabs>
          <w:tab w:val="left" w:pos="567"/>
        </w:tabs>
        <w:spacing w:line="240" w:lineRule="auto"/>
        <w:rPr>
          <w:rFonts w:ascii="Arial" w:hAnsi="Arial" w:cs="Arial"/>
          <w:b/>
          <w:bCs/>
        </w:rPr>
      </w:pPr>
      <w:bookmarkStart w:id="1694" w:name="_4.18_Some_other"/>
      <w:bookmarkStart w:id="1695" w:name="B418"/>
      <w:bookmarkEnd w:id="1694"/>
      <w:bookmarkEnd w:id="1695"/>
      <w:r>
        <w:rPr>
          <w:rFonts w:ascii="Arial" w:hAnsi="Arial" w:cs="Arial"/>
          <w:b/>
          <w:bCs/>
        </w:rPr>
        <w:t>4.1</w:t>
      </w:r>
      <w:r>
        <w:rPr>
          <w:rFonts w:ascii="Arial" w:hAnsi="Arial" w:cs="Arial"/>
          <w:b/>
          <w:bCs/>
          <w:color w:val="000000"/>
        </w:rPr>
        <w:t>8</w:t>
      </w:r>
      <w:r>
        <w:rPr>
          <w:rFonts w:ascii="Arial" w:hAnsi="Arial" w:cs="Arial"/>
          <w:b/>
          <w:bCs/>
        </w:rPr>
        <w:tab/>
        <w:t>Some other relevant papers</w:t>
      </w:r>
    </w:p>
    <w:p w14:paraId="59E8CD7C" w14:textId="77777777" w:rsidR="00B22DF4" w:rsidRDefault="00B22DF4" w:rsidP="00D24154">
      <w:pPr>
        <w:keepNext/>
        <w:keepLines/>
        <w:rPr>
          <w:rFonts w:ascii="Arial" w:hAnsi="Arial" w:cs="Arial"/>
          <w:sz w:val="16"/>
        </w:rPr>
      </w:pPr>
    </w:p>
    <w:p w14:paraId="531FFF7D" w14:textId="77777777" w:rsidR="00693223" w:rsidRDefault="00693223">
      <w:pPr>
        <w:jc w:val="both"/>
        <w:rPr>
          <w:rFonts w:ascii="Arial" w:hAnsi="Arial" w:cs="Arial"/>
          <w:sz w:val="20"/>
        </w:rPr>
      </w:pPr>
      <w:r>
        <w:rPr>
          <w:rFonts w:ascii="Arial" w:hAnsi="Arial" w:cs="Arial"/>
          <w:sz w:val="20"/>
        </w:rPr>
        <w:t xml:space="preserve">Copies of the following papers on various aspects of child &amp; adult psychology, child development, child welfare and/or domestic violence - many of which were provided by the </w:t>
      </w:r>
      <w:r w:rsidR="00FE7F93">
        <w:rPr>
          <w:rFonts w:ascii="Arial" w:hAnsi="Arial" w:cs="Arial"/>
          <w:sz w:val="20"/>
        </w:rPr>
        <w:t xml:space="preserve">former </w:t>
      </w:r>
      <w:r>
        <w:rPr>
          <w:rFonts w:ascii="Arial" w:hAnsi="Arial" w:cs="Arial"/>
          <w:sz w:val="20"/>
        </w:rPr>
        <w:t xml:space="preserve">Director of the Children's Court Clinic </w:t>
      </w:r>
      <w:r w:rsidR="00FE7F93">
        <w:rPr>
          <w:rFonts w:ascii="Arial" w:hAnsi="Arial" w:cs="Arial"/>
          <w:sz w:val="20"/>
        </w:rPr>
        <w:t>–</w:t>
      </w:r>
      <w:r>
        <w:rPr>
          <w:rFonts w:ascii="Arial" w:hAnsi="Arial" w:cs="Arial"/>
          <w:sz w:val="20"/>
        </w:rPr>
        <w:t xml:space="preserve"> are</w:t>
      </w:r>
      <w:r w:rsidR="00FE7F93">
        <w:rPr>
          <w:rFonts w:ascii="Arial" w:hAnsi="Arial" w:cs="Arial"/>
          <w:sz w:val="20"/>
        </w:rPr>
        <w:t xml:space="preserve"> </w:t>
      </w:r>
      <w:r>
        <w:rPr>
          <w:rFonts w:ascii="Arial" w:hAnsi="Arial" w:cs="Arial"/>
          <w:sz w:val="20"/>
        </w:rPr>
        <w:t>held by the Court Liaison Officer at Melbourne Children's Court.</w:t>
      </w:r>
    </w:p>
    <w:p w14:paraId="0D993867" w14:textId="77777777" w:rsidR="00693223" w:rsidRDefault="00693223">
      <w:pPr>
        <w:rPr>
          <w:rFonts w:ascii="Arial" w:hAnsi="Arial" w:cs="Arial"/>
          <w:sz w:val="20"/>
        </w:rPr>
      </w:pPr>
    </w:p>
    <w:p w14:paraId="4A1580AA" w14:textId="77777777" w:rsidR="00693223" w:rsidRDefault="00693223" w:rsidP="00E75912">
      <w:pPr>
        <w:keepNext/>
        <w:keepLines/>
        <w:ind w:left="720" w:hanging="720"/>
        <w:jc w:val="both"/>
        <w:rPr>
          <w:rFonts w:ascii="Arial" w:hAnsi="Arial" w:cs="Arial"/>
          <w:b/>
          <w:bCs/>
          <w:sz w:val="28"/>
          <w:bdr w:val="single" w:sz="4" w:space="0" w:color="auto"/>
        </w:rPr>
      </w:pPr>
      <w:r>
        <w:rPr>
          <w:rFonts w:ascii="Arial" w:hAnsi="Arial" w:cs="Arial"/>
          <w:b/>
          <w:bCs/>
          <w:sz w:val="28"/>
        </w:rPr>
        <w:t>F1</w:t>
      </w:r>
    </w:p>
    <w:p w14:paraId="35F5CAE8" w14:textId="77777777" w:rsidR="00693223" w:rsidRDefault="00693223" w:rsidP="002C17CA">
      <w:pPr>
        <w:jc w:val="both"/>
        <w:rPr>
          <w:rFonts w:ascii="Arial" w:hAnsi="Arial" w:cs="Arial"/>
          <w:b/>
          <w:bCs/>
          <w:sz w:val="32"/>
        </w:rPr>
      </w:pPr>
      <w:r>
        <w:rPr>
          <w:rFonts w:ascii="Arial" w:hAnsi="Arial" w:cs="Arial"/>
          <w:b/>
          <w:bCs/>
        </w:rPr>
        <w:t>Are Children of Young Mothers Disadvantaged Because of Their Mother's Age or Family Background?</w:t>
      </w:r>
    </w:p>
    <w:p w14:paraId="3175F542" w14:textId="77777777" w:rsidR="00693223" w:rsidRDefault="00693223" w:rsidP="002C17CA">
      <w:pPr>
        <w:jc w:val="both"/>
        <w:rPr>
          <w:rFonts w:ascii="Arial" w:hAnsi="Arial" w:cs="Arial"/>
          <w:sz w:val="20"/>
        </w:rPr>
      </w:pPr>
      <w:r>
        <w:rPr>
          <w:rFonts w:ascii="Arial" w:hAnsi="Arial" w:cs="Arial"/>
          <w:sz w:val="20"/>
        </w:rPr>
        <w:t>Ruth N. López Turley</w:t>
      </w:r>
    </w:p>
    <w:p w14:paraId="154EA9B0" w14:textId="77777777" w:rsidR="00693223" w:rsidRDefault="00693223" w:rsidP="002C17CA">
      <w:pPr>
        <w:jc w:val="both"/>
        <w:rPr>
          <w:rFonts w:ascii="Arial" w:hAnsi="Arial" w:cs="Arial"/>
          <w:sz w:val="20"/>
        </w:rPr>
      </w:pPr>
      <w:r>
        <w:rPr>
          <w:rFonts w:ascii="Arial" w:hAnsi="Arial" w:cs="Arial"/>
          <w:i/>
          <w:iCs/>
          <w:sz w:val="20"/>
        </w:rPr>
        <w:t>Child Development, March/April 2003, Volume 74, Number 2,</w:t>
      </w:r>
      <w:r>
        <w:rPr>
          <w:rFonts w:ascii="Arial" w:hAnsi="Arial" w:cs="Arial"/>
          <w:sz w:val="20"/>
        </w:rPr>
        <w:t xml:space="preserve"> Pages 465-474</w:t>
      </w:r>
    </w:p>
    <w:p w14:paraId="05D08E12" w14:textId="77777777" w:rsidR="00693223" w:rsidRDefault="00693223" w:rsidP="002C17CA">
      <w:pPr>
        <w:spacing w:before="120"/>
        <w:jc w:val="both"/>
        <w:rPr>
          <w:rFonts w:ascii="Arial" w:hAnsi="Arial" w:cs="Arial"/>
          <w:sz w:val="20"/>
        </w:rPr>
      </w:pPr>
      <w:r>
        <w:rPr>
          <w:rFonts w:ascii="Arial" w:hAnsi="Arial" w:cs="Arial"/>
          <w:sz w:val="20"/>
        </w:rPr>
        <w:t>Using a national sample of children 3 to 16 years old, this study found that the lower test scores and increased behaviour problems of children born to younger mothers are not due to her age but to her family background.  First, for non-firstborn children, maternal age at first birth has a significant effect on test scores, whereas maternal age at the child's birth does not.  Second, this study replicated a controversial study by Geronimus, Korenmann and Hillemeier (1994) and found that the disadvantage of children born to younger mothers is greatly reduced when maternal family background is controlled through a comparison of children born to sisters.  Third, maternal age is not an important predictor of children's test score rates of improvement over time.  This evidence suggests that maternal age is not causal.</w:t>
      </w:r>
    </w:p>
    <w:p w14:paraId="2CE706CE" w14:textId="77777777" w:rsidR="00693223" w:rsidRDefault="00693223">
      <w:pPr>
        <w:rPr>
          <w:rFonts w:ascii="Arial" w:hAnsi="Arial" w:cs="Arial"/>
          <w:sz w:val="20"/>
        </w:rPr>
      </w:pPr>
    </w:p>
    <w:p w14:paraId="35FCE481" w14:textId="77777777" w:rsidR="00693223" w:rsidRDefault="00693223" w:rsidP="001C645E">
      <w:pPr>
        <w:keepNext/>
        <w:keepLines/>
        <w:ind w:left="720" w:hanging="720"/>
        <w:jc w:val="both"/>
        <w:rPr>
          <w:rFonts w:ascii="Arial" w:hAnsi="Arial" w:cs="Arial"/>
          <w:b/>
          <w:bCs/>
          <w:sz w:val="28"/>
          <w:bdr w:val="single" w:sz="4" w:space="0" w:color="auto"/>
        </w:rPr>
      </w:pPr>
      <w:r>
        <w:rPr>
          <w:rFonts w:ascii="Arial" w:hAnsi="Arial" w:cs="Arial"/>
          <w:b/>
          <w:bCs/>
          <w:sz w:val="28"/>
        </w:rPr>
        <w:lastRenderedPageBreak/>
        <w:t>F2</w:t>
      </w:r>
    </w:p>
    <w:p w14:paraId="41D6F045" w14:textId="77777777" w:rsidR="00693223" w:rsidRDefault="00693223" w:rsidP="00F927EC">
      <w:pPr>
        <w:keepNext/>
        <w:keepLines/>
        <w:jc w:val="both"/>
        <w:rPr>
          <w:rFonts w:ascii="Arial" w:hAnsi="Arial" w:cs="Arial"/>
          <w:b/>
          <w:bCs/>
          <w:sz w:val="32"/>
        </w:rPr>
      </w:pPr>
      <w:r>
        <w:rPr>
          <w:rFonts w:ascii="Arial" w:hAnsi="Arial" w:cs="Arial"/>
          <w:b/>
          <w:bCs/>
        </w:rPr>
        <w:t>Motherhood, intellectual disability and child protection: characteristics of a court sample</w:t>
      </w:r>
    </w:p>
    <w:p w14:paraId="6DCC64E0" w14:textId="77777777" w:rsidR="00693223" w:rsidRDefault="00693223" w:rsidP="008A58C3">
      <w:pPr>
        <w:keepNext/>
        <w:keepLines/>
        <w:jc w:val="both"/>
        <w:rPr>
          <w:rFonts w:ascii="Arial" w:hAnsi="Arial" w:cs="Arial"/>
          <w:sz w:val="20"/>
        </w:rPr>
      </w:pPr>
      <w:r>
        <w:rPr>
          <w:rFonts w:ascii="Arial" w:hAnsi="Arial" w:cs="Arial"/>
          <w:sz w:val="20"/>
        </w:rPr>
        <w:t xml:space="preserve">Daphne </w:t>
      </w:r>
      <w:smartTag w:uri="urn:schemas-microsoft-com:office:smarttags" w:element="place">
        <w:r>
          <w:rPr>
            <w:rFonts w:ascii="Arial" w:hAnsi="Arial" w:cs="Arial"/>
            <w:sz w:val="20"/>
          </w:rPr>
          <w:t>E. Glaun</w:t>
        </w:r>
      </w:smartTag>
      <w:r>
        <w:rPr>
          <w:rFonts w:ascii="Arial" w:hAnsi="Arial" w:cs="Arial"/>
          <w:sz w:val="20"/>
        </w:rPr>
        <w:t xml:space="preserve"> (Royal Children's Hospital) &amp; Patricia F. Brown (Director, Children's Court Clinic)</w:t>
      </w:r>
    </w:p>
    <w:p w14:paraId="5546CF19" w14:textId="77777777" w:rsidR="00693223" w:rsidRDefault="00693223">
      <w:pPr>
        <w:jc w:val="both"/>
        <w:rPr>
          <w:rFonts w:ascii="Arial" w:hAnsi="Arial" w:cs="Arial"/>
          <w:sz w:val="20"/>
        </w:rPr>
      </w:pPr>
      <w:r>
        <w:rPr>
          <w:rFonts w:ascii="Arial" w:hAnsi="Arial" w:cs="Arial"/>
          <w:i/>
          <w:iCs/>
          <w:sz w:val="20"/>
        </w:rPr>
        <w:t>Journal of Intellectual &amp; Developmental Disability, Vol.24, No.1,</w:t>
      </w:r>
      <w:r>
        <w:rPr>
          <w:rFonts w:ascii="Arial" w:hAnsi="Arial" w:cs="Arial"/>
          <w:sz w:val="20"/>
        </w:rPr>
        <w:t xml:space="preserve"> pp.95-105, 1999</w:t>
      </w:r>
    </w:p>
    <w:p w14:paraId="1883D750" w14:textId="77777777" w:rsidR="00693223" w:rsidRDefault="00693223">
      <w:pPr>
        <w:spacing w:before="120"/>
        <w:jc w:val="both"/>
        <w:rPr>
          <w:rFonts w:ascii="Arial" w:hAnsi="Arial" w:cs="Arial"/>
          <w:sz w:val="20"/>
        </w:rPr>
      </w:pPr>
      <w:r>
        <w:rPr>
          <w:rFonts w:ascii="Arial" w:hAnsi="Arial" w:cs="Arial"/>
          <w:sz w:val="20"/>
        </w:rPr>
        <w:t>Attitudes still prevail in society that children of mothers who have an intellectual disability may be at increased risk of abuse or neglect.  This small exploratory study retrospectively examined Children's Court Clinic case notes and records of 12 families before the Court on child protection grounds in which the mother had a documented intellectual disability.  Predominantly neglect rather than abuse was alleged.  These mothers did not typically show a pattern of deliberate physical harm to the child but rather demonstrated serious omissions in care.  This may have influenced decision making by the magistrates, since half of the mothers were granted care under a supervision order. Mothers in this sample presented with multiple problems and had needs which went beyond the acquisition of parenting skills.  They frequently had a history of deprivation, neglect or sexual abuse in their own childhoods.  A high prevalence of co-morbidity, such as drug abuse, psychiatric or medical disorder, was also a significant finding.  Fathers were often absent, but when involved many were ill equipped to help because of intellectual or health problems.  Possible risk factors within the child were high levels of developmental delay and multiple handicap.  Findings suggest that the cumulative weight of stressful emotional, physical and social factors, in combination with limited intellectual resources, had precipitated a crisis in the mother's child care.  The mothers require social supports, particularly informal ones, together with specialist health care for themselves and their children and intensive but sensitively delivered professional support.</w:t>
      </w:r>
    </w:p>
    <w:p w14:paraId="14E7DAC0" w14:textId="77777777" w:rsidR="00693223" w:rsidRDefault="00693223">
      <w:pPr>
        <w:rPr>
          <w:rFonts w:ascii="Arial" w:hAnsi="Arial" w:cs="Arial"/>
          <w:sz w:val="20"/>
        </w:rPr>
      </w:pPr>
    </w:p>
    <w:p w14:paraId="1DBFC48E" w14:textId="77777777" w:rsidR="00693223" w:rsidRDefault="00693223" w:rsidP="00C32207">
      <w:pPr>
        <w:keepNext/>
        <w:keepLines/>
        <w:ind w:left="720" w:hanging="720"/>
        <w:jc w:val="both"/>
        <w:rPr>
          <w:rFonts w:ascii="Arial" w:hAnsi="Arial" w:cs="Arial"/>
          <w:b/>
          <w:bCs/>
          <w:sz w:val="28"/>
          <w:bdr w:val="single" w:sz="4" w:space="0" w:color="auto"/>
        </w:rPr>
      </w:pPr>
      <w:r>
        <w:rPr>
          <w:rFonts w:ascii="Arial" w:hAnsi="Arial" w:cs="Arial"/>
          <w:b/>
          <w:bCs/>
          <w:sz w:val="28"/>
        </w:rPr>
        <w:t>F3</w:t>
      </w:r>
    </w:p>
    <w:p w14:paraId="60E43607" w14:textId="77777777" w:rsidR="00693223" w:rsidRDefault="00693223" w:rsidP="00031B60">
      <w:pPr>
        <w:keepNext/>
        <w:keepLines/>
        <w:jc w:val="both"/>
        <w:rPr>
          <w:rFonts w:ascii="Arial" w:hAnsi="Arial" w:cs="Arial"/>
          <w:b/>
          <w:bCs/>
          <w:sz w:val="32"/>
        </w:rPr>
      </w:pPr>
      <w:r>
        <w:rPr>
          <w:rFonts w:ascii="Arial" w:hAnsi="Arial" w:cs="Arial"/>
          <w:b/>
          <w:bCs/>
        </w:rPr>
        <w:t>Does Father Absence Place Daughters at Special Risk for Early Sexual Activity and Teenage Pregnancy?</w:t>
      </w:r>
    </w:p>
    <w:p w14:paraId="2DF99E75" w14:textId="77777777" w:rsidR="00693223" w:rsidRDefault="00693223">
      <w:pPr>
        <w:jc w:val="both"/>
        <w:rPr>
          <w:rFonts w:ascii="Arial" w:hAnsi="Arial" w:cs="Arial"/>
          <w:sz w:val="20"/>
        </w:rPr>
      </w:pPr>
      <w:r>
        <w:rPr>
          <w:rFonts w:ascii="Arial" w:hAnsi="Arial" w:cs="Arial"/>
          <w:sz w:val="20"/>
        </w:rPr>
        <w:t>Bruce J. Ellis, John E. Bates, Kenneth A. Dodge, David M. Fergusson, L. John Horwood, Gregory S. Pettit and Lianne Woodward</w:t>
      </w:r>
    </w:p>
    <w:p w14:paraId="5C40C844" w14:textId="77777777" w:rsidR="00693223" w:rsidRDefault="00693223">
      <w:pPr>
        <w:jc w:val="both"/>
        <w:rPr>
          <w:rFonts w:ascii="Arial" w:hAnsi="Arial" w:cs="Arial"/>
          <w:sz w:val="20"/>
        </w:rPr>
      </w:pPr>
      <w:r>
        <w:rPr>
          <w:rFonts w:ascii="Arial" w:hAnsi="Arial" w:cs="Arial"/>
          <w:i/>
          <w:iCs/>
          <w:sz w:val="20"/>
        </w:rPr>
        <w:t>Child Development, May/June 2003, Volume 74, Number 3,</w:t>
      </w:r>
      <w:r>
        <w:rPr>
          <w:rFonts w:ascii="Arial" w:hAnsi="Arial" w:cs="Arial"/>
          <w:sz w:val="20"/>
        </w:rPr>
        <w:t xml:space="preserve"> Pages 801-821</w:t>
      </w:r>
    </w:p>
    <w:p w14:paraId="3C4FC9C5" w14:textId="77777777" w:rsidR="00693223" w:rsidRDefault="00693223">
      <w:pPr>
        <w:spacing w:before="120"/>
        <w:jc w:val="both"/>
        <w:rPr>
          <w:rFonts w:ascii="Arial" w:hAnsi="Arial" w:cs="Arial"/>
          <w:sz w:val="20"/>
        </w:rPr>
      </w:pPr>
      <w:r>
        <w:rPr>
          <w:rFonts w:ascii="Arial" w:hAnsi="Arial" w:cs="Arial"/>
          <w:sz w:val="20"/>
        </w:rPr>
        <w:t xml:space="preserve">The impact of father absence on early sexual activity and teenage pregnancy was investigated in longitudinal studies in the </w:t>
      </w:r>
      <w:smartTag w:uri="urn:schemas-microsoft-com:office:smarttags" w:element="country-region">
        <w:r>
          <w:rPr>
            <w:rFonts w:ascii="Arial" w:hAnsi="Arial" w:cs="Arial"/>
            <w:sz w:val="20"/>
          </w:rPr>
          <w:t>United States</w:t>
        </w:r>
      </w:smartTag>
      <w:r>
        <w:rPr>
          <w:rFonts w:ascii="Arial" w:hAnsi="Arial" w:cs="Arial"/>
          <w:sz w:val="20"/>
        </w:rPr>
        <w:t xml:space="preserve"> (N=242) and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(N=520), in which community samples of girls were followed prospectively from early in life (5 years) to approximately age 18.  Greater exposure to father absence was strongly associated with elevated risk for early sexual activity and adolescent pregnancy.  This elevated risk was either not explained (in the </w:t>
      </w:r>
      <w:smartTag w:uri="urn:schemas-microsoft-com:office:smarttags" w:element="country-region">
        <w:r>
          <w:rPr>
            <w:rFonts w:ascii="Arial" w:hAnsi="Arial" w:cs="Arial"/>
            <w:sz w:val="20"/>
          </w:rPr>
          <w:t>U.S.</w:t>
        </w:r>
      </w:smartTag>
      <w:r>
        <w:rPr>
          <w:rFonts w:ascii="Arial" w:hAnsi="Arial" w:cs="Arial"/>
          <w:sz w:val="20"/>
        </w:rPr>
        <w:t xml:space="preserve"> study) or only partly explained (in the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study) by familial, ecological, and personal disadvantages associated with father absence.  After controlling for covariates, there was stronger and more consistent evidence of effects of father absence on early sexual activity and early teenage pregnancy than on other behavioural or mental health problems or academic achievement.  Effects of father absence are discussed in terms of life-course adversity, evolutionary psychology, social learning and behaviour genetic models.</w:t>
      </w:r>
    </w:p>
    <w:p w14:paraId="5BFC6813" w14:textId="77777777" w:rsidR="00693223" w:rsidRDefault="00693223">
      <w:pPr>
        <w:rPr>
          <w:rFonts w:ascii="Arial" w:hAnsi="Arial" w:cs="Arial"/>
          <w:sz w:val="20"/>
        </w:rPr>
      </w:pPr>
    </w:p>
    <w:p w14:paraId="7D31951D"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F4</w:t>
      </w:r>
    </w:p>
    <w:p w14:paraId="72326F2B" w14:textId="77777777" w:rsidR="00693223" w:rsidRDefault="00693223">
      <w:pPr>
        <w:jc w:val="both"/>
        <w:rPr>
          <w:rFonts w:ascii="Arial" w:hAnsi="Arial" w:cs="Arial"/>
          <w:b/>
          <w:bCs/>
          <w:sz w:val="32"/>
        </w:rPr>
      </w:pPr>
      <w:r>
        <w:rPr>
          <w:rFonts w:ascii="Arial" w:hAnsi="Arial" w:cs="Arial"/>
          <w:b/>
          <w:bCs/>
        </w:rPr>
        <w:t>Suggestibility of the Child Witness: A Historical Review and Synthesis</w:t>
      </w:r>
    </w:p>
    <w:p w14:paraId="13DFCBB8" w14:textId="77777777" w:rsidR="00693223" w:rsidRDefault="00693223">
      <w:pPr>
        <w:jc w:val="both"/>
        <w:rPr>
          <w:rFonts w:ascii="Arial" w:hAnsi="Arial" w:cs="Arial"/>
          <w:sz w:val="20"/>
        </w:rPr>
      </w:pPr>
      <w:r>
        <w:rPr>
          <w:rFonts w:ascii="Arial" w:hAnsi="Arial" w:cs="Arial"/>
          <w:sz w:val="20"/>
        </w:rPr>
        <w:t xml:space="preserve">Stephen J. Cerci (Department of Human Development, </w:t>
      </w:r>
      <w:smartTag w:uri="urn:schemas-microsoft-com:office:smarttags" w:element="PlaceName">
        <w:r>
          <w:rPr>
            <w:rFonts w:ascii="Arial" w:hAnsi="Arial" w:cs="Arial"/>
            <w:sz w:val="20"/>
          </w:rPr>
          <w:t>Cornell</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&amp; Maggie Bruck (Department of Psychology, </w:t>
      </w:r>
      <w:smartTag w:uri="urn:schemas-microsoft-com:office:smarttags" w:element="place">
        <w:smartTag w:uri="urn:schemas-microsoft-com:office:smarttags" w:element="PlaceName">
          <w:r>
            <w:rPr>
              <w:rFonts w:ascii="Arial" w:hAnsi="Arial" w:cs="Arial"/>
              <w:sz w:val="20"/>
            </w:rPr>
            <w:t>McGill</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r>
        <w:rPr>
          <w:rFonts w:ascii="Arial" w:hAnsi="Arial" w:cs="Arial"/>
          <w:sz w:val="20"/>
        </w:rPr>
        <w:t>)</w:t>
      </w:r>
    </w:p>
    <w:p w14:paraId="0B971881" w14:textId="77777777" w:rsidR="00693223" w:rsidRDefault="00693223">
      <w:pPr>
        <w:spacing w:before="120"/>
        <w:jc w:val="both"/>
        <w:rPr>
          <w:rFonts w:ascii="Arial" w:hAnsi="Arial" w:cs="Arial"/>
          <w:sz w:val="20"/>
        </w:rPr>
      </w:pPr>
      <w:r>
        <w:rPr>
          <w:rFonts w:ascii="Arial" w:hAnsi="Arial" w:cs="Arial"/>
          <w:sz w:val="20"/>
        </w:rPr>
        <w:t>The field of children's testimony is in turmoil, but a resolution to seemingly intractable debates now appears attainable.  In this review the authors place the current disagreement in historical context and describe psychological and legal views of child witnesses held by scholars since the turn of the 20</w:t>
      </w:r>
      <w:r>
        <w:rPr>
          <w:rFonts w:ascii="Arial" w:hAnsi="Arial" w:cs="Arial"/>
          <w:sz w:val="20"/>
          <w:vertAlign w:val="superscript"/>
        </w:rPr>
        <w:t>th</w:t>
      </w:r>
      <w:r>
        <w:rPr>
          <w:rFonts w:ascii="Arial" w:hAnsi="Arial" w:cs="Arial"/>
          <w:sz w:val="20"/>
        </w:rPr>
        <w:t xml:space="preserve"> century.  Although there has been consistent interest in children's suggestibility over the past century, the past 15 years have been the most active in terms of the number of published studies and novel theorizing about the causal mechanisms that underpin the observed findings.  A synthesis of this research posits three 'families' of factors - cognitive, social and biological - that must be considered if one is to understand seemingly contradictory interpretations of the findings.  The authors conclude that there are reliable age differences in suggestibility but that even very young children are capable of </w:t>
      </w:r>
      <w:r>
        <w:rPr>
          <w:rFonts w:ascii="Arial" w:hAnsi="Arial" w:cs="Arial"/>
          <w:sz w:val="20"/>
        </w:rPr>
        <w:lastRenderedPageBreak/>
        <w:t>recalling much that is forensically relevant.  Findings are discussed in terms of the role of expert witnesses.</w:t>
      </w:r>
    </w:p>
    <w:p w14:paraId="3E93CB5B" w14:textId="77777777" w:rsidR="00693223" w:rsidRDefault="00693223">
      <w:pPr>
        <w:rPr>
          <w:rFonts w:ascii="Arial" w:hAnsi="Arial" w:cs="Arial"/>
          <w:sz w:val="20"/>
        </w:rPr>
      </w:pPr>
    </w:p>
    <w:p w14:paraId="46ED2844"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F5</w:t>
      </w:r>
    </w:p>
    <w:p w14:paraId="132E9A1D" w14:textId="77777777" w:rsidR="00693223" w:rsidRDefault="00693223">
      <w:pPr>
        <w:jc w:val="both"/>
        <w:rPr>
          <w:rFonts w:ascii="Arial" w:hAnsi="Arial" w:cs="Arial"/>
          <w:b/>
          <w:bCs/>
          <w:sz w:val="32"/>
        </w:rPr>
      </w:pPr>
      <w:r>
        <w:rPr>
          <w:rFonts w:ascii="Arial" w:hAnsi="Arial" w:cs="Arial"/>
          <w:b/>
          <w:bCs/>
        </w:rPr>
        <w:t>Psychosocial Adversities in Childhood and Adult Psychopathology</w:t>
      </w:r>
    </w:p>
    <w:p w14:paraId="7DDB031A" w14:textId="77777777" w:rsidR="00693223" w:rsidRDefault="00693223">
      <w:pPr>
        <w:jc w:val="both"/>
        <w:rPr>
          <w:rFonts w:ascii="Arial" w:hAnsi="Arial" w:cs="Arial"/>
          <w:sz w:val="20"/>
        </w:rPr>
      </w:pPr>
      <w:r>
        <w:rPr>
          <w:rFonts w:ascii="Arial" w:hAnsi="Arial" w:cs="Arial"/>
          <w:sz w:val="20"/>
        </w:rPr>
        <w:t xml:space="preserve">Michael Rutter, MD, FRS and Barbara Maughan, PhD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561301F7" w14:textId="77777777" w:rsidR="00693223" w:rsidRDefault="00693223">
      <w:pPr>
        <w:jc w:val="both"/>
        <w:rPr>
          <w:rFonts w:ascii="Arial" w:hAnsi="Arial" w:cs="Arial"/>
          <w:sz w:val="20"/>
        </w:rPr>
      </w:pPr>
      <w:r>
        <w:rPr>
          <w:rFonts w:ascii="Arial" w:hAnsi="Arial" w:cs="Arial"/>
          <w:i/>
          <w:iCs/>
          <w:sz w:val="20"/>
        </w:rPr>
        <w:t>Journal of Personality Disorders, 11(1),</w:t>
      </w:r>
      <w:r>
        <w:rPr>
          <w:rFonts w:ascii="Arial" w:hAnsi="Arial" w:cs="Arial"/>
          <w:sz w:val="20"/>
        </w:rPr>
        <w:t xml:space="preserve"> 4-18 (1997) © The </w:t>
      </w:r>
      <w:smartTag w:uri="urn:schemas-microsoft-com:office:smarttags" w:element="City">
        <w:smartTag w:uri="urn:schemas-microsoft-com:office:smarttags" w:element="place">
          <w:r>
            <w:rPr>
              <w:rFonts w:ascii="Arial" w:hAnsi="Arial" w:cs="Arial"/>
              <w:sz w:val="20"/>
            </w:rPr>
            <w:t>Guilford</w:t>
          </w:r>
        </w:smartTag>
      </w:smartTag>
      <w:r>
        <w:rPr>
          <w:rFonts w:ascii="Arial" w:hAnsi="Arial" w:cs="Arial"/>
          <w:sz w:val="20"/>
        </w:rPr>
        <w:t xml:space="preserve"> Press</w:t>
      </w:r>
    </w:p>
    <w:p w14:paraId="323F54F2" w14:textId="77777777" w:rsidR="00693223" w:rsidRDefault="00693223">
      <w:pPr>
        <w:spacing w:before="120"/>
        <w:jc w:val="both"/>
        <w:rPr>
          <w:rFonts w:ascii="Arial" w:hAnsi="Arial" w:cs="Arial"/>
          <w:sz w:val="20"/>
        </w:rPr>
      </w:pPr>
      <w:r>
        <w:rPr>
          <w:rFonts w:ascii="Arial" w:hAnsi="Arial" w:cs="Arial"/>
          <w:sz w:val="20"/>
        </w:rPr>
        <w:t>Numerous studies have reported statistical associations between adverse childhood experiences and psychopathology in adult life.  A range of conceptual and methodological issues needs to be borne in mind in interpreting these findings.  Methodological issues include implications of base rates of postulated risk and outcome measures, and the possibility of third variable effects.  Conceptually, further evidence is needed on the aspects of early experience most likely to contribute to risk (acute vs chronic stressors: actively negative vs lack of positive experiences; and the implications of cognitive processing of events); the specificity of effects; possible mechanisms involved in mediating effects in childhood, and approaches to testing them; and factors involved in persistence into adult life.  There are good reasons to assume that adverse early experience plays a contributory role in the genesis of personality disorder.  However, at this stage, evidence is still limited on how this comes about.</w:t>
      </w:r>
    </w:p>
    <w:p w14:paraId="42AA9730" w14:textId="77777777" w:rsidR="00693223" w:rsidRDefault="00693223">
      <w:pPr>
        <w:rPr>
          <w:rFonts w:ascii="Arial" w:hAnsi="Arial" w:cs="Arial"/>
          <w:sz w:val="20"/>
        </w:rPr>
      </w:pPr>
    </w:p>
    <w:p w14:paraId="2576ED06" w14:textId="77777777" w:rsidR="00693223" w:rsidRDefault="00693223" w:rsidP="00031B60">
      <w:pPr>
        <w:keepNext/>
        <w:keepLines/>
        <w:ind w:left="720" w:hanging="720"/>
        <w:jc w:val="both"/>
        <w:rPr>
          <w:rFonts w:ascii="Arial" w:hAnsi="Arial" w:cs="Arial"/>
          <w:b/>
          <w:bCs/>
          <w:sz w:val="28"/>
          <w:bdr w:val="single" w:sz="4" w:space="0" w:color="auto"/>
        </w:rPr>
      </w:pPr>
      <w:r>
        <w:rPr>
          <w:rFonts w:ascii="Arial" w:hAnsi="Arial" w:cs="Arial"/>
          <w:b/>
          <w:bCs/>
          <w:sz w:val="28"/>
        </w:rPr>
        <w:t>F6</w:t>
      </w:r>
    </w:p>
    <w:p w14:paraId="5E6FB7D3" w14:textId="77777777" w:rsidR="00693223" w:rsidRDefault="00693223" w:rsidP="00031B60">
      <w:pPr>
        <w:keepNext/>
        <w:keepLines/>
        <w:jc w:val="both"/>
        <w:rPr>
          <w:rFonts w:ascii="Arial" w:hAnsi="Arial" w:cs="Arial"/>
          <w:b/>
          <w:bCs/>
          <w:sz w:val="32"/>
        </w:rPr>
      </w:pPr>
      <w:r>
        <w:rPr>
          <w:rFonts w:ascii="Arial" w:hAnsi="Arial" w:cs="Arial"/>
          <w:b/>
          <w:bCs/>
        </w:rPr>
        <w:t>Retrospective Reporting of Childhood Adversity: Issues in Addressing Long-term Recall</w:t>
      </w:r>
    </w:p>
    <w:p w14:paraId="7EEBFFC7" w14:textId="77777777" w:rsidR="00693223" w:rsidRDefault="00693223">
      <w:pPr>
        <w:jc w:val="both"/>
        <w:rPr>
          <w:rFonts w:ascii="Arial" w:hAnsi="Arial" w:cs="Arial"/>
          <w:sz w:val="20"/>
        </w:rPr>
      </w:pPr>
      <w:r>
        <w:rPr>
          <w:rFonts w:ascii="Arial" w:hAnsi="Arial" w:cs="Arial"/>
          <w:sz w:val="20"/>
        </w:rPr>
        <w:t xml:space="preserve">Barbara Maughan, PhD and Michael Rutter, MD, FRS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3EC0653C" w14:textId="77777777" w:rsidR="00693223" w:rsidRDefault="00693223">
      <w:pPr>
        <w:jc w:val="both"/>
        <w:rPr>
          <w:rFonts w:ascii="Arial" w:hAnsi="Arial" w:cs="Arial"/>
          <w:sz w:val="20"/>
        </w:rPr>
      </w:pPr>
      <w:r>
        <w:rPr>
          <w:rFonts w:ascii="Arial" w:hAnsi="Arial" w:cs="Arial"/>
          <w:i/>
          <w:iCs/>
          <w:sz w:val="20"/>
        </w:rPr>
        <w:t>Journal of Personality Disorders, 11(1),</w:t>
      </w:r>
      <w:r>
        <w:rPr>
          <w:rFonts w:ascii="Arial" w:hAnsi="Arial" w:cs="Arial"/>
          <w:sz w:val="20"/>
        </w:rPr>
        <w:t xml:space="preserve"> 19-33 (1997) © The </w:t>
      </w:r>
      <w:smartTag w:uri="urn:schemas-microsoft-com:office:smarttags" w:element="City">
        <w:smartTag w:uri="urn:schemas-microsoft-com:office:smarttags" w:element="place">
          <w:r>
            <w:rPr>
              <w:rFonts w:ascii="Arial" w:hAnsi="Arial" w:cs="Arial"/>
              <w:sz w:val="20"/>
            </w:rPr>
            <w:t>Guilford</w:t>
          </w:r>
        </w:smartTag>
      </w:smartTag>
      <w:r>
        <w:rPr>
          <w:rFonts w:ascii="Arial" w:hAnsi="Arial" w:cs="Arial"/>
          <w:sz w:val="20"/>
        </w:rPr>
        <w:t xml:space="preserve"> Press</w:t>
      </w:r>
    </w:p>
    <w:p w14:paraId="75F89705" w14:textId="77777777" w:rsidR="00693223" w:rsidRDefault="00693223">
      <w:pPr>
        <w:spacing w:before="120"/>
        <w:jc w:val="both"/>
        <w:rPr>
          <w:rFonts w:ascii="Arial" w:hAnsi="Arial" w:cs="Arial"/>
          <w:sz w:val="20"/>
        </w:rPr>
      </w:pPr>
      <w:r>
        <w:rPr>
          <w:rFonts w:ascii="Arial" w:hAnsi="Arial" w:cs="Arial"/>
          <w:sz w:val="20"/>
        </w:rPr>
        <w:t>Much evidence for associations between adverse experiences in childhood and personality disorder in adult life comes from retrospective accounts.  This raises important questions over the reliability and validity of long-term recall.  The strengths and limitations of different methods for assessing the accuracy and stability of retrospective reports are discussed.  Evidence from cognitive psychology on memory and memory processes, and on the phenomenon of infantile amnesia, provides important background for assessing issues more specific to recall in studies of risk for psychopathology. Here, topics of particular concern include: memory for traumatic early experience; the effects of false mood state and symptomatology on recall; recovered or false memories; and the implications of mental representations of early experience for understanding psychopathology.  Current evidence suggests that while adequately reliable accounts of many early experiences can be gained using appropriate techniques, further methodological studies are needed and investigations using retrospective methods would be wise to include corroborative evidence whenever feasible.</w:t>
      </w:r>
    </w:p>
    <w:p w14:paraId="5CC68E0E" w14:textId="77777777" w:rsidR="00693223" w:rsidRDefault="00693223">
      <w:pPr>
        <w:rPr>
          <w:rFonts w:ascii="Arial" w:hAnsi="Arial" w:cs="Arial"/>
          <w:sz w:val="20"/>
        </w:rPr>
      </w:pPr>
    </w:p>
    <w:p w14:paraId="48449703"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F7</w:t>
      </w:r>
    </w:p>
    <w:p w14:paraId="0A622576" w14:textId="77777777" w:rsidR="00693223" w:rsidRDefault="00693223">
      <w:pPr>
        <w:jc w:val="both"/>
        <w:rPr>
          <w:rFonts w:ascii="Arial" w:hAnsi="Arial" w:cs="Arial"/>
          <w:b/>
          <w:bCs/>
          <w:sz w:val="32"/>
        </w:rPr>
      </w:pPr>
      <w:r>
        <w:rPr>
          <w:rFonts w:ascii="Arial" w:hAnsi="Arial" w:cs="Arial"/>
          <w:b/>
          <w:bCs/>
        </w:rPr>
        <w:t>Risk, Resilience and Recovery: A Life-Span Perspective</w:t>
      </w:r>
    </w:p>
    <w:p w14:paraId="7243CB66" w14:textId="77777777" w:rsidR="00693223" w:rsidRDefault="00693223">
      <w:pPr>
        <w:jc w:val="both"/>
        <w:rPr>
          <w:rFonts w:ascii="Arial" w:hAnsi="Arial" w:cs="Arial"/>
          <w:sz w:val="20"/>
        </w:rPr>
      </w:pPr>
      <w:r>
        <w:rPr>
          <w:rFonts w:ascii="Arial" w:hAnsi="Arial" w:cs="Arial"/>
          <w:sz w:val="20"/>
        </w:rPr>
        <w:t xml:space="preserve">Emmy E. Werner,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California</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Davis</w:t>
          </w:r>
        </w:smartTag>
        <w:r>
          <w:rPr>
            <w:rFonts w:ascii="Arial" w:hAnsi="Arial" w:cs="Arial"/>
            <w:sz w:val="20"/>
          </w:rPr>
          <w:t xml:space="preserve">, </w:t>
        </w:r>
        <w:smartTag w:uri="urn:schemas-microsoft-com:office:smarttags" w:element="country-region">
          <w:r>
            <w:rPr>
              <w:rFonts w:ascii="Arial" w:hAnsi="Arial" w:cs="Arial"/>
              <w:sz w:val="20"/>
            </w:rPr>
            <w:t>U.S.A.</w:t>
          </w:r>
        </w:smartTag>
      </w:smartTag>
    </w:p>
    <w:p w14:paraId="2DDEF65A" w14:textId="77777777" w:rsidR="00693223" w:rsidRDefault="00693223">
      <w:pPr>
        <w:jc w:val="both"/>
        <w:rPr>
          <w:rFonts w:ascii="Arial" w:hAnsi="Arial" w:cs="Arial"/>
          <w:sz w:val="20"/>
        </w:rPr>
      </w:pPr>
      <w:r>
        <w:rPr>
          <w:rFonts w:ascii="Arial" w:hAnsi="Arial" w:cs="Arial"/>
          <w:sz w:val="20"/>
        </w:rPr>
        <w:t>Paper presented at a Symposium on Resilience, Risk &amp; Salutogenesis, 14</w:t>
      </w:r>
      <w:r>
        <w:rPr>
          <w:rFonts w:ascii="Arial" w:hAnsi="Arial" w:cs="Arial"/>
          <w:sz w:val="20"/>
          <w:vertAlign w:val="superscript"/>
        </w:rPr>
        <w:t>th</w:t>
      </w:r>
      <w:r>
        <w:rPr>
          <w:rFonts w:ascii="Arial" w:hAnsi="Arial" w:cs="Arial"/>
          <w:sz w:val="20"/>
        </w:rPr>
        <w:t xml:space="preserve"> IACAPAP Congress,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Stockholm</w:t>
          </w:r>
        </w:smartTag>
        <w:r>
          <w:rPr>
            <w:rFonts w:ascii="Arial" w:hAnsi="Arial" w:cs="Arial"/>
            <w:sz w:val="20"/>
          </w:rPr>
          <w:t xml:space="preserve">, </w:t>
        </w:r>
        <w:smartTag w:uri="urn:schemas-microsoft-com:office:smarttags" w:element="country-region">
          <w:r>
            <w:rPr>
              <w:rFonts w:ascii="Arial" w:hAnsi="Arial" w:cs="Arial"/>
              <w:sz w:val="20"/>
            </w:rPr>
            <w:t>Sweden</w:t>
          </w:r>
        </w:smartTag>
      </w:smartTag>
    </w:p>
    <w:p w14:paraId="5D9D9C8E" w14:textId="77777777" w:rsidR="00693223" w:rsidRDefault="00693223">
      <w:pPr>
        <w:spacing w:before="120"/>
        <w:jc w:val="both"/>
        <w:rPr>
          <w:rFonts w:ascii="Arial" w:hAnsi="Arial" w:cs="Arial"/>
          <w:sz w:val="20"/>
        </w:rPr>
      </w:pPr>
      <w:r>
        <w:rPr>
          <w:rFonts w:ascii="Arial" w:hAnsi="Arial" w:cs="Arial"/>
          <w:sz w:val="20"/>
        </w:rPr>
        <w:t xml:space="preserve">The Kauai Longitudinal Study is one of the few long-term studies in </w:t>
      </w:r>
      <w:smartTag w:uri="urn:schemas-microsoft-com:office:smarttags" w:element="place">
        <w:r>
          <w:rPr>
            <w:rFonts w:ascii="Arial" w:hAnsi="Arial" w:cs="Arial"/>
            <w:sz w:val="20"/>
          </w:rPr>
          <w:t>North America</w:t>
        </w:r>
      </w:smartTag>
      <w:r>
        <w:rPr>
          <w:rFonts w:ascii="Arial" w:hAnsi="Arial" w:cs="Arial"/>
          <w:sz w:val="20"/>
        </w:rPr>
        <w:t xml:space="preserve"> that has looked at the interplay between risk and protective factors on 'high risk' youngsters from birth to mid-life.  Over four decades, a multi-disciplinary team of paediatricians, psychiatrists, psychologists and public health and social workers has monitored the impact of a variety of biological and psycho-social risk factors on the development of a multi-ethnic cohort of 698 individuals, born on the Hawaiian </w:t>
      </w:r>
      <w:smartTag w:uri="urn:schemas-microsoft-com:office:smarttags" w:element="place">
        <w:smartTag w:uri="urn:schemas-microsoft-com:office:smarttags" w:element="PlaceType">
          <w:r>
            <w:rPr>
              <w:rFonts w:ascii="Arial" w:hAnsi="Arial" w:cs="Arial"/>
              <w:sz w:val="20"/>
            </w:rPr>
            <w:t>island</w:t>
          </w:r>
        </w:smartTag>
        <w:r>
          <w:rPr>
            <w:rFonts w:ascii="Arial" w:hAnsi="Arial" w:cs="Arial"/>
            <w:sz w:val="20"/>
          </w:rPr>
          <w:t xml:space="preserve"> of </w:t>
        </w:r>
        <w:smartTag w:uri="urn:schemas-microsoft-com:office:smarttags" w:element="PlaceName">
          <w:r>
            <w:rPr>
              <w:rFonts w:ascii="Arial" w:hAnsi="Arial" w:cs="Arial"/>
              <w:sz w:val="20"/>
            </w:rPr>
            <w:t>Kauai</w:t>
          </w:r>
        </w:smartTag>
      </w:smartTag>
      <w:r>
        <w:rPr>
          <w:rFonts w:ascii="Arial" w:hAnsi="Arial" w:cs="Arial"/>
          <w:sz w:val="20"/>
        </w:rPr>
        <w:t xml:space="preserve"> in 1955.  The study population is predominantly of Japanese, Pilipino and Part-Hawaiian descent and has been followed, with relatively little attrition, from birth to ages 1,2,10,18,32, and most recently to age 40.  About one-third of the group were designated as 'high risk' children because they were born into poverty, had experienced moderate-severe degrees of perinatal stress, and were reared in a family environment troubled by chronic discord and parental psychopathology.  Two out of every three of the group who encountered 4 or more such risk factors by the age of 2 (N:173) </w:t>
      </w:r>
      <w:r>
        <w:rPr>
          <w:rFonts w:ascii="Arial" w:hAnsi="Arial" w:cs="Arial"/>
          <w:sz w:val="20"/>
        </w:rPr>
        <w:lastRenderedPageBreak/>
        <w:t>had delinquency records and/or serious mental health problems by the time they were 18.  Yet one out of 3 of the high risk group (N:72) grew into competent adults who loved well, worked well and expected well.  Three clusters of protective factors differentiated this resilient group from the other high risk youths who had become troubled teenagers: (1) at least average intelligence and temperamental attributes that elicited positive responses from both family members and strangers; (2) affectional ties with parent substitutes such as grandparents and older siblings; (3) an external support system (school, youth groups and/or church).  Further, at mid-life the overwhelming majority of the "troubled" teenagers were also in stable marriages and jobs, were satisfied with their relationships with their spouses and teenage children, and were responsible citizens in their community.</w:t>
      </w:r>
    </w:p>
    <w:p w14:paraId="028BE6D4" w14:textId="77777777" w:rsidR="00693223" w:rsidRDefault="00693223">
      <w:pPr>
        <w:rPr>
          <w:rFonts w:ascii="Arial" w:hAnsi="Arial" w:cs="Arial"/>
          <w:sz w:val="20"/>
        </w:rPr>
      </w:pPr>
    </w:p>
    <w:p w14:paraId="4C23146D" w14:textId="77777777" w:rsidR="00693223" w:rsidRDefault="00693223" w:rsidP="009E418F">
      <w:pPr>
        <w:keepNext/>
        <w:keepLines/>
        <w:ind w:left="720" w:hanging="720"/>
        <w:jc w:val="both"/>
        <w:rPr>
          <w:rFonts w:ascii="Arial" w:hAnsi="Arial" w:cs="Arial"/>
          <w:b/>
          <w:bCs/>
          <w:sz w:val="28"/>
          <w:bdr w:val="single" w:sz="4" w:space="0" w:color="auto"/>
        </w:rPr>
      </w:pPr>
      <w:r>
        <w:rPr>
          <w:rFonts w:ascii="Arial" w:hAnsi="Arial" w:cs="Arial"/>
          <w:b/>
          <w:bCs/>
          <w:sz w:val="28"/>
        </w:rPr>
        <w:t>F8</w:t>
      </w:r>
    </w:p>
    <w:p w14:paraId="78D38964" w14:textId="77777777" w:rsidR="00693223" w:rsidRDefault="00693223" w:rsidP="009E418F">
      <w:pPr>
        <w:keepNext/>
        <w:keepLines/>
        <w:jc w:val="both"/>
        <w:rPr>
          <w:rFonts w:ascii="Arial" w:hAnsi="Arial" w:cs="Arial"/>
          <w:b/>
          <w:bCs/>
          <w:sz w:val="32"/>
        </w:rPr>
      </w:pPr>
      <w:r>
        <w:rPr>
          <w:rFonts w:ascii="Arial" w:hAnsi="Arial" w:cs="Arial"/>
          <w:b/>
          <w:bCs/>
        </w:rPr>
        <w:t>What the Literature Tells Us About Resilience as Well as Risk</w:t>
      </w:r>
    </w:p>
    <w:p w14:paraId="664AB278" w14:textId="77777777" w:rsidR="00693223" w:rsidRDefault="00693223" w:rsidP="00031B60">
      <w:pPr>
        <w:jc w:val="both"/>
        <w:rPr>
          <w:rFonts w:ascii="Arial" w:hAnsi="Arial" w:cs="Arial"/>
          <w:sz w:val="20"/>
        </w:rPr>
      </w:pPr>
      <w:r>
        <w:rPr>
          <w:rFonts w:ascii="Arial" w:hAnsi="Arial" w:cs="Arial"/>
          <w:sz w:val="20"/>
        </w:rPr>
        <w:t>Dr Patricia F Brown (Director, Children's Court Clinic)</w:t>
      </w:r>
    </w:p>
    <w:p w14:paraId="5AAD8A39" w14:textId="77777777" w:rsidR="00693223" w:rsidRDefault="00693223" w:rsidP="00031B60">
      <w:pPr>
        <w:jc w:val="both"/>
        <w:rPr>
          <w:rFonts w:ascii="Arial" w:hAnsi="Arial" w:cs="Arial"/>
          <w:sz w:val="20"/>
        </w:rPr>
      </w:pPr>
      <w:r>
        <w:rPr>
          <w:rFonts w:ascii="Arial" w:hAnsi="Arial" w:cs="Arial"/>
          <w:sz w:val="20"/>
        </w:rPr>
        <w:t>Notes of a seminar for magistrates about the relevant literature</w:t>
      </w:r>
    </w:p>
    <w:p w14:paraId="4E9C845F" w14:textId="77777777" w:rsidR="00693223" w:rsidRDefault="00693223" w:rsidP="00031B60">
      <w:pPr>
        <w:spacing w:before="120"/>
        <w:jc w:val="both"/>
        <w:rPr>
          <w:rFonts w:ascii="Arial" w:hAnsi="Arial" w:cs="Arial"/>
          <w:sz w:val="20"/>
        </w:rPr>
      </w:pPr>
      <w:r>
        <w:rPr>
          <w:rFonts w:ascii="Arial" w:hAnsi="Arial" w:cs="Arial"/>
          <w:sz w:val="20"/>
        </w:rPr>
        <w:t xml:space="preserve">Theoretical discussions and studies of risk and insulating factors against harm have been growing over the past 15 years.  There is a general assumption by psychologists that ongoing negative events or acute traumatic incidents in early life may be linked to later psychopathology.  Though the logic is reasonable, the process by which later negative effects are produced remains largely unknown.  Over the period the emphasis in risk research has seemed to shift from vulnerability to resilience, the latter a reference to successful adaptation despite the odds against good development.  Results from longitudinal studies (especially the </w:t>
      </w:r>
      <w:smartTag w:uri="urn:schemas-microsoft-com:office:smarttags" w:element="place">
        <w:r>
          <w:rPr>
            <w:rFonts w:ascii="Arial" w:hAnsi="Arial" w:cs="Arial"/>
            <w:sz w:val="20"/>
          </w:rPr>
          <w:t>Kauai</w:t>
        </w:r>
      </w:smartTag>
      <w:r>
        <w:rPr>
          <w:rFonts w:ascii="Arial" w:hAnsi="Arial" w:cs="Arial"/>
          <w:sz w:val="20"/>
        </w:rPr>
        <w:t>) have been instructive although the process or mechanism underlying resilience still remains largely unresearched.  Dr Brown concluded that for a clinician assessing children who are most often from backgrounds of risk, the major message would seem to be to become equally thoughtful about notions of risk and notions of resilience and to accept a hypothesis of there being fluid interplay and changes over time.</w:t>
      </w:r>
    </w:p>
    <w:p w14:paraId="658F1E48" w14:textId="77777777" w:rsidR="00693223" w:rsidRDefault="00693223">
      <w:pPr>
        <w:rPr>
          <w:rFonts w:ascii="Arial" w:hAnsi="Arial" w:cs="Arial"/>
          <w:sz w:val="20"/>
        </w:rPr>
      </w:pPr>
    </w:p>
    <w:p w14:paraId="3E898DF8" w14:textId="77777777" w:rsidR="00693223" w:rsidRDefault="00693223" w:rsidP="0028439F">
      <w:pPr>
        <w:keepNext/>
        <w:keepLines/>
        <w:ind w:left="720" w:hanging="720"/>
        <w:jc w:val="both"/>
        <w:rPr>
          <w:rFonts w:ascii="Arial" w:hAnsi="Arial" w:cs="Arial"/>
          <w:b/>
          <w:bCs/>
          <w:sz w:val="28"/>
          <w:bdr w:val="single" w:sz="4" w:space="0" w:color="auto"/>
        </w:rPr>
      </w:pPr>
      <w:r>
        <w:rPr>
          <w:rFonts w:ascii="Arial" w:hAnsi="Arial" w:cs="Arial"/>
          <w:b/>
          <w:bCs/>
          <w:sz w:val="28"/>
        </w:rPr>
        <w:t>F9</w:t>
      </w:r>
    </w:p>
    <w:p w14:paraId="3E182674" w14:textId="77777777" w:rsidR="00693223" w:rsidRDefault="00693223" w:rsidP="0028439F">
      <w:pPr>
        <w:keepNext/>
        <w:keepLines/>
        <w:jc w:val="both"/>
        <w:rPr>
          <w:rFonts w:ascii="Arial" w:hAnsi="Arial" w:cs="Arial"/>
          <w:b/>
          <w:bCs/>
          <w:sz w:val="32"/>
        </w:rPr>
      </w:pPr>
      <w:r>
        <w:rPr>
          <w:rFonts w:ascii="Arial" w:hAnsi="Arial" w:cs="Arial"/>
          <w:b/>
          <w:bCs/>
        </w:rPr>
        <w:t>Developmental Catch-up, and Deficit, Following Adoption after Severe Global Early Privation</w:t>
      </w:r>
    </w:p>
    <w:p w14:paraId="3F88154B" w14:textId="77777777" w:rsidR="00693223" w:rsidRDefault="00693223">
      <w:pPr>
        <w:jc w:val="both"/>
        <w:rPr>
          <w:rFonts w:ascii="Arial" w:hAnsi="Arial" w:cs="Arial"/>
          <w:sz w:val="20"/>
        </w:rPr>
      </w:pPr>
      <w:r>
        <w:rPr>
          <w:rFonts w:ascii="Arial" w:hAnsi="Arial" w:cs="Arial"/>
          <w:sz w:val="20"/>
        </w:rPr>
        <w:t xml:space="preserve">Michael Rutter and the English and Romanian Adoptees (ERA) study team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62A5C053" w14:textId="77777777" w:rsidR="00693223" w:rsidRDefault="00693223">
      <w:pPr>
        <w:jc w:val="both"/>
        <w:rPr>
          <w:rFonts w:ascii="Arial" w:hAnsi="Arial" w:cs="Arial"/>
          <w:sz w:val="20"/>
        </w:rPr>
      </w:pPr>
      <w:r>
        <w:rPr>
          <w:rFonts w:ascii="Arial" w:hAnsi="Arial" w:cs="Arial"/>
          <w:i/>
          <w:iCs/>
          <w:sz w:val="20"/>
        </w:rPr>
        <w:t>J. Child Psychiatry, Vol.39, No.4,</w:t>
      </w:r>
      <w:r>
        <w:rPr>
          <w:rFonts w:ascii="Arial" w:hAnsi="Arial" w:cs="Arial"/>
          <w:sz w:val="20"/>
        </w:rPr>
        <w:t xml:space="preserve"> pp.465-476 (1998) Cambridge University Press</w:t>
      </w:r>
    </w:p>
    <w:p w14:paraId="0BD02771" w14:textId="77777777" w:rsidR="00693223" w:rsidRDefault="00693223">
      <w:pPr>
        <w:spacing w:before="120"/>
        <w:jc w:val="both"/>
        <w:rPr>
          <w:rFonts w:ascii="Arial" w:hAnsi="Arial" w:cs="Arial"/>
          <w:sz w:val="20"/>
        </w:rPr>
      </w:pPr>
      <w:r>
        <w:rPr>
          <w:rFonts w:ascii="Arial" w:hAnsi="Arial" w:cs="Arial"/>
          <w:sz w:val="20"/>
        </w:rPr>
        <w:t xml:space="preserve">The extent of developmental deficit and catch-up following adoption after severe global early privation was examined at 4 years in a sample of 111 Romanian children who came to the U.K. before the age of 2 years, and compared with respect to their functioning at the same age to a sample of 52 U.K. adopted children placed before the age of 6 months.  The measures at 4 years included height, head circumference, and general cognitive level (assessed on both the McCathy and Denver Scales).  The children from </w:t>
      </w:r>
      <w:smartTag w:uri="urn:schemas-microsoft-com:office:smarttags" w:element="country-region">
        <w:r>
          <w:rPr>
            <w:rFonts w:ascii="Arial" w:hAnsi="Arial" w:cs="Arial"/>
            <w:sz w:val="20"/>
          </w:rPr>
          <w:t>Romania</w:t>
        </w:r>
      </w:smartTag>
      <w:r>
        <w:rPr>
          <w:rFonts w:ascii="Arial" w:hAnsi="Arial" w:cs="Arial"/>
          <w:sz w:val="20"/>
        </w:rPr>
        <w:t xml:space="preserve"> were severely developmentally impaired at the time of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entry, with about half below the third percentile on height, on weight, on head circumference, and on developmental quotient.  Many were also in a poor physical state with recurrent intestinal and respiratory infections.  The catch-up in both physical growth and cognitive level appeared nearly complete at age 4 years for those children who came to the </w:t>
      </w:r>
      <w:smartTag w:uri="urn:schemas-microsoft-com:office:smarttags" w:element="country-region">
        <w:r>
          <w:rPr>
            <w:rFonts w:ascii="Arial" w:hAnsi="Arial" w:cs="Arial"/>
            <w:sz w:val="20"/>
          </w:rPr>
          <w:t>U.K.</w:t>
        </w:r>
      </w:smartTag>
      <w:r>
        <w:rPr>
          <w:rFonts w:ascii="Arial" w:hAnsi="Arial" w:cs="Arial"/>
          <w:sz w:val="20"/>
        </w:rPr>
        <w:t xml:space="preserve"> before the age of 6 months, despite the fact that their background prior to </w:t>
      </w:r>
      <w:smartTag w:uri="urn:schemas-microsoft-com:office:smarttags" w:element="country-region">
        <w:r>
          <w:rPr>
            <w:rFonts w:ascii="Arial" w:hAnsi="Arial" w:cs="Arial"/>
            <w:sz w:val="20"/>
          </w:rPr>
          <w:t>U.K.</w:t>
        </w:r>
      </w:smartTag>
      <w:r>
        <w:rPr>
          <w:rFonts w:ascii="Arial" w:hAnsi="Arial" w:cs="Arial"/>
          <w:sz w:val="20"/>
        </w:rPr>
        <w:t xml:space="preserve"> entry was similar to the children who came to the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when older.  The developmental catch-up was also impressive, but not complete, in those placed after 6 months of age.  The mean McCarthy General Cognitive Index was 92 </w:t>
      </w:r>
      <w:r w:rsidR="0073125B">
        <w:rPr>
          <w:rFonts w:ascii="Arial" w:hAnsi="Arial" w:cs="Arial"/>
          <w:sz w:val="20"/>
        </w:rPr>
        <w:t>co</w:t>
      </w:r>
      <w:r>
        <w:rPr>
          <w:rFonts w:ascii="Arial" w:hAnsi="Arial" w:cs="Arial"/>
          <w:sz w:val="20"/>
        </w:rPr>
        <w:t xml:space="preserve">mpared with 109 for the within-U.K. adoptees.  The strongest predictor of level of cognitive functioning at 4 years was the children's age at entry to the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It was concluded that the remaining cognitive deficit was likely to be a consequence of gross early privation, with psychological privation probably more important that nutritional privation.  A further follow-up at age 6 years will determine whether there is continuing recovery after 4 years.</w:t>
      </w:r>
    </w:p>
    <w:p w14:paraId="4B85D41F" w14:textId="77777777" w:rsidR="00693223" w:rsidRDefault="00693223">
      <w:pPr>
        <w:rPr>
          <w:rFonts w:ascii="Arial" w:hAnsi="Arial" w:cs="Arial"/>
          <w:sz w:val="20"/>
        </w:rPr>
      </w:pPr>
    </w:p>
    <w:p w14:paraId="68277A55"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F10</w:t>
      </w:r>
    </w:p>
    <w:p w14:paraId="4D8CFD3F" w14:textId="77777777" w:rsidR="00693223" w:rsidRDefault="00693223">
      <w:pPr>
        <w:jc w:val="both"/>
        <w:rPr>
          <w:rFonts w:ascii="Arial" w:hAnsi="Arial" w:cs="Arial"/>
          <w:b/>
          <w:bCs/>
          <w:sz w:val="32"/>
        </w:rPr>
      </w:pPr>
      <w:r>
        <w:rPr>
          <w:rFonts w:ascii="Arial" w:hAnsi="Arial" w:cs="Arial"/>
          <w:b/>
          <w:bCs/>
        </w:rPr>
        <w:t>Attention Deficit Hyperactivity Disorder in Children: A Guide to Best Practice for Psychologists</w:t>
      </w:r>
    </w:p>
    <w:p w14:paraId="34DC4915" w14:textId="77777777" w:rsidR="00693223" w:rsidRDefault="00693223">
      <w:pPr>
        <w:jc w:val="both"/>
        <w:rPr>
          <w:rFonts w:ascii="Arial" w:hAnsi="Arial" w:cs="Arial"/>
          <w:sz w:val="20"/>
        </w:rPr>
      </w:pPr>
      <w:r>
        <w:rPr>
          <w:rFonts w:ascii="Arial" w:hAnsi="Arial" w:cs="Arial"/>
          <w:sz w:val="20"/>
        </w:rPr>
        <w:lastRenderedPageBreak/>
        <w:t>Dr Alison Garton, Dr Vicki Anderson, Ms Janine Farrelly, Mr Ric Pawsley and Ms Jennifer Standish with additional expertise provided by Assoc Prof Ann Sanson</w:t>
      </w:r>
    </w:p>
    <w:p w14:paraId="01EC7363" w14:textId="77777777" w:rsidR="00693223" w:rsidRDefault="00693223">
      <w:pPr>
        <w:jc w:val="both"/>
        <w:rPr>
          <w:rFonts w:ascii="Arial" w:hAnsi="Arial" w:cs="Arial"/>
          <w:sz w:val="20"/>
        </w:rPr>
      </w:pPr>
      <w:r>
        <w:rPr>
          <w:rFonts w:ascii="Arial" w:hAnsi="Arial" w:cs="Arial"/>
          <w:sz w:val="20"/>
        </w:rPr>
        <w:t>A Position Paper prepared for the Australian Psychological Society Ltd, June 1997</w:t>
      </w:r>
    </w:p>
    <w:p w14:paraId="67135EC0" w14:textId="77777777" w:rsidR="00693223" w:rsidRDefault="00693223">
      <w:pPr>
        <w:spacing w:before="120"/>
        <w:jc w:val="both"/>
        <w:rPr>
          <w:rFonts w:ascii="Arial" w:hAnsi="Arial" w:cs="Arial"/>
          <w:sz w:val="20"/>
        </w:rPr>
      </w:pPr>
      <w:r>
        <w:rPr>
          <w:rFonts w:ascii="Arial" w:hAnsi="Arial" w:cs="Arial"/>
          <w:sz w:val="20"/>
        </w:rPr>
        <w:t>This Position Paper summarises evidence on the aetiology, prevalence, diagnosis and treatment of Attention deficit Hyperactivity Disorder (ADHD) and provides recommended practice advice to psychologists on the management and coordination of treatment and intervention for children, based on the differential diagnosis of ADHD.  It is recommended that diagnosis should be based on multiple informants (parents/caregivers, teachers, medical and psychological professionals), in multiple contexts (home, school, playground) and on multiple methods (psychological test batteries, observation, completion of checklists by multiple raters).  Assessment should also include daily functioning and the effect the behavioural difficulties are having on the child and other around him or her.  Early identification permits early intervention, itself proven to enhance longer term outcomes.  Management of ADHD includes sharing of information between relevant professionals and an understanding of how best to help each child.  Educational, developmental, clinical and clinic neuro-psychologists all have roles to play in the assessment, diagnosis, treatment and intervention with ADHD children as well as in the evaluation of the effectiveness of any treatment or intervention.  This Position Paper describes best practice for any psychologist working with, or advising on, children with ADHD.</w:t>
      </w:r>
    </w:p>
    <w:p w14:paraId="6D26D805" w14:textId="77777777" w:rsidR="00693223" w:rsidRDefault="00693223">
      <w:pPr>
        <w:rPr>
          <w:rFonts w:ascii="Arial" w:hAnsi="Arial" w:cs="Arial"/>
          <w:sz w:val="20"/>
        </w:rPr>
      </w:pPr>
    </w:p>
    <w:p w14:paraId="063A3AB8"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F11</w:t>
      </w:r>
    </w:p>
    <w:p w14:paraId="02EB64E9" w14:textId="77777777" w:rsidR="00693223" w:rsidRDefault="00693223">
      <w:pPr>
        <w:jc w:val="both"/>
        <w:rPr>
          <w:rFonts w:ascii="Arial" w:hAnsi="Arial" w:cs="Arial"/>
          <w:b/>
          <w:bCs/>
          <w:sz w:val="32"/>
        </w:rPr>
      </w:pPr>
      <w:r>
        <w:rPr>
          <w:rFonts w:ascii="Arial" w:hAnsi="Arial" w:cs="Arial"/>
          <w:b/>
          <w:bCs/>
        </w:rPr>
        <w:t>Neurofeedback and the Courts</w:t>
      </w:r>
    </w:p>
    <w:p w14:paraId="1B8AFDBD" w14:textId="77777777" w:rsidR="00693223" w:rsidRDefault="00693223">
      <w:pPr>
        <w:jc w:val="both"/>
        <w:rPr>
          <w:rFonts w:ascii="Arial" w:hAnsi="Arial" w:cs="Arial"/>
          <w:sz w:val="20"/>
        </w:rPr>
      </w:pPr>
      <w:r>
        <w:rPr>
          <w:rFonts w:ascii="Arial" w:hAnsi="Arial" w:cs="Arial"/>
          <w:sz w:val="20"/>
        </w:rPr>
        <w:t>Dr Moshe Perl (psychologist)</w:t>
      </w:r>
    </w:p>
    <w:p w14:paraId="3E34ECE4" w14:textId="77777777" w:rsidR="00693223" w:rsidRDefault="00693223">
      <w:pPr>
        <w:jc w:val="both"/>
        <w:rPr>
          <w:rFonts w:ascii="Arial" w:hAnsi="Arial" w:cs="Arial"/>
          <w:sz w:val="20"/>
        </w:rPr>
      </w:pPr>
      <w:r>
        <w:rPr>
          <w:rFonts w:ascii="Arial" w:hAnsi="Arial" w:cs="Arial"/>
          <w:sz w:val="20"/>
        </w:rPr>
        <w:t xml:space="preserve">Notes of a seminar for magistrates held on </w:t>
      </w:r>
      <w:smartTag w:uri="urn:schemas-microsoft-com:office:smarttags" w:element="date">
        <w:smartTagPr>
          <w:attr w:name="Month" w:val="2"/>
          <w:attr w:name="Day" w:val="14"/>
          <w:attr w:name="Year" w:val="2002"/>
        </w:smartTagPr>
        <w:r>
          <w:rPr>
            <w:rFonts w:ascii="Arial" w:hAnsi="Arial" w:cs="Arial"/>
            <w:sz w:val="20"/>
          </w:rPr>
          <w:t>14/02/2002</w:t>
        </w:r>
      </w:smartTag>
      <w:r>
        <w:rPr>
          <w:rFonts w:ascii="Arial" w:hAnsi="Arial" w:cs="Arial"/>
          <w:sz w:val="20"/>
        </w:rPr>
        <w:t>.</w:t>
      </w:r>
    </w:p>
    <w:p w14:paraId="0F70BE46" w14:textId="77777777" w:rsidR="00693223" w:rsidRDefault="00693223">
      <w:pPr>
        <w:spacing w:before="120"/>
        <w:jc w:val="both"/>
        <w:rPr>
          <w:rFonts w:ascii="Arial" w:hAnsi="Arial" w:cs="Arial"/>
          <w:sz w:val="20"/>
        </w:rPr>
      </w:pPr>
      <w:r>
        <w:rPr>
          <w:rFonts w:ascii="Arial" w:hAnsi="Arial" w:cs="Arial"/>
          <w:sz w:val="20"/>
        </w:rPr>
        <w:t>ADHD, a disorder characterised by impulsiveness, over-activity, short attention span and distractibility, is pervasive in the population served by the Children's Court.  It is a significant risk factor for developing antisocial behaviour, with research suggesting that upwards of 75% of prison inmates may suffer from the disorder.  Brainwave activity has been found to be useful in both the diagnosis and treatment of ADHD.  EEG Birofeedback or Neurofeedback training often significantly reduces the symptoms of ADHD on a long term basis. EEG Biofeedback provides moment to moment information about the rhythmic electrical activity from various places in the brain (EEG) and challenges the brain to modify certain components of it.  The treater is soon able to induce changes in brain wave patterns which lead to improved flexibility and stability of the brain waves in general which leads to improved flexibility and stability of behaviour in response to external demands on the person in the course of day to day activity.  Neirofeedback is able to produce significant improvement in  symptoms of epilepsy, ADHD and drug addictions.  There is considerable evidence in clinical practice that it can improve a large variety of disorders, including anxiety and panic reactions, depression and sleep disorders.</w:t>
      </w:r>
    </w:p>
    <w:p w14:paraId="734035EE" w14:textId="77777777" w:rsidR="00693223" w:rsidRDefault="00693223">
      <w:pPr>
        <w:rPr>
          <w:rFonts w:ascii="Arial" w:hAnsi="Arial" w:cs="Arial"/>
          <w:sz w:val="20"/>
        </w:rPr>
      </w:pPr>
    </w:p>
    <w:p w14:paraId="0161D5A3"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F12</w:t>
      </w:r>
    </w:p>
    <w:p w14:paraId="214D9087" w14:textId="77777777" w:rsidR="00693223" w:rsidRDefault="00693223">
      <w:pPr>
        <w:keepNext/>
        <w:keepLines/>
        <w:jc w:val="both"/>
        <w:rPr>
          <w:rFonts w:ascii="Arial" w:hAnsi="Arial" w:cs="Arial"/>
          <w:b/>
          <w:bCs/>
          <w:sz w:val="32"/>
        </w:rPr>
      </w:pPr>
      <w:r>
        <w:rPr>
          <w:rFonts w:ascii="Arial" w:hAnsi="Arial" w:cs="Arial"/>
          <w:b/>
          <w:bCs/>
        </w:rPr>
        <w:t>Caring for Child Victims of Domestic Violence</w:t>
      </w:r>
    </w:p>
    <w:p w14:paraId="37AE5B5E" w14:textId="77777777" w:rsidR="00693223" w:rsidRDefault="00693223">
      <w:pPr>
        <w:keepNext/>
        <w:keepLines/>
        <w:jc w:val="both"/>
        <w:rPr>
          <w:rFonts w:ascii="Arial" w:hAnsi="Arial" w:cs="Arial"/>
          <w:sz w:val="20"/>
        </w:rPr>
      </w:pPr>
      <w:r>
        <w:rPr>
          <w:rFonts w:ascii="Arial" w:hAnsi="Arial" w:cs="Arial"/>
          <w:sz w:val="20"/>
        </w:rPr>
        <w:t>Anne Blanchard</w:t>
      </w:r>
    </w:p>
    <w:p w14:paraId="36F3FFB3" w14:textId="77777777" w:rsidR="00693223" w:rsidRDefault="00693223">
      <w:pPr>
        <w:keepNext/>
        <w:keepLines/>
        <w:jc w:val="both"/>
        <w:rPr>
          <w:rFonts w:ascii="Arial" w:hAnsi="Arial" w:cs="Arial"/>
          <w:sz w:val="20"/>
        </w:rPr>
      </w:pPr>
      <w:r>
        <w:rPr>
          <w:rFonts w:ascii="Arial" w:hAnsi="Arial" w:cs="Arial"/>
          <w:sz w:val="20"/>
        </w:rPr>
        <w:t>Nandine Press 1999</w:t>
      </w:r>
    </w:p>
    <w:p w14:paraId="49A55064" w14:textId="77777777" w:rsidR="00693223" w:rsidRDefault="00693223">
      <w:pPr>
        <w:keepNext/>
        <w:keepLines/>
        <w:spacing w:before="120"/>
        <w:jc w:val="both"/>
        <w:rPr>
          <w:rFonts w:ascii="Arial" w:hAnsi="Arial" w:cs="Arial"/>
          <w:b/>
          <w:bCs/>
          <w:sz w:val="20"/>
        </w:rPr>
      </w:pPr>
      <w:r>
        <w:rPr>
          <w:rFonts w:ascii="Arial" w:hAnsi="Arial" w:cs="Arial"/>
          <w:b/>
          <w:bCs/>
          <w:sz w:val="20"/>
        </w:rPr>
        <w:t>Chapter 1: Introduction - The Effects of Domestic Violence on Children</w:t>
      </w:r>
    </w:p>
    <w:p w14:paraId="6609E86A" w14:textId="77777777" w:rsidR="00693223" w:rsidRDefault="00693223">
      <w:pPr>
        <w:numPr>
          <w:ilvl w:val="0"/>
          <w:numId w:val="20"/>
        </w:numPr>
        <w:jc w:val="both"/>
        <w:rPr>
          <w:rFonts w:ascii="Arial" w:hAnsi="Arial" w:cs="Arial"/>
          <w:sz w:val="20"/>
        </w:rPr>
      </w:pPr>
      <w:r>
        <w:rPr>
          <w:rFonts w:ascii="Arial" w:hAnsi="Arial" w:cs="Arial"/>
          <w:sz w:val="20"/>
        </w:rPr>
        <w:t>How Witnessing Domestic Violence Affects Children</w:t>
      </w:r>
    </w:p>
    <w:p w14:paraId="25260D6A" w14:textId="77777777" w:rsidR="00693223" w:rsidRDefault="00693223">
      <w:pPr>
        <w:numPr>
          <w:ilvl w:val="0"/>
          <w:numId w:val="20"/>
        </w:numPr>
        <w:jc w:val="both"/>
        <w:rPr>
          <w:rFonts w:ascii="Arial" w:hAnsi="Arial" w:cs="Arial"/>
          <w:sz w:val="20"/>
        </w:rPr>
      </w:pPr>
      <w:r>
        <w:rPr>
          <w:rFonts w:ascii="Arial" w:hAnsi="Arial" w:cs="Arial"/>
          <w:sz w:val="20"/>
        </w:rPr>
        <w:t>Post Traumatic Stress Disorder (PTSD)</w:t>
      </w:r>
    </w:p>
    <w:p w14:paraId="3FDD6C5B" w14:textId="77777777" w:rsidR="00693223" w:rsidRDefault="00693223">
      <w:pPr>
        <w:numPr>
          <w:ilvl w:val="0"/>
          <w:numId w:val="20"/>
        </w:numPr>
        <w:jc w:val="both"/>
        <w:rPr>
          <w:rFonts w:ascii="Arial" w:hAnsi="Arial" w:cs="Arial"/>
          <w:sz w:val="20"/>
        </w:rPr>
      </w:pPr>
      <w:r>
        <w:rPr>
          <w:rFonts w:ascii="Arial" w:hAnsi="Arial" w:cs="Arial"/>
          <w:sz w:val="20"/>
        </w:rPr>
        <w:t>Child Abuse and Domestic Violence</w:t>
      </w:r>
    </w:p>
    <w:p w14:paraId="2C92B886" w14:textId="77777777" w:rsidR="00693223" w:rsidRDefault="00693223">
      <w:pPr>
        <w:numPr>
          <w:ilvl w:val="0"/>
          <w:numId w:val="20"/>
        </w:numPr>
        <w:jc w:val="both"/>
        <w:rPr>
          <w:rFonts w:ascii="Arial" w:hAnsi="Arial" w:cs="Arial"/>
          <w:sz w:val="20"/>
        </w:rPr>
      </w:pPr>
      <w:r>
        <w:rPr>
          <w:rFonts w:ascii="Arial" w:hAnsi="Arial" w:cs="Arial"/>
          <w:sz w:val="20"/>
        </w:rPr>
        <w:t>Long Term Effects</w:t>
      </w:r>
    </w:p>
    <w:p w14:paraId="13BDC1E0" w14:textId="77777777" w:rsidR="00693223" w:rsidRDefault="00693223">
      <w:pPr>
        <w:numPr>
          <w:ilvl w:val="0"/>
          <w:numId w:val="20"/>
        </w:numPr>
        <w:jc w:val="both"/>
        <w:rPr>
          <w:rFonts w:ascii="Arial" w:hAnsi="Arial" w:cs="Arial"/>
          <w:sz w:val="20"/>
        </w:rPr>
      </w:pPr>
      <w:r>
        <w:rPr>
          <w:rFonts w:ascii="Arial" w:hAnsi="Arial" w:cs="Arial"/>
          <w:sz w:val="20"/>
        </w:rPr>
        <w:t>Working with Traumatised Children</w:t>
      </w:r>
    </w:p>
    <w:p w14:paraId="71C37601" w14:textId="77777777" w:rsidR="00693223" w:rsidRDefault="00693223">
      <w:pPr>
        <w:numPr>
          <w:ilvl w:val="0"/>
          <w:numId w:val="20"/>
        </w:numPr>
        <w:jc w:val="both"/>
        <w:rPr>
          <w:rFonts w:ascii="Arial" w:hAnsi="Arial" w:cs="Arial"/>
          <w:sz w:val="20"/>
        </w:rPr>
      </w:pPr>
      <w:r>
        <w:rPr>
          <w:rFonts w:ascii="Arial" w:hAnsi="Arial" w:cs="Arial"/>
          <w:sz w:val="20"/>
        </w:rPr>
        <w:t>The Focus on Children as Well as Women</w:t>
      </w:r>
    </w:p>
    <w:p w14:paraId="7292F713" w14:textId="77777777" w:rsidR="00693223" w:rsidRDefault="00693223">
      <w:pPr>
        <w:jc w:val="both"/>
        <w:rPr>
          <w:rFonts w:ascii="Arial" w:hAnsi="Arial" w:cs="Arial"/>
          <w:b/>
          <w:bCs/>
          <w:sz w:val="20"/>
        </w:rPr>
      </w:pPr>
      <w:r>
        <w:rPr>
          <w:rFonts w:ascii="Arial" w:hAnsi="Arial" w:cs="Arial"/>
          <w:b/>
          <w:bCs/>
          <w:sz w:val="20"/>
        </w:rPr>
        <w:t>Chapter 2: Children's Experience of Domestic Violence</w:t>
      </w:r>
    </w:p>
    <w:p w14:paraId="0B1D97B4" w14:textId="77777777" w:rsidR="00693223" w:rsidRDefault="00693223">
      <w:pPr>
        <w:numPr>
          <w:ilvl w:val="0"/>
          <w:numId w:val="20"/>
        </w:numPr>
        <w:jc w:val="both"/>
        <w:rPr>
          <w:rFonts w:ascii="Arial" w:hAnsi="Arial" w:cs="Arial"/>
          <w:sz w:val="20"/>
        </w:rPr>
      </w:pPr>
      <w:r>
        <w:rPr>
          <w:rFonts w:ascii="Arial" w:hAnsi="Arial" w:cs="Arial"/>
          <w:sz w:val="20"/>
        </w:rPr>
        <w:t>Children's Experience of Domestic Violence</w:t>
      </w:r>
    </w:p>
    <w:p w14:paraId="09519B5A" w14:textId="77777777" w:rsidR="00693223" w:rsidRDefault="00693223">
      <w:pPr>
        <w:numPr>
          <w:ilvl w:val="0"/>
          <w:numId w:val="20"/>
        </w:numPr>
        <w:jc w:val="both"/>
        <w:rPr>
          <w:rFonts w:ascii="Arial" w:hAnsi="Arial" w:cs="Arial"/>
          <w:sz w:val="20"/>
        </w:rPr>
      </w:pPr>
      <w:r>
        <w:rPr>
          <w:rFonts w:ascii="Arial" w:hAnsi="Arial" w:cs="Arial"/>
          <w:sz w:val="20"/>
        </w:rPr>
        <w:t xml:space="preserve">The </w:t>
      </w:r>
      <w:smartTag w:uri="urn:schemas-microsoft-com:office:smarttags" w:element="place">
        <w:smartTag w:uri="urn:schemas-microsoft-com:office:smarttags" w:element="PlaceType">
          <w:r>
            <w:rPr>
              <w:rFonts w:ascii="Arial" w:hAnsi="Arial" w:cs="Arial"/>
              <w:sz w:val="20"/>
            </w:rPr>
            <w:t>Range</w:t>
          </w:r>
        </w:smartTag>
        <w:r>
          <w:rPr>
            <w:rFonts w:ascii="Arial" w:hAnsi="Arial" w:cs="Arial"/>
            <w:sz w:val="20"/>
          </w:rPr>
          <w:t xml:space="preserve"> of </w:t>
        </w:r>
        <w:smartTag w:uri="urn:schemas-microsoft-com:office:smarttags" w:element="PlaceName">
          <w:r>
            <w:rPr>
              <w:rFonts w:ascii="Arial" w:hAnsi="Arial" w:cs="Arial"/>
              <w:sz w:val="20"/>
            </w:rPr>
            <w:t>Violence</w:t>
          </w:r>
        </w:smartTag>
      </w:smartTag>
    </w:p>
    <w:p w14:paraId="1AC17FB3" w14:textId="77777777" w:rsidR="00693223" w:rsidRDefault="00693223">
      <w:pPr>
        <w:numPr>
          <w:ilvl w:val="0"/>
          <w:numId w:val="20"/>
        </w:numPr>
        <w:jc w:val="both"/>
        <w:rPr>
          <w:rFonts w:ascii="Arial" w:hAnsi="Arial" w:cs="Arial"/>
          <w:sz w:val="20"/>
        </w:rPr>
      </w:pPr>
      <w:r>
        <w:rPr>
          <w:rFonts w:ascii="Arial" w:hAnsi="Arial" w:cs="Arial"/>
          <w:sz w:val="20"/>
        </w:rPr>
        <w:t>What do Children Feel About the Violence?</w:t>
      </w:r>
    </w:p>
    <w:p w14:paraId="0C4CABC1" w14:textId="77777777" w:rsidR="00693223" w:rsidRDefault="00693223">
      <w:pPr>
        <w:numPr>
          <w:ilvl w:val="0"/>
          <w:numId w:val="20"/>
        </w:numPr>
        <w:jc w:val="both"/>
        <w:rPr>
          <w:rFonts w:ascii="Arial" w:hAnsi="Arial" w:cs="Arial"/>
          <w:sz w:val="20"/>
        </w:rPr>
      </w:pPr>
      <w:r>
        <w:rPr>
          <w:rFonts w:ascii="Arial" w:hAnsi="Arial" w:cs="Arial"/>
          <w:sz w:val="20"/>
        </w:rPr>
        <w:t>How Children Feel About Their Mothers and Fathers</w:t>
      </w:r>
    </w:p>
    <w:p w14:paraId="7465C7A7" w14:textId="77777777" w:rsidR="00693223" w:rsidRDefault="00693223">
      <w:pPr>
        <w:numPr>
          <w:ilvl w:val="0"/>
          <w:numId w:val="20"/>
        </w:numPr>
        <w:jc w:val="both"/>
        <w:rPr>
          <w:rFonts w:ascii="Arial" w:hAnsi="Arial" w:cs="Arial"/>
          <w:sz w:val="20"/>
        </w:rPr>
      </w:pPr>
      <w:r>
        <w:rPr>
          <w:rFonts w:ascii="Arial" w:hAnsi="Arial" w:cs="Arial"/>
          <w:sz w:val="20"/>
        </w:rPr>
        <w:t>How Children Survive</w:t>
      </w:r>
    </w:p>
    <w:p w14:paraId="7FA948E0" w14:textId="77777777" w:rsidR="00693223" w:rsidRDefault="00693223">
      <w:pPr>
        <w:numPr>
          <w:ilvl w:val="0"/>
          <w:numId w:val="20"/>
        </w:numPr>
        <w:jc w:val="both"/>
        <w:rPr>
          <w:rFonts w:ascii="Arial" w:hAnsi="Arial" w:cs="Arial"/>
          <w:sz w:val="20"/>
        </w:rPr>
      </w:pPr>
      <w:r>
        <w:rPr>
          <w:rFonts w:ascii="Arial" w:hAnsi="Arial" w:cs="Arial"/>
          <w:sz w:val="20"/>
        </w:rPr>
        <w:t>A Message for People Working with Traumatised Children</w:t>
      </w:r>
    </w:p>
    <w:p w14:paraId="1C5DB948" w14:textId="77777777" w:rsidR="00693223" w:rsidRDefault="00693223">
      <w:pPr>
        <w:rPr>
          <w:rFonts w:ascii="Arial" w:hAnsi="Arial" w:cs="Arial"/>
          <w:sz w:val="20"/>
        </w:rPr>
      </w:pPr>
    </w:p>
    <w:p w14:paraId="5299B507" w14:textId="77777777" w:rsidR="00693223" w:rsidRDefault="00693223">
      <w:pPr>
        <w:keepLines/>
        <w:ind w:left="720" w:hanging="720"/>
        <w:jc w:val="both"/>
        <w:rPr>
          <w:rFonts w:ascii="Arial" w:hAnsi="Arial" w:cs="Arial"/>
          <w:b/>
          <w:bCs/>
          <w:sz w:val="28"/>
          <w:bdr w:val="single" w:sz="4" w:space="0" w:color="auto"/>
        </w:rPr>
      </w:pPr>
      <w:r>
        <w:rPr>
          <w:rFonts w:ascii="Arial" w:hAnsi="Arial" w:cs="Arial"/>
          <w:b/>
          <w:bCs/>
          <w:sz w:val="28"/>
        </w:rPr>
        <w:lastRenderedPageBreak/>
        <w:t>F13</w:t>
      </w:r>
    </w:p>
    <w:p w14:paraId="6DC2BE62" w14:textId="77777777" w:rsidR="00693223" w:rsidRDefault="00693223">
      <w:pPr>
        <w:keepLines/>
        <w:jc w:val="both"/>
        <w:rPr>
          <w:rFonts w:ascii="Arial" w:hAnsi="Arial" w:cs="Arial"/>
          <w:b/>
          <w:bCs/>
          <w:sz w:val="32"/>
        </w:rPr>
      </w:pPr>
      <w:r>
        <w:rPr>
          <w:rFonts w:ascii="Arial" w:hAnsi="Arial" w:cs="Arial"/>
          <w:b/>
          <w:bCs/>
        </w:rPr>
        <w:t>Findings: Pre and Post Separation Abuse of Women &amp; Children</w:t>
      </w:r>
    </w:p>
    <w:p w14:paraId="630EA492" w14:textId="77777777" w:rsidR="00693223" w:rsidRDefault="00693223">
      <w:pPr>
        <w:keepLines/>
        <w:jc w:val="both"/>
        <w:rPr>
          <w:rFonts w:ascii="Arial" w:hAnsi="Arial" w:cs="Arial"/>
          <w:sz w:val="20"/>
        </w:rPr>
      </w:pPr>
      <w:r>
        <w:rPr>
          <w:rFonts w:ascii="Arial" w:hAnsi="Arial" w:cs="Arial"/>
          <w:sz w:val="20"/>
        </w:rPr>
        <w:t>Rendell, K, Rathus, Z &amp; Lynch A. (2000)</w:t>
      </w:r>
    </w:p>
    <w:p w14:paraId="43CC4F54" w14:textId="77777777" w:rsidR="00693223" w:rsidRDefault="00693223">
      <w:pPr>
        <w:keepLines/>
        <w:jc w:val="both"/>
        <w:rPr>
          <w:rFonts w:ascii="Arial" w:hAnsi="Arial" w:cs="Arial"/>
          <w:sz w:val="20"/>
        </w:rPr>
      </w:pPr>
      <w:r>
        <w:rPr>
          <w:rFonts w:ascii="Arial" w:hAnsi="Arial" w:cs="Arial"/>
          <w:i/>
          <w:iCs/>
          <w:sz w:val="20"/>
        </w:rPr>
        <w:t>An Unacceptable Risk: A Report on Child Contact arrangements where there is Violence in the Family.</w:t>
      </w:r>
    </w:p>
    <w:p w14:paraId="100C1EA3" w14:textId="77777777" w:rsidR="00693223" w:rsidRDefault="00693223">
      <w:pPr>
        <w:spacing w:before="120"/>
        <w:jc w:val="both"/>
        <w:rPr>
          <w:rFonts w:ascii="Arial" w:hAnsi="Arial" w:cs="Arial"/>
          <w:sz w:val="20"/>
        </w:rPr>
      </w:pPr>
      <w:r>
        <w:rPr>
          <w:rFonts w:ascii="Arial" w:hAnsi="Arial" w:cs="Arial"/>
          <w:sz w:val="20"/>
        </w:rPr>
        <w:t>This chapter presents research results about pre- &amp; post- separation abuse of women &amp; children</w:t>
      </w:r>
    </w:p>
    <w:p w14:paraId="3C0013E1" w14:textId="77777777" w:rsidR="00693223" w:rsidRDefault="00693223">
      <w:pPr>
        <w:rPr>
          <w:rFonts w:ascii="Arial" w:hAnsi="Arial" w:cs="Arial"/>
          <w:sz w:val="20"/>
        </w:rPr>
      </w:pPr>
    </w:p>
    <w:p w14:paraId="6A076F36"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F14</w:t>
      </w:r>
    </w:p>
    <w:p w14:paraId="3A42479B" w14:textId="77777777" w:rsidR="00693223" w:rsidRDefault="00693223">
      <w:pPr>
        <w:keepNext/>
        <w:keepLines/>
        <w:jc w:val="both"/>
        <w:rPr>
          <w:rFonts w:ascii="Arial" w:hAnsi="Arial" w:cs="Arial"/>
          <w:b/>
          <w:bCs/>
          <w:sz w:val="32"/>
        </w:rPr>
      </w:pPr>
      <w:r>
        <w:rPr>
          <w:rFonts w:ascii="Arial" w:hAnsi="Arial" w:cs="Arial"/>
          <w:b/>
          <w:bCs/>
        </w:rPr>
        <w:t>Domestic Violence and Child Protection</w:t>
      </w:r>
    </w:p>
    <w:p w14:paraId="1BC1C8BF" w14:textId="77777777" w:rsidR="00693223" w:rsidRDefault="00693223">
      <w:pPr>
        <w:keepNext/>
        <w:keepLines/>
        <w:jc w:val="both"/>
        <w:rPr>
          <w:rFonts w:ascii="Arial" w:hAnsi="Arial" w:cs="Arial"/>
          <w:sz w:val="20"/>
        </w:rPr>
      </w:pPr>
      <w:r>
        <w:rPr>
          <w:rFonts w:ascii="Arial" w:hAnsi="Arial" w:cs="Arial"/>
          <w:sz w:val="20"/>
        </w:rPr>
        <w:t xml:space="preserve">Domestic Violence Resource Centre, </w:t>
      </w:r>
      <w:smartTag w:uri="urn:schemas-microsoft-com:office:smarttags" w:element="State">
        <w:smartTag w:uri="urn:schemas-microsoft-com:office:smarttags" w:element="place">
          <w:r>
            <w:rPr>
              <w:rFonts w:ascii="Arial" w:hAnsi="Arial" w:cs="Arial"/>
              <w:sz w:val="20"/>
            </w:rPr>
            <w:t>Queensland</w:t>
          </w:r>
        </w:smartTag>
      </w:smartTag>
    </w:p>
    <w:p w14:paraId="743F0D24" w14:textId="77777777" w:rsidR="00693223" w:rsidRDefault="00693223">
      <w:pPr>
        <w:keepNext/>
        <w:keepLines/>
        <w:jc w:val="both"/>
        <w:rPr>
          <w:rFonts w:ascii="Arial" w:hAnsi="Arial" w:cs="Arial"/>
          <w:sz w:val="20"/>
        </w:rPr>
      </w:pPr>
      <w:r>
        <w:rPr>
          <w:rFonts w:ascii="Arial" w:hAnsi="Arial" w:cs="Arial"/>
          <w:sz w:val="20"/>
        </w:rPr>
        <w:t>Critical Directions Monograph Series Vol.1, No.1 June 2001</w:t>
      </w:r>
    </w:p>
    <w:p w14:paraId="31E82267" w14:textId="77777777" w:rsidR="00693223" w:rsidRDefault="00693223">
      <w:pPr>
        <w:spacing w:before="120"/>
        <w:jc w:val="both"/>
        <w:rPr>
          <w:rFonts w:ascii="Arial" w:hAnsi="Arial" w:cs="Arial"/>
          <w:sz w:val="20"/>
        </w:rPr>
      </w:pPr>
      <w:r>
        <w:rPr>
          <w:rFonts w:ascii="Arial" w:hAnsi="Arial" w:cs="Arial"/>
          <w:sz w:val="20"/>
        </w:rPr>
        <w:t>This paper provides an overview of research into the interface between domestic violence and child protection and adopts a critical view of current intervention strategies.  The paper asserts that the effective protection of children in violent families will be better achieved through appropriate intervention that both acknowledges and addresses the domestic violence.  Finally the paper looks at a collaborative, coordinated response from both domestic violence and child protection workers.  The paper is divided into the following sections:</w:t>
      </w:r>
    </w:p>
    <w:p w14:paraId="317C9ADE" w14:textId="77777777" w:rsidR="00693223" w:rsidRDefault="00693223">
      <w:pPr>
        <w:numPr>
          <w:ilvl w:val="0"/>
          <w:numId w:val="20"/>
        </w:numPr>
        <w:jc w:val="both"/>
        <w:rPr>
          <w:rFonts w:ascii="Arial" w:hAnsi="Arial" w:cs="Arial"/>
          <w:sz w:val="20"/>
        </w:rPr>
      </w:pPr>
      <w:r>
        <w:rPr>
          <w:rFonts w:ascii="Arial" w:hAnsi="Arial" w:cs="Arial"/>
          <w:sz w:val="20"/>
        </w:rPr>
        <w:t>Direct Abuse of Children</w:t>
      </w:r>
    </w:p>
    <w:p w14:paraId="144DFB23" w14:textId="77777777" w:rsidR="00693223" w:rsidRDefault="00693223">
      <w:pPr>
        <w:numPr>
          <w:ilvl w:val="0"/>
          <w:numId w:val="20"/>
        </w:numPr>
        <w:jc w:val="both"/>
        <w:rPr>
          <w:rFonts w:ascii="Arial" w:hAnsi="Arial" w:cs="Arial"/>
          <w:sz w:val="20"/>
        </w:rPr>
      </w:pPr>
      <w:r>
        <w:rPr>
          <w:rFonts w:ascii="Arial" w:hAnsi="Arial" w:cs="Arial"/>
          <w:sz w:val="20"/>
        </w:rPr>
        <w:t>Who is the Perpetrator?  Who should be held Accountable?  Who pays the price under the current system of intervention?</w:t>
      </w:r>
    </w:p>
    <w:p w14:paraId="0EA821F1" w14:textId="77777777" w:rsidR="00693223" w:rsidRDefault="00693223">
      <w:pPr>
        <w:numPr>
          <w:ilvl w:val="0"/>
          <w:numId w:val="20"/>
        </w:numPr>
        <w:jc w:val="both"/>
        <w:rPr>
          <w:rFonts w:ascii="Arial" w:hAnsi="Arial" w:cs="Arial"/>
          <w:sz w:val="20"/>
        </w:rPr>
      </w:pPr>
      <w:r>
        <w:rPr>
          <w:rFonts w:ascii="Arial" w:hAnsi="Arial" w:cs="Arial"/>
          <w:sz w:val="20"/>
        </w:rPr>
        <w:t>Effects of Domestic Violence on Women</w:t>
      </w:r>
    </w:p>
    <w:p w14:paraId="632AE52D" w14:textId="77777777" w:rsidR="00693223" w:rsidRDefault="00693223">
      <w:pPr>
        <w:numPr>
          <w:ilvl w:val="0"/>
          <w:numId w:val="20"/>
        </w:numPr>
        <w:jc w:val="both"/>
        <w:rPr>
          <w:rFonts w:ascii="Arial" w:hAnsi="Arial" w:cs="Arial"/>
          <w:sz w:val="20"/>
        </w:rPr>
      </w:pPr>
      <w:r>
        <w:rPr>
          <w:rFonts w:ascii="Arial" w:hAnsi="Arial" w:cs="Arial"/>
          <w:sz w:val="20"/>
        </w:rPr>
        <w:t>Effects of Domestic Violence on Children</w:t>
      </w:r>
    </w:p>
    <w:p w14:paraId="7FA6EC40" w14:textId="77777777" w:rsidR="00693223" w:rsidRDefault="00693223">
      <w:pPr>
        <w:numPr>
          <w:ilvl w:val="0"/>
          <w:numId w:val="20"/>
        </w:numPr>
        <w:jc w:val="both"/>
        <w:rPr>
          <w:rFonts w:ascii="Arial" w:hAnsi="Arial" w:cs="Arial"/>
          <w:sz w:val="20"/>
        </w:rPr>
      </w:pPr>
      <w:r>
        <w:rPr>
          <w:rFonts w:ascii="Arial" w:hAnsi="Arial" w:cs="Arial"/>
          <w:sz w:val="20"/>
        </w:rPr>
        <w:t>Mothers' Protective Behaviours for their Children</w:t>
      </w:r>
    </w:p>
    <w:p w14:paraId="41C24B96" w14:textId="77777777" w:rsidR="00693223" w:rsidRDefault="00693223">
      <w:pPr>
        <w:numPr>
          <w:ilvl w:val="0"/>
          <w:numId w:val="20"/>
        </w:numPr>
        <w:jc w:val="both"/>
        <w:rPr>
          <w:rFonts w:ascii="Arial" w:hAnsi="Arial" w:cs="Arial"/>
          <w:sz w:val="20"/>
        </w:rPr>
      </w:pPr>
      <w:r>
        <w:rPr>
          <w:rFonts w:ascii="Arial" w:hAnsi="Arial" w:cs="Arial"/>
          <w:sz w:val="20"/>
        </w:rPr>
        <w:t>When Women Separate from their Violent Partners</w:t>
      </w:r>
    </w:p>
    <w:p w14:paraId="55DA888A" w14:textId="77777777" w:rsidR="00693223" w:rsidRDefault="00693223">
      <w:pPr>
        <w:numPr>
          <w:ilvl w:val="0"/>
          <w:numId w:val="20"/>
        </w:numPr>
        <w:jc w:val="both"/>
        <w:rPr>
          <w:rFonts w:ascii="Arial" w:hAnsi="Arial" w:cs="Arial"/>
          <w:sz w:val="20"/>
        </w:rPr>
      </w:pPr>
      <w:r>
        <w:rPr>
          <w:rFonts w:ascii="Arial" w:hAnsi="Arial" w:cs="Arial"/>
          <w:sz w:val="20"/>
        </w:rPr>
        <w:t>What has been done to protect children?  How can the response be improved?</w:t>
      </w:r>
    </w:p>
    <w:p w14:paraId="3BB5082D" w14:textId="77777777" w:rsidR="00693223" w:rsidRDefault="00693223">
      <w:pPr>
        <w:rPr>
          <w:rFonts w:ascii="Arial" w:hAnsi="Arial" w:cs="Arial"/>
          <w:sz w:val="20"/>
        </w:rPr>
      </w:pPr>
    </w:p>
    <w:p w14:paraId="2B076B5C" w14:textId="77777777" w:rsidR="00693223" w:rsidRDefault="00693223" w:rsidP="002F5929">
      <w:pPr>
        <w:ind w:left="720" w:hanging="720"/>
        <w:jc w:val="both"/>
        <w:rPr>
          <w:rFonts w:ascii="Arial" w:hAnsi="Arial" w:cs="Arial"/>
          <w:b/>
          <w:bCs/>
        </w:rPr>
      </w:pPr>
      <w:r>
        <w:rPr>
          <w:rFonts w:ascii="Arial" w:hAnsi="Arial" w:cs="Arial"/>
          <w:b/>
          <w:bCs/>
          <w:sz w:val="28"/>
        </w:rPr>
        <w:t>F15</w:t>
      </w:r>
    </w:p>
    <w:p w14:paraId="56AE6710" w14:textId="77777777" w:rsidR="00693223" w:rsidRDefault="00693223" w:rsidP="002F5929">
      <w:pPr>
        <w:jc w:val="both"/>
        <w:rPr>
          <w:rFonts w:ascii="Arial" w:hAnsi="Arial" w:cs="Arial"/>
          <w:b/>
          <w:bCs/>
          <w:sz w:val="32"/>
        </w:rPr>
      </w:pPr>
      <w:r>
        <w:rPr>
          <w:rFonts w:ascii="Arial" w:hAnsi="Arial" w:cs="Arial"/>
          <w:b/>
          <w:bCs/>
        </w:rPr>
        <w:t>Potential Impacts of Domestic Violence at Different Developmental Stages</w:t>
      </w:r>
    </w:p>
    <w:p w14:paraId="7BB4A4F4" w14:textId="77777777" w:rsidR="00693223" w:rsidRDefault="00693223" w:rsidP="002F5929">
      <w:pPr>
        <w:jc w:val="both"/>
        <w:rPr>
          <w:rFonts w:ascii="Arial" w:hAnsi="Arial" w:cs="Arial"/>
          <w:sz w:val="20"/>
        </w:rPr>
      </w:pPr>
      <w:r>
        <w:rPr>
          <w:rFonts w:ascii="Arial" w:hAnsi="Arial" w:cs="Arial"/>
          <w:sz w:val="20"/>
        </w:rPr>
        <w:t>Linda L Baker &amp; Peter G Jaffe (Centre for Children and Families in the Justice System); Steven J Berkowitz &amp; Miriam Berkman (</w:t>
      </w:r>
      <w:smartTag w:uri="urn:schemas-microsoft-com:office:smarttags" w:element="PlaceName">
        <w:r>
          <w:rPr>
            <w:rFonts w:ascii="Arial" w:hAnsi="Arial" w:cs="Arial"/>
            <w:sz w:val="20"/>
          </w:rPr>
          <w:t>National</w:t>
        </w:r>
      </w:smartTag>
      <w:r>
        <w:rPr>
          <w:rFonts w:ascii="Arial" w:hAnsi="Arial" w:cs="Arial"/>
          <w:sz w:val="20"/>
        </w:rPr>
        <w:t xml:space="preserve"> </w:t>
      </w:r>
      <w:smartTag w:uri="urn:schemas-microsoft-com:office:smarttags" w:element="PlaceType">
        <w:r>
          <w:rPr>
            <w:rFonts w:ascii="Arial" w:hAnsi="Arial" w:cs="Arial"/>
            <w:sz w:val="20"/>
          </w:rPr>
          <w:t>Center</w:t>
        </w:r>
      </w:smartTag>
      <w:r>
        <w:rPr>
          <w:rFonts w:ascii="Arial" w:hAnsi="Arial" w:cs="Arial"/>
          <w:sz w:val="20"/>
        </w:rPr>
        <w:t xml:space="preserve"> for Children Exposed to Violence, Child Study Centre, </w:t>
      </w:r>
      <w:smartTag w:uri="urn:schemas-microsoft-com:office:smarttags" w:element="place">
        <w:smartTag w:uri="urn:schemas-microsoft-com:office:smarttags" w:element="PlaceName">
          <w:r>
            <w:rPr>
              <w:rFonts w:ascii="Arial" w:hAnsi="Arial" w:cs="Arial"/>
              <w:sz w:val="20"/>
            </w:rPr>
            <w:t>Yale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r>
        <w:rPr>
          <w:rFonts w:ascii="Arial" w:hAnsi="Arial" w:cs="Arial"/>
          <w:sz w:val="20"/>
        </w:rPr>
        <w:t>)</w:t>
      </w:r>
    </w:p>
    <w:p w14:paraId="5C29242B" w14:textId="77777777" w:rsidR="00693223" w:rsidRDefault="00693223" w:rsidP="002F5929">
      <w:pPr>
        <w:jc w:val="both"/>
        <w:rPr>
          <w:rFonts w:ascii="Arial" w:hAnsi="Arial" w:cs="Arial"/>
          <w:sz w:val="20"/>
        </w:rPr>
      </w:pPr>
      <w:r>
        <w:rPr>
          <w:rFonts w:ascii="Arial" w:hAnsi="Arial" w:cs="Arial"/>
          <w:sz w:val="20"/>
        </w:rPr>
        <w:t xml:space="preserve">Excerpts from: </w:t>
      </w:r>
      <w:r>
        <w:rPr>
          <w:rFonts w:ascii="Arial" w:hAnsi="Arial" w:cs="Arial"/>
          <w:i/>
          <w:iCs/>
          <w:sz w:val="20"/>
        </w:rPr>
        <w:t>Children Exposed to Domestic Violence: A Handbook for Police Trainers to Increase Understanding and Improve Community Responses</w:t>
      </w:r>
    </w:p>
    <w:p w14:paraId="315D6575" w14:textId="77777777" w:rsidR="00693223" w:rsidRDefault="00693223" w:rsidP="002F5929">
      <w:pPr>
        <w:spacing w:before="120"/>
        <w:jc w:val="both"/>
        <w:rPr>
          <w:rFonts w:ascii="Arial" w:hAnsi="Arial" w:cs="Arial"/>
          <w:sz w:val="20"/>
        </w:rPr>
      </w:pPr>
      <w:r>
        <w:rPr>
          <w:rFonts w:ascii="Arial" w:hAnsi="Arial" w:cs="Arial"/>
          <w:sz w:val="20"/>
        </w:rPr>
        <w:t>How young people relate and think about their experiences changes dramatically as they mature.  We can better understand how they may interpret and be affected by exposure to violence when we consider their stage of development.</w:t>
      </w:r>
    </w:p>
    <w:p w14:paraId="6709F931" w14:textId="77777777" w:rsidR="00693223" w:rsidRDefault="00693223">
      <w:pPr>
        <w:rPr>
          <w:rFonts w:ascii="Arial" w:hAnsi="Arial" w:cs="Arial"/>
          <w:sz w:val="20"/>
        </w:rPr>
      </w:pPr>
    </w:p>
    <w:p w14:paraId="04A9B5C7" w14:textId="77777777" w:rsidR="00693223" w:rsidRDefault="00693223" w:rsidP="002F5929">
      <w:pPr>
        <w:ind w:left="720" w:hanging="720"/>
        <w:jc w:val="both"/>
        <w:rPr>
          <w:rFonts w:ascii="Arial" w:hAnsi="Arial" w:cs="Arial"/>
          <w:b/>
          <w:bCs/>
          <w:sz w:val="28"/>
          <w:bdr w:val="single" w:sz="4" w:space="0" w:color="auto"/>
        </w:rPr>
      </w:pPr>
      <w:r>
        <w:rPr>
          <w:rFonts w:ascii="Arial" w:hAnsi="Arial" w:cs="Arial"/>
          <w:b/>
          <w:bCs/>
          <w:sz w:val="28"/>
        </w:rPr>
        <w:t>F16</w:t>
      </w:r>
    </w:p>
    <w:p w14:paraId="7DAF591F" w14:textId="77777777" w:rsidR="00693223" w:rsidRDefault="00693223" w:rsidP="002F5929">
      <w:pPr>
        <w:jc w:val="both"/>
        <w:rPr>
          <w:rFonts w:ascii="Arial" w:hAnsi="Arial" w:cs="Arial"/>
          <w:b/>
          <w:bCs/>
          <w:sz w:val="32"/>
        </w:rPr>
      </w:pPr>
      <w:r>
        <w:rPr>
          <w:rFonts w:ascii="Arial" w:hAnsi="Arial" w:cs="Arial"/>
          <w:b/>
          <w:bCs/>
        </w:rPr>
        <w:t>Why is Domestic Violence Relevant to Child Custody?</w:t>
      </w:r>
    </w:p>
    <w:p w14:paraId="4AFB058E" w14:textId="77777777" w:rsidR="00693223" w:rsidRDefault="00693223" w:rsidP="002F5929">
      <w:pPr>
        <w:jc w:val="both"/>
        <w:rPr>
          <w:rFonts w:ascii="Arial" w:hAnsi="Arial" w:cs="Arial"/>
          <w:sz w:val="20"/>
        </w:rPr>
      </w:pPr>
      <w:r>
        <w:rPr>
          <w:rFonts w:ascii="Arial" w:hAnsi="Arial" w:cs="Arial"/>
          <w:sz w:val="20"/>
        </w:rPr>
        <w:t>Peter G Jaffe, Ph D, Nancy K D Lemon, JD &amp; Samantha E Poisson M Ed.</w:t>
      </w:r>
    </w:p>
    <w:p w14:paraId="1B10E5D7" w14:textId="77777777" w:rsidR="00693223" w:rsidRDefault="00693223" w:rsidP="002F5929">
      <w:pPr>
        <w:jc w:val="both"/>
        <w:rPr>
          <w:rFonts w:ascii="Arial" w:hAnsi="Arial" w:cs="Arial"/>
          <w:sz w:val="20"/>
        </w:rPr>
      </w:pPr>
      <w:r>
        <w:rPr>
          <w:rFonts w:ascii="Arial" w:hAnsi="Arial" w:cs="Arial"/>
          <w:sz w:val="20"/>
        </w:rPr>
        <w:t xml:space="preserve">Excerpts from: </w:t>
      </w:r>
      <w:r>
        <w:rPr>
          <w:rFonts w:ascii="Arial" w:hAnsi="Arial" w:cs="Arial"/>
          <w:i/>
          <w:iCs/>
          <w:sz w:val="20"/>
        </w:rPr>
        <w:t>Child Custody and Domestic Violence: A Call for Safety and Accountability</w:t>
      </w:r>
    </w:p>
    <w:p w14:paraId="724E26FE" w14:textId="77777777" w:rsidR="00693223" w:rsidRDefault="00693223" w:rsidP="002F5929">
      <w:pPr>
        <w:spacing w:before="120"/>
        <w:jc w:val="both"/>
        <w:rPr>
          <w:rFonts w:ascii="Arial" w:hAnsi="Arial" w:cs="Arial"/>
          <w:sz w:val="20"/>
        </w:rPr>
      </w:pPr>
      <w:r>
        <w:rPr>
          <w:rFonts w:ascii="Arial" w:hAnsi="Arial" w:cs="Arial"/>
          <w:sz w:val="20"/>
        </w:rPr>
        <w:t xml:space="preserve">The authors' motivation to write this book grew out of their frustration that well-educated professionals working daily with families in crisis do not seem to understand the relevance of exposure to domestic violence on child adjustment.  </w:t>
      </w:r>
    </w:p>
    <w:p w14:paraId="3B3ADFD3" w14:textId="77777777" w:rsidR="00693223" w:rsidRDefault="00693223" w:rsidP="002F5929">
      <w:pPr>
        <w:rPr>
          <w:rFonts w:ascii="Arial" w:hAnsi="Arial" w:cs="Arial"/>
          <w:sz w:val="20"/>
        </w:rPr>
      </w:pPr>
    </w:p>
    <w:p w14:paraId="5CA97DBD" w14:textId="77777777" w:rsidR="00693223" w:rsidRDefault="00693223" w:rsidP="002C17CA">
      <w:pPr>
        <w:keepNext/>
        <w:keepLines/>
        <w:ind w:left="720" w:hanging="720"/>
        <w:jc w:val="both"/>
        <w:rPr>
          <w:rFonts w:ascii="Arial" w:hAnsi="Arial" w:cs="Arial"/>
          <w:b/>
          <w:bCs/>
          <w:sz w:val="28"/>
          <w:bdr w:val="single" w:sz="4" w:space="0" w:color="auto"/>
        </w:rPr>
      </w:pPr>
      <w:r>
        <w:rPr>
          <w:rFonts w:ascii="Arial" w:hAnsi="Arial" w:cs="Arial"/>
          <w:b/>
          <w:bCs/>
          <w:sz w:val="28"/>
        </w:rPr>
        <w:t>F17</w:t>
      </w:r>
    </w:p>
    <w:p w14:paraId="6D499E90" w14:textId="77777777" w:rsidR="00693223" w:rsidRDefault="00693223" w:rsidP="002F5929">
      <w:pPr>
        <w:jc w:val="both"/>
        <w:rPr>
          <w:rFonts w:ascii="Arial" w:hAnsi="Arial" w:cs="Arial"/>
          <w:b/>
          <w:bCs/>
          <w:sz w:val="32"/>
        </w:rPr>
      </w:pPr>
      <w:r>
        <w:rPr>
          <w:rFonts w:ascii="Arial" w:hAnsi="Arial" w:cs="Arial"/>
          <w:b/>
          <w:bCs/>
        </w:rPr>
        <w:t>Family Violence and Homelessness - Removing the Perpetrator from the Home</w:t>
      </w:r>
    </w:p>
    <w:p w14:paraId="3C54F186" w14:textId="77777777" w:rsidR="00693223" w:rsidRDefault="00693223" w:rsidP="002F5929">
      <w:pPr>
        <w:jc w:val="both"/>
        <w:rPr>
          <w:rFonts w:ascii="Arial" w:hAnsi="Arial" w:cs="Arial"/>
          <w:sz w:val="20"/>
        </w:rPr>
      </w:pPr>
      <w:r>
        <w:rPr>
          <w:rFonts w:ascii="Arial" w:hAnsi="Arial" w:cs="Arial"/>
          <w:sz w:val="20"/>
        </w:rPr>
        <w:t>Domestic Violence and Incest Resource Centre Discussion Paper No.3 2002</w:t>
      </w:r>
    </w:p>
    <w:p w14:paraId="21C27B39" w14:textId="77777777" w:rsidR="00693223" w:rsidRDefault="00693223">
      <w:pPr>
        <w:spacing w:before="120"/>
        <w:jc w:val="both"/>
        <w:rPr>
          <w:rFonts w:ascii="Arial" w:hAnsi="Arial" w:cs="Arial"/>
          <w:sz w:val="20"/>
        </w:rPr>
      </w:pPr>
      <w:r>
        <w:rPr>
          <w:rFonts w:ascii="Arial" w:hAnsi="Arial" w:cs="Arial"/>
          <w:sz w:val="20"/>
        </w:rPr>
        <w:t xml:space="preserve">Women and children who are subjected to family violence are vulnerable to homelessness.  The violence disrupts and violates their sense of safety and belonging in the home; and when they make the decision to leave, this usually requires that they literally flee their homes.  A protracted experience of insecure and inappropriate housing often follows, with ongoing </w:t>
      </w:r>
      <w:r>
        <w:rPr>
          <w:rFonts w:ascii="Arial" w:hAnsi="Arial" w:cs="Arial"/>
          <w:sz w:val="20"/>
        </w:rPr>
        <w:lastRenderedPageBreak/>
        <w:t>disruption to employment and the schooling of children.  Women can face isolation, emotional trauma and acute economic disadvantage as a result of their decision to leave.  Fear of such devastating loss and social disadvantage may imprison them in violent relationships.</w:t>
      </w:r>
    </w:p>
    <w:p w14:paraId="3CFDEF82" w14:textId="77777777" w:rsidR="00693223" w:rsidRDefault="00693223">
      <w:pPr>
        <w:spacing w:before="120"/>
        <w:jc w:val="both"/>
        <w:rPr>
          <w:rFonts w:ascii="Arial" w:hAnsi="Arial" w:cs="Arial"/>
          <w:sz w:val="20"/>
        </w:rPr>
      </w:pPr>
      <w:r>
        <w:rPr>
          <w:rFonts w:ascii="Arial" w:hAnsi="Arial" w:cs="Arial"/>
          <w:sz w:val="20"/>
        </w:rPr>
        <w:t>The traditional focus of social policy responses to family violence has been on supporting women and children to leave situations of family violence, through funding a network of emergency and transitional accommodation.  More recently, there is increased policy interest in identifying strategies to assist victims of family violence to remain safely in their homes, while the perpetrator of the violence is removed.  However despite the availability of legal mechanisms to remove perpetrators, women and children face significant obstacles in engaging legal protection and subsequently sustaining their housing.</w:t>
      </w:r>
    </w:p>
    <w:p w14:paraId="74DA11BC" w14:textId="77777777" w:rsidR="00693223" w:rsidRDefault="00693223">
      <w:pPr>
        <w:spacing w:before="120"/>
        <w:jc w:val="both"/>
        <w:rPr>
          <w:rFonts w:ascii="Arial" w:hAnsi="Arial" w:cs="Arial"/>
          <w:sz w:val="20"/>
        </w:rPr>
      </w:pPr>
      <w:r>
        <w:rPr>
          <w:rFonts w:ascii="Arial" w:hAnsi="Arial" w:cs="Arial"/>
          <w:sz w:val="20"/>
        </w:rPr>
        <w:t>This paper contributes to a better understanding of these issues.  It presents suggestions as to how policy can be directed to removing violent men from the family home, evaluates the two main legal interventions that exist in Victoria to enable this to happen, and discusses obstacles typically faced by those who pursue these legal interventions.  The Paper also explores some of the strategies and initiatives that have emerged elsewhere to address the problems identified, and recommends ways of making positive change.</w:t>
      </w:r>
    </w:p>
    <w:p w14:paraId="6CE74C62" w14:textId="77777777" w:rsidR="00693223" w:rsidRDefault="00693223">
      <w:pPr>
        <w:rPr>
          <w:rFonts w:ascii="Arial" w:hAnsi="Arial" w:cs="Arial"/>
          <w:sz w:val="20"/>
        </w:rPr>
      </w:pPr>
    </w:p>
    <w:p w14:paraId="006A4BCF"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F18</w:t>
      </w:r>
    </w:p>
    <w:p w14:paraId="08EAEF96" w14:textId="77777777" w:rsidR="00693223" w:rsidRDefault="00693223">
      <w:pPr>
        <w:keepNext/>
        <w:keepLines/>
        <w:jc w:val="both"/>
        <w:rPr>
          <w:rFonts w:ascii="Arial" w:hAnsi="Arial" w:cs="Arial"/>
          <w:b/>
          <w:bCs/>
          <w:sz w:val="32"/>
        </w:rPr>
      </w:pPr>
      <w:r>
        <w:rPr>
          <w:rFonts w:ascii="Arial" w:hAnsi="Arial" w:cs="Arial"/>
          <w:b/>
          <w:bCs/>
        </w:rPr>
        <w:t>Battering and Couples Therapy: Universal Screening and Selection of Treatment Modality</w:t>
      </w:r>
    </w:p>
    <w:p w14:paraId="37F6077D" w14:textId="77777777" w:rsidR="00693223" w:rsidRDefault="00693223">
      <w:pPr>
        <w:keepNext/>
        <w:keepLines/>
        <w:jc w:val="both"/>
        <w:rPr>
          <w:rFonts w:ascii="Arial" w:hAnsi="Arial" w:cs="Arial"/>
          <w:sz w:val="20"/>
        </w:rPr>
      </w:pPr>
      <w:r>
        <w:rPr>
          <w:rFonts w:ascii="Arial" w:hAnsi="Arial" w:cs="Arial"/>
          <w:sz w:val="20"/>
        </w:rPr>
        <w:t>Michele Bograd (</w:t>
      </w:r>
      <w:smartTag w:uri="urn:schemas-microsoft-com:office:smarttags" w:element="City">
        <w:r>
          <w:rPr>
            <w:rFonts w:ascii="Arial" w:hAnsi="Arial" w:cs="Arial"/>
            <w:sz w:val="20"/>
          </w:rPr>
          <w:t>Bedford</w:t>
        </w:r>
      </w:smartTag>
      <w:r>
        <w:rPr>
          <w:rFonts w:ascii="Arial" w:hAnsi="Arial" w:cs="Arial"/>
          <w:sz w:val="20"/>
        </w:rPr>
        <w:t xml:space="preserve">, </w:t>
      </w:r>
      <w:smartTag w:uri="urn:schemas-microsoft-com:office:smarttags" w:element="State">
        <w:r>
          <w:rPr>
            <w:rFonts w:ascii="Arial" w:hAnsi="Arial" w:cs="Arial"/>
            <w:sz w:val="20"/>
          </w:rPr>
          <w:t>Mass.</w:t>
        </w:r>
      </w:smartTag>
      <w:r>
        <w:rPr>
          <w:rFonts w:ascii="Arial" w:hAnsi="Arial" w:cs="Arial"/>
          <w:sz w:val="20"/>
        </w:rPr>
        <w:t>) &amp; Fernando Mederos (</w:t>
      </w:r>
      <w:smartTag w:uri="urn:schemas-microsoft-com:office:smarttags" w:element="place">
        <w:smartTag w:uri="urn:schemas-microsoft-com:office:smarttags" w:element="City">
          <w:r>
            <w:rPr>
              <w:rFonts w:ascii="Arial" w:hAnsi="Arial" w:cs="Arial"/>
              <w:sz w:val="20"/>
            </w:rPr>
            <w:t>Jamaica Plain</w:t>
          </w:r>
        </w:smartTag>
        <w:r>
          <w:rPr>
            <w:rFonts w:ascii="Arial" w:hAnsi="Arial" w:cs="Arial"/>
            <w:sz w:val="20"/>
          </w:rPr>
          <w:t xml:space="preserve">, </w:t>
        </w:r>
        <w:smartTag w:uri="urn:schemas-microsoft-com:office:smarttags" w:element="State">
          <w:r>
            <w:rPr>
              <w:rFonts w:ascii="Arial" w:hAnsi="Arial" w:cs="Arial"/>
              <w:sz w:val="20"/>
            </w:rPr>
            <w:t>Mass.</w:t>
          </w:r>
        </w:smartTag>
      </w:smartTag>
      <w:r>
        <w:rPr>
          <w:rFonts w:ascii="Arial" w:hAnsi="Arial" w:cs="Arial"/>
          <w:sz w:val="20"/>
        </w:rPr>
        <w:t>)</w:t>
      </w:r>
    </w:p>
    <w:p w14:paraId="748A1C03" w14:textId="77777777" w:rsidR="00693223" w:rsidRDefault="00693223">
      <w:pPr>
        <w:keepNext/>
        <w:keepLines/>
        <w:jc w:val="both"/>
        <w:rPr>
          <w:rFonts w:ascii="Arial" w:hAnsi="Arial" w:cs="Arial"/>
          <w:sz w:val="20"/>
        </w:rPr>
      </w:pPr>
      <w:r>
        <w:rPr>
          <w:rFonts w:ascii="Arial" w:hAnsi="Arial" w:cs="Arial"/>
          <w:i/>
          <w:iCs/>
          <w:sz w:val="20"/>
        </w:rPr>
        <w:t>Journal of Marital and Family Therapy July 1999</w:t>
      </w:r>
      <w:r>
        <w:rPr>
          <w:rFonts w:ascii="Arial" w:hAnsi="Arial" w:cs="Arial"/>
          <w:sz w:val="20"/>
        </w:rPr>
        <w:t xml:space="preserve"> Vol.25, No.3, 291-312</w:t>
      </w:r>
    </w:p>
    <w:p w14:paraId="7161A043" w14:textId="77777777" w:rsidR="00693223" w:rsidRDefault="00693223">
      <w:pPr>
        <w:spacing w:before="120"/>
        <w:jc w:val="both"/>
        <w:rPr>
          <w:rFonts w:ascii="Arial" w:hAnsi="Arial" w:cs="Arial"/>
          <w:sz w:val="20"/>
        </w:rPr>
      </w:pPr>
      <w:r>
        <w:rPr>
          <w:rFonts w:ascii="Arial" w:hAnsi="Arial" w:cs="Arial"/>
          <w:sz w:val="20"/>
        </w:rPr>
        <w:t>As family therapists begin to experiment with couples treatment models for batterers and their partners, a basic question is: Which couples can be safely treated with conjoint therapy?  Following a definition of battering and a review of rationales for considering couples therapy in cases of domestic violence, a framework for assessment of domestic violence is outlined, including sample questions, criteria for excluding couples from conjoint therapy, how to conduct a lethality assessment, and how to conceptualise post-assessment treatment recommendations.  This article also introduces familes and couples therapists to domestic violence literature that is often not well integrated in family therapy theory and practice.</w:t>
      </w:r>
    </w:p>
    <w:p w14:paraId="494E303D" w14:textId="77777777" w:rsidR="00693223" w:rsidRDefault="00693223">
      <w:pPr>
        <w:jc w:val="both"/>
        <w:rPr>
          <w:rFonts w:ascii="Arial" w:hAnsi="Arial" w:cs="Arial"/>
          <w:sz w:val="20"/>
        </w:rPr>
      </w:pPr>
    </w:p>
    <w:p w14:paraId="579D5E6A"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F19</w:t>
      </w:r>
    </w:p>
    <w:p w14:paraId="4B3BE292" w14:textId="77777777" w:rsidR="00693223" w:rsidRDefault="00693223">
      <w:pPr>
        <w:keepNext/>
        <w:keepLines/>
        <w:jc w:val="both"/>
        <w:rPr>
          <w:rFonts w:ascii="Arial" w:hAnsi="Arial" w:cs="Arial"/>
          <w:b/>
          <w:bCs/>
          <w:sz w:val="32"/>
        </w:rPr>
      </w:pPr>
      <w:r>
        <w:rPr>
          <w:rFonts w:ascii="Arial" w:hAnsi="Arial" w:cs="Arial"/>
          <w:b/>
          <w:bCs/>
        </w:rPr>
        <w:t>Embracing the Controversy - A Metasystemic Approach to the Treatment of Domestic Violence</w:t>
      </w:r>
    </w:p>
    <w:p w14:paraId="536FE19D" w14:textId="77777777" w:rsidR="00693223" w:rsidRDefault="00693223">
      <w:pPr>
        <w:keepNext/>
        <w:keepLines/>
        <w:jc w:val="both"/>
        <w:rPr>
          <w:rFonts w:ascii="Arial" w:hAnsi="Arial" w:cs="Arial"/>
          <w:sz w:val="20"/>
        </w:rPr>
      </w:pPr>
      <w:r>
        <w:rPr>
          <w:rFonts w:ascii="Arial" w:hAnsi="Arial" w:cs="Arial"/>
          <w:sz w:val="20"/>
        </w:rPr>
        <w:t>Wendy Greenspun</w:t>
      </w:r>
    </w:p>
    <w:p w14:paraId="062F376E" w14:textId="77777777" w:rsidR="00693223" w:rsidRDefault="00693223">
      <w:pPr>
        <w:spacing w:before="120"/>
        <w:jc w:val="both"/>
        <w:rPr>
          <w:rFonts w:ascii="Arial" w:hAnsi="Arial" w:cs="Arial"/>
          <w:sz w:val="20"/>
        </w:rPr>
      </w:pPr>
      <w:r>
        <w:rPr>
          <w:rFonts w:ascii="Arial" w:hAnsi="Arial" w:cs="Arial"/>
          <w:sz w:val="20"/>
        </w:rPr>
        <w:t>This work attempts to give an overview of the historical context of treatment within the domestic violence field, then outlines the current controversy about how best to intervene (the 'systemic' versus the 'feminist').  Finally, a comprehensive treatment approach is described, one that takes into account the various complexities inherent in the work.</w:t>
      </w:r>
    </w:p>
    <w:p w14:paraId="5C6E1FF2" w14:textId="77777777" w:rsidR="00693223" w:rsidRDefault="00693223">
      <w:pPr>
        <w:jc w:val="both"/>
        <w:rPr>
          <w:rFonts w:ascii="Arial" w:hAnsi="Arial" w:cs="Arial"/>
          <w:sz w:val="20"/>
        </w:rPr>
      </w:pPr>
    </w:p>
    <w:p w14:paraId="07CC6E78"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F20</w:t>
      </w:r>
    </w:p>
    <w:p w14:paraId="48B6A61E" w14:textId="77777777" w:rsidR="00693223" w:rsidRDefault="00693223">
      <w:pPr>
        <w:keepNext/>
        <w:keepLines/>
        <w:jc w:val="both"/>
        <w:rPr>
          <w:rFonts w:ascii="Arial" w:hAnsi="Arial" w:cs="Arial"/>
          <w:b/>
          <w:bCs/>
        </w:rPr>
      </w:pPr>
      <w:r>
        <w:rPr>
          <w:rFonts w:ascii="Arial" w:hAnsi="Arial" w:cs="Arial"/>
          <w:b/>
          <w:bCs/>
        </w:rPr>
        <w:t>Commentary on the Child Protection Outcomes Project: Thoughts on the Issue of 'Fast Tracking'</w:t>
      </w:r>
    </w:p>
    <w:p w14:paraId="220FB367" w14:textId="77777777" w:rsidR="00693223" w:rsidRDefault="00693223">
      <w:pPr>
        <w:keepNext/>
        <w:keepLines/>
        <w:jc w:val="both"/>
        <w:rPr>
          <w:rFonts w:ascii="Arial" w:hAnsi="Arial" w:cs="Arial"/>
          <w:sz w:val="20"/>
        </w:rPr>
      </w:pPr>
      <w:r>
        <w:rPr>
          <w:rFonts w:ascii="Arial" w:hAnsi="Arial" w:cs="Arial"/>
          <w:sz w:val="20"/>
        </w:rPr>
        <w:t>Dr Patricia F. Brown (Director, Children's Court Clinic)</w:t>
      </w:r>
    </w:p>
    <w:p w14:paraId="4F623C7A" w14:textId="77777777" w:rsidR="00693223" w:rsidRDefault="00693223">
      <w:pPr>
        <w:spacing w:before="120"/>
        <w:jc w:val="both"/>
        <w:rPr>
          <w:rFonts w:ascii="Arial" w:hAnsi="Arial" w:cs="Arial"/>
          <w:sz w:val="20"/>
        </w:rPr>
      </w:pPr>
      <w:r>
        <w:rPr>
          <w:rFonts w:ascii="Arial" w:hAnsi="Arial" w:cs="Arial"/>
          <w:sz w:val="20"/>
        </w:rPr>
        <w:t>In this commentary the author unequivocally endorses a decided shift towards a family service model which is largely voluntary, where families in distress are treated with respect, nurtured early and in ongoing fashion, and with legal involvement becoming a last resort, a shift which in her view can only enrich a sense of community generally.  Further, the emphasis in the Project on well trained persons offering family intervention is crucial.</w:t>
      </w:r>
    </w:p>
    <w:p w14:paraId="06B6E7CB" w14:textId="77777777" w:rsidR="00693223" w:rsidRDefault="00693223">
      <w:pPr>
        <w:spacing w:before="120"/>
        <w:jc w:val="both"/>
        <w:rPr>
          <w:rFonts w:ascii="Arial" w:hAnsi="Arial" w:cs="Arial"/>
          <w:sz w:val="20"/>
        </w:rPr>
      </w:pPr>
      <w:r>
        <w:rPr>
          <w:rFonts w:ascii="Arial" w:hAnsi="Arial" w:cs="Arial"/>
          <w:sz w:val="20"/>
        </w:rPr>
        <w:t xml:space="preserve">This commentary focuses on the suggestion in the Project for the need to "provide permanence for children, with a clear intention to reduce time apart in out-of-home care".  As the author says: "One would be hard pressed to find a person in the field who would not agree </w:t>
      </w:r>
      <w:r w:rsidR="008978DB">
        <w:rPr>
          <w:rFonts w:ascii="Arial" w:hAnsi="Arial" w:cs="Arial"/>
          <w:sz w:val="20"/>
        </w:rPr>
        <w:t xml:space="preserve">with </w:t>
      </w:r>
      <w:r>
        <w:rPr>
          <w:rFonts w:ascii="Arial" w:hAnsi="Arial" w:cs="Arial"/>
          <w:sz w:val="20"/>
        </w:rPr>
        <w:t xml:space="preserve">the principle of this recommendation."  But it is her strong view that while there is unequivocally a need to ensure that children are not in extended out-of-home care with numbers of carers, the fact that impermanence of care has proliferated is a system's problem </w:t>
      </w:r>
      <w:r>
        <w:rPr>
          <w:rFonts w:ascii="Arial" w:hAnsi="Arial" w:cs="Arial"/>
          <w:sz w:val="20"/>
        </w:rPr>
        <w:lastRenderedPageBreak/>
        <w:t>which the system needs to address.  That problem has not been created by children and families but by those who have attempted to better the lot of children in dysfunctional families.</w:t>
      </w:r>
    </w:p>
    <w:p w14:paraId="31E7178F" w14:textId="77777777" w:rsidR="00693223" w:rsidRDefault="00693223">
      <w:pPr>
        <w:spacing w:before="120"/>
        <w:jc w:val="both"/>
        <w:rPr>
          <w:rFonts w:ascii="Arial" w:hAnsi="Arial" w:cs="Arial"/>
          <w:sz w:val="20"/>
        </w:rPr>
      </w:pPr>
      <w:r>
        <w:rPr>
          <w:rFonts w:ascii="Arial" w:hAnsi="Arial" w:cs="Arial"/>
          <w:sz w:val="20"/>
        </w:rPr>
        <w:t xml:space="preserve">The author suggests that the State ensure the following: First, establish that very skilled remediation is currently generally available and, to that end, inquire into and regulate the industry.  Second, before permanent care can be invoked, there be insistence through legislation on a package of very skilled family remediation first being attempted </w:t>
      </w:r>
      <w:r>
        <w:rPr>
          <w:rFonts w:ascii="Arial" w:hAnsi="Arial" w:cs="Arial"/>
          <w:i/>
          <w:iCs/>
          <w:sz w:val="20"/>
        </w:rPr>
        <w:t>where at all feasible</w:t>
      </w:r>
      <w:r>
        <w:rPr>
          <w:rFonts w:ascii="Arial" w:hAnsi="Arial" w:cs="Arial"/>
          <w:sz w:val="20"/>
        </w:rPr>
        <w:t>.  Third, there be a creative re-thinking on possibilities for placing a child initially removed from home, with there also being carers engaged more numerously, who had already indicated that they had the flexibility for permanent care to retain children, if there were a failure by parents to implement needed change when skilled remediation has been offered.</w:t>
      </w:r>
    </w:p>
    <w:p w14:paraId="097FA75D" w14:textId="77777777" w:rsidR="00693223" w:rsidRDefault="00693223">
      <w:pPr>
        <w:spacing w:before="120"/>
        <w:jc w:val="both"/>
        <w:rPr>
          <w:rFonts w:ascii="Arial" w:hAnsi="Arial" w:cs="Arial"/>
          <w:sz w:val="20"/>
        </w:rPr>
      </w:pPr>
      <w:r>
        <w:rPr>
          <w:rFonts w:ascii="Arial" w:hAnsi="Arial" w:cs="Arial"/>
          <w:sz w:val="20"/>
        </w:rPr>
        <w:t xml:space="preserve">Finally the author emphasises that the issue of </w:t>
      </w:r>
      <w:r w:rsidR="00502296" w:rsidRPr="00502296">
        <w:rPr>
          <w:rFonts w:ascii="Arial" w:hAnsi="Arial" w:cs="Arial"/>
          <w:color w:val="FF0000"/>
          <w:sz w:val="20"/>
        </w:rPr>
        <w:t>contact with</w:t>
      </w:r>
      <w:r>
        <w:rPr>
          <w:rFonts w:ascii="Arial" w:hAnsi="Arial" w:cs="Arial"/>
          <w:sz w:val="20"/>
        </w:rPr>
        <w:t xml:space="preserve"> remains important and is endorsed by current psychological literature.  The one area of change to law suggested by the author to be urgently required is that magistrates be given the power to order </w:t>
      </w:r>
      <w:r w:rsidR="00502296" w:rsidRPr="00502296">
        <w:rPr>
          <w:rFonts w:ascii="Arial" w:hAnsi="Arial" w:cs="Arial"/>
          <w:color w:val="FF0000"/>
          <w:sz w:val="20"/>
        </w:rPr>
        <w:t>contact</w:t>
      </w:r>
      <w:r>
        <w:rPr>
          <w:rFonts w:ascii="Arial" w:hAnsi="Arial" w:cs="Arial"/>
          <w:sz w:val="20"/>
        </w:rPr>
        <w:t xml:space="preserve"> when a guardianship order is made so that attachment bonds are built upon, not broken.</w:t>
      </w:r>
    </w:p>
    <w:p w14:paraId="0144492C" w14:textId="77777777" w:rsidR="00693223" w:rsidRDefault="00693223">
      <w:pPr>
        <w:rPr>
          <w:rFonts w:ascii="Arial" w:hAnsi="Arial" w:cs="Arial"/>
          <w:sz w:val="20"/>
        </w:rPr>
      </w:pPr>
    </w:p>
    <w:p w14:paraId="33B7BACF"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F21</w:t>
      </w:r>
    </w:p>
    <w:p w14:paraId="2A8655EB" w14:textId="77777777" w:rsidR="00693223" w:rsidRDefault="00693223">
      <w:pPr>
        <w:keepNext/>
        <w:keepLines/>
        <w:jc w:val="both"/>
        <w:rPr>
          <w:rFonts w:ascii="Arial" w:hAnsi="Arial" w:cs="Arial"/>
          <w:b/>
          <w:bCs/>
        </w:rPr>
      </w:pPr>
      <w:r>
        <w:rPr>
          <w:rFonts w:ascii="Arial" w:hAnsi="Arial" w:cs="Arial"/>
          <w:b/>
          <w:bCs/>
        </w:rPr>
        <w:t>The Impact of Violence on Children</w:t>
      </w:r>
    </w:p>
    <w:p w14:paraId="7E9AD89E" w14:textId="77777777" w:rsidR="00693223" w:rsidRDefault="00693223">
      <w:pPr>
        <w:keepNext/>
        <w:keepLines/>
        <w:jc w:val="both"/>
        <w:rPr>
          <w:rFonts w:ascii="Arial" w:hAnsi="Arial" w:cs="Arial"/>
          <w:sz w:val="20"/>
        </w:rPr>
      </w:pPr>
      <w:r>
        <w:rPr>
          <w:rFonts w:ascii="Arial" w:hAnsi="Arial" w:cs="Arial"/>
          <w:sz w:val="20"/>
        </w:rPr>
        <w:t xml:space="preserve">Dr Joy D. Osofsky (Professor of Public Health, Psychiatry &amp; Paediatrics at </w:t>
      </w:r>
      <w:smartTag w:uri="urn:schemas-microsoft-com:office:smarttags" w:element="place">
        <w:smartTag w:uri="urn:schemas-microsoft-com:office:smarttags" w:element="PlaceName">
          <w:r>
            <w:rPr>
              <w:rFonts w:ascii="Arial" w:hAnsi="Arial" w:cs="Arial"/>
              <w:sz w:val="20"/>
            </w:rPr>
            <w:t>Louisiana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w:t>
        </w:r>
        <w:smartTag w:uri="urn:schemas-microsoft-com:office:smarttags" w:element="PlaceName">
          <w:r>
            <w:rPr>
              <w:rFonts w:ascii="Arial" w:hAnsi="Arial" w:cs="Arial"/>
              <w:sz w:val="20"/>
            </w:rPr>
            <w:t>Health</w:t>
          </w:r>
        </w:smartTag>
        <w:r>
          <w:rPr>
            <w:rFonts w:ascii="Arial" w:hAnsi="Arial" w:cs="Arial"/>
            <w:sz w:val="20"/>
          </w:rPr>
          <w:t xml:space="preserve"> </w:t>
        </w:r>
        <w:smartTag w:uri="urn:schemas-microsoft-com:office:smarttags" w:element="PlaceName">
          <w:r>
            <w:rPr>
              <w:rFonts w:ascii="Arial" w:hAnsi="Arial" w:cs="Arial"/>
              <w:sz w:val="20"/>
            </w:rPr>
            <w:t>Sciences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w:t>
      </w:r>
    </w:p>
    <w:p w14:paraId="15752F75" w14:textId="77777777" w:rsidR="00693223" w:rsidRDefault="00693223">
      <w:pPr>
        <w:keepNext/>
        <w:keepLines/>
        <w:jc w:val="both"/>
        <w:rPr>
          <w:rFonts w:ascii="Arial" w:hAnsi="Arial" w:cs="Arial"/>
          <w:sz w:val="20"/>
        </w:rPr>
      </w:pPr>
      <w:r>
        <w:rPr>
          <w:rFonts w:ascii="Arial" w:hAnsi="Arial" w:cs="Arial"/>
          <w:i/>
          <w:iCs/>
          <w:sz w:val="20"/>
        </w:rPr>
        <w:t xml:space="preserve">The Future of Children - DOMESTIC VIOLENCE AND CHILDREN - </w:t>
      </w:r>
      <w:r>
        <w:rPr>
          <w:rFonts w:ascii="Arial" w:hAnsi="Arial" w:cs="Arial"/>
          <w:sz w:val="20"/>
        </w:rPr>
        <w:t>Vol.9, No.3 - Winter 1999, 33-49</w:t>
      </w:r>
    </w:p>
    <w:p w14:paraId="4BAA55B9" w14:textId="77777777" w:rsidR="00693223" w:rsidRDefault="00693223">
      <w:pPr>
        <w:spacing w:before="120"/>
        <w:jc w:val="both"/>
        <w:rPr>
          <w:rFonts w:ascii="Arial" w:hAnsi="Arial" w:cs="Arial"/>
          <w:sz w:val="20"/>
        </w:rPr>
      </w:pPr>
      <w:r>
        <w:rPr>
          <w:rFonts w:ascii="Arial" w:hAnsi="Arial" w:cs="Arial"/>
          <w:sz w:val="20"/>
        </w:rPr>
        <w:t>Existing research on the effects of children's exposure to violence covers a broad range of community, family and media violence.  This research is relevant and useful to an examination of domestic violence in two key ways.  First, understanding how exposure to various types of violence affects children and what best enables them to cope can point to important considerations when trying to help children cope with exposure to domestic violence in particular.  And second, many families experiencing domestic violence are exposed to other types of violence as well.  Exposure to violence on multiple levels can affect the parents' behaviour and can compound the effects on children.</w:t>
      </w:r>
    </w:p>
    <w:p w14:paraId="60A77937" w14:textId="77777777" w:rsidR="00693223" w:rsidRDefault="00693223">
      <w:pPr>
        <w:spacing w:before="120"/>
        <w:jc w:val="both"/>
        <w:rPr>
          <w:rFonts w:ascii="Arial" w:hAnsi="Arial" w:cs="Arial"/>
          <w:sz w:val="20"/>
        </w:rPr>
      </w:pPr>
      <w:r>
        <w:rPr>
          <w:rFonts w:ascii="Arial" w:hAnsi="Arial" w:cs="Arial"/>
          <w:sz w:val="20"/>
        </w:rPr>
        <w:t>This article begins with an overview of the extent of children's exposure to various types of violence, and then examines what is known about the effects of this exposure across the developmental continuum.  Key protective factors for children exposed to violence are examined.  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  In the final section, directions for future research are discussed.</w:t>
      </w:r>
    </w:p>
    <w:p w14:paraId="13E2191C" w14:textId="77777777" w:rsidR="00693223" w:rsidRDefault="00693223">
      <w:pPr>
        <w:rPr>
          <w:rFonts w:ascii="Arial" w:hAnsi="Arial" w:cs="Arial"/>
          <w:sz w:val="20"/>
        </w:rPr>
      </w:pPr>
    </w:p>
    <w:p w14:paraId="63EA10C0"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F22</w:t>
      </w:r>
    </w:p>
    <w:p w14:paraId="25917DD4" w14:textId="77777777" w:rsidR="00693223" w:rsidRDefault="00693223">
      <w:pPr>
        <w:keepNext/>
        <w:keepLines/>
        <w:jc w:val="both"/>
        <w:rPr>
          <w:rFonts w:ascii="Arial" w:hAnsi="Arial" w:cs="Arial"/>
          <w:b/>
          <w:bCs/>
        </w:rPr>
      </w:pPr>
      <w:r>
        <w:rPr>
          <w:rFonts w:ascii="Arial" w:hAnsi="Arial" w:cs="Arial"/>
          <w:b/>
          <w:bCs/>
        </w:rPr>
        <w:t>Prevalence of Children's Exposure to Domestic Violence and Child maltreatment: Implications for Prevention and Intervention</w:t>
      </w:r>
    </w:p>
    <w:p w14:paraId="5994ECF4" w14:textId="77777777" w:rsidR="00693223" w:rsidRDefault="00693223">
      <w:pPr>
        <w:keepNext/>
        <w:keepLines/>
        <w:jc w:val="both"/>
        <w:rPr>
          <w:rFonts w:ascii="Arial" w:hAnsi="Arial" w:cs="Arial"/>
          <w:sz w:val="20"/>
        </w:rPr>
      </w:pPr>
      <w:r>
        <w:rPr>
          <w:rFonts w:ascii="Arial" w:hAnsi="Arial" w:cs="Arial"/>
          <w:sz w:val="20"/>
        </w:rPr>
        <w:t xml:space="preserve">Dr Joy D. Osofsky (Professor of Public Health, Psychiatry &amp; Paediatrics at </w:t>
      </w:r>
      <w:smartTag w:uri="urn:schemas-microsoft-com:office:smarttags" w:element="place">
        <w:smartTag w:uri="urn:schemas-microsoft-com:office:smarttags" w:element="PlaceName">
          <w:r>
            <w:rPr>
              <w:rFonts w:ascii="Arial" w:hAnsi="Arial" w:cs="Arial"/>
              <w:sz w:val="20"/>
            </w:rPr>
            <w:t>Louisiana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w:t>
        </w:r>
        <w:smartTag w:uri="urn:schemas-microsoft-com:office:smarttags" w:element="PlaceName">
          <w:r>
            <w:rPr>
              <w:rFonts w:ascii="Arial" w:hAnsi="Arial" w:cs="Arial"/>
              <w:sz w:val="20"/>
            </w:rPr>
            <w:t>Health</w:t>
          </w:r>
        </w:smartTag>
        <w:r>
          <w:rPr>
            <w:rFonts w:ascii="Arial" w:hAnsi="Arial" w:cs="Arial"/>
            <w:sz w:val="20"/>
          </w:rPr>
          <w:t xml:space="preserve"> </w:t>
        </w:r>
        <w:smartTag w:uri="urn:schemas-microsoft-com:office:smarttags" w:element="PlaceName">
          <w:r>
            <w:rPr>
              <w:rFonts w:ascii="Arial" w:hAnsi="Arial" w:cs="Arial"/>
              <w:sz w:val="20"/>
            </w:rPr>
            <w:t>Sciences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w:t>
      </w:r>
    </w:p>
    <w:p w14:paraId="41533CA9" w14:textId="77777777" w:rsidR="00693223" w:rsidRDefault="00693223">
      <w:pPr>
        <w:keepNext/>
        <w:keepLines/>
        <w:jc w:val="both"/>
        <w:rPr>
          <w:rFonts w:ascii="Arial" w:hAnsi="Arial" w:cs="Arial"/>
          <w:sz w:val="20"/>
        </w:rPr>
      </w:pPr>
      <w:r>
        <w:rPr>
          <w:rFonts w:ascii="Arial" w:hAnsi="Arial" w:cs="Arial"/>
          <w:i/>
          <w:iCs/>
          <w:sz w:val="20"/>
        </w:rPr>
        <w:t>Clinical Child and Family Psychology Review,</w:t>
      </w:r>
      <w:r>
        <w:rPr>
          <w:rFonts w:ascii="Arial" w:hAnsi="Arial" w:cs="Arial"/>
          <w:sz w:val="20"/>
        </w:rPr>
        <w:t xml:space="preserve"> Vol.6, No.3, September 2003, 161-171</w:t>
      </w:r>
    </w:p>
    <w:p w14:paraId="314AE814" w14:textId="77777777" w:rsidR="00693223" w:rsidRDefault="00693223">
      <w:pPr>
        <w:spacing w:before="120"/>
        <w:jc w:val="both"/>
        <w:rPr>
          <w:rFonts w:ascii="Arial" w:hAnsi="Arial" w:cs="Arial"/>
          <w:sz w:val="20"/>
        </w:rPr>
      </w:pPr>
      <w:r>
        <w:rPr>
          <w:rFonts w:ascii="Arial" w:hAnsi="Arial" w:cs="Arial"/>
          <w:sz w:val="20"/>
        </w:rPr>
        <w:t xml:space="preserve">The purpose of this paper is to review research on the prevalence of children's exposure to domestic violence, to consider the available literature on the co-occurrence of domestic violence and child maltreatment, and to gain more understanding about the impact of exposure on children.  There is clear evidence indicating that both severe and moderate violence occurs frequently in homes among family members and that children are exposed to this violence.  However, because of differing definitions of what constitutes domestic violence and variability in research methodologies for collecting the data, there are significance discrepancies in prevalence reports across studies.  Of great concern is the immediate impact on the children and the long-term consequences for their later relationships.  Fewer studies have been done on the co-occurrence of domestic violence and child maltreatment.  However, it is likely that children who live in homes where domestic violence occurs are more likely to be abused and neglected.  On the basis of the available research, there is little doubt </w:t>
      </w:r>
      <w:r>
        <w:rPr>
          <w:rFonts w:ascii="Arial" w:hAnsi="Arial" w:cs="Arial"/>
          <w:sz w:val="20"/>
        </w:rPr>
        <w:lastRenderedPageBreak/>
        <w:t>that vast numbers of children are exposed to domestic violence and that children's responses vary widely depending on their risk and vulnerability, as well as the structure of their environments.  A developmental risk and protective factors framework will be used to integrate the information on children's exposure to violence.</w:t>
      </w:r>
    </w:p>
    <w:p w14:paraId="21B60216" w14:textId="77777777" w:rsidR="00436275" w:rsidRDefault="00436275" w:rsidP="00436275">
      <w:pPr>
        <w:rPr>
          <w:rFonts w:ascii="Arial" w:hAnsi="Arial" w:cs="Arial"/>
          <w:sz w:val="20"/>
        </w:rPr>
      </w:pPr>
    </w:p>
    <w:p w14:paraId="5E7AD005" w14:textId="77777777" w:rsidR="00436275" w:rsidRDefault="00436275" w:rsidP="00436275">
      <w:pPr>
        <w:keepNext/>
        <w:keepLines/>
        <w:ind w:left="720" w:hanging="720"/>
        <w:jc w:val="both"/>
        <w:rPr>
          <w:rFonts w:ascii="Arial" w:hAnsi="Arial" w:cs="Arial"/>
          <w:b/>
          <w:bCs/>
          <w:sz w:val="28"/>
          <w:bdr w:val="single" w:sz="4" w:space="0" w:color="auto"/>
        </w:rPr>
      </w:pPr>
      <w:r>
        <w:rPr>
          <w:rFonts w:ascii="Arial" w:hAnsi="Arial" w:cs="Arial"/>
          <w:b/>
          <w:bCs/>
          <w:sz w:val="28"/>
        </w:rPr>
        <w:t>F23</w:t>
      </w:r>
    </w:p>
    <w:p w14:paraId="288B3B57" w14:textId="77777777" w:rsidR="00436275" w:rsidRDefault="00436275" w:rsidP="00436275">
      <w:pPr>
        <w:keepNext/>
        <w:keepLines/>
        <w:jc w:val="both"/>
        <w:rPr>
          <w:rFonts w:ascii="Arial" w:hAnsi="Arial" w:cs="Arial"/>
          <w:b/>
          <w:bCs/>
        </w:rPr>
      </w:pPr>
      <w:r>
        <w:rPr>
          <w:rFonts w:ascii="Arial" w:hAnsi="Arial" w:cs="Arial"/>
          <w:b/>
          <w:bCs/>
        </w:rPr>
        <w:t>National comparison of child protection systems</w:t>
      </w:r>
    </w:p>
    <w:p w14:paraId="00704530" w14:textId="77777777" w:rsidR="00436275" w:rsidRDefault="00436275" w:rsidP="00436275">
      <w:pPr>
        <w:keepNext/>
        <w:keepLines/>
        <w:jc w:val="both"/>
        <w:rPr>
          <w:rFonts w:ascii="Arial" w:hAnsi="Arial" w:cs="Arial"/>
          <w:sz w:val="20"/>
        </w:rPr>
      </w:pPr>
      <w:r>
        <w:rPr>
          <w:rFonts w:ascii="Arial" w:hAnsi="Arial" w:cs="Arial"/>
          <w:sz w:val="20"/>
        </w:rPr>
        <w:t>Leah Broomfield (Senior Research Officer) &amp; Daryl Higgins (Senior Research Fellow)</w:t>
      </w:r>
    </w:p>
    <w:p w14:paraId="6E1AE7F9" w14:textId="77777777" w:rsidR="00436275" w:rsidRDefault="00CC0325" w:rsidP="00436275">
      <w:pPr>
        <w:keepNext/>
        <w:keepLines/>
        <w:jc w:val="both"/>
        <w:rPr>
          <w:rFonts w:ascii="Arial" w:hAnsi="Arial" w:cs="Arial"/>
          <w:sz w:val="20"/>
        </w:rPr>
      </w:pPr>
      <w:r>
        <w:rPr>
          <w:rFonts w:ascii="Arial" w:hAnsi="Arial" w:cs="Arial"/>
          <w:i/>
          <w:iCs/>
          <w:sz w:val="20"/>
        </w:rPr>
        <w:t xml:space="preserve">Australian Institute of Family Studies – National Child Protection Clearinghouse </w:t>
      </w:r>
      <w:r w:rsidRPr="00CC0325">
        <w:rPr>
          <w:rFonts w:ascii="Arial" w:hAnsi="Arial" w:cs="Arial"/>
          <w:iCs/>
          <w:sz w:val="20"/>
        </w:rPr>
        <w:t>– Paper No.22 Autumn 2005</w:t>
      </w:r>
    </w:p>
    <w:p w14:paraId="19423BBD" w14:textId="77777777" w:rsidR="00CC0325" w:rsidRDefault="00CC0325" w:rsidP="00CC0325">
      <w:pPr>
        <w:spacing w:before="120"/>
        <w:jc w:val="both"/>
        <w:rPr>
          <w:rFonts w:ascii="Arial" w:hAnsi="Arial" w:cs="Arial"/>
          <w:sz w:val="20"/>
        </w:rPr>
      </w:pPr>
      <w:r>
        <w:rPr>
          <w:rFonts w:ascii="Arial" w:hAnsi="Arial" w:cs="Arial"/>
          <w:sz w:val="20"/>
        </w:rPr>
        <w:t>This paper is a national snapshot of Australian statutory child protection services.  Data were collected in each state and territory via policy documents, procedure manuals and telephone interviews with relevant child protection personnel.  Topics covered are: who is responsible for child protection; intake procedures; who notifies concerns to child protection services; and the process of providing child protection services in Australian states and territories (intake, risk assessment, investigation and case management).  Similarities and differences across states and territories in each of these areas are highlighted.  Despite different legislative frameworks and some operational differences, Australian state and territory statutory child protection services are providing very similar models of intervention.  Implications are explored with regard to: competency standards, training and professional development, and cross-jurisdictional issues.</w:t>
      </w:r>
    </w:p>
    <w:p w14:paraId="1CFA7F7A" w14:textId="77777777" w:rsidR="00693223" w:rsidRDefault="00693223">
      <w:pPr>
        <w:rPr>
          <w:rFonts w:ascii="Arial" w:hAnsi="Arial" w:cs="Arial"/>
          <w:sz w:val="20"/>
        </w:rPr>
      </w:pPr>
    </w:p>
    <w:p w14:paraId="50F93F8A" w14:textId="77777777" w:rsidR="00AF6272" w:rsidRDefault="00AF6272" w:rsidP="00C478CF">
      <w:pPr>
        <w:ind w:left="720" w:hanging="720"/>
        <w:jc w:val="both"/>
        <w:rPr>
          <w:rFonts w:ascii="Arial" w:hAnsi="Arial" w:cs="Arial"/>
          <w:b/>
          <w:bCs/>
          <w:sz w:val="28"/>
          <w:bdr w:val="single" w:sz="4" w:space="0" w:color="auto"/>
        </w:rPr>
      </w:pPr>
      <w:r>
        <w:rPr>
          <w:rFonts w:ascii="Arial" w:hAnsi="Arial" w:cs="Arial"/>
          <w:b/>
          <w:bCs/>
          <w:sz w:val="28"/>
        </w:rPr>
        <w:t>F24</w:t>
      </w:r>
    </w:p>
    <w:p w14:paraId="05077145" w14:textId="77777777" w:rsidR="00C478CF" w:rsidRPr="00862712" w:rsidRDefault="00862712" w:rsidP="00C478CF">
      <w:pPr>
        <w:jc w:val="both"/>
        <w:rPr>
          <w:rFonts w:ascii="Arial" w:hAnsi="Arial" w:cs="Arial"/>
          <w:b/>
          <w:bCs/>
          <w:sz w:val="28"/>
        </w:rPr>
      </w:pPr>
      <w:r w:rsidRPr="00862712">
        <w:rPr>
          <w:rFonts w:ascii="Arial" w:hAnsi="Arial" w:cs="Arial"/>
          <w:b/>
          <w:bCs/>
        </w:rPr>
        <w:t>Child protection Australia 2005-06</w:t>
      </w:r>
    </w:p>
    <w:p w14:paraId="09911945" w14:textId="77777777" w:rsidR="00C478CF" w:rsidRPr="00862712" w:rsidRDefault="00862712" w:rsidP="00C478CF">
      <w:pPr>
        <w:jc w:val="both"/>
        <w:rPr>
          <w:rFonts w:ascii="Arial" w:hAnsi="Arial" w:cs="Arial"/>
          <w:bCs/>
          <w:sz w:val="20"/>
        </w:rPr>
      </w:pPr>
      <w:r w:rsidRPr="00862712">
        <w:rPr>
          <w:rFonts w:ascii="Arial" w:hAnsi="Arial" w:cs="Arial"/>
          <w:bCs/>
          <w:sz w:val="20"/>
        </w:rPr>
        <w:t xml:space="preserve">Paper </w:t>
      </w:r>
      <w:r>
        <w:rPr>
          <w:rFonts w:ascii="Arial" w:hAnsi="Arial" w:cs="Arial"/>
          <w:bCs/>
          <w:sz w:val="20"/>
        </w:rPr>
        <w:t xml:space="preserve">Number 40 in the Child Welfare Series published by the Australian Institute of Health and Welfare, </w:t>
      </w:r>
      <w:smartTag w:uri="urn:schemas-microsoft-com:office:smarttags" w:element="City">
        <w:smartTag w:uri="urn:schemas-microsoft-com:office:smarttags" w:element="place">
          <w:r>
            <w:rPr>
              <w:rFonts w:ascii="Arial" w:hAnsi="Arial" w:cs="Arial"/>
              <w:bCs/>
              <w:sz w:val="20"/>
            </w:rPr>
            <w:t>Canberra</w:t>
          </w:r>
        </w:smartTag>
      </w:smartTag>
      <w:r>
        <w:rPr>
          <w:rFonts w:ascii="Arial" w:hAnsi="Arial" w:cs="Arial"/>
          <w:bCs/>
          <w:sz w:val="20"/>
        </w:rPr>
        <w:t>.</w:t>
      </w:r>
    </w:p>
    <w:p w14:paraId="1E831E32" w14:textId="77777777" w:rsidR="00862712" w:rsidRDefault="00862712" w:rsidP="00862712">
      <w:pPr>
        <w:spacing w:before="120"/>
        <w:jc w:val="both"/>
        <w:rPr>
          <w:rFonts w:ascii="Arial" w:hAnsi="Arial" w:cs="Arial"/>
          <w:sz w:val="20"/>
        </w:rPr>
      </w:pPr>
      <w:r>
        <w:rPr>
          <w:rFonts w:ascii="Arial" w:hAnsi="Arial" w:cs="Arial"/>
          <w:sz w:val="20"/>
        </w:rPr>
        <w:t>This excellent paper is based on three national children protection data collections:</w:t>
      </w:r>
    </w:p>
    <w:p w14:paraId="272A2B7F" w14:textId="77777777" w:rsidR="00862712" w:rsidRDefault="00862712" w:rsidP="00862712">
      <w:pPr>
        <w:numPr>
          <w:ilvl w:val="0"/>
          <w:numId w:val="29"/>
        </w:numPr>
        <w:jc w:val="both"/>
        <w:rPr>
          <w:rFonts w:ascii="Arial" w:hAnsi="Arial" w:cs="Arial"/>
          <w:sz w:val="20"/>
        </w:rPr>
      </w:pPr>
      <w:r>
        <w:rPr>
          <w:rFonts w:ascii="Arial" w:hAnsi="Arial" w:cs="Arial"/>
          <w:sz w:val="20"/>
        </w:rPr>
        <w:t>child protection notifications, investigations and substantiations;</w:t>
      </w:r>
    </w:p>
    <w:p w14:paraId="17D37DFB" w14:textId="77777777" w:rsidR="00862712" w:rsidRDefault="00862712" w:rsidP="00862712">
      <w:pPr>
        <w:numPr>
          <w:ilvl w:val="0"/>
          <w:numId w:val="29"/>
        </w:numPr>
        <w:jc w:val="both"/>
        <w:rPr>
          <w:rFonts w:ascii="Arial" w:hAnsi="Arial" w:cs="Arial"/>
          <w:sz w:val="20"/>
        </w:rPr>
      </w:pPr>
      <w:r>
        <w:rPr>
          <w:rFonts w:ascii="Arial" w:hAnsi="Arial" w:cs="Arial"/>
          <w:sz w:val="20"/>
        </w:rPr>
        <w:t>children on care and protection orders;</w:t>
      </w:r>
    </w:p>
    <w:p w14:paraId="2794CDAB" w14:textId="77777777" w:rsidR="00862712" w:rsidRDefault="00862712" w:rsidP="00862712">
      <w:pPr>
        <w:numPr>
          <w:ilvl w:val="0"/>
          <w:numId w:val="29"/>
        </w:numPr>
        <w:jc w:val="both"/>
        <w:rPr>
          <w:rFonts w:ascii="Arial" w:hAnsi="Arial" w:cs="Arial"/>
          <w:sz w:val="20"/>
        </w:rPr>
      </w:pPr>
      <w:r>
        <w:rPr>
          <w:rFonts w:ascii="Arial" w:hAnsi="Arial" w:cs="Arial"/>
          <w:sz w:val="20"/>
        </w:rPr>
        <w:t>children in out of home care.</w:t>
      </w:r>
    </w:p>
    <w:p w14:paraId="12A2D78A" w14:textId="77777777" w:rsidR="00862712" w:rsidRPr="00862712" w:rsidRDefault="00862712" w:rsidP="00862712">
      <w:pPr>
        <w:jc w:val="both"/>
        <w:rPr>
          <w:rFonts w:ascii="Arial" w:hAnsi="Arial" w:cs="Arial"/>
          <w:bCs/>
          <w:sz w:val="20"/>
        </w:rPr>
      </w:pPr>
      <w:r>
        <w:rPr>
          <w:rFonts w:ascii="Arial" w:hAnsi="Arial" w:cs="Arial"/>
          <w:bCs/>
          <w:sz w:val="20"/>
        </w:rPr>
        <w:t>These data are collected each year by the Australian Institute of Health and Welfare from the relevant departments in each Australian state and territory.  Most of the data in the report cover the 2005-2006 financial year, although data trends in child protection are also included.</w:t>
      </w:r>
    </w:p>
    <w:p w14:paraId="0C338860" w14:textId="77777777" w:rsidR="00862712" w:rsidRPr="00772BBD" w:rsidRDefault="00862712" w:rsidP="00C478CF">
      <w:pPr>
        <w:jc w:val="both"/>
        <w:rPr>
          <w:rFonts w:ascii="Arial" w:hAnsi="Arial" w:cs="Arial"/>
          <w:b/>
          <w:bCs/>
          <w:sz w:val="20"/>
        </w:rPr>
      </w:pPr>
    </w:p>
    <w:p w14:paraId="30038A0A" w14:textId="77777777" w:rsidR="00862712" w:rsidRDefault="00862712" w:rsidP="00862712">
      <w:pPr>
        <w:ind w:left="720" w:hanging="720"/>
        <w:jc w:val="both"/>
        <w:rPr>
          <w:rFonts w:ascii="Arial" w:hAnsi="Arial" w:cs="Arial"/>
          <w:b/>
          <w:bCs/>
          <w:sz w:val="28"/>
          <w:bdr w:val="single" w:sz="4" w:space="0" w:color="auto"/>
        </w:rPr>
      </w:pPr>
      <w:r>
        <w:rPr>
          <w:rFonts w:ascii="Arial" w:hAnsi="Arial" w:cs="Arial"/>
          <w:b/>
          <w:bCs/>
          <w:sz w:val="28"/>
        </w:rPr>
        <w:t>F25</w:t>
      </w:r>
    </w:p>
    <w:p w14:paraId="12D38032" w14:textId="77777777" w:rsidR="00862712" w:rsidRPr="00862712" w:rsidRDefault="009A491E" w:rsidP="00862712">
      <w:pPr>
        <w:jc w:val="both"/>
        <w:rPr>
          <w:rFonts w:ascii="Arial" w:hAnsi="Arial" w:cs="Arial"/>
          <w:b/>
          <w:bCs/>
          <w:sz w:val="28"/>
        </w:rPr>
      </w:pPr>
      <w:r>
        <w:rPr>
          <w:rFonts w:ascii="Arial" w:hAnsi="Arial" w:cs="Arial"/>
          <w:b/>
          <w:bCs/>
        </w:rPr>
        <w:t xml:space="preserve">The </w:t>
      </w:r>
      <w:r w:rsidR="00862712" w:rsidRPr="00862712">
        <w:rPr>
          <w:rFonts w:ascii="Arial" w:hAnsi="Arial" w:cs="Arial"/>
          <w:b/>
          <w:bCs/>
        </w:rPr>
        <w:t xml:space="preserve">Child </w:t>
      </w:r>
      <w:r>
        <w:rPr>
          <w:rFonts w:ascii="Arial" w:hAnsi="Arial" w:cs="Arial"/>
          <w:b/>
          <w:bCs/>
        </w:rPr>
        <w:t>P</w:t>
      </w:r>
      <w:r w:rsidR="00862712" w:rsidRPr="00862712">
        <w:rPr>
          <w:rFonts w:ascii="Arial" w:hAnsi="Arial" w:cs="Arial"/>
          <w:b/>
          <w:bCs/>
        </w:rPr>
        <w:t xml:space="preserve">rotection </w:t>
      </w:r>
      <w:r>
        <w:rPr>
          <w:rFonts w:ascii="Arial" w:hAnsi="Arial" w:cs="Arial"/>
          <w:b/>
          <w:bCs/>
        </w:rPr>
        <w:t xml:space="preserve">Crisis in </w:t>
      </w:r>
      <w:smartTag w:uri="urn:schemas-microsoft-com:office:smarttags" w:element="country-region">
        <w:smartTag w:uri="urn:schemas-microsoft-com:office:smarttags" w:element="place">
          <w:r w:rsidR="00862712" w:rsidRPr="00862712">
            <w:rPr>
              <w:rFonts w:ascii="Arial" w:hAnsi="Arial" w:cs="Arial"/>
              <w:b/>
              <w:bCs/>
            </w:rPr>
            <w:t>Australia</w:t>
          </w:r>
        </w:smartTag>
      </w:smartTag>
      <w:r w:rsidR="00862712" w:rsidRPr="00862712">
        <w:rPr>
          <w:rFonts w:ascii="Arial" w:hAnsi="Arial" w:cs="Arial"/>
          <w:b/>
          <w:bCs/>
        </w:rPr>
        <w:t xml:space="preserve"> </w:t>
      </w:r>
      <w:r>
        <w:rPr>
          <w:rFonts w:ascii="Arial" w:hAnsi="Arial" w:cs="Arial"/>
          <w:b/>
          <w:bCs/>
        </w:rPr>
        <w:t>– a Way Forward</w:t>
      </w:r>
    </w:p>
    <w:p w14:paraId="56E9BA7B" w14:textId="77777777" w:rsidR="00862712" w:rsidRPr="00862712" w:rsidRDefault="00862712" w:rsidP="00862712">
      <w:pPr>
        <w:jc w:val="both"/>
        <w:rPr>
          <w:rFonts w:ascii="Arial" w:hAnsi="Arial" w:cs="Arial"/>
          <w:bCs/>
          <w:sz w:val="20"/>
        </w:rPr>
      </w:pPr>
      <w:r w:rsidRPr="00862712">
        <w:rPr>
          <w:rFonts w:ascii="Arial" w:hAnsi="Arial" w:cs="Arial"/>
          <w:bCs/>
          <w:sz w:val="20"/>
        </w:rPr>
        <w:t xml:space="preserve">Paper </w:t>
      </w:r>
      <w:r>
        <w:rPr>
          <w:rFonts w:ascii="Arial" w:hAnsi="Arial" w:cs="Arial"/>
          <w:bCs/>
          <w:sz w:val="20"/>
        </w:rPr>
        <w:t xml:space="preserve">Number 40 in the Child Welfare Series published by the Australian Institute of Health and Welfare, </w:t>
      </w:r>
      <w:smartTag w:uri="urn:schemas-microsoft-com:office:smarttags" w:element="City">
        <w:smartTag w:uri="urn:schemas-microsoft-com:office:smarttags" w:element="place">
          <w:r>
            <w:rPr>
              <w:rFonts w:ascii="Arial" w:hAnsi="Arial" w:cs="Arial"/>
              <w:bCs/>
              <w:sz w:val="20"/>
            </w:rPr>
            <w:t>Canberra</w:t>
          </w:r>
        </w:smartTag>
      </w:smartTag>
      <w:r>
        <w:rPr>
          <w:rFonts w:ascii="Arial" w:hAnsi="Arial" w:cs="Arial"/>
          <w:bCs/>
          <w:sz w:val="20"/>
        </w:rPr>
        <w:t>.</w:t>
      </w:r>
    </w:p>
    <w:p w14:paraId="5FA3E2FD" w14:textId="77777777" w:rsidR="00867E75" w:rsidRDefault="00867E75" w:rsidP="00867E75">
      <w:pPr>
        <w:spacing w:before="120"/>
        <w:jc w:val="both"/>
        <w:rPr>
          <w:rFonts w:ascii="Arial" w:hAnsi="Arial" w:cs="Arial"/>
          <w:sz w:val="20"/>
        </w:rPr>
      </w:pPr>
      <w:r>
        <w:rPr>
          <w:rFonts w:ascii="Arial" w:hAnsi="Arial" w:cs="Arial"/>
          <w:sz w:val="20"/>
        </w:rPr>
        <w:t xml:space="preserve">This paper postulates that most of the statutory child protection systems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are in crisis and that an overloaded child protection service, like an overloaded casualty department in a hospital</w:t>
      </w:r>
      <w:r w:rsidR="00AB79CB">
        <w:rPr>
          <w:rFonts w:ascii="Arial" w:hAnsi="Arial" w:cs="Arial"/>
          <w:sz w:val="20"/>
        </w:rPr>
        <w:t>,</w:t>
      </w:r>
      <w:r>
        <w:rPr>
          <w:rFonts w:ascii="Arial" w:hAnsi="Arial" w:cs="Arial"/>
          <w:sz w:val="20"/>
        </w:rPr>
        <w:t xml:space="preserve"> is very dangerous.  It then puts forward suggest</w:t>
      </w:r>
      <w:r w:rsidR="00AB79CB">
        <w:rPr>
          <w:rFonts w:ascii="Arial" w:hAnsi="Arial" w:cs="Arial"/>
          <w:sz w:val="20"/>
        </w:rPr>
        <w:t>ions</w:t>
      </w:r>
      <w:r>
        <w:rPr>
          <w:rFonts w:ascii="Arial" w:hAnsi="Arial" w:cs="Arial"/>
          <w:sz w:val="20"/>
        </w:rPr>
        <w:t xml:space="preserve"> as to how a Public H</w:t>
      </w:r>
      <w:r w:rsidR="00772BBD">
        <w:rPr>
          <w:rFonts w:ascii="Arial" w:hAnsi="Arial" w:cs="Arial"/>
          <w:sz w:val="20"/>
        </w:rPr>
        <w:t>ealth Model of Child Protection, providing for prevention at three levels, is necessary to reform the current dangerous and unsustainable systems.</w:t>
      </w:r>
    </w:p>
    <w:p w14:paraId="2D47E9BD" w14:textId="77777777" w:rsidR="00862712" w:rsidRPr="00772BBD" w:rsidRDefault="00862712" w:rsidP="00862712">
      <w:pPr>
        <w:ind w:left="720" w:hanging="720"/>
        <w:jc w:val="both"/>
        <w:rPr>
          <w:rFonts w:ascii="Arial" w:hAnsi="Arial" w:cs="Arial"/>
          <w:bCs/>
          <w:sz w:val="20"/>
        </w:rPr>
      </w:pPr>
    </w:p>
    <w:p w14:paraId="3ADECBBB" w14:textId="77777777" w:rsidR="00862712" w:rsidRDefault="00862712" w:rsidP="00862712">
      <w:pPr>
        <w:ind w:left="720" w:hanging="720"/>
        <w:jc w:val="both"/>
        <w:rPr>
          <w:rFonts w:ascii="Arial" w:hAnsi="Arial" w:cs="Arial"/>
          <w:b/>
          <w:bCs/>
          <w:sz w:val="28"/>
          <w:bdr w:val="single" w:sz="4" w:space="0" w:color="auto"/>
        </w:rPr>
      </w:pPr>
      <w:r>
        <w:rPr>
          <w:rFonts w:ascii="Arial" w:hAnsi="Arial" w:cs="Arial"/>
          <w:b/>
          <w:bCs/>
          <w:sz w:val="28"/>
        </w:rPr>
        <w:t>F26</w:t>
      </w:r>
    </w:p>
    <w:p w14:paraId="103A9722" w14:textId="77777777" w:rsidR="00AF6272" w:rsidRDefault="00AF6272" w:rsidP="00C478CF">
      <w:pPr>
        <w:jc w:val="both"/>
        <w:rPr>
          <w:rFonts w:ascii="Arial" w:hAnsi="Arial" w:cs="Arial"/>
          <w:b/>
          <w:bCs/>
        </w:rPr>
      </w:pPr>
      <w:r>
        <w:rPr>
          <w:rFonts w:ascii="Arial" w:hAnsi="Arial" w:cs="Arial"/>
          <w:b/>
          <w:bCs/>
        </w:rPr>
        <w:t>Child Abuse and Neglect and the Brain – A Review</w:t>
      </w:r>
    </w:p>
    <w:p w14:paraId="32C4B0CB" w14:textId="77777777" w:rsidR="00032E6E" w:rsidRDefault="00032E6E" w:rsidP="00032E6E">
      <w:pPr>
        <w:jc w:val="both"/>
        <w:rPr>
          <w:rFonts w:ascii="Arial" w:hAnsi="Arial" w:cs="Arial"/>
          <w:sz w:val="20"/>
        </w:rPr>
      </w:pPr>
      <w:r>
        <w:rPr>
          <w:rFonts w:ascii="Arial" w:hAnsi="Arial" w:cs="Arial"/>
          <w:sz w:val="20"/>
        </w:rPr>
        <w:t xml:space="preserve">Dr Danya Glaser (Department of Psychological Medicine, </w:t>
      </w:r>
      <w:smartTag w:uri="urn:schemas-microsoft-com:office:smarttags" w:element="PlaceName">
        <w:r>
          <w:rPr>
            <w:rFonts w:ascii="Arial" w:hAnsi="Arial" w:cs="Arial"/>
            <w:sz w:val="20"/>
          </w:rPr>
          <w:t>Great</w:t>
        </w:r>
      </w:smartTag>
      <w:r>
        <w:rPr>
          <w:rFonts w:ascii="Arial" w:hAnsi="Arial" w:cs="Arial"/>
          <w:sz w:val="20"/>
        </w:rPr>
        <w:t xml:space="preserve"> </w:t>
      </w:r>
      <w:smartTag w:uri="urn:schemas-microsoft-com:office:smarttags" w:element="PlaceName">
        <w:r>
          <w:rPr>
            <w:rFonts w:ascii="Arial" w:hAnsi="Arial" w:cs="Arial"/>
            <w:sz w:val="20"/>
          </w:rPr>
          <w:t>Ormond</w:t>
        </w:r>
      </w:smartTag>
      <w:r>
        <w:rPr>
          <w:rFonts w:ascii="Arial" w:hAnsi="Arial" w:cs="Arial"/>
          <w:sz w:val="20"/>
        </w:rPr>
        <w:t xml:space="preserve"> </w:t>
      </w:r>
      <w:smartTag w:uri="urn:schemas-microsoft-com:office:smarttags" w:element="PlaceName">
        <w:r>
          <w:rPr>
            <w:rFonts w:ascii="Arial" w:hAnsi="Arial" w:cs="Arial"/>
            <w:sz w:val="20"/>
          </w:rPr>
          <w:t>Street</w:t>
        </w:r>
      </w:smartTag>
      <w:r>
        <w:rPr>
          <w:rFonts w:ascii="Arial" w:hAnsi="Arial" w:cs="Arial"/>
          <w:sz w:val="20"/>
        </w:rPr>
        <w:t xml:space="preserve"> </w:t>
      </w:r>
      <w:smartTag w:uri="urn:schemas-microsoft-com:office:smarttags" w:element="PlaceType">
        <w:r>
          <w:rPr>
            <w:rFonts w:ascii="Arial" w:hAnsi="Arial" w:cs="Arial"/>
            <w:sz w:val="20"/>
          </w:rPr>
          <w:t>Hospital</w:t>
        </w:r>
      </w:smartTag>
      <w:r>
        <w:rPr>
          <w:rFonts w:ascii="Arial" w:hAnsi="Arial" w:cs="Arial"/>
          <w:sz w:val="20"/>
        </w:rPr>
        <w:t xml:space="preserve"> for Children,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3EBF337D" w14:textId="77777777" w:rsidR="00032E6E" w:rsidRPr="00032E6E" w:rsidRDefault="00032E6E" w:rsidP="00032E6E">
      <w:pPr>
        <w:jc w:val="both"/>
        <w:rPr>
          <w:rFonts w:ascii="Arial" w:hAnsi="Arial" w:cs="Arial"/>
          <w:i/>
          <w:iCs/>
          <w:sz w:val="20"/>
        </w:rPr>
      </w:pPr>
      <w:r w:rsidRPr="00032E6E">
        <w:rPr>
          <w:rFonts w:ascii="Arial" w:hAnsi="Arial" w:cs="Arial"/>
          <w:i/>
          <w:iCs/>
          <w:sz w:val="20"/>
        </w:rPr>
        <w:t>(2000) J Ch</w:t>
      </w:r>
      <w:r w:rsidR="00700B0B">
        <w:rPr>
          <w:rFonts w:ascii="Arial" w:hAnsi="Arial" w:cs="Arial"/>
          <w:i/>
          <w:iCs/>
          <w:sz w:val="20"/>
        </w:rPr>
        <w:t xml:space="preserve">ild Psychology Vol.41, No.1, </w:t>
      </w:r>
      <w:r w:rsidRPr="00032E6E">
        <w:rPr>
          <w:rFonts w:ascii="Arial" w:hAnsi="Arial" w:cs="Arial"/>
          <w:i/>
          <w:iCs/>
          <w:sz w:val="20"/>
        </w:rPr>
        <w:t xml:space="preserve">97-116 </w:t>
      </w:r>
    </w:p>
    <w:p w14:paraId="482710C9" w14:textId="77777777" w:rsidR="00AF6272" w:rsidRDefault="00032E6E" w:rsidP="00032E6E">
      <w:pPr>
        <w:spacing w:before="120"/>
        <w:jc w:val="both"/>
        <w:rPr>
          <w:rFonts w:ascii="Arial" w:hAnsi="Arial" w:cs="Arial"/>
          <w:sz w:val="20"/>
        </w:rPr>
      </w:pPr>
      <w:r>
        <w:rPr>
          <w:rFonts w:ascii="Arial" w:hAnsi="Arial" w:cs="Arial"/>
          <w:sz w:val="20"/>
        </w:rPr>
        <w:t xml:space="preserve">Developmental psychology and the study of behaviour and emotion have tended to be considered in parallel to the study of neurobiological processes.  </w:t>
      </w:r>
      <w:r w:rsidR="00A92378">
        <w:rPr>
          <w:rFonts w:ascii="Arial" w:hAnsi="Arial" w:cs="Arial"/>
          <w:sz w:val="20"/>
        </w:rPr>
        <w:t xml:space="preserve">The review explores the effects of child abuse and neglect on the brain, excluding non-accidental injury that causes gross physical trauma to the brain.  It commences with a background summary of the nature, context, and some deleterious effects of omission and commission within child maltreatment.  There is no post-maltreatment syndrome, outcomes varying with many factors including nature, duration, and interpersonal context of the maltreatment as well as the nature of later intervention.  </w:t>
      </w:r>
      <w:r w:rsidR="00867E75">
        <w:rPr>
          <w:rFonts w:ascii="Arial" w:hAnsi="Arial" w:cs="Arial"/>
          <w:sz w:val="20"/>
        </w:rPr>
        <w:t xml:space="preserve">There then follows a section on environmental influences on brain development, </w:t>
      </w:r>
      <w:r w:rsidR="00867E75">
        <w:rPr>
          <w:rFonts w:ascii="Arial" w:hAnsi="Arial" w:cs="Arial"/>
          <w:sz w:val="20"/>
        </w:rPr>
        <w:lastRenderedPageBreak/>
        <w:t>demonstrating the dependence of the orderly process of neurodevelopment on the child’s environment.  Ontogenesis, or the development of the self through self-determination, proceeds in the context of the nature-nurture interaction.  As a prelude to reviewing the neurobiology of child abuse and neglect, the next section is concerned with bridging the mind and the brain.  Here, neurobiological processes, including cellular, biochemical, and neuropsychological processes, are examined alongside their behavioural, cognitive, and emotional equivalents and vice versa.  Child maltreatment is a potent source of stress and the stress response is therefore discussed in some detail.  Evidence is outlined for the buffering effects of a secure attachment on the stress response.  The section dealing with actual effects on the brain of child abuse and neglect discusses manifestations of the stress response including dysregulation of the hypothalamic-pituitary-adrenal axis, and parasympathetic and catecholamine responses.  Recent evidence about reduction in brain volume following child abuse and neglect is also outlined.  Some biochemical, functional, and structural changes in the brain that are not reflections of the stress response are observed following child maltreatment.  The mechanisms bringing about these changes are less clearly understood and may well be related to early and more chronic abuse and neglect affecting the process of brain development.  The behavioural and emotional concomitants of their neurobiological manifestations are discussed.  The importance of early intervention and attention to the chronicity of environmental adversity may indicate the need for permanent alternative caregivers, in order to preserve the development of the most vulnerable children.</w:t>
      </w:r>
    </w:p>
    <w:p w14:paraId="1DBBC8B6" w14:textId="77777777" w:rsidR="00ED3628" w:rsidRDefault="00ED3628" w:rsidP="00C478CF">
      <w:pPr>
        <w:rPr>
          <w:rFonts w:ascii="Arial" w:hAnsi="Arial" w:cs="Arial"/>
          <w:sz w:val="20"/>
        </w:rPr>
      </w:pPr>
    </w:p>
    <w:p w14:paraId="480FB1DA" w14:textId="77777777" w:rsidR="00ED3628" w:rsidRDefault="00ED3628" w:rsidP="00ED3628">
      <w:pPr>
        <w:ind w:left="720" w:hanging="720"/>
        <w:jc w:val="both"/>
        <w:rPr>
          <w:rFonts w:ascii="Arial" w:hAnsi="Arial" w:cs="Arial"/>
          <w:b/>
          <w:bCs/>
          <w:sz w:val="28"/>
          <w:bdr w:val="single" w:sz="4" w:space="0" w:color="auto"/>
        </w:rPr>
      </w:pPr>
      <w:r>
        <w:rPr>
          <w:rFonts w:ascii="Arial" w:hAnsi="Arial" w:cs="Arial"/>
          <w:b/>
          <w:bCs/>
          <w:sz w:val="28"/>
        </w:rPr>
        <w:t>F27</w:t>
      </w:r>
    </w:p>
    <w:p w14:paraId="1D26D9D4" w14:textId="77777777" w:rsidR="00ED3628" w:rsidRDefault="00ED3628" w:rsidP="00ED3628">
      <w:pPr>
        <w:jc w:val="both"/>
        <w:rPr>
          <w:rFonts w:ascii="Arial" w:hAnsi="Arial" w:cs="Arial"/>
          <w:b/>
          <w:bCs/>
        </w:rPr>
      </w:pPr>
      <w:r>
        <w:rPr>
          <w:rFonts w:ascii="Arial" w:hAnsi="Arial" w:cs="Arial"/>
          <w:b/>
          <w:bCs/>
        </w:rPr>
        <w:t xml:space="preserve">Emotional </w:t>
      </w:r>
      <w:r w:rsidR="00032E6E">
        <w:rPr>
          <w:rFonts w:ascii="Arial" w:hAnsi="Arial" w:cs="Arial"/>
          <w:b/>
          <w:bCs/>
        </w:rPr>
        <w:t>a</w:t>
      </w:r>
      <w:r>
        <w:rPr>
          <w:rFonts w:ascii="Arial" w:hAnsi="Arial" w:cs="Arial"/>
          <w:b/>
          <w:bCs/>
        </w:rPr>
        <w:t xml:space="preserve">buse </w:t>
      </w:r>
      <w:r w:rsidR="00032E6E">
        <w:rPr>
          <w:rFonts w:ascii="Arial" w:hAnsi="Arial" w:cs="Arial"/>
          <w:b/>
          <w:bCs/>
        </w:rPr>
        <w:t>and neglect (psychological maltreatment): a conceptual framework</w:t>
      </w:r>
    </w:p>
    <w:p w14:paraId="767F677D" w14:textId="77777777" w:rsidR="00ED3628" w:rsidRDefault="00ED3628" w:rsidP="00ED3628">
      <w:pPr>
        <w:jc w:val="both"/>
        <w:rPr>
          <w:rFonts w:ascii="Arial" w:hAnsi="Arial" w:cs="Arial"/>
          <w:sz w:val="20"/>
        </w:rPr>
      </w:pPr>
      <w:r>
        <w:rPr>
          <w:rFonts w:ascii="Arial" w:hAnsi="Arial" w:cs="Arial"/>
          <w:sz w:val="20"/>
        </w:rPr>
        <w:t>Dr Danya Glaser (</w:t>
      </w:r>
      <w:r w:rsidR="00032E6E">
        <w:rPr>
          <w:rFonts w:ascii="Arial" w:hAnsi="Arial" w:cs="Arial"/>
          <w:sz w:val="20"/>
        </w:rPr>
        <w:t xml:space="preserve">Department of Psychological Medicine, </w:t>
      </w:r>
      <w:smartTag w:uri="urn:schemas-microsoft-com:office:smarttags" w:element="PlaceName">
        <w:r>
          <w:rPr>
            <w:rFonts w:ascii="Arial" w:hAnsi="Arial" w:cs="Arial"/>
            <w:sz w:val="20"/>
          </w:rPr>
          <w:t>Great</w:t>
        </w:r>
      </w:smartTag>
      <w:r>
        <w:rPr>
          <w:rFonts w:ascii="Arial" w:hAnsi="Arial" w:cs="Arial"/>
          <w:sz w:val="20"/>
        </w:rPr>
        <w:t xml:space="preserve"> </w:t>
      </w:r>
      <w:smartTag w:uri="urn:schemas-microsoft-com:office:smarttags" w:element="PlaceName">
        <w:r>
          <w:rPr>
            <w:rFonts w:ascii="Arial" w:hAnsi="Arial" w:cs="Arial"/>
            <w:sz w:val="20"/>
          </w:rPr>
          <w:t>Ormond</w:t>
        </w:r>
      </w:smartTag>
      <w:r>
        <w:rPr>
          <w:rFonts w:ascii="Arial" w:hAnsi="Arial" w:cs="Arial"/>
          <w:sz w:val="20"/>
        </w:rPr>
        <w:t xml:space="preserve"> </w:t>
      </w:r>
      <w:smartTag w:uri="urn:schemas-microsoft-com:office:smarttags" w:element="PlaceName">
        <w:r w:rsidR="00032E6E">
          <w:rPr>
            <w:rFonts w:ascii="Arial" w:hAnsi="Arial" w:cs="Arial"/>
            <w:sz w:val="20"/>
          </w:rPr>
          <w:t>Street</w:t>
        </w:r>
      </w:smartTag>
      <w:r w:rsidR="00032E6E">
        <w:rPr>
          <w:rFonts w:ascii="Arial" w:hAnsi="Arial" w:cs="Arial"/>
          <w:sz w:val="20"/>
        </w:rPr>
        <w:t xml:space="preserve"> </w:t>
      </w:r>
      <w:smartTag w:uri="urn:schemas-microsoft-com:office:smarttags" w:element="PlaceType">
        <w:r w:rsidR="00032E6E">
          <w:rPr>
            <w:rFonts w:ascii="Arial" w:hAnsi="Arial" w:cs="Arial"/>
            <w:sz w:val="20"/>
          </w:rPr>
          <w:t>Hospital</w:t>
        </w:r>
      </w:smartTag>
      <w:r w:rsidR="00032E6E">
        <w:rPr>
          <w:rFonts w:ascii="Arial" w:hAnsi="Arial" w:cs="Arial"/>
          <w:sz w:val="20"/>
        </w:rPr>
        <w:t xml:space="preserve"> for Children,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10B21F93" w14:textId="77777777" w:rsidR="00ED3628" w:rsidRPr="00032E6E" w:rsidRDefault="00ED3628" w:rsidP="00ED3628">
      <w:pPr>
        <w:rPr>
          <w:rFonts w:ascii="Arial" w:hAnsi="Arial" w:cs="Arial"/>
          <w:i/>
          <w:sz w:val="20"/>
        </w:rPr>
      </w:pPr>
      <w:r w:rsidRPr="00032E6E">
        <w:rPr>
          <w:rFonts w:ascii="Arial" w:hAnsi="Arial" w:cs="Arial"/>
          <w:i/>
          <w:sz w:val="20"/>
        </w:rPr>
        <w:t xml:space="preserve">(2002), </w:t>
      </w:r>
      <w:r w:rsidR="00032E6E" w:rsidRPr="00032E6E">
        <w:rPr>
          <w:rFonts w:ascii="Arial" w:hAnsi="Arial" w:cs="Arial"/>
          <w:i/>
          <w:sz w:val="20"/>
        </w:rPr>
        <w:t xml:space="preserve">Child Abuse </w:t>
      </w:r>
      <w:r w:rsidR="00700B0B">
        <w:rPr>
          <w:rFonts w:ascii="Arial" w:hAnsi="Arial" w:cs="Arial"/>
          <w:i/>
          <w:sz w:val="20"/>
        </w:rPr>
        <w:t>&amp; Neglect 26, 697-714</w:t>
      </w:r>
    </w:p>
    <w:p w14:paraId="1C71F2F1" w14:textId="77777777" w:rsidR="00ED3628" w:rsidRDefault="00032E6E" w:rsidP="00032E6E">
      <w:pPr>
        <w:spacing w:before="120"/>
        <w:jc w:val="both"/>
        <w:rPr>
          <w:rFonts w:ascii="Arial" w:hAnsi="Arial" w:cs="Arial"/>
          <w:sz w:val="20"/>
        </w:rPr>
      </w:pPr>
      <w:r>
        <w:rPr>
          <w:rFonts w:ascii="Arial" w:hAnsi="Arial" w:cs="Arial"/>
          <w:sz w:val="20"/>
        </w:rPr>
        <w:t>Emotional abuse and neglect is an under-recognized, but actually common, form of child abuse.  Professionals in the field continue to find difficulty in recognizing and operationally defining it, and experience uncertainty about proving it legally.  There are also questions about intervention and therapy to protect the child in the least detrimental manner.  These difficulties have led to delays in recognition and protective intervention.  Emotional abuse and neglect are defined as a carer-child relationship that is characterised by patterns of harmful interactions but requiring no physical contact with the child.  Motivation to harm the child is not necessary for the definition.  Unlike sexual abuse that is a secret activity, these forms of ill treatment are easily observable.  The child’s development is impaired in all domains of functioning but, not being specific to emotional abuse and neglect, cannot be regarded as diagnostic.</w:t>
      </w:r>
    </w:p>
    <w:p w14:paraId="5A81C54A" w14:textId="77777777" w:rsidR="00700B0B" w:rsidRDefault="00700B0B" w:rsidP="00700B0B">
      <w:pPr>
        <w:rPr>
          <w:rFonts w:ascii="Arial" w:hAnsi="Arial" w:cs="Arial"/>
          <w:sz w:val="20"/>
        </w:rPr>
      </w:pPr>
    </w:p>
    <w:p w14:paraId="3F7A9B7F" w14:textId="77777777" w:rsidR="00700B0B" w:rsidRDefault="00700B0B" w:rsidP="002F5929">
      <w:pPr>
        <w:keepNext/>
        <w:keepLines/>
        <w:ind w:left="720" w:hanging="720"/>
        <w:jc w:val="both"/>
        <w:rPr>
          <w:rFonts w:ascii="Arial" w:hAnsi="Arial" w:cs="Arial"/>
          <w:b/>
          <w:bCs/>
          <w:sz w:val="28"/>
          <w:bdr w:val="single" w:sz="4" w:space="0" w:color="auto"/>
        </w:rPr>
      </w:pPr>
      <w:r>
        <w:rPr>
          <w:rFonts w:ascii="Arial" w:hAnsi="Arial" w:cs="Arial"/>
          <w:b/>
          <w:bCs/>
          <w:sz w:val="28"/>
        </w:rPr>
        <w:t>F28</w:t>
      </w:r>
    </w:p>
    <w:p w14:paraId="5DAC3B64" w14:textId="77777777" w:rsidR="00700B0B" w:rsidRDefault="00700B0B" w:rsidP="00700B0B">
      <w:pPr>
        <w:jc w:val="both"/>
        <w:rPr>
          <w:rFonts w:ascii="Arial" w:hAnsi="Arial" w:cs="Arial"/>
          <w:b/>
          <w:bCs/>
        </w:rPr>
      </w:pPr>
      <w:r>
        <w:rPr>
          <w:rFonts w:ascii="Arial" w:hAnsi="Arial" w:cs="Arial"/>
          <w:b/>
          <w:bCs/>
        </w:rPr>
        <w:t>Childhood Experience and the Expression of Genetic Potential: What Childhood neglect Tells Us about Nature and Nurture</w:t>
      </w:r>
    </w:p>
    <w:p w14:paraId="336F4684" w14:textId="77777777" w:rsidR="00700B0B" w:rsidRDefault="00700B0B" w:rsidP="00700B0B">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smartTag>
      <w:r>
        <w:rPr>
          <w:rFonts w:ascii="Arial" w:hAnsi="Arial" w:cs="Arial"/>
          <w:sz w:val="20"/>
        </w:rPr>
        <w:t>)</w:t>
      </w:r>
    </w:p>
    <w:p w14:paraId="4EF111F7" w14:textId="77777777" w:rsidR="00700B0B" w:rsidRPr="00700B0B" w:rsidRDefault="00700B0B" w:rsidP="00700B0B">
      <w:pPr>
        <w:jc w:val="both"/>
        <w:rPr>
          <w:rFonts w:ascii="Arial" w:hAnsi="Arial" w:cs="Arial"/>
          <w:i/>
          <w:sz w:val="20"/>
        </w:rPr>
      </w:pPr>
      <w:r w:rsidRPr="00700B0B">
        <w:rPr>
          <w:rFonts w:ascii="Arial" w:hAnsi="Arial" w:cs="Arial"/>
          <w:i/>
          <w:sz w:val="20"/>
        </w:rPr>
        <w:t>(2002) Brain and Mind 3: 79-100</w:t>
      </w:r>
    </w:p>
    <w:p w14:paraId="114B0CAC" w14:textId="77777777" w:rsidR="00A92378" w:rsidRDefault="00056D8F" w:rsidP="00A92378">
      <w:pPr>
        <w:spacing w:before="120"/>
        <w:jc w:val="both"/>
        <w:rPr>
          <w:rFonts w:ascii="Arial" w:hAnsi="Arial" w:cs="Arial"/>
          <w:sz w:val="20"/>
        </w:rPr>
      </w:pPr>
      <w:r>
        <w:rPr>
          <w:rFonts w:ascii="Arial" w:hAnsi="Arial" w:cs="Arial"/>
          <w:sz w:val="20"/>
        </w:rPr>
        <w:t>Studies of childhood abuse and neglect have important lessons for considerations of nature and nurture.  While each child has unique genetic potential, both human and animal studies point to important needs that every child has, and severe long-term consequences for brain function if those needs are not met.  The effects of the childhood environment, favourable or unfavourable, interact with all the processes of neurodevelopment (neurogenesis, migration, differentiation, apoptosis, arborization, synaptogenesis, synaptic sculpting</w:t>
      </w:r>
      <w:r w:rsidR="008245B1">
        <w:rPr>
          <w:rFonts w:ascii="Arial" w:hAnsi="Arial" w:cs="Arial"/>
          <w:sz w:val="20"/>
        </w:rPr>
        <w:t xml:space="preserve">, and myelination).  The time courses of all these neural processes are reviewed here along with statements of core principles for both genetic and environmental influences on all of these processes.  Evidence is presented that development of synaptic pathways tends to be a “use it or lose it” proposition.  Abuse studies from the author’s laboratory, studies of children in orphanages who lacked emotional contact, and a large number of animal deprivation and enrichment studies point to the need for children and young nonhuman mammals to have both stable emotional attachments with and touch from primary adult caregivers, and spontaneous interaction with peers.  If these connections are lacking, brain development both of caring behaviour and cognitive capacities is damaged in a lasting fashion.  These effects of </w:t>
      </w:r>
      <w:r w:rsidR="008245B1">
        <w:rPr>
          <w:rFonts w:ascii="Arial" w:hAnsi="Arial" w:cs="Arial"/>
          <w:sz w:val="20"/>
        </w:rPr>
        <w:lastRenderedPageBreak/>
        <w:t>experience on the brain imply that effects of modern technology can be positive but need to be monitored.  While technology has raised opportunities for children to become emotionally secure and literate, more recent inadvertent impacts of technology have spawned declines in extended families, family meals, and spontaneous peer interactions.  The latter changes have deprived many children of experiences that promote positive growth of the cognitive and caring potentials of their developing brains.</w:t>
      </w:r>
    </w:p>
    <w:p w14:paraId="0731D118" w14:textId="77777777" w:rsidR="00700B0B" w:rsidRDefault="00700B0B" w:rsidP="00700B0B">
      <w:pPr>
        <w:jc w:val="both"/>
        <w:rPr>
          <w:rFonts w:ascii="Arial" w:hAnsi="Arial" w:cs="Arial"/>
          <w:sz w:val="20"/>
        </w:rPr>
      </w:pPr>
    </w:p>
    <w:p w14:paraId="1D2F3873" w14:textId="77777777" w:rsidR="00A92378" w:rsidRDefault="00A92378" w:rsidP="00A92378">
      <w:pPr>
        <w:ind w:left="720" w:hanging="720"/>
        <w:jc w:val="both"/>
        <w:rPr>
          <w:rFonts w:ascii="Arial" w:hAnsi="Arial" w:cs="Arial"/>
          <w:b/>
          <w:bCs/>
          <w:sz w:val="28"/>
          <w:bdr w:val="single" w:sz="4" w:space="0" w:color="auto"/>
        </w:rPr>
      </w:pPr>
      <w:r>
        <w:rPr>
          <w:rFonts w:ascii="Arial" w:hAnsi="Arial" w:cs="Arial"/>
          <w:b/>
          <w:bCs/>
          <w:sz w:val="28"/>
        </w:rPr>
        <w:t>F29</w:t>
      </w:r>
    </w:p>
    <w:p w14:paraId="37954621" w14:textId="77777777" w:rsidR="005B2534" w:rsidRDefault="005B2534" w:rsidP="005B2534">
      <w:pPr>
        <w:keepNext/>
        <w:keepLines/>
        <w:jc w:val="both"/>
        <w:rPr>
          <w:rFonts w:ascii="Arial" w:hAnsi="Arial" w:cs="Arial"/>
          <w:b/>
          <w:bCs/>
        </w:rPr>
      </w:pPr>
      <w:r>
        <w:rPr>
          <w:rFonts w:ascii="Arial" w:hAnsi="Arial" w:cs="Arial"/>
          <w:b/>
          <w:bCs/>
        </w:rPr>
        <w:t>Applying Principles of Neurodevelopment to Clinical Work with Maltreated and Traumatized Children: The Neurosequential Model of Therapeutics</w:t>
      </w:r>
    </w:p>
    <w:p w14:paraId="74B03C39" w14:textId="77777777" w:rsidR="00A92378" w:rsidRDefault="00A92378" w:rsidP="00A92378">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smartTag>
      <w:r>
        <w:rPr>
          <w:rFonts w:ascii="Arial" w:hAnsi="Arial" w:cs="Arial"/>
          <w:sz w:val="20"/>
        </w:rPr>
        <w:t>)</w:t>
      </w:r>
    </w:p>
    <w:p w14:paraId="2803478D" w14:textId="77777777" w:rsidR="00A92378" w:rsidRPr="0075380A" w:rsidRDefault="00A92378" w:rsidP="00A92378">
      <w:pPr>
        <w:jc w:val="both"/>
        <w:rPr>
          <w:rFonts w:ascii="Arial" w:hAnsi="Arial" w:cs="Arial"/>
          <w:i/>
          <w:sz w:val="20"/>
        </w:rPr>
      </w:pPr>
      <w:r w:rsidRPr="0075380A">
        <w:rPr>
          <w:rFonts w:ascii="Arial" w:hAnsi="Arial" w:cs="Arial"/>
          <w:i/>
          <w:sz w:val="20"/>
        </w:rPr>
        <w:t xml:space="preserve">Working with Traumatized Youth in Child Welfare (Ed. Nancy Boyd), </w:t>
      </w:r>
      <w:smartTag w:uri="urn:schemas-microsoft-com:office:smarttags" w:element="City">
        <w:r w:rsidRPr="0075380A">
          <w:rPr>
            <w:rFonts w:ascii="Arial" w:hAnsi="Arial" w:cs="Arial"/>
            <w:i/>
            <w:sz w:val="20"/>
          </w:rPr>
          <w:t>Guilford</w:t>
        </w:r>
      </w:smartTag>
      <w:r w:rsidRPr="0075380A">
        <w:rPr>
          <w:rFonts w:ascii="Arial" w:hAnsi="Arial" w:cs="Arial"/>
          <w:i/>
          <w:sz w:val="20"/>
        </w:rPr>
        <w:t xml:space="preserve"> Publications Inc., </w:t>
      </w:r>
      <w:smartTag w:uri="urn:schemas-microsoft-com:office:smarttags" w:element="State">
        <w:smartTag w:uri="urn:schemas-microsoft-com:office:smarttags" w:element="place">
          <w:r w:rsidRPr="0075380A">
            <w:rPr>
              <w:rFonts w:ascii="Arial" w:hAnsi="Arial" w:cs="Arial"/>
              <w:i/>
              <w:sz w:val="20"/>
            </w:rPr>
            <w:t>New York</w:t>
          </w:r>
        </w:smartTag>
      </w:smartTag>
      <w:r w:rsidR="005B2534">
        <w:rPr>
          <w:rFonts w:ascii="Arial" w:hAnsi="Arial" w:cs="Arial"/>
          <w:i/>
          <w:sz w:val="20"/>
        </w:rPr>
        <w:t xml:space="preserve"> (2006)</w:t>
      </w:r>
    </w:p>
    <w:p w14:paraId="20DCB4FB" w14:textId="77777777" w:rsidR="00A92378" w:rsidRDefault="008245B1" w:rsidP="00A92378">
      <w:pPr>
        <w:spacing w:before="120"/>
        <w:jc w:val="both"/>
        <w:rPr>
          <w:rFonts w:ascii="Arial" w:hAnsi="Arial" w:cs="Arial"/>
          <w:sz w:val="20"/>
        </w:rPr>
      </w:pPr>
      <w:r>
        <w:rPr>
          <w:rFonts w:ascii="Arial" w:hAnsi="Arial" w:cs="Arial"/>
          <w:sz w:val="20"/>
        </w:rPr>
        <w:t>This chapter examines therapeutic work with maltreated children from a neurodevelopmental perspective.  The overarching premise of this perspective is that an awareness of human brain development and functioning provides practical insights to the origins of abnormal functioning seen following adverse developmental experiences (e.g. abuse, neglect and trauma), and further, that an understanding of how neural systems changes suggests specific therapeutic interventions.</w:t>
      </w:r>
    </w:p>
    <w:p w14:paraId="4E17C2F8" w14:textId="77777777" w:rsidR="008245B1" w:rsidRDefault="008245B1" w:rsidP="00C478CF">
      <w:pPr>
        <w:rPr>
          <w:rFonts w:ascii="Arial" w:hAnsi="Arial" w:cs="Arial"/>
          <w:sz w:val="20"/>
        </w:rPr>
      </w:pPr>
    </w:p>
    <w:p w14:paraId="009F905F"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w:t>
      </w:r>
      <w:r w:rsidR="008245B1">
        <w:rPr>
          <w:rFonts w:ascii="Arial" w:hAnsi="Arial" w:cs="Arial"/>
          <w:b/>
          <w:bCs/>
          <w:sz w:val="28"/>
        </w:rPr>
        <w:t>0</w:t>
      </w:r>
    </w:p>
    <w:p w14:paraId="04722BB0" w14:textId="77777777" w:rsidR="00700B0B" w:rsidRDefault="0075380A" w:rsidP="00700B0B">
      <w:pPr>
        <w:jc w:val="both"/>
        <w:rPr>
          <w:rFonts w:ascii="Arial" w:hAnsi="Arial" w:cs="Arial"/>
          <w:b/>
          <w:bCs/>
        </w:rPr>
      </w:pPr>
      <w:r>
        <w:rPr>
          <w:rFonts w:ascii="Arial" w:hAnsi="Arial" w:cs="Arial"/>
          <w:b/>
          <w:bCs/>
        </w:rPr>
        <w:t>Mind, Body and Heart: Psychotherapy and the Relationship between Mental and Physical Health</w:t>
      </w:r>
    </w:p>
    <w:p w14:paraId="2B02A1A2" w14:textId="77777777" w:rsidR="00700B0B" w:rsidRDefault="0075380A" w:rsidP="00700B0B">
      <w:pPr>
        <w:jc w:val="both"/>
        <w:rPr>
          <w:rFonts w:ascii="Arial" w:hAnsi="Arial" w:cs="Arial"/>
          <w:sz w:val="20"/>
        </w:rPr>
      </w:pPr>
      <w:r>
        <w:rPr>
          <w:rFonts w:ascii="Arial" w:hAnsi="Arial" w:cs="Arial"/>
          <w:sz w:val="20"/>
        </w:rPr>
        <w:t xml:space="preserve">Dr Matthew Bambling (Lecturer and Researcher at the </w:t>
      </w:r>
      <w:smartTag w:uri="urn:schemas-microsoft-com:office:smarttags" w:element="PlaceType">
        <w:r>
          <w:rPr>
            <w:rFonts w:ascii="Arial" w:hAnsi="Arial" w:cs="Arial"/>
            <w:sz w:val="20"/>
          </w:rPr>
          <w:t>School</w:t>
        </w:r>
      </w:smartTag>
      <w:r>
        <w:rPr>
          <w:rFonts w:ascii="Arial" w:hAnsi="Arial" w:cs="Arial"/>
          <w:sz w:val="20"/>
        </w:rPr>
        <w:t xml:space="preserve"> of </w:t>
      </w:r>
      <w:smartTag w:uri="urn:schemas-microsoft-com:office:smarttags" w:element="PlaceName">
        <w:r>
          <w:rPr>
            <w:rFonts w:ascii="Arial" w:hAnsi="Arial" w:cs="Arial"/>
            <w:sz w:val="20"/>
          </w:rPr>
          <w:t>Medicine</w:t>
        </w:r>
      </w:smartTag>
      <w:r>
        <w:rPr>
          <w:rFonts w:ascii="Arial" w:hAnsi="Arial" w:cs="Arial"/>
          <w:sz w:val="20"/>
        </w:rPr>
        <w:t xml:space="preserve">, University of </w:t>
      </w:r>
      <w:smartTag w:uri="urn:schemas-microsoft-com:office:smarttags" w:element="State">
        <w:smartTag w:uri="urn:schemas-microsoft-com:office:smarttags" w:element="place">
          <w:r>
            <w:rPr>
              <w:rFonts w:ascii="Arial" w:hAnsi="Arial" w:cs="Arial"/>
              <w:sz w:val="20"/>
            </w:rPr>
            <w:t>Queensland</w:t>
          </w:r>
        </w:smartTag>
      </w:smartTag>
      <w:r>
        <w:rPr>
          <w:rFonts w:ascii="Arial" w:hAnsi="Arial" w:cs="Arial"/>
          <w:sz w:val="20"/>
        </w:rPr>
        <w:t>)</w:t>
      </w:r>
    </w:p>
    <w:p w14:paraId="1EFF86A6" w14:textId="77777777" w:rsidR="0075380A" w:rsidRPr="0075380A" w:rsidRDefault="0075380A" w:rsidP="0075380A">
      <w:pPr>
        <w:jc w:val="both"/>
        <w:rPr>
          <w:rFonts w:ascii="Arial" w:hAnsi="Arial" w:cs="Arial"/>
          <w:i/>
          <w:sz w:val="20"/>
        </w:rPr>
      </w:pPr>
      <w:r w:rsidRPr="0075380A">
        <w:rPr>
          <w:rFonts w:ascii="Arial" w:hAnsi="Arial" w:cs="Arial"/>
          <w:i/>
          <w:sz w:val="20"/>
        </w:rPr>
        <w:t xml:space="preserve">Psychotherapy in </w:t>
      </w:r>
      <w:smartTag w:uri="urn:schemas-microsoft-com:office:smarttags" w:element="country-region">
        <w:smartTag w:uri="urn:schemas-microsoft-com:office:smarttags" w:element="place">
          <w:r w:rsidRPr="0075380A">
            <w:rPr>
              <w:rFonts w:ascii="Arial" w:hAnsi="Arial" w:cs="Arial"/>
              <w:i/>
              <w:sz w:val="20"/>
            </w:rPr>
            <w:t>Australia</w:t>
          </w:r>
        </w:smartTag>
      </w:smartTag>
      <w:r w:rsidRPr="0075380A">
        <w:rPr>
          <w:rFonts w:ascii="Arial" w:hAnsi="Arial" w:cs="Arial"/>
          <w:i/>
          <w:sz w:val="20"/>
        </w:rPr>
        <w:t>, Vol.12, No.2 February 2006, 52-59</w:t>
      </w:r>
    </w:p>
    <w:p w14:paraId="4BDD4ABC" w14:textId="77777777" w:rsidR="0075380A" w:rsidRDefault="00E11DDB" w:rsidP="0075380A">
      <w:pPr>
        <w:spacing w:before="120"/>
        <w:jc w:val="both"/>
        <w:rPr>
          <w:rFonts w:ascii="Arial" w:hAnsi="Arial" w:cs="Arial"/>
          <w:sz w:val="20"/>
        </w:rPr>
      </w:pPr>
      <w:r>
        <w:rPr>
          <w:rFonts w:ascii="Arial" w:hAnsi="Arial" w:cs="Arial"/>
          <w:sz w:val="20"/>
        </w:rPr>
        <w:t xml:space="preserve">A mounting body of research confirms the clinical wisdom that mental health affects physical health.  Recent psychophysiological research has unravelled some of the mechanisms by which mental health problems and general life stress may cause physical diseases such as coronary heart disease, cancer, diabetes and autoimmune disorders.  Encouraging news for the mental health practitioner is that the sum of research findings suggests that psychological treatment not only improves psychological symptoms, but can have an independent effect on physical health and disease.  The mind-body connection appears so significant that the use of psychological techniques can even reduce the risk of most major diseases.  The author draws on recent research and behavioural medicine to illustrate how depression and anxiety influence physiological processes </w:t>
      </w:r>
      <w:r w:rsidR="00583A9A">
        <w:rPr>
          <w:rFonts w:ascii="Arial" w:hAnsi="Arial" w:cs="Arial"/>
          <w:sz w:val="20"/>
        </w:rPr>
        <w:t>with particular reference to coronary heart disease.  An evaluation is undertaken of how psychotherapy and psychological interventions can influence not only mental health, but also physical health through reduction of the stress response and associated endocrine function.  The implications of these findings for clinical practice are explored.</w:t>
      </w:r>
    </w:p>
    <w:p w14:paraId="0388E7E1" w14:textId="77777777" w:rsidR="00E11DDB" w:rsidRDefault="00E11DDB" w:rsidP="00E11DDB">
      <w:pPr>
        <w:rPr>
          <w:rFonts w:ascii="Arial" w:hAnsi="Arial" w:cs="Arial"/>
          <w:sz w:val="20"/>
        </w:rPr>
      </w:pPr>
    </w:p>
    <w:p w14:paraId="363448CE"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w:t>
      </w:r>
      <w:r w:rsidR="008245B1">
        <w:rPr>
          <w:rFonts w:ascii="Arial" w:hAnsi="Arial" w:cs="Arial"/>
          <w:b/>
          <w:bCs/>
          <w:sz w:val="28"/>
        </w:rPr>
        <w:t>1</w:t>
      </w:r>
    </w:p>
    <w:p w14:paraId="0ED9C4CE" w14:textId="77777777" w:rsidR="00700B0B" w:rsidRDefault="00583A9A" w:rsidP="00700B0B">
      <w:pPr>
        <w:jc w:val="both"/>
        <w:rPr>
          <w:rFonts w:ascii="Arial" w:hAnsi="Arial" w:cs="Arial"/>
          <w:b/>
          <w:bCs/>
        </w:rPr>
      </w:pPr>
      <w:r>
        <w:rPr>
          <w:rFonts w:ascii="Arial" w:hAnsi="Arial" w:cs="Arial"/>
          <w:b/>
          <w:bCs/>
        </w:rPr>
        <w:t>Coming Out of the Dark Age: Recognising Difference, Making a Difference</w:t>
      </w:r>
    </w:p>
    <w:p w14:paraId="535FCEA1" w14:textId="77777777" w:rsidR="00583A9A" w:rsidRDefault="00583A9A" w:rsidP="00583A9A">
      <w:pPr>
        <w:jc w:val="both"/>
        <w:rPr>
          <w:rFonts w:ascii="Arial" w:hAnsi="Arial" w:cs="Arial"/>
          <w:sz w:val="20"/>
        </w:rPr>
      </w:pPr>
      <w:r>
        <w:rPr>
          <w:rFonts w:ascii="Arial" w:hAnsi="Arial" w:cs="Arial"/>
          <w:sz w:val="20"/>
        </w:rPr>
        <w:t xml:space="preserve">Dr Anthony Korner (Coordinator of the Master of Medicine (Psychotherapy) program of the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Sydney</w:t>
        </w:r>
      </w:smartTag>
      <w:r>
        <w:rPr>
          <w:rFonts w:ascii="Arial" w:hAnsi="Arial" w:cs="Arial"/>
          <w:sz w:val="20"/>
        </w:rPr>
        <w:t xml:space="preserve"> at </w:t>
      </w:r>
      <w:smartTag w:uri="urn:schemas-microsoft-com:office:smarttags" w:element="place">
        <w:smartTag w:uri="urn:schemas-microsoft-com:office:smarttags" w:element="PlaceName">
          <w:r>
            <w:rPr>
              <w:rFonts w:ascii="Arial" w:hAnsi="Arial" w:cs="Arial"/>
              <w:sz w:val="20"/>
            </w:rPr>
            <w:t>Westmead</w:t>
          </w:r>
        </w:smartTag>
        <w:r>
          <w:rPr>
            <w:rFonts w:ascii="Arial" w:hAnsi="Arial" w:cs="Arial"/>
            <w:sz w:val="20"/>
          </w:rPr>
          <w:t xml:space="preserve"> </w:t>
        </w:r>
        <w:smartTag w:uri="urn:schemas-microsoft-com:office:smarttags" w:element="PlaceType">
          <w:r>
            <w:rPr>
              <w:rFonts w:ascii="Arial" w:hAnsi="Arial" w:cs="Arial"/>
              <w:sz w:val="20"/>
            </w:rPr>
            <w:t>Hospital</w:t>
          </w:r>
        </w:smartTag>
      </w:smartTag>
      <w:r>
        <w:rPr>
          <w:rFonts w:ascii="Arial" w:hAnsi="Arial" w:cs="Arial"/>
          <w:sz w:val="20"/>
        </w:rPr>
        <w:t>)</w:t>
      </w:r>
    </w:p>
    <w:p w14:paraId="1D86CE62" w14:textId="77777777" w:rsidR="00583A9A" w:rsidRPr="0075380A" w:rsidRDefault="00583A9A" w:rsidP="00583A9A">
      <w:pPr>
        <w:jc w:val="both"/>
        <w:rPr>
          <w:rFonts w:ascii="Arial" w:hAnsi="Arial" w:cs="Arial"/>
          <w:i/>
          <w:sz w:val="20"/>
        </w:rPr>
      </w:pPr>
      <w:r w:rsidRPr="0075380A">
        <w:rPr>
          <w:rFonts w:ascii="Arial" w:hAnsi="Arial" w:cs="Arial"/>
          <w:i/>
          <w:sz w:val="20"/>
        </w:rPr>
        <w:t xml:space="preserve">Psychotherapy in </w:t>
      </w:r>
      <w:smartTag w:uri="urn:schemas-microsoft-com:office:smarttags" w:element="country-region">
        <w:smartTag w:uri="urn:schemas-microsoft-com:office:smarttags" w:element="place">
          <w:r w:rsidRPr="0075380A">
            <w:rPr>
              <w:rFonts w:ascii="Arial" w:hAnsi="Arial" w:cs="Arial"/>
              <w:i/>
              <w:sz w:val="20"/>
            </w:rPr>
            <w:t>Australia</w:t>
          </w:r>
        </w:smartTag>
      </w:smartTag>
      <w:r w:rsidRPr="0075380A">
        <w:rPr>
          <w:rFonts w:ascii="Arial" w:hAnsi="Arial" w:cs="Arial"/>
          <w:i/>
          <w:sz w:val="20"/>
        </w:rPr>
        <w:t>, Vol.1</w:t>
      </w:r>
      <w:r>
        <w:rPr>
          <w:rFonts w:ascii="Arial" w:hAnsi="Arial" w:cs="Arial"/>
          <w:i/>
          <w:sz w:val="20"/>
        </w:rPr>
        <w:t>1</w:t>
      </w:r>
      <w:r w:rsidRPr="0075380A">
        <w:rPr>
          <w:rFonts w:ascii="Arial" w:hAnsi="Arial" w:cs="Arial"/>
          <w:i/>
          <w:sz w:val="20"/>
        </w:rPr>
        <w:t>, No.</w:t>
      </w:r>
      <w:r>
        <w:rPr>
          <w:rFonts w:ascii="Arial" w:hAnsi="Arial" w:cs="Arial"/>
          <w:i/>
          <w:sz w:val="20"/>
        </w:rPr>
        <w:t>4</w:t>
      </w:r>
      <w:r w:rsidRPr="0075380A">
        <w:rPr>
          <w:rFonts w:ascii="Arial" w:hAnsi="Arial" w:cs="Arial"/>
          <w:i/>
          <w:sz w:val="20"/>
        </w:rPr>
        <w:t xml:space="preserve"> </w:t>
      </w:r>
      <w:r>
        <w:rPr>
          <w:rFonts w:ascii="Arial" w:hAnsi="Arial" w:cs="Arial"/>
          <w:i/>
          <w:sz w:val="20"/>
        </w:rPr>
        <w:t>August</w:t>
      </w:r>
      <w:r w:rsidRPr="0075380A">
        <w:rPr>
          <w:rFonts w:ascii="Arial" w:hAnsi="Arial" w:cs="Arial"/>
          <w:i/>
          <w:sz w:val="20"/>
        </w:rPr>
        <w:t xml:space="preserve"> 200</w:t>
      </w:r>
      <w:r>
        <w:rPr>
          <w:rFonts w:ascii="Arial" w:hAnsi="Arial" w:cs="Arial"/>
          <w:i/>
          <w:sz w:val="20"/>
        </w:rPr>
        <w:t xml:space="preserve">5, </w:t>
      </w:r>
      <w:r w:rsidRPr="0075380A">
        <w:rPr>
          <w:rFonts w:ascii="Arial" w:hAnsi="Arial" w:cs="Arial"/>
          <w:i/>
          <w:sz w:val="20"/>
        </w:rPr>
        <w:t>2-</w:t>
      </w:r>
      <w:r>
        <w:rPr>
          <w:rFonts w:ascii="Arial" w:hAnsi="Arial" w:cs="Arial"/>
          <w:i/>
          <w:sz w:val="20"/>
        </w:rPr>
        <w:t>8</w:t>
      </w:r>
    </w:p>
    <w:p w14:paraId="57A83B8C" w14:textId="77777777" w:rsidR="00E11DDB" w:rsidRDefault="00583A9A" w:rsidP="00583A9A">
      <w:pPr>
        <w:spacing w:before="120"/>
        <w:jc w:val="both"/>
        <w:rPr>
          <w:rFonts w:ascii="Arial" w:hAnsi="Arial" w:cs="Arial"/>
          <w:sz w:val="20"/>
        </w:rPr>
      </w:pPr>
      <w:r>
        <w:rPr>
          <w:rFonts w:ascii="Arial" w:hAnsi="Arial" w:cs="Arial"/>
          <w:sz w:val="20"/>
        </w:rPr>
        <w:t xml:space="preserve">What do we do when confronted by patients who act in self-destructive ways or impinge upon us as therapists?  There is a tendency to blame the patient and often the term ‘personality disorder’ is used in that way.  This often masks the genuine suffering that affects these people and those around them.  </w:t>
      </w:r>
      <w:r w:rsidR="00B663E3">
        <w:rPr>
          <w:rFonts w:ascii="Arial" w:hAnsi="Arial" w:cs="Arial"/>
          <w:sz w:val="20"/>
        </w:rPr>
        <w:t>One way of understanding the situation may be to look at our reaction to ‘difference’ in the sense of the encounter with something unknown and unfamiliar.  If this is looked at as an opportunity to know more about the other person it can become a path to therapeutic engagement rather than a trigger for therapeutic derailment.</w:t>
      </w:r>
    </w:p>
    <w:p w14:paraId="6C0161AB" w14:textId="77777777" w:rsidR="008245B1" w:rsidRDefault="008245B1" w:rsidP="008245B1">
      <w:pPr>
        <w:jc w:val="both"/>
        <w:rPr>
          <w:rFonts w:ascii="Arial" w:hAnsi="Arial" w:cs="Arial"/>
          <w:sz w:val="20"/>
        </w:rPr>
      </w:pPr>
    </w:p>
    <w:p w14:paraId="0C0CC7F9" w14:textId="77777777" w:rsidR="008245B1" w:rsidRDefault="008245B1" w:rsidP="00A8155A">
      <w:pPr>
        <w:keepNext/>
        <w:keepLines/>
        <w:ind w:left="720" w:hanging="720"/>
        <w:jc w:val="both"/>
        <w:rPr>
          <w:rFonts w:ascii="Arial" w:hAnsi="Arial" w:cs="Arial"/>
          <w:b/>
          <w:bCs/>
          <w:sz w:val="28"/>
          <w:bdr w:val="single" w:sz="4" w:space="0" w:color="auto"/>
        </w:rPr>
      </w:pPr>
      <w:r>
        <w:rPr>
          <w:rFonts w:ascii="Arial" w:hAnsi="Arial" w:cs="Arial"/>
          <w:b/>
          <w:bCs/>
          <w:sz w:val="28"/>
        </w:rPr>
        <w:lastRenderedPageBreak/>
        <w:t>F32</w:t>
      </w:r>
    </w:p>
    <w:p w14:paraId="61604FD5" w14:textId="77777777" w:rsidR="008245B1" w:rsidRDefault="008245B1" w:rsidP="008245B1">
      <w:pPr>
        <w:jc w:val="both"/>
        <w:rPr>
          <w:rFonts w:ascii="Arial" w:hAnsi="Arial" w:cs="Arial"/>
          <w:b/>
          <w:bCs/>
        </w:rPr>
      </w:pPr>
      <w:r>
        <w:rPr>
          <w:rFonts w:ascii="Arial" w:hAnsi="Arial" w:cs="Arial"/>
          <w:b/>
          <w:bCs/>
        </w:rPr>
        <w:t>Placement with Substance-abusing mothers vs. Placement with other relatives: Infant Outcomes</w:t>
      </w:r>
    </w:p>
    <w:p w14:paraId="46E376F2" w14:textId="77777777" w:rsidR="008245B1" w:rsidRDefault="008245B1" w:rsidP="008245B1">
      <w:pPr>
        <w:jc w:val="both"/>
        <w:rPr>
          <w:rFonts w:ascii="Arial" w:hAnsi="Arial" w:cs="Arial"/>
          <w:sz w:val="20"/>
        </w:rPr>
      </w:pPr>
      <w:r>
        <w:rPr>
          <w:rFonts w:ascii="Arial" w:hAnsi="Arial" w:cs="Arial"/>
          <w:sz w:val="20"/>
        </w:rPr>
        <w:t>Rachelle Tyler, Judy Howard, Michael Espinosa and Sarah Simpson Doakes</w:t>
      </w:r>
    </w:p>
    <w:p w14:paraId="1F56F037" w14:textId="77777777" w:rsidR="008245B1" w:rsidRPr="00032E6E" w:rsidRDefault="008245B1" w:rsidP="008245B1">
      <w:pPr>
        <w:rPr>
          <w:rFonts w:ascii="Arial" w:hAnsi="Arial" w:cs="Arial"/>
          <w:i/>
          <w:sz w:val="20"/>
        </w:rPr>
      </w:pPr>
      <w:r w:rsidRPr="00032E6E">
        <w:rPr>
          <w:rFonts w:ascii="Arial" w:hAnsi="Arial" w:cs="Arial"/>
          <w:i/>
          <w:sz w:val="20"/>
        </w:rPr>
        <w:t>(</w:t>
      </w:r>
      <w:r>
        <w:rPr>
          <w:rFonts w:ascii="Arial" w:hAnsi="Arial" w:cs="Arial"/>
          <w:i/>
          <w:sz w:val="20"/>
        </w:rPr>
        <w:t>1997</w:t>
      </w:r>
      <w:r w:rsidRPr="00032E6E">
        <w:rPr>
          <w:rFonts w:ascii="Arial" w:hAnsi="Arial" w:cs="Arial"/>
          <w:i/>
          <w:sz w:val="20"/>
        </w:rPr>
        <w:t>), Child Abuse &amp; Neglect 2</w:t>
      </w:r>
      <w:r>
        <w:rPr>
          <w:rFonts w:ascii="Arial" w:hAnsi="Arial" w:cs="Arial"/>
          <w:i/>
          <w:sz w:val="20"/>
        </w:rPr>
        <w:t>1, pp.337-349</w:t>
      </w:r>
    </w:p>
    <w:p w14:paraId="654A40B3" w14:textId="77777777" w:rsidR="008245B1" w:rsidRDefault="008245B1" w:rsidP="008245B1">
      <w:pPr>
        <w:spacing w:before="120"/>
        <w:jc w:val="both"/>
        <w:rPr>
          <w:rFonts w:ascii="Arial" w:hAnsi="Arial" w:cs="Arial"/>
          <w:sz w:val="20"/>
        </w:rPr>
      </w:pPr>
      <w:r>
        <w:rPr>
          <w:rFonts w:ascii="Arial" w:hAnsi="Arial" w:cs="Arial"/>
          <w:sz w:val="20"/>
        </w:rPr>
        <w:t>Evaluating a subset of participants from a larger research project concerning comprehensive drug treatment services for pregnant substance-abusing women and their offspring, this investigation compared those mothers who retained custody of their infants following delivery with those who lost custody and whose infants were placed in the care of other relatives.  There were no differences between the groups with respect to maternal demographics, substance abuse (as assessed by self-report prenatally and urine toxicology screens at birth), or mental health status, or with respect to newborn characteristics (including gestational age, birth weight, medical risk status).  Further, caregiving behaviours of biological mothers and relative caregivers showed no significant differences at 6 months.  Infants who remained in the care of their biological mothers, however, demonstrated better cognitive development than infants in the care of relatives at 6 months.  There was also a discrepancy in terms of safety at 6 months, in that there were three deaths and two reported cases of suspected child abuse/neglect among infants in the care of their mothers, and no deaths and no reports of suspected child abuse among infants in relative foster care.</w:t>
      </w:r>
    </w:p>
    <w:p w14:paraId="6CA1013F" w14:textId="77777777" w:rsidR="00700B0B" w:rsidRDefault="00700B0B" w:rsidP="00700B0B">
      <w:pPr>
        <w:jc w:val="both"/>
        <w:rPr>
          <w:rFonts w:ascii="Arial" w:hAnsi="Arial" w:cs="Arial"/>
          <w:sz w:val="20"/>
        </w:rPr>
      </w:pPr>
    </w:p>
    <w:p w14:paraId="77B9AF24"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F33</w:t>
      </w:r>
    </w:p>
    <w:p w14:paraId="2980EF97" w14:textId="77777777" w:rsidR="00700B0B" w:rsidRDefault="00745DEF" w:rsidP="00700B0B">
      <w:pPr>
        <w:jc w:val="both"/>
        <w:rPr>
          <w:rFonts w:ascii="Arial" w:hAnsi="Arial" w:cs="Arial"/>
          <w:b/>
          <w:bCs/>
        </w:rPr>
      </w:pPr>
      <w:r>
        <w:rPr>
          <w:rFonts w:ascii="Arial" w:hAnsi="Arial" w:cs="Arial"/>
          <w:b/>
          <w:bCs/>
        </w:rPr>
        <w:t>In Search of How People Change – Applications to Addictive Behaviour</w:t>
      </w:r>
    </w:p>
    <w:p w14:paraId="527442E7" w14:textId="77777777" w:rsidR="00745DEF" w:rsidRDefault="00745DEF" w:rsidP="0028439F">
      <w:pPr>
        <w:jc w:val="both"/>
        <w:rPr>
          <w:rFonts w:ascii="Arial" w:hAnsi="Arial" w:cs="Arial"/>
          <w:sz w:val="20"/>
        </w:rPr>
      </w:pPr>
      <w:r>
        <w:rPr>
          <w:rFonts w:ascii="Arial" w:hAnsi="Arial" w:cs="Arial"/>
          <w:sz w:val="20"/>
        </w:rPr>
        <w:t xml:space="preserve">James O Prochaska (Cancer Prevention Research Consortium,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Rhode Island</w:t>
        </w:r>
      </w:smartTag>
      <w:r>
        <w:rPr>
          <w:rFonts w:ascii="Arial" w:hAnsi="Arial" w:cs="Arial"/>
          <w:sz w:val="20"/>
        </w:rPr>
        <w:t>), Carlo C DiClemente (</w:t>
      </w: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Houston</w:t>
          </w:r>
        </w:smartTag>
      </w:smartTag>
      <w:r>
        <w:rPr>
          <w:rFonts w:ascii="Arial" w:hAnsi="Arial" w:cs="Arial"/>
          <w:sz w:val="20"/>
        </w:rPr>
        <w:t>)</w:t>
      </w:r>
    </w:p>
    <w:p w14:paraId="513789F5" w14:textId="77777777" w:rsidR="00745DEF" w:rsidRDefault="00745DEF" w:rsidP="0028439F">
      <w:pPr>
        <w:jc w:val="both"/>
        <w:rPr>
          <w:rFonts w:ascii="Arial" w:hAnsi="Arial" w:cs="Arial"/>
          <w:sz w:val="20"/>
        </w:rPr>
      </w:pPr>
      <w:r>
        <w:rPr>
          <w:rFonts w:ascii="Arial" w:hAnsi="Arial" w:cs="Arial"/>
          <w:sz w:val="20"/>
        </w:rPr>
        <w:t xml:space="preserve">John C Norcross </w:t>
      </w:r>
      <w:r w:rsidR="00D21BA4">
        <w:rPr>
          <w:rFonts w:ascii="Arial" w:hAnsi="Arial" w:cs="Arial"/>
          <w:sz w:val="20"/>
        </w:rPr>
        <w:t>(</w:t>
      </w:r>
      <w:r>
        <w:rPr>
          <w:rFonts w:ascii="Arial" w:hAnsi="Arial" w:cs="Arial"/>
          <w:sz w:val="20"/>
        </w:rPr>
        <w:t>University of Scranton)</w:t>
      </w:r>
    </w:p>
    <w:p w14:paraId="5AB46760" w14:textId="77777777" w:rsidR="00745DEF" w:rsidRPr="00745DEF" w:rsidRDefault="00745DEF" w:rsidP="0028439F">
      <w:pPr>
        <w:jc w:val="both"/>
        <w:rPr>
          <w:rFonts w:ascii="Arial" w:hAnsi="Arial" w:cs="Arial"/>
          <w:i/>
          <w:sz w:val="20"/>
        </w:rPr>
      </w:pPr>
      <w:r w:rsidRPr="00745DEF">
        <w:rPr>
          <w:rFonts w:ascii="Arial" w:hAnsi="Arial" w:cs="Arial"/>
          <w:i/>
          <w:sz w:val="20"/>
        </w:rPr>
        <w:t>September 1992, American Psychologist, 1102-1114</w:t>
      </w:r>
    </w:p>
    <w:p w14:paraId="55EEB2E1" w14:textId="77777777" w:rsidR="00745DEF" w:rsidRDefault="00745DEF" w:rsidP="00745DEF">
      <w:pPr>
        <w:keepNext/>
        <w:keepLines/>
        <w:spacing w:before="120"/>
        <w:jc w:val="both"/>
        <w:rPr>
          <w:rFonts w:ascii="Arial" w:hAnsi="Arial" w:cs="Arial"/>
          <w:sz w:val="20"/>
        </w:rPr>
      </w:pPr>
      <w:r>
        <w:rPr>
          <w:rFonts w:ascii="Arial" w:hAnsi="Arial" w:cs="Arial"/>
          <w:sz w:val="20"/>
        </w:rPr>
        <w:t>How people intentionally change addictive behaviours with and without treatment is not well understood by behavioural scientists.  This article summarizes research on self-initiated and professionally facilitated change of addictive behaviours using the key transtheoretical constructs of stages and processes of change.  Modification of addictive behaviours involves progression through five stages – pre-contemplation, contemplation, preparation, action, and maintenance – and individuals typically recycle through these stages several times before termination of the addiction.  Multiple studies provide strong support for these stages as well as for a finite and common set of change processes used to progress through the stages.  Research to date supports a transtheoretical model of change that systematically integrates the stages with processes of chage from diverse theories of psychotherapy.</w:t>
      </w:r>
    </w:p>
    <w:p w14:paraId="415135E2" w14:textId="77777777" w:rsidR="00700B0B" w:rsidRDefault="00700B0B" w:rsidP="00700B0B">
      <w:pPr>
        <w:jc w:val="both"/>
        <w:rPr>
          <w:rFonts w:ascii="Arial" w:hAnsi="Arial" w:cs="Arial"/>
          <w:sz w:val="20"/>
        </w:rPr>
      </w:pPr>
    </w:p>
    <w:p w14:paraId="638CF844" w14:textId="77777777" w:rsidR="00E11DDB" w:rsidRDefault="00E11DDB" w:rsidP="00E11DDB">
      <w:pPr>
        <w:keepNext/>
        <w:keepLines/>
        <w:ind w:left="720" w:hanging="720"/>
        <w:jc w:val="both"/>
        <w:rPr>
          <w:rFonts w:ascii="Arial" w:hAnsi="Arial" w:cs="Arial"/>
          <w:b/>
          <w:bCs/>
          <w:sz w:val="28"/>
          <w:bdr w:val="single" w:sz="4" w:space="0" w:color="auto"/>
        </w:rPr>
      </w:pPr>
      <w:r>
        <w:rPr>
          <w:rFonts w:ascii="Arial" w:hAnsi="Arial" w:cs="Arial"/>
          <w:b/>
          <w:bCs/>
          <w:sz w:val="28"/>
        </w:rPr>
        <w:t>F34</w:t>
      </w:r>
    </w:p>
    <w:p w14:paraId="321D2863" w14:textId="77777777" w:rsidR="00E11DDB" w:rsidRDefault="00E11DDB" w:rsidP="00E11DDB">
      <w:pPr>
        <w:keepNext/>
        <w:keepLines/>
        <w:jc w:val="both"/>
        <w:rPr>
          <w:rFonts w:ascii="Arial" w:hAnsi="Arial" w:cs="Arial"/>
          <w:b/>
          <w:bCs/>
        </w:rPr>
      </w:pPr>
      <w:r>
        <w:rPr>
          <w:rFonts w:ascii="Arial" w:hAnsi="Arial" w:cs="Arial"/>
          <w:b/>
          <w:bCs/>
        </w:rPr>
        <w:t>The Menace of the Internet</w:t>
      </w:r>
    </w:p>
    <w:p w14:paraId="23A33615" w14:textId="77777777" w:rsidR="00E11DDB" w:rsidRDefault="00E11DDB" w:rsidP="00E11DDB">
      <w:pPr>
        <w:keepNext/>
        <w:keepLines/>
        <w:jc w:val="both"/>
        <w:rPr>
          <w:rFonts w:ascii="Arial" w:hAnsi="Arial" w:cs="Arial"/>
          <w:sz w:val="20"/>
        </w:rPr>
      </w:pPr>
      <w:r>
        <w:rPr>
          <w:rFonts w:ascii="Arial" w:hAnsi="Arial" w:cs="Arial"/>
          <w:sz w:val="20"/>
        </w:rPr>
        <w:t>H.C.Alsop (</w:t>
      </w:r>
      <w:r w:rsidR="00745DEF">
        <w:rPr>
          <w:rFonts w:ascii="Arial" w:hAnsi="Arial" w:cs="Arial"/>
          <w:sz w:val="20"/>
        </w:rPr>
        <w:t xml:space="preserve">Magistrate, </w:t>
      </w:r>
      <w:r>
        <w:rPr>
          <w:rFonts w:ascii="Arial" w:hAnsi="Arial" w:cs="Arial"/>
          <w:sz w:val="20"/>
        </w:rPr>
        <w:t>Magistrates’ Court of Victoria)</w:t>
      </w:r>
    </w:p>
    <w:p w14:paraId="475E8E7B" w14:textId="77777777" w:rsidR="00700B0B" w:rsidRPr="00E11DDB" w:rsidRDefault="00E11DDB" w:rsidP="00E11DDB">
      <w:pPr>
        <w:keepNext/>
        <w:keepLines/>
        <w:rPr>
          <w:rFonts w:ascii="Arial" w:hAnsi="Arial" w:cs="Arial"/>
          <w:i/>
          <w:sz w:val="20"/>
        </w:rPr>
      </w:pPr>
      <w:r w:rsidRPr="00E11DDB">
        <w:rPr>
          <w:rFonts w:ascii="Arial" w:hAnsi="Arial" w:cs="Arial"/>
          <w:i/>
          <w:sz w:val="20"/>
        </w:rPr>
        <w:t xml:space="preserve">Paper presented at XVII World Congress of the International Association of Youth and Family Judges and Magistrates held at </w:t>
      </w:r>
      <w:smartTag w:uri="urn:schemas-microsoft-com:office:smarttags" w:element="City">
        <w:smartTag w:uri="urn:schemas-microsoft-com:office:smarttags" w:element="place">
          <w:r w:rsidRPr="00E11DDB">
            <w:rPr>
              <w:rFonts w:ascii="Arial" w:hAnsi="Arial" w:cs="Arial"/>
              <w:i/>
              <w:sz w:val="20"/>
            </w:rPr>
            <w:t>Belfast</w:t>
          </w:r>
        </w:smartTag>
      </w:smartTag>
      <w:r w:rsidRPr="00E11DDB">
        <w:rPr>
          <w:rFonts w:ascii="Arial" w:hAnsi="Arial" w:cs="Arial"/>
          <w:i/>
          <w:sz w:val="20"/>
        </w:rPr>
        <w:t xml:space="preserve"> in August 2006</w:t>
      </w:r>
    </w:p>
    <w:p w14:paraId="118CF022" w14:textId="77777777" w:rsidR="006F0F3D" w:rsidRDefault="00E11DDB" w:rsidP="00E11DDB">
      <w:pPr>
        <w:spacing w:before="120"/>
        <w:jc w:val="both"/>
        <w:rPr>
          <w:rFonts w:ascii="Arial" w:hAnsi="Arial" w:cs="Arial"/>
          <w:sz w:val="20"/>
        </w:rPr>
      </w:pPr>
      <w:r>
        <w:rPr>
          <w:rFonts w:ascii="Arial" w:hAnsi="Arial" w:cs="Arial"/>
          <w:sz w:val="20"/>
        </w:rPr>
        <w:t>This excellent paper, presented in the presence of Justice Sandra Day O’Connor, recently retired justice of the U.S. Supreme Court, discusses the potential negative impact of the internet on children and young persons.</w:t>
      </w:r>
    </w:p>
    <w:p w14:paraId="66E50DF5" w14:textId="77777777" w:rsidR="00AF6272" w:rsidRDefault="00AF6272">
      <w:pPr>
        <w:rPr>
          <w:rFonts w:ascii="Arial" w:hAnsi="Arial" w:cs="Arial"/>
          <w:sz w:val="20"/>
        </w:rPr>
      </w:pPr>
    </w:p>
    <w:p w14:paraId="7C556663" w14:textId="77777777" w:rsidR="00745DEF" w:rsidRDefault="00745DEF" w:rsidP="00745DEF">
      <w:pPr>
        <w:keepNext/>
        <w:keepLines/>
        <w:ind w:left="720" w:hanging="720"/>
        <w:jc w:val="both"/>
        <w:rPr>
          <w:rFonts w:ascii="Arial" w:hAnsi="Arial" w:cs="Arial"/>
          <w:b/>
          <w:bCs/>
          <w:sz w:val="28"/>
          <w:bdr w:val="single" w:sz="4" w:space="0" w:color="auto"/>
        </w:rPr>
      </w:pPr>
      <w:r>
        <w:rPr>
          <w:rFonts w:ascii="Arial" w:hAnsi="Arial" w:cs="Arial"/>
          <w:b/>
          <w:bCs/>
          <w:sz w:val="28"/>
        </w:rPr>
        <w:t>F35</w:t>
      </w:r>
    </w:p>
    <w:p w14:paraId="7345E3DD" w14:textId="77777777" w:rsidR="00745DEF" w:rsidRDefault="00745DEF" w:rsidP="00745DEF">
      <w:pPr>
        <w:keepNext/>
        <w:keepLines/>
        <w:jc w:val="both"/>
        <w:rPr>
          <w:rFonts w:ascii="Arial" w:hAnsi="Arial" w:cs="Arial"/>
          <w:b/>
          <w:bCs/>
        </w:rPr>
      </w:pPr>
      <w:r>
        <w:rPr>
          <w:rFonts w:ascii="Arial" w:hAnsi="Arial" w:cs="Arial"/>
          <w:b/>
          <w:bCs/>
        </w:rPr>
        <w:t>Risk behaviours in maltreated youth placed in foster care: a longitudinal study of protective and vulnerability factors</w:t>
      </w:r>
    </w:p>
    <w:p w14:paraId="5B4397E2" w14:textId="77777777" w:rsidR="00745DEF" w:rsidRDefault="00745DEF" w:rsidP="00745DEF">
      <w:pPr>
        <w:keepNext/>
        <w:keepLines/>
        <w:jc w:val="both"/>
        <w:rPr>
          <w:rFonts w:ascii="Arial" w:hAnsi="Arial" w:cs="Arial"/>
          <w:sz w:val="20"/>
        </w:rPr>
      </w:pPr>
      <w:r>
        <w:rPr>
          <w:rFonts w:ascii="Arial" w:hAnsi="Arial" w:cs="Arial"/>
          <w:sz w:val="20"/>
        </w:rPr>
        <w:t>Heather N Taussig (Department of Pediatrics, Kempe Children’s Center, University of Colorado Health Sciences Center)</w:t>
      </w:r>
    </w:p>
    <w:p w14:paraId="4B26AA05" w14:textId="77777777" w:rsidR="00745DEF" w:rsidRPr="00032E6E" w:rsidRDefault="00745DEF" w:rsidP="00745DEF">
      <w:pPr>
        <w:rPr>
          <w:rFonts w:ascii="Arial" w:hAnsi="Arial" w:cs="Arial"/>
          <w:i/>
          <w:sz w:val="20"/>
        </w:rPr>
      </w:pPr>
      <w:r w:rsidRPr="00032E6E">
        <w:rPr>
          <w:rFonts w:ascii="Arial" w:hAnsi="Arial" w:cs="Arial"/>
          <w:i/>
          <w:sz w:val="20"/>
        </w:rPr>
        <w:t xml:space="preserve">(2002), Child Abuse </w:t>
      </w:r>
      <w:r>
        <w:rPr>
          <w:rFonts w:ascii="Arial" w:hAnsi="Arial" w:cs="Arial"/>
          <w:i/>
          <w:sz w:val="20"/>
        </w:rPr>
        <w:t>&amp; Neglect 26, 1179-1199</w:t>
      </w:r>
    </w:p>
    <w:p w14:paraId="25555164" w14:textId="77777777" w:rsidR="00745DEF" w:rsidRDefault="006B7708" w:rsidP="006B7708">
      <w:pPr>
        <w:spacing w:before="120"/>
        <w:jc w:val="both"/>
        <w:rPr>
          <w:rFonts w:ascii="Arial" w:hAnsi="Arial" w:cs="Arial"/>
          <w:sz w:val="20"/>
        </w:rPr>
      </w:pPr>
      <w:r w:rsidRPr="006B7708">
        <w:rPr>
          <w:rFonts w:ascii="Arial" w:hAnsi="Arial" w:cs="Arial"/>
          <w:b/>
          <w:sz w:val="20"/>
        </w:rPr>
        <w:t>Objective:</w:t>
      </w:r>
      <w:r>
        <w:rPr>
          <w:rFonts w:ascii="Arial" w:hAnsi="Arial" w:cs="Arial"/>
          <w:sz w:val="20"/>
        </w:rPr>
        <w:t xml:space="preserve">  Few studies have examined the impact of placement in foster care prospectively to determine what early responses might predict later functioning.  The current study examined protective and vulnerability factors in a longitudinal study of youth placed in foster care.</w:t>
      </w:r>
    </w:p>
    <w:p w14:paraId="55203F6B" w14:textId="77777777" w:rsidR="006B7708" w:rsidRDefault="006B7708" w:rsidP="006B7708">
      <w:pPr>
        <w:spacing w:before="120"/>
        <w:jc w:val="both"/>
        <w:rPr>
          <w:rFonts w:ascii="Arial" w:hAnsi="Arial" w:cs="Arial"/>
          <w:sz w:val="20"/>
        </w:rPr>
      </w:pPr>
      <w:r w:rsidRPr="006B7708">
        <w:rPr>
          <w:rFonts w:ascii="Arial" w:hAnsi="Arial" w:cs="Arial"/>
          <w:b/>
          <w:sz w:val="20"/>
        </w:rPr>
        <w:lastRenderedPageBreak/>
        <w:t>Methodology:</w:t>
      </w:r>
      <w:r w:rsidRPr="006B7708">
        <w:rPr>
          <w:rFonts w:ascii="Arial" w:hAnsi="Arial" w:cs="Arial"/>
          <w:sz w:val="20"/>
        </w:rPr>
        <w:t xml:space="preserve">  A cohort of </w:t>
      </w:r>
      <w:r>
        <w:rPr>
          <w:rFonts w:ascii="Arial" w:hAnsi="Arial" w:cs="Arial"/>
          <w:sz w:val="20"/>
        </w:rPr>
        <w:t>214 ethically-diverse youth, ages 7-12, who entered foster care between May 1990 and October 1991 were recruited for the Time 1 study if they remained in foster care for at least 5 months.  For the Time 1 study, youth and their caregivers were interviewed and assessed approximately 6 months following their initial placement.  Six years later, as adolescents, the youth were re-interviewed regarding their involvement in four domains of risk behaviour.</w:t>
      </w:r>
    </w:p>
    <w:p w14:paraId="512DE0C2" w14:textId="77777777" w:rsidR="006B7708" w:rsidRDefault="006B7708" w:rsidP="006B7708">
      <w:pPr>
        <w:spacing w:before="120"/>
        <w:jc w:val="both"/>
        <w:rPr>
          <w:rFonts w:ascii="Arial" w:hAnsi="Arial" w:cs="Arial"/>
          <w:sz w:val="20"/>
        </w:rPr>
      </w:pPr>
      <w:r w:rsidRPr="006B7708">
        <w:rPr>
          <w:rFonts w:ascii="Arial" w:hAnsi="Arial" w:cs="Arial"/>
          <w:b/>
          <w:sz w:val="20"/>
        </w:rPr>
        <w:t>Results:</w:t>
      </w:r>
      <w:r w:rsidRPr="006B7708">
        <w:rPr>
          <w:rFonts w:ascii="Arial" w:hAnsi="Arial" w:cs="Arial"/>
          <w:sz w:val="20"/>
        </w:rPr>
        <w:t xml:space="preserve">  Bivariate analyses </w:t>
      </w:r>
      <w:r>
        <w:rPr>
          <w:rFonts w:ascii="Arial" w:hAnsi="Arial" w:cs="Arial"/>
          <w:sz w:val="20"/>
        </w:rPr>
        <w:t>indicated that several Time 1 control variables (e.g. age, ethnicity, type of maltreatment, behaviour problems) and Time 1 psychosocial predictor variables (i.e. dimensions of social support and self-perception) were related to the Time 2 risk behaviour outcomes.  Regression analyses with all variables accounted for between 33% and 46% of the variance, with the psychosocial predictor variables, as a group, significant over and above the control variables.</w:t>
      </w:r>
    </w:p>
    <w:p w14:paraId="68145A1A" w14:textId="77777777" w:rsidR="006B7708" w:rsidRPr="006B7708" w:rsidRDefault="006B7708" w:rsidP="006B7708">
      <w:pPr>
        <w:spacing w:before="120"/>
        <w:jc w:val="both"/>
        <w:rPr>
          <w:rFonts w:ascii="Arial" w:hAnsi="Arial" w:cs="Arial"/>
          <w:b/>
          <w:sz w:val="20"/>
        </w:rPr>
      </w:pPr>
      <w:r w:rsidRPr="006B7708">
        <w:rPr>
          <w:rFonts w:ascii="Arial" w:hAnsi="Arial" w:cs="Arial"/>
          <w:b/>
          <w:sz w:val="20"/>
        </w:rPr>
        <w:t>Conclusions:</w:t>
      </w:r>
      <w:r>
        <w:rPr>
          <w:rFonts w:ascii="Arial" w:hAnsi="Arial" w:cs="Arial"/>
          <w:sz w:val="20"/>
        </w:rPr>
        <w:t xml:space="preserve">  The results suggest that there are some modifiable protective and vulnerability factors present shortly after maltreated youth are placed in fostercare that predict their engagement in adolescent risk behaviours 6 years later.</w:t>
      </w:r>
    </w:p>
    <w:p w14:paraId="6FD1794D" w14:textId="77777777" w:rsidR="00745DEF" w:rsidRDefault="00745DEF" w:rsidP="00745DEF">
      <w:pPr>
        <w:jc w:val="both"/>
        <w:rPr>
          <w:rFonts w:ascii="Arial" w:hAnsi="Arial" w:cs="Arial"/>
          <w:sz w:val="20"/>
        </w:rPr>
      </w:pPr>
    </w:p>
    <w:p w14:paraId="5227615A" w14:textId="77777777" w:rsidR="00745DEF" w:rsidRDefault="00745DEF" w:rsidP="00745DEF">
      <w:pPr>
        <w:keepNext/>
        <w:keepLines/>
        <w:ind w:left="720" w:hanging="720"/>
        <w:jc w:val="both"/>
        <w:rPr>
          <w:rFonts w:ascii="Arial" w:hAnsi="Arial" w:cs="Arial"/>
          <w:b/>
          <w:bCs/>
          <w:sz w:val="28"/>
          <w:bdr w:val="single" w:sz="4" w:space="0" w:color="auto"/>
        </w:rPr>
      </w:pPr>
      <w:r>
        <w:rPr>
          <w:rFonts w:ascii="Arial" w:hAnsi="Arial" w:cs="Arial"/>
          <w:b/>
          <w:bCs/>
          <w:sz w:val="28"/>
        </w:rPr>
        <w:t>F36</w:t>
      </w:r>
    </w:p>
    <w:p w14:paraId="4BCEA691" w14:textId="77777777" w:rsidR="00745DEF" w:rsidRDefault="006B7708" w:rsidP="00745DEF">
      <w:pPr>
        <w:keepNext/>
        <w:keepLines/>
        <w:jc w:val="both"/>
        <w:rPr>
          <w:rFonts w:ascii="Arial" w:hAnsi="Arial" w:cs="Arial"/>
          <w:b/>
          <w:bCs/>
        </w:rPr>
      </w:pPr>
      <w:r>
        <w:rPr>
          <w:rFonts w:ascii="Arial" w:hAnsi="Arial" w:cs="Arial"/>
          <w:b/>
          <w:bCs/>
        </w:rPr>
        <w:t xml:space="preserve">The </w:t>
      </w:r>
      <w:smartTag w:uri="urn:schemas-microsoft-com:office:smarttags" w:element="City">
        <w:r>
          <w:rPr>
            <w:rFonts w:ascii="Arial" w:hAnsi="Arial" w:cs="Arial"/>
            <w:b/>
            <w:bCs/>
          </w:rPr>
          <w:t>Independence</w:t>
        </w:r>
      </w:smartTag>
      <w:r>
        <w:rPr>
          <w:rFonts w:ascii="Arial" w:hAnsi="Arial" w:cs="Arial"/>
          <w:b/>
          <w:bCs/>
        </w:rPr>
        <w:t xml:space="preserve"> of the Children’s Court Clinic of </w:t>
      </w:r>
      <w:smartTag w:uri="urn:schemas-microsoft-com:office:smarttags" w:element="State">
        <w:smartTag w:uri="urn:schemas-microsoft-com:office:smarttags" w:element="place">
          <w:r>
            <w:rPr>
              <w:rFonts w:ascii="Arial" w:hAnsi="Arial" w:cs="Arial"/>
              <w:b/>
              <w:bCs/>
            </w:rPr>
            <w:t>Victoria</w:t>
          </w:r>
        </w:smartTag>
      </w:smartTag>
      <w:r>
        <w:rPr>
          <w:rFonts w:ascii="Arial" w:hAnsi="Arial" w:cs="Arial"/>
          <w:b/>
          <w:bCs/>
        </w:rPr>
        <w:t>: An indulgence or a necessity in the child forensic field?</w:t>
      </w:r>
    </w:p>
    <w:p w14:paraId="51D8DF98" w14:textId="77777777" w:rsidR="006B7708" w:rsidRDefault="006B7708" w:rsidP="006B7708">
      <w:pPr>
        <w:jc w:val="both"/>
        <w:rPr>
          <w:rFonts w:ascii="Arial" w:hAnsi="Arial" w:cs="Arial"/>
          <w:sz w:val="20"/>
        </w:rPr>
      </w:pPr>
      <w:r>
        <w:rPr>
          <w:rFonts w:ascii="Arial" w:hAnsi="Arial" w:cs="Arial"/>
          <w:sz w:val="20"/>
        </w:rPr>
        <w:t xml:space="preserve">Dr Patricia F Brown (Director,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080698AC" w14:textId="77777777" w:rsidR="006B7708" w:rsidRPr="00E11DDB" w:rsidRDefault="006B7708" w:rsidP="006B7708">
      <w:pPr>
        <w:keepNext/>
        <w:keepLines/>
        <w:jc w:val="both"/>
        <w:rPr>
          <w:rFonts w:ascii="Arial" w:hAnsi="Arial" w:cs="Arial"/>
          <w:i/>
          <w:sz w:val="20"/>
        </w:rPr>
      </w:pPr>
      <w:r w:rsidRPr="00E11DDB">
        <w:rPr>
          <w:rFonts w:ascii="Arial" w:hAnsi="Arial" w:cs="Arial"/>
          <w:i/>
          <w:sz w:val="20"/>
        </w:rPr>
        <w:t xml:space="preserve">Paper presented at XVII World Congress of the International Association </w:t>
      </w:r>
      <w:r>
        <w:rPr>
          <w:rFonts w:ascii="Arial" w:hAnsi="Arial" w:cs="Arial"/>
          <w:i/>
          <w:sz w:val="20"/>
        </w:rPr>
        <w:t xml:space="preserve">for Child and Adolescent Psychiatry and Allied Professions </w:t>
      </w:r>
      <w:r w:rsidRPr="00E11DDB">
        <w:rPr>
          <w:rFonts w:ascii="Arial" w:hAnsi="Arial" w:cs="Arial"/>
          <w:i/>
          <w:sz w:val="20"/>
        </w:rPr>
        <w:t xml:space="preserve">held at </w:t>
      </w:r>
      <w:smartTag w:uri="urn:schemas-microsoft-com:office:smarttags" w:element="City">
        <w:smartTag w:uri="urn:schemas-microsoft-com:office:smarttags" w:element="place">
          <w:r>
            <w:rPr>
              <w:rFonts w:ascii="Arial" w:hAnsi="Arial" w:cs="Arial"/>
              <w:i/>
              <w:sz w:val="20"/>
            </w:rPr>
            <w:t>Melbourne</w:t>
          </w:r>
        </w:smartTag>
      </w:smartTag>
      <w:r w:rsidRPr="00E11DDB">
        <w:rPr>
          <w:rFonts w:ascii="Arial" w:hAnsi="Arial" w:cs="Arial"/>
          <w:i/>
          <w:sz w:val="20"/>
        </w:rPr>
        <w:t xml:space="preserve"> in </w:t>
      </w:r>
      <w:r>
        <w:rPr>
          <w:rFonts w:ascii="Arial" w:hAnsi="Arial" w:cs="Arial"/>
          <w:i/>
          <w:sz w:val="20"/>
        </w:rPr>
        <w:t>September</w:t>
      </w:r>
      <w:r w:rsidRPr="00E11DDB">
        <w:rPr>
          <w:rFonts w:ascii="Arial" w:hAnsi="Arial" w:cs="Arial"/>
          <w:i/>
          <w:sz w:val="20"/>
        </w:rPr>
        <w:t xml:space="preserve"> 2006</w:t>
      </w:r>
    </w:p>
    <w:p w14:paraId="001BB8C8" w14:textId="77777777" w:rsidR="00745DEF" w:rsidRDefault="006B7708" w:rsidP="00745DEF">
      <w:pPr>
        <w:spacing w:before="120"/>
        <w:jc w:val="both"/>
        <w:rPr>
          <w:rFonts w:ascii="Arial" w:hAnsi="Arial" w:cs="Arial"/>
          <w:sz w:val="20"/>
        </w:rPr>
      </w:pPr>
      <w:r>
        <w:rPr>
          <w:rFonts w:ascii="Arial" w:hAnsi="Arial" w:cs="Arial"/>
          <w:sz w:val="20"/>
        </w:rPr>
        <w:t xml:space="preserve">This paper explains the present role and functioning of the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and presents a strong argument for the necessity for its actual independence – and its perceived independence - from all of the parties in any proceedings in the Children’s Court.  Central to the paper is the author’s view that the Court Clinic, being the clinical investigative arm of the Court, works only for the magistrates and judges of the Court and not for any party in Court proceedings.  As such, it must be seen to be assiduously independent of all of the parties to maintain the Court’s confidence in its impartiality.</w:t>
      </w:r>
    </w:p>
    <w:p w14:paraId="428C9045" w14:textId="77777777" w:rsidR="000922DB" w:rsidRDefault="000922DB" w:rsidP="000922DB">
      <w:pPr>
        <w:jc w:val="both"/>
        <w:rPr>
          <w:rFonts w:ascii="Arial" w:hAnsi="Arial" w:cs="Arial"/>
          <w:sz w:val="20"/>
        </w:rPr>
      </w:pPr>
    </w:p>
    <w:p w14:paraId="25878913" w14:textId="77777777" w:rsidR="000922DB" w:rsidRDefault="000922DB" w:rsidP="000922DB">
      <w:pPr>
        <w:keepNext/>
        <w:keepLines/>
        <w:ind w:left="720" w:hanging="720"/>
        <w:jc w:val="both"/>
        <w:rPr>
          <w:rFonts w:ascii="Arial" w:hAnsi="Arial" w:cs="Arial"/>
          <w:b/>
          <w:bCs/>
          <w:sz w:val="28"/>
          <w:bdr w:val="single" w:sz="4" w:space="0" w:color="auto"/>
        </w:rPr>
      </w:pPr>
      <w:r>
        <w:rPr>
          <w:rFonts w:ascii="Arial" w:hAnsi="Arial" w:cs="Arial"/>
          <w:b/>
          <w:bCs/>
          <w:sz w:val="28"/>
        </w:rPr>
        <w:t>F37</w:t>
      </w:r>
    </w:p>
    <w:p w14:paraId="5BA2763E" w14:textId="77777777" w:rsidR="000922DB" w:rsidRDefault="000922DB" w:rsidP="000922DB">
      <w:pPr>
        <w:keepNext/>
        <w:keepLines/>
        <w:jc w:val="both"/>
        <w:rPr>
          <w:rFonts w:ascii="Arial" w:hAnsi="Arial" w:cs="Arial"/>
          <w:b/>
          <w:bCs/>
        </w:rPr>
      </w:pPr>
      <w:r>
        <w:rPr>
          <w:rFonts w:ascii="Arial" w:hAnsi="Arial" w:cs="Arial"/>
          <w:b/>
          <w:bCs/>
        </w:rPr>
        <w:t>Family Law and Parent-Child Contact: Assessing the Risk of Sexual Abuse</w:t>
      </w:r>
    </w:p>
    <w:p w14:paraId="029F0849" w14:textId="77777777" w:rsidR="000922DB" w:rsidRDefault="000922DB" w:rsidP="000922DB">
      <w:pPr>
        <w:jc w:val="both"/>
        <w:rPr>
          <w:rFonts w:ascii="Arial" w:hAnsi="Arial" w:cs="Arial"/>
          <w:sz w:val="20"/>
        </w:rPr>
      </w:pPr>
      <w:r>
        <w:rPr>
          <w:rFonts w:ascii="Arial" w:hAnsi="Arial" w:cs="Arial"/>
          <w:sz w:val="20"/>
        </w:rPr>
        <w:t>Patrick Parkinson</w:t>
      </w:r>
    </w:p>
    <w:p w14:paraId="2A0D913E" w14:textId="77777777" w:rsidR="000922DB" w:rsidRPr="00E11DDB" w:rsidRDefault="000922DB" w:rsidP="00862834">
      <w:pPr>
        <w:jc w:val="both"/>
        <w:rPr>
          <w:rFonts w:ascii="Arial" w:hAnsi="Arial" w:cs="Arial"/>
          <w:i/>
          <w:sz w:val="20"/>
        </w:rPr>
      </w:pPr>
      <w:r>
        <w:rPr>
          <w:rFonts w:ascii="Arial" w:hAnsi="Arial" w:cs="Arial"/>
          <w:i/>
          <w:sz w:val="20"/>
        </w:rPr>
        <w:t>[1999] MULR 15</w:t>
      </w:r>
    </w:p>
    <w:p w14:paraId="6589BE42" w14:textId="77777777" w:rsidR="000922DB" w:rsidRDefault="000922DB" w:rsidP="000922DB">
      <w:pPr>
        <w:spacing w:before="120"/>
        <w:jc w:val="both"/>
        <w:rPr>
          <w:rFonts w:ascii="Arial" w:hAnsi="Arial" w:cs="Arial"/>
          <w:sz w:val="20"/>
        </w:rPr>
      </w:pPr>
      <w:r>
        <w:rPr>
          <w:rFonts w:ascii="Arial" w:hAnsi="Arial" w:cs="Arial"/>
          <w:sz w:val="20"/>
        </w:rPr>
        <w:t xml:space="preserve">Child sexual abuse allegations cause great difficulties for the Family Court, not only because so often there is no corroborative evidence, but because of the way that lawyers approach the notion of proof, and restrict the evidence which may be used to support a finding that a parent has sexually abused the child.  </w:t>
      </w:r>
      <w:r w:rsidR="00B43DA4">
        <w:rPr>
          <w:rFonts w:ascii="Arial" w:hAnsi="Arial" w:cs="Arial"/>
          <w:sz w:val="20"/>
        </w:rPr>
        <w:t xml:space="preserve">The High Court held in </w:t>
      </w:r>
      <w:r w:rsidR="00B43DA4" w:rsidRPr="00B43DA4">
        <w:rPr>
          <w:rFonts w:ascii="Arial" w:hAnsi="Arial" w:cs="Arial"/>
          <w:i/>
          <w:sz w:val="20"/>
        </w:rPr>
        <w:t>M v M (1988)</w:t>
      </w:r>
      <w:r w:rsidR="00B43DA4">
        <w:rPr>
          <w:rFonts w:ascii="Arial" w:hAnsi="Arial" w:cs="Arial"/>
          <w:sz w:val="20"/>
        </w:rPr>
        <w:t xml:space="preserve"> that the Family Court could restrict or deny contact where there is an unacceptable risk of abuse.  However, there are differences between judges of the court on the application of the test and, in particular, whether the assessment of risk needs to be based upon findings of fact from which that risk may be inferred.  In assessing the risk to the child of abuse in the future, more attention needs to be paid to risk factors other than the contested accounts of past abuse, based upon which is known in the social science literature about intrafamilial child sexual abuse and, in particular, what is known about the way offenders ‘groom’ their child victims.  This article proposes a four stage process for decision-making in the Family Court which will require the court to examine a range of possible risk factors, and also factors which may reduce the risk of abuse in the future.  In this way, courts may be able to make findings based upon facts, even though the facts relied upon may not involve findings about past abuse.</w:t>
      </w:r>
    </w:p>
    <w:p w14:paraId="7054C66F" w14:textId="77777777" w:rsidR="005C291D" w:rsidRDefault="005C291D" w:rsidP="005C291D">
      <w:pPr>
        <w:jc w:val="both"/>
        <w:rPr>
          <w:rFonts w:ascii="Arial" w:hAnsi="Arial" w:cs="Arial"/>
          <w:sz w:val="20"/>
        </w:rPr>
      </w:pPr>
    </w:p>
    <w:p w14:paraId="7F4D9611" w14:textId="77777777" w:rsidR="00431CCA" w:rsidRDefault="00431CCA" w:rsidP="00431CCA">
      <w:pPr>
        <w:keepNext/>
        <w:keepLines/>
        <w:ind w:left="720" w:hanging="720"/>
        <w:jc w:val="both"/>
        <w:rPr>
          <w:rFonts w:ascii="Arial" w:hAnsi="Arial" w:cs="Arial"/>
          <w:b/>
          <w:bCs/>
          <w:sz w:val="28"/>
          <w:bdr w:val="single" w:sz="4" w:space="0" w:color="auto"/>
        </w:rPr>
      </w:pPr>
      <w:r>
        <w:rPr>
          <w:rFonts w:ascii="Arial" w:hAnsi="Arial" w:cs="Arial"/>
          <w:b/>
          <w:bCs/>
          <w:sz w:val="28"/>
        </w:rPr>
        <w:t>F3</w:t>
      </w:r>
      <w:r w:rsidR="005B2534">
        <w:rPr>
          <w:rFonts w:ascii="Arial" w:hAnsi="Arial" w:cs="Arial"/>
          <w:b/>
          <w:bCs/>
          <w:sz w:val="28"/>
        </w:rPr>
        <w:t>8</w:t>
      </w:r>
    </w:p>
    <w:p w14:paraId="5E831338" w14:textId="77777777" w:rsidR="00431CCA" w:rsidRDefault="00E45350" w:rsidP="00431CCA">
      <w:pPr>
        <w:keepNext/>
        <w:keepLines/>
        <w:jc w:val="both"/>
        <w:rPr>
          <w:rFonts w:ascii="Arial" w:hAnsi="Arial" w:cs="Arial"/>
          <w:b/>
          <w:bCs/>
        </w:rPr>
      </w:pPr>
      <w:r>
        <w:rPr>
          <w:rFonts w:ascii="Arial" w:hAnsi="Arial" w:cs="Arial"/>
          <w:b/>
          <w:bCs/>
        </w:rPr>
        <w:t>Neurodevelopmental impact of Maltreatment: Support materials</w:t>
      </w:r>
    </w:p>
    <w:p w14:paraId="65852DB9" w14:textId="77777777" w:rsidR="00431CCA" w:rsidRDefault="00431CCA" w:rsidP="00431CCA">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4137FF01" w14:textId="77777777" w:rsidR="00E45350" w:rsidRDefault="00E45350" w:rsidP="00E45350">
      <w:pPr>
        <w:jc w:val="both"/>
        <w:rPr>
          <w:rFonts w:ascii="Arial" w:hAnsi="Arial" w:cs="Arial"/>
          <w:sz w:val="20"/>
        </w:rPr>
      </w:pPr>
    </w:p>
    <w:p w14:paraId="1C3E9950" w14:textId="77777777" w:rsidR="00E45350" w:rsidRDefault="00E45350" w:rsidP="00E45350">
      <w:pPr>
        <w:jc w:val="both"/>
        <w:rPr>
          <w:rFonts w:ascii="Arial" w:hAnsi="Arial" w:cs="Arial"/>
          <w:sz w:val="20"/>
        </w:rPr>
      </w:pPr>
      <w:r>
        <w:rPr>
          <w:rFonts w:ascii="Arial" w:hAnsi="Arial" w:cs="Arial"/>
          <w:sz w:val="20"/>
        </w:rPr>
        <w:t>This bundle of materials deals in point form with Brain Development, Brain Organization and Adaptive Responses to Trauma.</w:t>
      </w:r>
    </w:p>
    <w:p w14:paraId="288C64A3" w14:textId="77777777" w:rsidR="00431CCA" w:rsidRDefault="00431CCA" w:rsidP="00431CCA">
      <w:pPr>
        <w:jc w:val="both"/>
        <w:rPr>
          <w:rFonts w:ascii="Arial" w:hAnsi="Arial" w:cs="Arial"/>
          <w:sz w:val="20"/>
        </w:rPr>
      </w:pPr>
    </w:p>
    <w:p w14:paraId="2CFD7B23"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w:t>
      </w:r>
      <w:r w:rsidR="005B2534">
        <w:rPr>
          <w:rFonts w:ascii="Arial" w:hAnsi="Arial" w:cs="Arial"/>
          <w:b/>
          <w:bCs/>
          <w:sz w:val="28"/>
        </w:rPr>
        <w:t>39</w:t>
      </w:r>
    </w:p>
    <w:p w14:paraId="1369B0DB" w14:textId="77777777" w:rsidR="00D030B1" w:rsidRDefault="00D030B1" w:rsidP="00D030B1">
      <w:pPr>
        <w:keepNext/>
        <w:keepLines/>
        <w:jc w:val="both"/>
        <w:rPr>
          <w:rFonts w:ascii="Arial" w:hAnsi="Arial" w:cs="Arial"/>
          <w:b/>
          <w:bCs/>
        </w:rPr>
      </w:pPr>
      <w:r>
        <w:rPr>
          <w:rFonts w:ascii="Arial" w:hAnsi="Arial" w:cs="Arial"/>
          <w:b/>
          <w:bCs/>
        </w:rPr>
        <w:t>Maltreatment and the Developing Child: How Early Childhood Experience Shapes Child and Culture</w:t>
      </w:r>
    </w:p>
    <w:p w14:paraId="58B26B71" w14:textId="77777777" w:rsidR="00D030B1" w:rsidRDefault="00D030B1" w:rsidP="00D030B1">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4FD0BC7F" w14:textId="77777777" w:rsidR="00D030B1" w:rsidRPr="00E11DDB" w:rsidRDefault="00D030B1" w:rsidP="00D030B1">
      <w:pPr>
        <w:keepNext/>
        <w:keepLines/>
        <w:jc w:val="both"/>
        <w:rPr>
          <w:rFonts w:ascii="Arial" w:hAnsi="Arial" w:cs="Arial"/>
          <w:i/>
          <w:sz w:val="20"/>
        </w:rPr>
      </w:pPr>
      <w:r>
        <w:rPr>
          <w:rFonts w:ascii="Arial" w:hAnsi="Arial" w:cs="Arial"/>
          <w:i/>
          <w:sz w:val="20"/>
        </w:rPr>
        <w:t>Inaugural Lecture – The Margaret McCain Lecture Series</w:t>
      </w:r>
    </w:p>
    <w:p w14:paraId="15DC23F0" w14:textId="77777777" w:rsidR="00D030B1" w:rsidRDefault="00D030B1" w:rsidP="00D030B1">
      <w:pPr>
        <w:spacing w:before="120"/>
        <w:jc w:val="both"/>
        <w:rPr>
          <w:rFonts w:ascii="Arial" w:hAnsi="Arial" w:cs="Arial"/>
          <w:sz w:val="20"/>
        </w:rPr>
      </w:pPr>
      <w:r>
        <w:rPr>
          <w:rFonts w:ascii="Arial" w:hAnsi="Arial" w:cs="Arial"/>
          <w:sz w:val="20"/>
        </w:rPr>
        <w:t xml:space="preserve">Human beings are complex creatures.  While having the capacity to be humane, we also have the capacity to be cruel.  Why?  What determines whether a child grows up to be compassionate, thoughtful, and productive?  Or Impulsive, aggressive, hateful, and non-productive?  Is it genetic? </w:t>
      </w:r>
    </w:p>
    <w:p w14:paraId="395B72D3" w14:textId="77777777" w:rsidR="00D030B1" w:rsidRDefault="00AD37C5" w:rsidP="00AD37C5">
      <w:pPr>
        <w:spacing w:before="120"/>
        <w:jc w:val="both"/>
        <w:rPr>
          <w:rFonts w:ascii="Arial" w:hAnsi="Arial" w:cs="Arial"/>
          <w:sz w:val="20"/>
        </w:rPr>
      </w:pPr>
      <w:r>
        <w:rPr>
          <w:rFonts w:ascii="Arial" w:hAnsi="Arial" w:cs="Arial"/>
          <w:sz w:val="20"/>
        </w:rPr>
        <w:t>Likely not.  Human beings become a reflection of the world in which they develop.  If that world is safe, predictable, and characterized by relationally and cognitively enriched opportunities, the child can grow to be self-regulating, thoughtful, and a productive member of family, community, and society.  In contrast, if the developing child’s world is chaotic, threatening, and devoid of kind words and supportive relationships, a child may become impulsive, aggressive, inattentive, and have difficulties with relationships.  That child may require special educational services, mental health or even criminal justice intervention.</w:t>
      </w:r>
    </w:p>
    <w:p w14:paraId="0450CAD1" w14:textId="77777777" w:rsidR="00AD37C5" w:rsidRDefault="00AD37C5" w:rsidP="00AD37C5">
      <w:pPr>
        <w:spacing w:before="120"/>
        <w:jc w:val="both"/>
        <w:rPr>
          <w:rFonts w:ascii="Arial" w:hAnsi="Arial" w:cs="Arial"/>
          <w:sz w:val="20"/>
        </w:rPr>
      </w:pPr>
      <w:r>
        <w:rPr>
          <w:rFonts w:ascii="Arial" w:hAnsi="Arial" w:cs="Arial"/>
          <w:sz w:val="20"/>
        </w:rPr>
        <w:t>The challenge for us is to help each child reach his or her potential to be humane.  To better understand how, we must appreciate the remarkable malleability of our species and the unique role played by the human brain.</w:t>
      </w:r>
    </w:p>
    <w:p w14:paraId="2A817650" w14:textId="77777777" w:rsidR="00D030B1" w:rsidRDefault="00D030B1" w:rsidP="00D030B1">
      <w:pPr>
        <w:jc w:val="both"/>
        <w:rPr>
          <w:rFonts w:ascii="Arial" w:hAnsi="Arial" w:cs="Arial"/>
          <w:sz w:val="20"/>
        </w:rPr>
      </w:pPr>
    </w:p>
    <w:p w14:paraId="43A4B25B"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0</w:t>
      </w:r>
    </w:p>
    <w:p w14:paraId="205B17FD" w14:textId="77777777" w:rsidR="00D030B1" w:rsidRDefault="00AD37C5" w:rsidP="00D030B1">
      <w:pPr>
        <w:keepNext/>
        <w:keepLines/>
        <w:jc w:val="both"/>
        <w:rPr>
          <w:rFonts w:ascii="Arial" w:hAnsi="Arial" w:cs="Arial"/>
          <w:b/>
          <w:bCs/>
        </w:rPr>
      </w:pPr>
      <w:r>
        <w:rPr>
          <w:rFonts w:ascii="Arial" w:hAnsi="Arial" w:cs="Arial"/>
          <w:b/>
          <w:bCs/>
        </w:rPr>
        <w:t>Neurosequential Model of Therapeutics – Protocol for Core Elements of the Therapeutic Program in the Pre-school Setting</w:t>
      </w:r>
    </w:p>
    <w:p w14:paraId="61B410F6" w14:textId="77777777" w:rsidR="00D030B1" w:rsidRDefault="00D030B1" w:rsidP="00D030B1">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53FB9538" w14:textId="77777777" w:rsidR="00D030B1" w:rsidRDefault="00AD37C5" w:rsidP="00D030B1">
      <w:pPr>
        <w:spacing w:before="120"/>
        <w:jc w:val="both"/>
        <w:rPr>
          <w:rFonts w:ascii="Arial" w:hAnsi="Arial" w:cs="Arial"/>
          <w:sz w:val="20"/>
        </w:rPr>
      </w:pPr>
      <w:r>
        <w:rPr>
          <w:rFonts w:ascii="Arial" w:hAnsi="Arial" w:cs="Arial"/>
          <w:sz w:val="20"/>
        </w:rPr>
        <w:t>The human brain develops from a small group of cells in early fetal life into a magnificent complexity of thousands of neural networks comprised of billions of neurons and glial cells and trillions of synaptic connections.  This astounding construction occurs primarily in utero and in the first four years of life.  Full understanding of neurodevelopment is well beyond the current capacity of the neurosciences; yet we do know the core principles underlying neurodevelopment.</w:t>
      </w:r>
    </w:p>
    <w:p w14:paraId="759855BD" w14:textId="77777777" w:rsidR="00AD37C5" w:rsidRDefault="00AD37C5" w:rsidP="00D030B1">
      <w:pPr>
        <w:spacing w:before="120"/>
        <w:jc w:val="both"/>
        <w:rPr>
          <w:rFonts w:ascii="Arial" w:hAnsi="Arial" w:cs="Arial"/>
          <w:sz w:val="20"/>
        </w:rPr>
      </w:pPr>
      <w:r>
        <w:rPr>
          <w:rFonts w:ascii="Arial" w:hAnsi="Arial" w:cs="Arial"/>
          <w:sz w:val="20"/>
        </w:rPr>
        <w:t>The Neurosequential Model of Therapeutics uses a number of techniques from many sources.  Each of these techniques is prescribed to give additional opportunities to master developmental issues, organized neural networks, and create permanent neural connections.   This allows for organization, regulation, and development of neural networks needing enrichment.  These techniques are prescribed as a result of a Neurosequential archaeological assessment completed on each child admitted to treatment by the treatment team.</w:t>
      </w:r>
    </w:p>
    <w:p w14:paraId="701E300A" w14:textId="77777777" w:rsidR="00D030B1" w:rsidRDefault="00D030B1" w:rsidP="00D030B1">
      <w:pPr>
        <w:jc w:val="both"/>
        <w:rPr>
          <w:rFonts w:ascii="Arial" w:hAnsi="Arial" w:cs="Arial"/>
          <w:sz w:val="20"/>
        </w:rPr>
      </w:pPr>
    </w:p>
    <w:p w14:paraId="5125DD8D"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1</w:t>
      </w:r>
    </w:p>
    <w:p w14:paraId="34B1560C" w14:textId="77777777" w:rsidR="00D030B1" w:rsidRDefault="00AD37C5" w:rsidP="00D030B1">
      <w:pPr>
        <w:keepNext/>
        <w:keepLines/>
        <w:jc w:val="both"/>
        <w:rPr>
          <w:rFonts w:ascii="Arial" w:hAnsi="Arial" w:cs="Arial"/>
          <w:b/>
          <w:bCs/>
        </w:rPr>
      </w:pPr>
      <w:r>
        <w:rPr>
          <w:rFonts w:ascii="Arial" w:hAnsi="Arial" w:cs="Arial"/>
          <w:b/>
          <w:bCs/>
        </w:rPr>
        <w:t>The Best Interests principles: a conceptual overview</w:t>
      </w:r>
    </w:p>
    <w:p w14:paraId="123ECC73" w14:textId="77777777" w:rsidR="00774D82" w:rsidRDefault="00774D82" w:rsidP="00774D82">
      <w:pPr>
        <w:jc w:val="both"/>
        <w:rPr>
          <w:rFonts w:ascii="Arial" w:hAnsi="Arial" w:cs="Arial"/>
          <w:sz w:val="20"/>
        </w:rPr>
      </w:pPr>
      <w:r>
        <w:rPr>
          <w:rFonts w:ascii="Arial" w:hAnsi="Arial" w:cs="Arial"/>
          <w:sz w:val="20"/>
        </w:rPr>
        <w:t>Robyn Miller, Victorian Government Department of Human Services</w:t>
      </w:r>
    </w:p>
    <w:p w14:paraId="0E361333" w14:textId="77777777" w:rsidR="00D169A4" w:rsidRPr="00E11DDB" w:rsidRDefault="00D169A4" w:rsidP="00D169A4">
      <w:pPr>
        <w:keepNext/>
        <w:keepLines/>
        <w:jc w:val="both"/>
        <w:rPr>
          <w:rFonts w:ascii="Arial" w:hAnsi="Arial" w:cs="Arial"/>
          <w:i/>
          <w:sz w:val="20"/>
        </w:rPr>
      </w:pPr>
      <w:r>
        <w:rPr>
          <w:rFonts w:ascii="Arial" w:hAnsi="Arial" w:cs="Arial"/>
          <w:i/>
          <w:sz w:val="20"/>
        </w:rPr>
        <w:t>Booklet in the Best interests series published by the Department of Human Services (2007)</w:t>
      </w:r>
    </w:p>
    <w:p w14:paraId="4B8B4094" w14:textId="77777777" w:rsidR="00D030B1" w:rsidRDefault="00774D82" w:rsidP="00D030B1">
      <w:pPr>
        <w:spacing w:before="120"/>
        <w:jc w:val="both"/>
        <w:rPr>
          <w:rFonts w:ascii="Arial" w:hAnsi="Arial" w:cs="Arial"/>
          <w:sz w:val="20"/>
        </w:rPr>
      </w:pPr>
      <w:r>
        <w:rPr>
          <w:rFonts w:ascii="Arial" w:hAnsi="Arial" w:cs="Arial"/>
          <w:sz w:val="20"/>
        </w:rPr>
        <w:t xml:space="preserve">This paper focuses on the Best Interests Principles of the </w:t>
      </w:r>
      <w:r w:rsidRPr="00774D82">
        <w:rPr>
          <w:rFonts w:ascii="Arial" w:hAnsi="Arial" w:cs="Arial"/>
          <w:i/>
          <w:sz w:val="20"/>
        </w:rPr>
        <w:t>Children, Youth and Families Act 2005</w:t>
      </w:r>
      <w:r>
        <w:rPr>
          <w:rFonts w:ascii="Arial" w:hAnsi="Arial" w:cs="Arial"/>
          <w:sz w:val="20"/>
        </w:rPr>
        <w:t>.</w:t>
      </w:r>
    </w:p>
    <w:p w14:paraId="38393852" w14:textId="77777777" w:rsidR="00D030B1" w:rsidRDefault="00D030B1" w:rsidP="00D030B1">
      <w:pPr>
        <w:jc w:val="both"/>
        <w:rPr>
          <w:rFonts w:ascii="Arial" w:hAnsi="Arial" w:cs="Arial"/>
          <w:sz w:val="20"/>
        </w:rPr>
      </w:pPr>
    </w:p>
    <w:p w14:paraId="0632715E" w14:textId="77777777" w:rsidR="00431CCA" w:rsidRDefault="00431CCA" w:rsidP="00431CCA">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2</w:t>
      </w:r>
    </w:p>
    <w:p w14:paraId="5833D2E0" w14:textId="77777777" w:rsidR="00431CCA" w:rsidRDefault="00AD37C5" w:rsidP="00431CCA">
      <w:pPr>
        <w:keepNext/>
        <w:keepLines/>
        <w:jc w:val="both"/>
        <w:rPr>
          <w:rFonts w:ascii="Arial" w:hAnsi="Arial" w:cs="Arial"/>
          <w:b/>
          <w:bCs/>
        </w:rPr>
      </w:pPr>
      <w:r>
        <w:rPr>
          <w:rFonts w:ascii="Arial" w:hAnsi="Arial" w:cs="Arial"/>
          <w:b/>
          <w:bCs/>
        </w:rPr>
        <w:t>Cumulative harm: a conceptual overview</w:t>
      </w:r>
    </w:p>
    <w:p w14:paraId="572DD043" w14:textId="77777777" w:rsidR="00431CCA" w:rsidRDefault="00D169A4" w:rsidP="00431CCA">
      <w:pPr>
        <w:jc w:val="both"/>
        <w:rPr>
          <w:rFonts w:ascii="Arial" w:hAnsi="Arial" w:cs="Arial"/>
          <w:sz w:val="20"/>
        </w:rPr>
      </w:pPr>
      <w:r>
        <w:rPr>
          <w:rFonts w:ascii="Arial" w:hAnsi="Arial" w:cs="Arial"/>
          <w:sz w:val="20"/>
        </w:rPr>
        <w:t>Robyn Miller, Victorian Government Department of Human Services</w:t>
      </w:r>
    </w:p>
    <w:p w14:paraId="139B81F8" w14:textId="77777777" w:rsidR="00431CCA" w:rsidRPr="00E11DDB" w:rsidRDefault="00D169A4" w:rsidP="00431CCA">
      <w:pPr>
        <w:keepNext/>
        <w:keepLines/>
        <w:jc w:val="both"/>
        <w:rPr>
          <w:rFonts w:ascii="Arial" w:hAnsi="Arial" w:cs="Arial"/>
          <w:i/>
          <w:sz w:val="20"/>
        </w:rPr>
      </w:pPr>
      <w:r>
        <w:rPr>
          <w:rFonts w:ascii="Arial" w:hAnsi="Arial" w:cs="Arial"/>
          <w:i/>
          <w:sz w:val="20"/>
        </w:rPr>
        <w:t>Booklet in the Best interests series published by the Department of Human Services (2007)</w:t>
      </w:r>
    </w:p>
    <w:p w14:paraId="4FD5C296" w14:textId="77777777" w:rsidR="00431CCA" w:rsidRDefault="00D169A4" w:rsidP="00431CCA">
      <w:pPr>
        <w:spacing w:before="120"/>
        <w:jc w:val="both"/>
        <w:rPr>
          <w:rFonts w:ascii="Arial" w:hAnsi="Arial" w:cs="Arial"/>
          <w:sz w:val="20"/>
        </w:rPr>
      </w:pPr>
      <w:r>
        <w:rPr>
          <w:rFonts w:ascii="Arial" w:hAnsi="Arial" w:cs="Arial"/>
          <w:sz w:val="20"/>
        </w:rPr>
        <w:t>The writer discusses various manifestations of cumulative harm and provides a conceptual overview of the issue.  The historical context is discussed, the theoretical underpinnings are explored and a range of relevant paradigms and research is presented under various headings.</w:t>
      </w:r>
    </w:p>
    <w:p w14:paraId="5696D6DF" w14:textId="77777777" w:rsidR="00745DEF" w:rsidRDefault="00745DEF">
      <w:pPr>
        <w:rPr>
          <w:rFonts w:ascii="Arial" w:hAnsi="Arial" w:cs="Arial"/>
          <w:sz w:val="20"/>
        </w:rPr>
      </w:pPr>
    </w:p>
    <w:p w14:paraId="73BE15CE" w14:textId="77777777" w:rsidR="00693223" w:rsidRDefault="00693223">
      <w:pPr>
        <w:pBdr>
          <w:top w:val="single" w:sz="4" w:space="1" w:color="auto"/>
        </w:pBdr>
        <w:rPr>
          <w:rFonts w:ascii="Arial" w:hAnsi="Arial" w:cs="Arial"/>
          <w:sz w:val="20"/>
        </w:rPr>
      </w:pPr>
    </w:p>
    <w:p w14:paraId="5E577625" w14:textId="77777777" w:rsidR="00693223" w:rsidRDefault="00693223">
      <w:pPr>
        <w:jc w:val="both"/>
        <w:rPr>
          <w:rFonts w:ascii="Arial" w:hAnsi="Arial" w:cs="Arial"/>
          <w:sz w:val="20"/>
        </w:rPr>
      </w:pPr>
      <w:r>
        <w:rPr>
          <w:rFonts w:ascii="Arial" w:hAnsi="Arial" w:cs="Arial"/>
          <w:sz w:val="20"/>
        </w:rPr>
        <w:lastRenderedPageBreak/>
        <w:t xml:space="preserve">A number of papers with relevance to child protection, child welfare and/or children's cases were delivered at the XVI World Congress of the International Association of Youth and Family Judges and Magistrates held at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xml:space="preserve"> in October 2002.  The following papers are available in PDF format from the Court Liaison Officer at Melbourne Children's Court.  Enquiries can be made by phone 86</w:t>
      </w:r>
      <w:r w:rsidR="006D6C25">
        <w:rPr>
          <w:rFonts w:ascii="Arial" w:hAnsi="Arial" w:cs="Arial"/>
          <w:sz w:val="20"/>
        </w:rPr>
        <w:t>38</w:t>
      </w:r>
      <w:r>
        <w:rPr>
          <w:rFonts w:ascii="Arial" w:hAnsi="Arial" w:cs="Arial"/>
          <w:sz w:val="20"/>
        </w:rPr>
        <w:t>-</w:t>
      </w:r>
      <w:r w:rsidR="006D6C25">
        <w:rPr>
          <w:rFonts w:ascii="Arial" w:hAnsi="Arial" w:cs="Arial"/>
          <w:sz w:val="20"/>
        </w:rPr>
        <w:t>3399</w:t>
      </w:r>
      <w:r>
        <w:rPr>
          <w:rFonts w:ascii="Arial" w:hAnsi="Arial" w:cs="Arial"/>
          <w:sz w:val="20"/>
        </w:rPr>
        <w:t>.</w:t>
      </w:r>
    </w:p>
    <w:p w14:paraId="5C5C6273" w14:textId="77777777" w:rsidR="00693223" w:rsidRDefault="00693223">
      <w:pPr>
        <w:jc w:val="both"/>
        <w:rPr>
          <w:rFonts w:ascii="Arial" w:hAnsi="Arial" w:cs="Arial"/>
          <w:sz w:val="20"/>
        </w:rPr>
      </w:pPr>
    </w:p>
    <w:p w14:paraId="5F39BD07" w14:textId="77777777" w:rsidR="00693223" w:rsidRDefault="00693223">
      <w:pPr>
        <w:ind w:left="1440" w:hanging="1440"/>
        <w:jc w:val="both"/>
        <w:rPr>
          <w:rFonts w:ascii="Arial" w:hAnsi="Arial" w:cs="Arial"/>
          <w:b/>
          <w:bCs/>
          <w:sz w:val="28"/>
          <w:bdr w:val="single" w:sz="4" w:space="0" w:color="auto"/>
        </w:rPr>
      </w:pPr>
      <w:r>
        <w:rPr>
          <w:rFonts w:ascii="Arial" w:hAnsi="Arial" w:cs="Arial"/>
          <w:b/>
          <w:bCs/>
          <w:sz w:val="28"/>
        </w:rPr>
        <w:t>WCF1</w:t>
      </w:r>
      <w:r w:rsidR="00E26E9E">
        <w:rPr>
          <w:rFonts w:ascii="Arial" w:hAnsi="Arial" w:cs="Arial"/>
          <w:b/>
          <w:bCs/>
          <w:sz w:val="28"/>
        </w:rPr>
        <w:t>6.1</w:t>
      </w:r>
    </w:p>
    <w:p w14:paraId="45159AEC" w14:textId="77777777" w:rsidR="00693223" w:rsidRDefault="00693223">
      <w:pPr>
        <w:jc w:val="both"/>
        <w:rPr>
          <w:rFonts w:ascii="Arial" w:hAnsi="Arial" w:cs="Arial"/>
          <w:b/>
          <w:bCs/>
          <w:sz w:val="32"/>
        </w:rPr>
      </w:pPr>
      <w:r>
        <w:rPr>
          <w:rFonts w:ascii="Arial" w:hAnsi="Arial" w:cs="Arial"/>
          <w:b/>
          <w:bCs/>
        </w:rPr>
        <w:t>Children's Court Clinics and Their Role in Informing Judicial Decision Making [2 PAPERS]</w:t>
      </w:r>
    </w:p>
    <w:p w14:paraId="68E5205B" w14:textId="77777777" w:rsidR="00693223" w:rsidRDefault="00693223">
      <w:pPr>
        <w:jc w:val="both"/>
        <w:rPr>
          <w:rFonts w:ascii="Arial" w:hAnsi="Arial" w:cs="Arial"/>
          <w:sz w:val="20"/>
        </w:rPr>
      </w:pPr>
      <w:r>
        <w:rPr>
          <w:rFonts w:ascii="Arial" w:hAnsi="Arial" w:cs="Arial"/>
          <w:sz w:val="20"/>
        </w:rPr>
        <w:t xml:space="preserve">Dr Patricia F Brown (Director,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39172DFB" w14:textId="77777777" w:rsidR="00693223" w:rsidRDefault="00693223">
      <w:pPr>
        <w:jc w:val="both"/>
        <w:rPr>
          <w:rFonts w:ascii="Arial" w:hAnsi="Arial" w:cs="Arial"/>
          <w:sz w:val="20"/>
        </w:rPr>
      </w:pPr>
      <w:r>
        <w:rPr>
          <w:rFonts w:ascii="Arial" w:hAnsi="Arial" w:cs="Arial"/>
          <w:sz w:val="20"/>
        </w:rPr>
        <w:t>Dr Gwenda Schreiber (Director, Children's Court Clinic, NSW)</w:t>
      </w:r>
    </w:p>
    <w:p w14:paraId="494BD7BD"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A brief historical perspective is given by Dr Patricia Brown of the Victorian Children's Court Clinic.  Emphasis is made on the need for independence of opinion, on a model of service which reflects the presenting problems of the court population and on where best to place such a service.  The functions of the Clinic are discussed with its primary task of providing expert opinion in a family systems context and the priority given to teaching.</w:t>
      </w:r>
    </w:p>
    <w:p w14:paraId="7DA05A87"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Dr Gwenda Schreiber illustrates the basic similarities of the two court clinics but also differences which relate to a new service needing more legal formalisation to forge a path and to the larger geographical and current demands in NSW.</w:t>
      </w:r>
    </w:p>
    <w:p w14:paraId="0BBDEA54" w14:textId="77777777" w:rsidR="00693223" w:rsidRDefault="00693223">
      <w:pPr>
        <w:jc w:val="both"/>
        <w:rPr>
          <w:rFonts w:ascii="Arial" w:hAnsi="Arial" w:cs="Arial"/>
          <w:sz w:val="20"/>
        </w:rPr>
      </w:pPr>
    </w:p>
    <w:p w14:paraId="0FD3409B"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16.2</w:t>
      </w:r>
    </w:p>
    <w:p w14:paraId="3662349B" w14:textId="77777777" w:rsidR="00693223" w:rsidRDefault="00693223">
      <w:pPr>
        <w:keepNext/>
        <w:keepLines/>
        <w:jc w:val="both"/>
        <w:rPr>
          <w:rFonts w:ascii="Arial" w:hAnsi="Arial" w:cs="Arial"/>
          <w:b/>
          <w:bCs/>
          <w:sz w:val="32"/>
        </w:rPr>
      </w:pPr>
      <w:r>
        <w:rPr>
          <w:rFonts w:ascii="Arial" w:hAnsi="Arial" w:cs="Arial"/>
          <w:b/>
          <w:bCs/>
        </w:rPr>
        <w:t>The Role of Experts in Assisting Courts in Children's Cases: A Judicial View</w:t>
      </w:r>
    </w:p>
    <w:p w14:paraId="7088DDEC" w14:textId="77777777" w:rsidR="00693223" w:rsidRDefault="00693223">
      <w:pPr>
        <w:jc w:val="both"/>
        <w:rPr>
          <w:rFonts w:ascii="Arial" w:hAnsi="Arial" w:cs="Arial"/>
          <w:sz w:val="20"/>
        </w:rPr>
      </w:pPr>
      <w:r>
        <w:rPr>
          <w:rFonts w:ascii="Arial" w:hAnsi="Arial" w:cs="Arial"/>
          <w:sz w:val="20"/>
        </w:rPr>
        <w:t xml:space="preserve">Justice Richard Chisholm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4DB688BD"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Family Court benefits greatly from expert's reports in children's matters.  Such reports are normally prepared by psychiatrists or psychologists with specialist qualifications or experience in child and family psychiatry.  There are also 'family reports' prepared by counsellors attached to the Family Court. The authors of these reports are independent of the parties to the proceedings, in that they are either employed by the Court or engaged by it or by the child's representative.  In addition, it is open to the parties to present their own expert evidence, subject to some restrictions.  This paper discusses the preparation of such expert reports and the evidence given when the authors are cross-examined on them in court.  It considers the way in which experts can most assist the court, and how they might deal with some of the problems they face.  It suggests that many of the difficulties facing report writers can be addressed by considering three essential components of such reports: a body of information, a chain of reasoning, and the conclusions.</w:t>
      </w:r>
    </w:p>
    <w:p w14:paraId="6EA8AAFA" w14:textId="77777777" w:rsidR="00693223" w:rsidRDefault="00693223">
      <w:pPr>
        <w:jc w:val="both"/>
        <w:rPr>
          <w:rFonts w:ascii="Arial" w:hAnsi="Arial" w:cs="Arial"/>
          <w:sz w:val="20"/>
        </w:rPr>
      </w:pPr>
    </w:p>
    <w:p w14:paraId="57B41D5F" w14:textId="77777777" w:rsidR="00693223" w:rsidRDefault="00693223" w:rsidP="00CC0325">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3</w:t>
      </w:r>
    </w:p>
    <w:p w14:paraId="33D7BCB9" w14:textId="77777777" w:rsidR="00693223" w:rsidRDefault="00693223" w:rsidP="00CC0325">
      <w:pPr>
        <w:keepNext/>
        <w:keepLines/>
        <w:jc w:val="both"/>
        <w:rPr>
          <w:rFonts w:ascii="Arial" w:hAnsi="Arial" w:cs="Arial"/>
          <w:b/>
          <w:bCs/>
          <w:sz w:val="32"/>
        </w:rPr>
      </w:pPr>
      <w:r>
        <w:rPr>
          <w:rFonts w:ascii="Arial" w:hAnsi="Arial" w:cs="Arial"/>
          <w:b/>
          <w:bCs/>
        </w:rPr>
        <w:t xml:space="preserve">The Children Act 1989 - </w:t>
      </w:r>
      <w:smartTag w:uri="urn:schemas-microsoft-com:office:smarttags" w:element="country-region">
        <w:r>
          <w:rPr>
            <w:rFonts w:ascii="Arial" w:hAnsi="Arial" w:cs="Arial"/>
            <w:b/>
            <w:bCs/>
          </w:rPr>
          <w:t>England</w:t>
        </w:r>
      </w:smartTag>
      <w:r>
        <w:rPr>
          <w:rFonts w:ascii="Arial" w:hAnsi="Arial" w:cs="Arial"/>
          <w:b/>
          <w:bCs/>
        </w:rPr>
        <w:t xml:space="preserve"> and </w:t>
      </w:r>
      <w:smartTag w:uri="urn:schemas-microsoft-com:office:smarttags" w:element="country-region">
        <w:smartTag w:uri="urn:schemas-microsoft-com:office:smarttags" w:element="place">
          <w:r>
            <w:rPr>
              <w:rFonts w:ascii="Arial" w:hAnsi="Arial" w:cs="Arial"/>
              <w:b/>
              <w:bCs/>
            </w:rPr>
            <w:t>Wales</w:t>
          </w:r>
        </w:smartTag>
      </w:smartTag>
    </w:p>
    <w:p w14:paraId="766FDEAB" w14:textId="77777777" w:rsidR="00693223" w:rsidRDefault="00693223" w:rsidP="00CC0325">
      <w:pPr>
        <w:keepNext/>
        <w:keepLines/>
        <w:jc w:val="both"/>
        <w:rPr>
          <w:rFonts w:ascii="Arial" w:hAnsi="Arial" w:cs="Arial"/>
          <w:sz w:val="20"/>
        </w:rPr>
      </w:pPr>
      <w:r>
        <w:rPr>
          <w:rFonts w:ascii="Arial" w:hAnsi="Arial" w:cs="Arial"/>
          <w:sz w:val="20"/>
        </w:rPr>
        <w:t>District Judge (Magistrates' Courts) Nicholas Crichton</w:t>
      </w:r>
    </w:p>
    <w:p w14:paraId="3CBE41AE"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Children Act 1989 distinguishes 'private law' (issues to be dealt with on the break-up of marriage/relationship) from 'public law' (child protection issues where the state intervenes).  In all matters relating to children there are 3 basis principles:</w:t>
      </w:r>
    </w:p>
    <w:p w14:paraId="69EA77EA" w14:textId="77777777" w:rsidR="00693223" w:rsidRDefault="00693223">
      <w:pPr>
        <w:autoSpaceDE w:val="0"/>
        <w:autoSpaceDN w:val="0"/>
        <w:adjustRightInd w:val="0"/>
        <w:jc w:val="both"/>
        <w:rPr>
          <w:rFonts w:ascii="Arial" w:hAnsi="Arial" w:cs="Arial"/>
          <w:sz w:val="20"/>
        </w:rPr>
      </w:pPr>
      <w:r>
        <w:rPr>
          <w:rFonts w:ascii="Arial" w:hAnsi="Arial" w:cs="Arial"/>
          <w:sz w:val="20"/>
        </w:rPr>
        <w:t>1.</w:t>
      </w:r>
      <w:r>
        <w:rPr>
          <w:rFonts w:ascii="Arial" w:hAnsi="Arial" w:cs="Arial"/>
          <w:sz w:val="20"/>
        </w:rPr>
        <w:tab/>
        <w:t>The welfare of the child is paramount.</w:t>
      </w:r>
    </w:p>
    <w:p w14:paraId="630745B1" w14:textId="77777777" w:rsidR="00693223" w:rsidRDefault="00693223">
      <w:pPr>
        <w:autoSpaceDE w:val="0"/>
        <w:autoSpaceDN w:val="0"/>
        <w:adjustRightInd w:val="0"/>
        <w:jc w:val="both"/>
        <w:rPr>
          <w:rFonts w:ascii="Arial" w:hAnsi="Arial" w:cs="Arial"/>
          <w:sz w:val="20"/>
        </w:rPr>
      </w:pPr>
      <w:r>
        <w:rPr>
          <w:rFonts w:ascii="Arial" w:hAnsi="Arial" w:cs="Arial"/>
          <w:sz w:val="20"/>
        </w:rPr>
        <w:t>2.</w:t>
      </w:r>
      <w:r>
        <w:rPr>
          <w:rFonts w:ascii="Arial" w:hAnsi="Arial" w:cs="Arial"/>
          <w:sz w:val="20"/>
        </w:rPr>
        <w:tab/>
        <w:t>Delay is detrimental to the interests of the child.</w:t>
      </w:r>
    </w:p>
    <w:p w14:paraId="2909708B" w14:textId="77777777" w:rsidR="00693223" w:rsidRDefault="00693223">
      <w:pPr>
        <w:autoSpaceDE w:val="0"/>
        <w:autoSpaceDN w:val="0"/>
        <w:adjustRightInd w:val="0"/>
        <w:ind w:left="720" w:hanging="720"/>
        <w:jc w:val="both"/>
        <w:rPr>
          <w:rFonts w:ascii="Arial" w:hAnsi="Arial" w:cs="Arial"/>
          <w:sz w:val="20"/>
        </w:rPr>
      </w:pPr>
      <w:r>
        <w:rPr>
          <w:rFonts w:ascii="Arial" w:hAnsi="Arial" w:cs="Arial"/>
          <w:sz w:val="20"/>
        </w:rPr>
        <w:t>3.</w:t>
      </w:r>
      <w:r>
        <w:rPr>
          <w:rFonts w:ascii="Arial" w:hAnsi="Arial" w:cs="Arial"/>
          <w:sz w:val="20"/>
        </w:rPr>
        <w:tab/>
        <w:t>The court should not make an order unless by doing so it can improve the child's circumstances.</w:t>
      </w:r>
    </w:p>
    <w:p w14:paraId="6A2F44C8" w14:textId="77777777" w:rsidR="00693223" w:rsidRDefault="00693223">
      <w:pPr>
        <w:jc w:val="both"/>
        <w:rPr>
          <w:rFonts w:ascii="Arial" w:hAnsi="Arial" w:cs="Arial"/>
          <w:sz w:val="20"/>
        </w:rPr>
      </w:pPr>
      <w:r>
        <w:rPr>
          <w:rFonts w:ascii="Arial" w:hAnsi="Arial" w:cs="Arial"/>
          <w:sz w:val="20"/>
        </w:rPr>
        <w:t>This paper discusses some aspects of the public law, the newly created Children and Family Court Advisory Court Service and the President's Inter-Disciplinary Committee, as well as highlighting the increasing recognition of the need for specialization in family law, the Inner London Family Proceedings Court being the first discrete, specialised family proceedings court in England and Wales dealing solely with children's work.</w:t>
      </w:r>
    </w:p>
    <w:p w14:paraId="326EA704" w14:textId="77777777" w:rsidR="00693223" w:rsidRDefault="00693223">
      <w:pPr>
        <w:jc w:val="both"/>
        <w:rPr>
          <w:rFonts w:ascii="Arial" w:hAnsi="Arial" w:cs="Arial"/>
          <w:sz w:val="20"/>
        </w:rPr>
      </w:pPr>
    </w:p>
    <w:p w14:paraId="5A0A0FAE" w14:textId="77777777" w:rsidR="00693223" w:rsidRDefault="00693223" w:rsidP="00A8155A">
      <w:pPr>
        <w:keepNext/>
        <w:keepLines/>
        <w:jc w:val="both"/>
        <w:rPr>
          <w:rFonts w:ascii="Arial" w:hAnsi="Arial" w:cs="Arial"/>
          <w:b/>
          <w:bCs/>
          <w:sz w:val="28"/>
          <w:bdr w:val="single" w:sz="4" w:space="0" w:color="auto"/>
        </w:rPr>
      </w:pPr>
      <w:r>
        <w:rPr>
          <w:rFonts w:ascii="Arial" w:hAnsi="Arial" w:cs="Arial"/>
          <w:b/>
          <w:bCs/>
          <w:sz w:val="28"/>
        </w:rPr>
        <w:lastRenderedPageBreak/>
        <w:t>WCF</w:t>
      </w:r>
      <w:r w:rsidR="00E26E9E">
        <w:rPr>
          <w:rFonts w:ascii="Arial" w:hAnsi="Arial" w:cs="Arial"/>
          <w:b/>
          <w:bCs/>
          <w:sz w:val="28"/>
        </w:rPr>
        <w:t>16.</w:t>
      </w:r>
      <w:r>
        <w:rPr>
          <w:rFonts w:ascii="Arial" w:hAnsi="Arial" w:cs="Arial"/>
          <w:b/>
          <w:bCs/>
          <w:sz w:val="28"/>
        </w:rPr>
        <w:t>4</w:t>
      </w:r>
    </w:p>
    <w:p w14:paraId="4F086E23" w14:textId="77777777" w:rsidR="00693223" w:rsidRDefault="00693223" w:rsidP="00A8155A">
      <w:pPr>
        <w:keepNext/>
        <w:keepLines/>
        <w:jc w:val="both"/>
        <w:rPr>
          <w:rFonts w:ascii="Arial" w:hAnsi="Arial" w:cs="Arial"/>
          <w:b/>
          <w:bCs/>
          <w:sz w:val="32"/>
        </w:rPr>
      </w:pPr>
      <w:r>
        <w:rPr>
          <w:rFonts w:ascii="Arial" w:hAnsi="Arial" w:cs="Arial"/>
          <w:b/>
          <w:bCs/>
        </w:rPr>
        <w:t>Alternative Futures of Families, Communities and Courts</w:t>
      </w:r>
    </w:p>
    <w:p w14:paraId="11760C16" w14:textId="77777777" w:rsidR="00693223" w:rsidRDefault="00693223" w:rsidP="00A8155A">
      <w:pPr>
        <w:keepNext/>
        <w:keepLines/>
        <w:jc w:val="both"/>
        <w:rPr>
          <w:rFonts w:ascii="Arial" w:hAnsi="Arial" w:cs="Arial"/>
          <w:sz w:val="20"/>
        </w:rPr>
      </w:pPr>
      <w:r>
        <w:rPr>
          <w:rFonts w:ascii="Arial" w:hAnsi="Arial" w:cs="Arial"/>
          <w:sz w:val="20"/>
        </w:rPr>
        <w:t>Jim Dator (Department of Political Science and Hawaii Research Center for Futures Studies, University of Hawaii, Honolulu, HI, USA)</w:t>
      </w:r>
    </w:p>
    <w:p w14:paraId="78BA5386"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This paper briefly discusses what futures studies is and is not, reminds the reader of the dire present and problematic future of children and families but suggests that, as dire as the present might be, the condition of children and families is much better now than it ever was in the past.  The paper concludes by suggesting how electronic, biological, and nano-technologies might over the span of the 21</w:t>
      </w:r>
      <w:r>
        <w:rPr>
          <w:rFonts w:ascii="Arial" w:hAnsi="Arial" w:cs="Arial"/>
          <w:sz w:val="20"/>
          <w:vertAlign w:val="superscript"/>
        </w:rPr>
        <w:t>st</w:t>
      </w:r>
      <w:r>
        <w:rPr>
          <w:rFonts w:ascii="Arial" w:hAnsi="Arial" w:cs="Arial"/>
          <w:sz w:val="20"/>
        </w:rPr>
        <w:t xml:space="preserve"> century transform humans and human society into something without historical precedence.</w:t>
      </w:r>
    </w:p>
    <w:p w14:paraId="1F2329FA" w14:textId="77777777" w:rsidR="00693223" w:rsidRDefault="00693223">
      <w:pPr>
        <w:jc w:val="both"/>
        <w:rPr>
          <w:rFonts w:ascii="Arial" w:hAnsi="Arial" w:cs="Arial"/>
          <w:sz w:val="20"/>
        </w:rPr>
      </w:pPr>
    </w:p>
    <w:p w14:paraId="230E1DAF"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5</w:t>
      </w:r>
    </w:p>
    <w:p w14:paraId="6F958F73" w14:textId="77777777" w:rsidR="00693223" w:rsidRDefault="00693223">
      <w:pPr>
        <w:jc w:val="both"/>
        <w:rPr>
          <w:rFonts w:ascii="Arial" w:hAnsi="Arial" w:cs="Arial"/>
          <w:b/>
          <w:bCs/>
          <w:sz w:val="32"/>
        </w:rPr>
      </w:pPr>
      <w:r>
        <w:rPr>
          <w:rFonts w:ascii="Arial" w:hAnsi="Arial" w:cs="Arial"/>
          <w:b/>
          <w:bCs/>
        </w:rPr>
        <w:t>Judicial Management of Complex Child Abuse Cases</w:t>
      </w:r>
    </w:p>
    <w:p w14:paraId="57AD168D" w14:textId="77777777" w:rsidR="00693223" w:rsidRDefault="00693223">
      <w:pPr>
        <w:jc w:val="both"/>
        <w:rPr>
          <w:rFonts w:ascii="Arial" w:hAnsi="Arial" w:cs="Arial"/>
          <w:sz w:val="20"/>
        </w:rPr>
      </w:pPr>
      <w:r>
        <w:rPr>
          <w:rFonts w:ascii="Arial" w:hAnsi="Arial" w:cs="Arial"/>
          <w:sz w:val="20"/>
        </w:rPr>
        <w:t xml:space="preserve">Justice Linda Dessau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26470F18"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Family law cases involving complex issues of child abuse are at the most difficult end of the spectrum of residence and contact cases.  The difficulties are compounded where, as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there is some fragmentation of services and jurisdiction between child protection on the one hand and family law disputes on the other.</w:t>
      </w:r>
    </w:p>
    <w:p w14:paraId="0F1AC677"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paper highlights some of the complexities and showcases the special case management approach recently adopted by the Family Court of Australia in the "Magellan Project".  At the heart of this project was a co-ordinated and co-operative approach between the Court and outside agencies including Legal Aid, Child Protection and Police; a judge-led team approach within the Court; and the investment of resources in the early stages of litigation.</w:t>
      </w:r>
    </w:p>
    <w:p w14:paraId="113C864B" w14:textId="77777777" w:rsidR="00693223" w:rsidRDefault="00693223">
      <w:pPr>
        <w:jc w:val="both"/>
        <w:rPr>
          <w:rFonts w:ascii="Arial" w:hAnsi="Arial" w:cs="Arial"/>
          <w:sz w:val="20"/>
        </w:rPr>
      </w:pPr>
    </w:p>
    <w:p w14:paraId="59F8B486" w14:textId="77777777" w:rsidR="00693223" w:rsidRDefault="00693223" w:rsidP="0028439F">
      <w:pPr>
        <w:keepNext/>
        <w:keepLines/>
        <w:jc w:val="both"/>
        <w:rPr>
          <w:rFonts w:ascii="Arial" w:hAnsi="Arial" w:cs="Arial"/>
          <w:b/>
          <w:bCs/>
          <w:sz w:val="28"/>
        </w:rPr>
      </w:pPr>
      <w:r>
        <w:rPr>
          <w:rFonts w:ascii="Arial" w:hAnsi="Arial" w:cs="Arial"/>
          <w:b/>
          <w:bCs/>
          <w:sz w:val="28"/>
        </w:rPr>
        <w:t>WCF</w:t>
      </w:r>
      <w:r w:rsidR="00E26E9E">
        <w:rPr>
          <w:rFonts w:ascii="Arial" w:hAnsi="Arial" w:cs="Arial"/>
          <w:b/>
          <w:bCs/>
          <w:sz w:val="28"/>
        </w:rPr>
        <w:t>16.</w:t>
      </w:r>
      <w:r>
        <w:rPr>
          <w:rFonts w:ascii="Arial" w:hAnsi="Arial" w:cs="Arial"/>
          <w:b/>
          <w:bCs/>
          <w:sz w:val="28"/>
        </w:rPr>
        <w:t>6</w:t>
      </w:r>
    </w:p>
    <w:p w14:paraId="35326B3F" w14:textId="77777777" w:rsidR="00693223" w:rsidRDefault="00693223" w:rsidP="0028439F">
      <w:pPr>
        <w:keepNext/>
        <w:keepLines/>
        <w:jc w:val="both"/>
        <w:rPr>
          <w:rFonts w:ascii="Arial" w:hAnsi="Arial" w:cs="Arial"/>
          <w:b/>
          <w:bCs/>
          <w:sz w:val="32"/>
        </w:rPr>
      </w:pPr>
      <w:r>
        <w:rPr>
          <w:rFonts w:ascii="Arial" w:hAnsi="Arial" w:cs="Arial"/>
          <w:b/>
          <w:bCs/>
        </w:rPr>
        <w:t>Juvenile Dependency Drug Treatment Court (focussing on parents with serious substance abuse problems who are willing to comply with strict treatment plans established by the Drug Court Team) [PAPER + 32 MINUTE FILM]</w:t>
      </w:r>
    </w:p>
    <w:p w14:paraId="6A491F4F" w14:textId="77777777" w:rsidR="00693223" w:rsidRDefault="00693223">
      <w:pPr>
        <w:jc w:val="both"/>
        <w:rPr>
          <w:rFonts w:ascii="Arial" w:hAnsi="Arial" w:cs="Arial"/>
          <w:sz w:val="20"/>
        </w:rPr>
      </w:pPr>
      <w:r>
        <w:rPr>
          <w:rFonts w:ascii="Arial" w:hAnsi="Arial" w:cs="Arial"/>
          <w:sz w:val="20"/>
        </w:rPr>
        <w:t xml:space="preserve">Judge Len Edwards (President, </w:t>
      </w:r>
      <w:smartTag w:uri="urn:schemas-microsoft-com:office:smarttags" w:element="City">
        <w:r>
          <w:rPr>
            <w:rFonts w:ascii="Arial" w:hAnsi="Arial" w:cs="Arial"/>
            <w:sz w:val="20"/>
          </w:rPr>
          <w:t>Santa Clara</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County Superior Court</w:t>
          </w:r>
        </w:smartTag>
        <w:r>
          <w:rPr>
            <w:rFonts w:ascii="Arial" w:hAnsi="Arial" w:cs="Arial"/>
            <w:sz w:val="20"/>
          </w:rPr>
          <w:t xml:space="preserve">, </w:t>
        </w:r>
        <w:smartTag w:uri="urn:schemas-microsoft-com:office:smarttags" w:element="State">
          <w:r>
            <w:rPr>
              <w:rFonts w:ascii="Arial" w:hAnsi="Arial" w:cs="Arial"/>
              <w:sz w:val="20"/>
            </w:rPr>
            <w:t>California</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1243083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w:t>
      </w:r>
      <w:smartTag w:uri="urn:schemas-microsoft-com:office:smarttags" w:element="address">
        <w:smartTag w:uri="urn:schemas-microsoft-com:office:smarttags" w:element="Street">
          <w:r>
            <w:rPr>
              <w:rFonts w:ascii="Arial" w:hAnsi="Arial" w:cs="Arial"/>
              <w:sz w:val="20"/>
            </w:rPr>
            <w:t>Santa Clara County Juvenile Dependency Drug Treatment Court</w:t>
          </w:r>
        </w:smartTag>
      </w:smartTag>
      <w:r>
        <w:rPr>
          <w:rFonts w:ascii="Arial" w:hAnsi="Arial" w:cs="Arial"/>
          <w:sz w:val="20"/>
        </w:rPr>
        <w:t xml:space="preserve"> is one of only a handful of such courts in the </w:t>
      </w:r>
      <w:smartTag w:uri="urn:schemas-microsoft-com:office:smarttags" w:element="country-region">
        <w:smartTag w:uri="urn:schemas-microsoft-com:office:smarttags" w:element="place">
          <w:r>
            <w:rPr>
              <w:rFonts w:ascii="Arial" w:hAnsi="Arial" w:cs="Arial"/>
              <w:sz w:val="20"/>
            </w:rPr>
            <w:t>USA</w:t>
          </w:r>
        </w:smartTag>
      </w:smartTag>
      <w:r>
        <w:rPr>
          <w:rFonts w:ascii="Arial" w:hAnsi="Arial" w:cs="Arial"/>
          <w:sz w:val="20"/>
        </w:rPr>
        <w:t xml:space="preserve">.  Drug courts are very popular in the </w:t>
      </w:r>
      <w:smartTag w:uri="urn:schemas-microsoft-com:office:smarttags" w:element="country-region">
        <w:smartTag w:uri="urn:schemas-microsoft-com:office:smarttags" w:element="place">
          <w:r>
            <w:rPr>
              <w:rFonts w:ascii="Arial" w:hAnsi="Arial" w:cs="Arial"/>
              <w:sz w:val="20"/>
            </w:rPr>
            <w:t>United States</w:t>
          </w:r>
        </w:smartTag>
      </w:smartTag>
      <w:r>
        <w:rPr>
          <w:rFonts w:ascii="Arial" w:hAnsi="Arial" w:cs="Arial"/>
          <w:sz w:val="20"/>
        </w:rPr>
        <w:t xml:space="preserve"> but  most are located in the criminal or juvenile delinquency courts.  This </w:t>
      </w:r>
      <w:smartTag w:uri="urn:schemas-microsoft-com:office:smarttags" w:element="address">
        <w:smartTag w:uri="urn:schemas-microsoft-com:office:smarttags" w:element="Street">
          <w:r>
            <w:rPr>
              <w:rFonts w:ascii="Arial" w:hAnsi="Arial" w:cs="Arial"/>
              <w:sz w:val="20"/>
            </w:rPr>
            <w:t>Drug Treatment Court</w:t>
          </w:r>
        </w:smartTag>
      </w:smartTag>
      <w:r>
        <w:rPr>
          <w:rFonts w:ascii="Arial" w:hAnsi="Arial" w:cs="Arial"/>
          <w:sz w:val="20"/>
        </w:rPr>
        <w:t xml:space="preserve"> is established in a dependency jurisdiction and involves the parents of children who have been abused or neglected.  In most dependency courts in the </w:t>
      </w:r>
      <w:smartTag w:uri="urn:schemas-microsoft-com:office:smarttags" w:element="country-region">
        <w:smartTag w:uri="urn:schemas-microsoft-com:office:smarttags" w:element="place">
          <w:r>
            <w:rPr>
              <w:rFonts w:ascii="Arial" w:hAnsi="Arial" w:cs="Arial"/>
              <w:sz w:val="20"/>
            </w:rPr>
            <w:t>USA</w:t>
          </w:r>
        </w:smartTag>
      </w:smartTag>
      <w:r>
        <w:rPr>
          <w:rFonts w:ascii="Arial" w:hAnsi="Arial" w:cs="Arial"/>
          <w:sz w:val="20"/>
        </w:rPr>
        <w:t xml:space="preserve"> substance abuse is the presenting problem for parents who have abused or neglected their children.  This court brings together under the leadership of the court a team of professionals including the attorneys and social workers in dependency cases and substance abuse professionals.  To this team the </w:t>
      </w:r>
      <w:smartTag w:uri="urn:schemas-microsoft-com:office:smarttags" w:element="City">
        <w:smartTag w:uri="urn:schemas-microsoft-com:office:smarttags" w:element="place">
          <w:r>
            <w:rPr>
              <w:rFonts w:ascii="Arial" w:hAnsi="Arial" w:cs="Arial"/>
              <w:sz w:val="20"/>
            </w:rPr>
            <w:t>Santa Clara</w:t>
          </w:r>
        </w:smartTag>
      </w:smartTag>
      <w:r>
        <w:rPr>
          <w:rFonts w:ascii="Arial" w:hAnsi="Arial" w:cs="Arial"/>
          <w:sz w:val="20"/>
        </w:rPr>
        <w:t xml:space="preserve"> court has added domestic violence and mental health experts, a public health nurse, a housing expert, and a welfare to work representative.  Over the past 4 years the team has developed protocols and policies which have refined the ways in which clients are assessed for substance abuse problems, the application process, regular case reviews before the Drug Treatment Court, rewards and punishments, and the relationship between progress in the Drug Treatment Court and the child welfare proceedings which are separate.  The </w:t>
      </w:r>
      <w:smartTag w:uri="urn:schemas-microsoft-com:office:smarttags" w:element="address">
        <w:smartTag w:uri="urn:schemas-microsoft-com:office:smarttags" w:element="Street">
          <w:r>
            <w:rPr>
              <w:rFonts w:ascii="Arial" w:hAnsi="Arial" w:cs="Arial"/>
              <w:sz w:val="20"/>
            </w:rPr>
            <w:t>Drug Treatment Court</w:t>
          </w:r>
        </w:smartTag>
      </w:smartTag>
      <w:r>
        <w:rPr>
          <w:rFonts w:ascii="Arial" w:hAnsi="Arial" w:cs="Arial"/>
          <w:sz w:val="20"/>
        </w:rPr>
        <w:t xml:space="preserve"> has been evaluated and the results are promising.</w:t>
      </w:r>
    </w:p>
    <w:p w14:paraId="309F231D" w14:textId="77777777" w:rsidR="00693223" w:rsidRDefault="00693223">
      <w:pPr>
        <w:jc w:val="both"/>
        <w:rPr>
          <w:rFonts w:ascii="Arial" w:hAnsi="Arial" w:cs="Arial"/>
          <w:sz w:val="20"/>
        </w:rPr>
      </w:pPr>
    </w:p>
    <w:p w14:paraId="6412D00C" w14:textId="77777777" w:rsidR="00693223" w:rsidRDefault="00693223" w:rsidP="002C17CA">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7</w:t>
      </w:r>
    </w:p>
    <w:p w14:paraId="40C44542" w14:textId="77777777" w:rsidR="00693223" w:rsidRDefault="00693223" w:rsidP="002C17CA">
      <w:pPr>
        <w:keepNext/>
        <w:keepLines/>
        <w:jc w:val="both"/>
        <w:rPr>
          <w:rFonts w:ascii="Arial" w:hAnsi="Arial" w:cs="Arial"/>
          <w:b/>
          <w:bCs/>
          <w:sz w:val="32"/>
        </w:rPr>
      </w:pPr>
      <w:r>
        <w:rPr>
          <w:rFonts w:ascii="Arial" w:hAnsi="Arial" w:cs="Arial"/>
          <w:b/>
          <w:bCs/>
        </w:rPr>
        <w:t xml:space="preserve">Children and Family Law - </w:t>
      </w:r>
      <w:smartTag w:uri="urn:schemas-microsoft-com:office:smarttags" w:element="place">
        <w:r>
          <w:rPr>
            <w:rFonts w:ascii="Arial" w:hAnsi="Arial" w:cs="Arial"/>
            <w:b/>
            <w:bCs/>
          </w:rPr>
          <w:t>Paramount</w:t>
        </w:r>
      </w:smartTag>
      <w:r>
        <w:rPr>
          <w:rFonts w:ascii="Arial" w:hAnsi="Arial" w:cs="Arial"/>
          <w:b/>
          <w:bCs/>
        </w:rPr>
        <w:t xml:space="preserve"> Interests and Human Rights</w:t>
      </w:r>
    </w:p>
    <w:p w14:paraId="44A1DA34" w14:textId="77777777" w:rsidR="00693223" w:rsidRDefault="00693223">
      <w:pPr>
        <w:jc w:val="both"/>
        <w:rPr>
          <w:rFonts w:ascii="Arial" w:hAnsi="Arial" w:cs="Arial"/>
          <w:sz w:val="20"/>
        </w:rPr>
      </w:pPr>
      <w:r>
        <w:rPr>
          <w:rFonts w:ascii="Arial" w:hAnsi="Arial" w:cs="Arial"/>
          <w:sz w:val="20"/>
        </w:rPr>
        <w:t xml:space="preserve">The Hon Justice Michael Kirby AC CMG (High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103CE5F1"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This broad-ranging paper lists some profound changes to the social context upon which family law is required to operate today in many countries, including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asks a number of questions.  Why, when compared to the years and even centuries that went before, have we seen so many radical alterations?  The increase in the breakdown of lifelong relationships?  The increase in serial personal relationships?  The reduction in the number of births within such relationships?  The virtual disappearance of the stigma of illegitimacy and the unmarried state?  The expended demands for recognition of new human relationships, </w:t>
      </w:r>
      <w:r>
        <w:rPr>
          <w:rFonts w:ascii="Arial" w:hAnsi="Arial" w:cs="Arial"/>
          <w:sz w:val="20"/>
        </w:rPr>
        <w:lastRenderedPageBreak/>
        <w:t>including those of de facto married opposite-sex couples and same sex couples?  The suggested expansion of the concept of 'marriage' itself to include civil unions other than those between a man and a woman for life?  The desire of single and infertile couples to secure children using the modern technology of human reproduction?  Even the demand of some couples to have access to progeny produced by techniques of reproductive cloning?</w:t>
      </w:r>
    </w:p>
    <w:p w14:paraId="0B4E1B5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aspect of profound change to the social context of family law upon which the paper primarily focuses is the issue of relocation of a mother having custody of a child.  Because of the growth of international travel, especially in countries like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with large immigrant populations, this would seem to be a problem likely to increase rather than to diminish.  It is a problem which faces virtually every legal system.</w:t>
      </w:r>
    </w:p>
    <w:p w14:paraId="4E7C2C81"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Under the heading "The National Relocation Paradigm" His Honour discusses the case of </w:t>
      </w:r>
      <w:r>
        <w:rPr>
          <w:rFonts w:ascii="Arial" w:hAnsi="Arial" w:cs="Arial"/>
          <w:i/>
          <w:iCs/>
          <w:sz w:val="20"/>
        </w:rPr>
        <w:t>AMS v AIF</w:t>
      </w:r>
      <w:r>
        <w:rPr>
          <w:rFonts w:ascii="Arial" w:hAnsi="Arial" w:cs="Arial"/>
          <w:sz w:val="20"/>
        </w:rPr>
        <w:t xml:space="preserve"> (1999) 199 CLR 160 in which the High Court dealt with a proposed relocation of the custodial parent from </w:t>
      </w:r>
      <w:smartTag w:uri="urn:schemas-microsoft-com:office:smarttags" w:element="City">
        <w:r>
          <w:rPr>
            <w:rFonts w:ascii="Arial" w:hAnsi="Arial" w:cs="Arial"/>
            <w:sz w:val="20"/>
          </w:rPr>
          <w:t>Perth</w:t>
        </w:r>
      </w:smartTag>
      <w:r>
        <w:rPr>
          <w:rFonts w:ascii="Arial" w:hAnsi="Arial" w:cs="Arial"/>
          <w:sz w:val="20"/>
        </w:rPr>
        <w:t xml:space="preserve"> to </w:t>
      </w:r>
      <w:smartTag w:uri="urn:schemas-microsoft-com:office:smarttags" w:element="City">
        <w:smartTag w:uri="urn:schemas-microsoft-com:office:smarttags" w:element="place">
          <w:r>
            <w:rPr>
              <w:rFonts w:ascii="Arial" w:hAnsi="Arial" w:cs="Arial"/>
              <w:sz w:val="20"/>
            </w:rPr>
            <w:t>Darwin</w:t>
          </w:r>
        </w:smartTag>
      </w:smartTag>
      <w:r>
        <w:rPr>
          <w:rFonts w:ascii="Arial" w:hAnsi="Arial" w:cs="Arial"/>
          <w:sz w:val="20"/>
        </w:rPr>
        <w:t xml:space="preserve">.  Although distances were great, the move was within the one country.  The High Court explored the issue of relocation and held that "a more relaxed attitude should be adopted to relocation within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than relocation overseas".</w:t>
      </w:r>
    </w:p>
    <w:p w14:paraId="0CC41E6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Under the heading "The International Relocation Challenge" His Honour discusses the case of </w:t>
      </w:r>
      <w:r>
        <w:rPr>
          <w:rFonts w:ascii="Arial" w:hAnsi="Arial" w:cs="Arial"/>
          <w:i/>
          <w:iCs/>
          <w:sz w:val="20"/>
        </w:rPr>
        <w:t>U v U</w:t>
      </w:r>
      <w:r>
        <w:rPr>
          <w:rFonts w:ascii="Arial" w:hAnsi="Arial" w:cs="Arial"/>
          <w:sz w:val="20"/>
        </w:rPr>
        <w:t xml:space="preserve"> (2002) 191 ALR 289 in which the High Court was faced with a proposed relocation of the custodial parent (mother) from </w:t>
      </w:r>
      <w:smartTag w:uri="urn:schemas-microsoft-com:office:smarttags" w:element="country-region">
        <w:r>
          <w:rPr>
            <w:rFonts w:ascii="Arial" w:hAnsi="Arial" w:cs="Arial"/>
            <w:sz w:val="20"/>
          </w:rPr>
          <w:t>Australia</w:t>
        </w:r>
      </w:smartTag>
      <w:r>
        <w:rPr>
          <w:rFonts w:ascii="Arial" w:hAnsi="Arial" w:cs="Arial"/>
          <w:sz w:val="20"/>
        </w:rPr>
        <w:t xml:space="preserve"> to </w:t>
      </w:r>
      <w:smartTag w:uri="urn:schemas-microsoft-com:office:smarttags" w:element="country-region">
        <w:smartTag w:uri="urn:schemas-microsoft-com:office:smarttags" w:element="place">
          <w:r>
            <w:rPr>
              <w:rFonts w:ascii="Arial" w:hAnsi="Arial" w:cs="Arial"/>
              <w:sz w:val="20"/>
            </w:rPr>
            <w:t>India</w:t>
          </w:r>
        </w:smartTag>
      </w:smartTag>
      <w:r>
        <w:rPr>
          <w:rFonts w:ascii="Arial" w:hAnsi="Arial" w:cs="Arial"/>
          <w:sz w:val="20"/>
        </w:rPr>
        <w:t xml:space="preserve">.  The trial judge had made a parenting order in favour of the mother but the order required her to live close to </w:t>
      </w:r>
      <w:smartTag w:uri="urn:schemas-microsoft-com:office:smarttags" w:element="City">
        <w:smartTag w:uri="urn:schemas-microsoft-com:office:smarttags" w:element="place">
          <w:r>
            <w:rPr>
              <w:rFonts w:ascii="Arial" w:hAnsi="Arial" w:cs="Arial"/>
              <w:sz w:val="20"/>
            </w:rPr>
            <w:t>Sydney</w:t>
          </w:r>
        </w:smartTag>
      </w:smartTag>
      <w:r>
        <w:rPr>
          <w:rFonts w:ascii="Arial" w:hAnsi="Arial" w:cs="Arial"/>
          <w:sz w:val="20"/>
        </w:rPr>
        <w:t xml:space="preserve">.  Her appeal to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having been dismissed, the mother appealed to the High Court.  By a majority of 5 to 2 the High Court dismissed the appeal.  The issues of relocation were fully debated, the mother relying on a series of English cases culminating in </w:t>
      </w:r>
      <w:r>
        <w:rPr>
          <w:rFonts w:ascii="Arial" w:hAnsi="Arial" w:cs="Arial"/>
          <w:i/>
          <w:iCs/>
          <w:sz w:val="20"/>
        </w:rPr>
        <w:t>Payne v Payne</w:t>
      </w:r>
      <w:r>
        <w:rPr>
          <w:rFonts w:ascii="Arial" w:hAnsi="Arial" w:cs="Arial"/>
          <w:sz w:val="20"/>
        </w:rPr>
        <w:t xml:space="preserve"> [2001] 2 WLR 1826.  His Honour explains the views expressed in the case of </w:t>
      </w:r>
      <w:r>
        <w:rPr>
          <w:rFonts w:ascii="Arial" w:hAnsi="Arial" w:cs="Arial"/>
          <w:i/>
          <w:iCs/>
          <w:sz w:val="20"/>
        </w:rPr>
        <w:t>U V U</w:t>
      </w:r>
      <w:r>
        <w:rPr>
          <w:rFonts w:ascii="Arial" w:hAnsi="Arial" w:cs="Arial"/>
          <w:sz w:val="20"/>
        </w:rPr>
        <w:t xml:space="preserve"> and identifies and discusses the difficult problems presented by cases of international relocation.</w:t>
      </w:r>
    </w:p>
    <w:p w14:paraId="5ACFA245" w14:textId="77777777" w:rsidR="00693223" w:rsidRDefault="00693223">
      <w:pPr>
        <w:autoSpaceDE w:val="0"/>
        <w:autoSpaceDN w:val="0"/>
        <w:adjustRightInd w:val="0"/>
        <w:spacing w:before="120"/>
        <w:jc w:val="both"/>
        <w:rPr>
          <w:rFonts w:ascii="Arial" w:hAnsi="Arial" w:cs="Arial"/>
          <w:sz w:val="20"/>
        </w:rPr>
      </w:pPr>
    </w:p>
    <w:p w14:paraId="6A912222"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8</w:t>
      </w:r>
    </w:p>
    <w:p w14:paraId="5CD74FDC" w14:textId="77777777" w:rsidR="00693223" w:rsidRDefault="00693223">
      <w:pPr>
        <w:jc w:val="both"/>
        <w:rPr>
          <w:rFonts w:ascii="Arial" w:hAnsi="Arial" w:cs="Arial"/>
          <w:b/>
          <w:bCs/>
          <w:sz w:val="32"/>
        </w:rPr>
      </w:pPr>
      <w:r>
        <w:rPr>
          <w:rFonts w:ascii="Arial" w:hAnsi="Arial" w:cs="Arial"/>
          <w:b/>
          <w:bCs/>
        </w:rPr>
        <w:t>The Challenge of the International Institute of the Rights of the Child [PAPER IN ENGLISH &amp; FRENCH]</w:t>
      </w:r>
    </w:p>
    <w:p w14:paraId="4B1F9F23" w14:textId="77777777" w:rsidR="00693223" w:rsidRDefault="00693223">
      <w:pPr>
        <w:jc w:val="both"/>
        <w:rPr>
          <w:rFonts w:ascii="Arial" w:hAnsi="Arial" w:cs="Arial"/>
          <w:sz w:val="20"/>
        </w:rPr>
      </w:pPr>
      <w:r>
        <w:rPr>
          <w:rFonts w:ascii="Arial" w:hAnsi="Arial" w:cs="Arial"/>
          <w:sz w:val="20"/>
        </w:rPr>
        <w:t xml:space="preserve">Judge Michel Lachat (President, </w:t>
      </w:r>
      <w:smartTag w:uri="urn:schemas-microsoft-com:office:smarttags" w:element="place">
        <w:smartTag w:uri="urn:schemas-microsoft-com:office:smarttags" w:element="City">
          <w:r>
            <w:rPr>
              <w:rFonts w:ascii="Arial" w:hAnsi="Arial" w:cs="Arial"/>
              <w:sz w:val="20"/>
            </w:rPr>
            <w:t>Juvenile</w:t>
          </w:r>
        </w:smartTag>
        <w:r>
          <w:rPr>
            <w:rFonts w:ascii="Arial" w:hAnsi="Arial" w:cs="Arial"/>
            <w:sz w:val="20"/>
          </w:rPr>
          <w:t xml:space="preserve"> Court, </w:t>
        </w:r>
        <w:smartTag w:uri="urn:schemas-microsoft-com:office:smarttags" w:element="country-region">
          <w:r>
            <w:rPr>
              <w:rFonts w:ascii="Arial" w:hAnsi="Arial" w:cs="Arial"/>
              <w:sz w:val="20"/>
            </w:rPr>
            <w:t>Switzerland</w:t>
          </w:r>
        </w:smartTag>
      </w:smartTag>
      <w:r>
        <w:rPr>
          <w:rFonts w:ascii="Arial" w:hAnsi="Arial" w:cs="Arial"/>
          <w:sz w:val="20"/>
        </w:rPr>
        <w:t xml:space="preserve"> &amp; Founding Member of the IDE [International Institute for the Rights of Children])</w:t>
      </w:r>
    </w:p>
    <w:p w14:paraId="1728D0FE" w14:textId="77777777" w:rsidR="00693223" w:rsidRDefault="00693223">
      <w:pPr>
        <w:spacing w:before="120"/>
        <w:jc w:val="both"/>
        <w:rPr>
          <w:rFonts w:ascii="Arial" w:hAnsi="Arial" w:cs="Arial"/>
          <w:sz w:val="20"/>
        </w:rPr>
      </w:pPr>
      <w:r>
        <w:rPr>
          <w:rFonts w:ascii="Arial" w:hAnsi="Arial" w:cs="Arial"/>
          <w:sz w:val="20"/>
        </w:rPr>
        <w:t xml:space="preserve">It has been 75 years since the </w:t>
      </w:r>
      <w:smartTag w:uri="urn:schemas-microsoft-com:office:smarttags" w:element="place">
        <w:r>
          <w:rPr>
            <w:rFonts w:ascii="Arial" w:hAnsi="Arial" w:cs="Arial"/>
            <w:sz w:val="20"/>
          </w:rPr>
          <w:t>League of Nations</w:t>
        </w:r>
      </w:smartTag>
      <w:r>
        <w:rPr>
          <w:rFonts w:ascii="Arial" w:hAnsi="Arial" w:cs="Arial"/>
          <w:sz w:val="20"/>
        </w:rPr>
        <w:t xml:space="preserve"> adopted the first Declaration of the Rights of the Child in 1924.  We have come a long way since then, culminating in the Proclamation of the United Nations Convention on the Rights of the Child on </w:t>
      </w:r>
      <w:smartTag w:uri="urn:schemas-microsoft-com:office:smarttags" w:element="date">
        <w:smartTagPr>
          <w:attr w:name="Month" w:val="11"/>
          <w:attr w:name="Day" w:val="20"/>
          <w:attr w:name="Year" w:val="1989"/>
        </w:smartTagPr>
        <w:r>
          <w:rPr>
            <w:rFonts w:ascii="Arial" w:hAnsi="Arial" w:cs="Arial"/>
            <w:sz w:val="20"/>
          </w:rPr>
          <w:t>20/11/1989</w:t>
        </w:r>
      </w:smartTag>
      <w:r>
        <w:rPr>
          <w:rFonts w:ascii="Arial" w:hAnsi="Arial" w:cs="Arial"/>
          <w:sz w:val="20"/>
        </w:rPr>
        <w:t>.  The convention confers on the child a new, revolutionary status.  He or she is no longer viewed as an inchoate adult but rather as a fully-fledged person who has rights that he or she can assert independently.  Since then there has been a profusion of international treaties concerning children's issues, most notably:</w:t>
      </w:r>
    </w:p>
    <w:p w14:paraId="13E65A7F"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African Charter on the rights and protection of the child (ACRPC) (1990)</w:t>
      </w:r>
    </w:p>
    <w:p w14:paraId="072A72C9"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Guiding Principles of Riyadh on the prevention of juvenile delinquency (1990)</w:t>
      </w:r>
    </w:p>
    <w:p w14:paraId="028248CA"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Havana Rules on minors deprived of liberty (1990)</w:t>
      </w:r>
    </w:p>
    <w:p w14:paraId="5B2F1099"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 xml:space="preserve">The Convention of </w:t>
      </w:r>
      <w:smartTag w:uri="urn:schemas-microsoft-com:office:smarttags" w:element="City">
        <w:smartTag w:uri="urn:schemas-microsoft-com:office:smarttags" w:element="place">
          <w:r>
            <w:rPr>
              <w:rFonts w:ascii="Arial" w:hAnsi="Arial" w:cs="Arial"/>
              <w:sz w:val="20"/>
            </w:rPr>
            <w:t>the Hague</w:t>
          </w:r>
        </w:smartTag>
      </w:smartTag>
      <w:r>
        <w:rPr>
          <w:rFonts w:ascii="Arial" w:hAnsi="Arial" w:cs="Arial"/>
          <w:sz w:val="20"/>
        </w:rPr>
        <w:t xml:space="preserve"> on international adoption (1993) which came into force on </w:t>
      </w:r>
      <w:smartTag w:uri="urn:schemas-microsoft-com:office:smarttags" w:element="date">
        <w:smartTagPr>
          <w:attr w:name="Month" w:val="5"/>
          <w:attr w:name="Day" w:val="1"/>
          <w:attr w:name="Year" w:val="1995"/>
        </w:smartTagPr>
        <w:r>
          <w:rPr>
            <w:rFonts w:ascii="Arial" w:hAnsi="Arial" w:cs="Arial"/>
            <w:sz w:val="20"/>
          </w:rPr>
          <w:t>01/05/1995</w:t>
        </w:r>
      </w:smartTag>
    </w:p>
    <w:p w14:paraId="379CA5A9"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Interamerican Convention on International Trafficking of Minors (1994)</w:t>
      </w:r>
    </w:p>
    <w:p w14:paraId="0F8C1A57"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Convention No.182 on banning the worst forms of labour and taking immediate action to eliminate them (1999).</w:t>
      </w:r>
    </w:p>
    <w:p w14:paraId="0CDB3C32" w14:textId="77777777" w:rsidR="00693223" w:rsidRDefault="00693223">
      <w:pPr>
        <w:spacing w:before="120"/>
        <w:jc w:val="both"/>
        <w:rPr>
          <w:rFonts w:ascii="Arial" w:hAnsi="Arial" w:cs="Arial"/>
          <w:sz w:val="20"/>
        </w:rPr>
      </w:pPr>
      <w:r>
        <w:rPr>
          <w:rFonts w:ascii="Arial" w:hAnsi="Arial" w:cs="Arial"/>
          <w:sz w:val="20"/>
        </w:rPr>
        <w:t>The great challenge with regard to the rights of the child is to ensure that the conventions and treaties are effectively and tangibly enforced in the field.  With this in mind, a small group of people who are knowledgeable in this field came up with the idea of establishing an "International Institute for the Rights of the Child" which would bridge the gap between theory and practical implementation of the most important treaties by:</w:t>
      </w:r>
    </w:p>
    <w:p w14:paraId="51A113AB" w14:textId="77777777" w:rsidR="00693223" w:rsidRDefault="00693223" w:rsidP="002239D1">
      <w:pPr>
        <w:numPr>
          <w:ilvl w:val="1"/>
          <w:numId w:val="21"/>
        </w:numPr>
        <w:ind w:left="357" w:hanging="357"/>
        <w:jc w:val="both"/>
        <w:rPr>
          <w:rFonts w:ascii="Arial" w:hAnsi="Arial" w:cs="Arial"/>
          <w:sz w:val="20"/>
        </w:rPr>
      </w:pPr>
      <w:r>
        <w:rPr>
          <w:rFonts w:ascii="Arial" w:hAnsi="Arial" w:cs="Arial"/>
          <w:sz w:val="20"/>
        </w:rPr>
        <w:t>publicising the relevant international instruments;</w:t>
      </w:r>
    </w:p>
    <w:p w14:paraId="2B7C683B" w14:textId="77777777" w:rsidR="00693223" w:rsidRDefault="00693223" w:rsidP="002239D1">
      <w:pPr>
        <w:numPr>
          <w:ilvl w:val="1"/>
          <w:numId w:val="21"/>
        </w:numPr>
        <w:ind w:left="357" w:hanging="357"/>
        <w:jc w:val="both"/>
        <w:rPr>
          <w:rFonts w:ascii="Arial" w:hAnsi="Arial" w:cs="Arial"/>
          <w:sz w:val="20"/>
        </w:rPr>
      </w:pPr>
      <w:r>
        <w:rPr>
          <w:rFonts w:ascii="Arial" w:hAnsi="Arial" w:cs="Arial"/>
          <w:sz w:val="20"/>
        </w:rPr>
        <w:t>helping those who are called upon to enforce them to understand their practical significance;</w:t>
      </w:r>
    </w:p>
    <w:p w14:paraId="5EB7627E" w14:textId="77777777" w:rsidR="00693223" w:rsidRDefault="00693223" w:rsidP="002239D1">
      <w:pPr>
        <w:numPr>
          <w:ilvl w:val="1"/>
          <w:numId w:val="21"/>
        </w:numPr>
        <w:ind w:left="357" w:hanging="357"/>
        <w:jc w:val="both"/>
        <w:rPr>
          <w:rFonts w:ascii="Arial" w:hAnsi="Arial" w:cs="Arial"/>
          <w:sz w:val="20"/>
        </w:rPr>
      </w:pPr>
      <w:r>
        <w:rPr>
          <w:rFonts w:ascii="Arial" w:hAnsi="Arial" w:cs="Arial"/>
          <w:sz w:val="20"/>
        </w:rPr>
        <w:t>raising awareness of the rights of the child among those who are responsible for the protection of minors;</w:t>
      </w:r>
    </w:p>
    <w:p w14:paraId="3C4A6B6B" w14:textId="77777777" w:rsidR="00693223" w:rsidRDefault="00693223" w:rsidP="002239D1">
      <w:pPr>
        <w:numPr>
          <w:ilvl w:val="1"/>
          <w:numId w:val="21"/>
        </w:numPr>
        <w:ind w:left="357" w:hanging="357"/>
        <w:jc w:val="both"/>
        <w:rPr>
          <w:rFonts w:ascii="Arial" w:hAnsi="Arial" w:cs="Arial"/>
          <w:sz w:val="20"/>
        </w:rPr>
      </w:pPr>
      <w:r>
        <w:rPr>
          <w:rFonts w:ascii="Arial" w:hAnsi="Arial" w:cs="Arial"/>
          <w:sz w:val="20"/>
        </w:rPr>
        <w:t>providing inspiration to national legislators in all areas pertaining to children;</w:t>
      </w:r>
    </w:p>
    <w:p w14:paraId="0E07B414" w14:textId="77777777" w:rsidR="00693223" w:rsidRDefault="00693223" w:rsidP="002239D1">
      <w:pPr>
        <w:numPr>
          <w:ilvl w:val="1"/>
          <w:numId w:val="21"/>
        </w:numPr>
        <w:ind w:left="357" w:hanging="357"/>
        <w:jc w:val="both"/>
        <w:rPr>
          <w:rFonts w:ascii="Arial" w:hAnsi="Arial" w:cs="Arial"/>
          <w:sz w:val="20"/>
        </w:rPr>
      </w:pPr>
      <w:r>
        <w:rPr>
          <w:rFonts w:ascii="Arial" w:hAnsi="Arial" w:cs="Arial"/>
          <w:sz w:val="20"/>
        </w:rPr>
        <w:t>fostering a "rights of the child" culture and consciousness.</w:t>
      </w:r>
    </w:p>
    <w:p w14:paraId="58940C53" w14:textId="77777777" w:rsidR="00693223" w:rsidRDefault="00693223">
      <w:pPr>
        <w:spacing w:before="120"/>
        <w:jc w:val="both"/>
        <w:rPr>
          <w:rFonts w:ascii="Arial" w:hAnsi="Arial" w:cs="Arial"/>
          <w:sz w:val="20"/>
        </w:rPr>
      </w:pPr>
      <w:r>
        <w:rPr>
          <w:rFonts w:ascii="Arial" w:hAnsi="Arial" w:cs="Arial"/>
          <w:sz w:val="20"/>
        </w:rPr>
        <w:lastRenderedPageBreak/>
        <w:t>This paper details some of the work of the Institute and its affiliated organizations.</w:t>
      </w:r>
    </w:p>
    <w:p w14:paraId="42A9BAAC" w14:textId="77777777" w:rsidR="00693223" w:rsidRDefault="00693223">
      <w:pPr>
        <w:jc w:val="both"/>
        <w:rPr>
          <w:rFonts w:ascii="Arial" w:hAnsi="Arial" w:cs="Arial"/>
          <w:sz w:val="20"/>
        </w:rPr>
      </w:pPr>
    </w:p>
    <w:p w14:paraId="046B2F41"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9</w:t>
      </w:r>
    </w:p>
    <w:p w14:paraId="1F009121" w14:textId="77777777" w:rsidR="00693223" w:rsidRDefault="00693223">
      <w:pPr>
        <w:jc w:val="both"/>
        <w:rPr>
          <w:rFonts w:ascii="Arial" w:hAnsi="Arial" w:cs="Arial"/>
          <w:b/>
          <w:bCs/>
          <w:sz w:val="32"/>
        </w:rPr>
      </w:pPr>
      <w:smartTag w:uri="urn:schemas-microsoft-com:office:smarttags" w:element="country-region">
        <w:smartTag w:uri="urn:schemas-microsoft-com:office:smarttags" w:element="place">
          <w:r>
            <w:rPr>
              <w:rFonts w:ascii="Arial" w:hAnsi="Arial" w:cs="Arial"/>
              <w:b/>
              <w:bCs/>
            </w:rPr>
            <w:t>New Zealand</w:t>
          </w:r>
        </w:smartTag>
      </w:smartTag>
      <w:r>
        <w:rPr>
          <w:rFonts w:ascii="Arial" w:hAnsi="Arial" w:cs="Arial"/>
          <w:b/>
          <w:bCs/>
        </w:rPr>
        <w:t xml:space="preserve"> Initiatives in Decision Making Around Child Protection Issues</w:t>
      </w:r>
    </w:p>
    <w:p w14:paraId="73CC6186" w14:textId="77777777" w:rsidR="00693223" w:rsidRDefault="00693223">
      <w:pPr>
        <w:jc w:val="both"/>
        <w:rPr>
          <w:rFonts w:ascii="Arial" w:hAnsi="Arial" w:cs="Arial"/>
          <w:sz w:val="20"/>
        </w:rPr>
      </w:pPr>
      <w:r>
        <w:rPr>
          <w:rFonts w:ascii="Arial" w:hAnsi="Arial" w:cs="Arial"/>
          <w:sz w:val="20"/>
        </w:rPr>
        <w:t>Judge Patrick D Mahoney (Principal Family Court Judge, District Court of New Zealand)</w:t>
      </w:r>
    </w:p>
    <w:p w14:paraId="02C636E9" w14:textId="77777777" w:rsidR="00693223" w:rsidRDefault="00693223">
      <w:pPr>
        <w:spacing w:before="120"/>
        <w:jc w:val="both"/>
        <w:rPr>
          <w:rFonts w:ascii="Arial" w:hAnsi="Arial" w:cs="Arial"/>
          <w:sz w:val="20"/>
        </w:rPr>
      </w:pPr>
      <w:r>
        <w:rPr>
          <w:rFonts w:ascii="Arial" w:hAnsi="Arial" w:cs="Arial"/>
          <w:sz w:val="20"/>
        </w:rPr>
        <w:t xml:space="preserve">The Children, Young Persons and Their Families Act 1989 and the Domestic Violence Act 1995 are examples of contrasting pieces of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legislation passed in response to different social pressures and needs within a six year period.  The Acts embody two quite different approaches and reflect different societal expectations of Courts and the legal system.</w:t>
      </w:r>
    </w:p>
    <w:p w14:paraId="09354B69" w14:textId="77777777" w:rsidR="00693223" w:rsidRDefault="00693223">
      <w:pPr>
        <w:spacing w:before="120"/>
        <w:jc w:val="both"/>
        <w:rPr>
          <w:rFonts w:ascii="Arial" w:hAnsi="Arial" w:cs="Arial"/>
          <w:sz w:val="20"/>
        </w:rPr>
      </w:pPr>
      <w:r>
        <w:rPr>
          <w:rFonts w:ascii="Arial" w:hAnsi="Arial" w:cs="Arial"/>
          <w:sz w:val="20"/>
        </w:rPr>
        <w:t>This paper discusses in some detail the operation of both of these acts and concludes with some interesting questions and observations.</w:t>
      </w:r>
    </w:p>
    <w:p w14:paraId="5C9AA88D" w14:textId="77777777" w:rsidR="00693223" w:rsidRDefault="00693223">
      <w:pPr>
        <w:spacing w:before="120"/>
        <w:jc w:val="both"/>
        <w:rPr>
          <w:rFonts w:ascii="Arial" w:hAnsi="Arial" w:cs="Arial"/>
          <w:sz w:val="20"/>
        </w:rPr>
      </w:pPr>
      <w:r>
        <w:rPr>
          <w:rFonts w:ascii="Arial" w:hAnsi="Arial" w:cs="Arial"/>
          <w:sz w:val="20"/>
        </w:rPr>
        <w:t>On the one hand the Children, Young Persons and Their Families Act shows a confidence in the ability of the family to deal with care and protection issues, supported by the State, with the legal process being managed by the Family Court, i.e. minimal intervention.  Does this place reliance on the family too far ahead of care and protection of children?  Put another way, can care and protection issues be adequately addressed by this process?</w:t>
      </w:r>
    </w:p>
    <w:p w14:paraId="34411CE7" w14:textId="77777777" w:rsidR="00693223" w:rsidRDefault="00693223">
      <w:pPr>
        <w:spacing w:before="120"/>
        <w:jc w:val="both"/>
        <w:rPr>
          <w:rFonts w:ascii="Arial" w:hAnsi="Arial" w:cs="Arial"/>
          <w:sz w:val="20"/>
        </w:rPr>
      </w:pPr>
      <w:r>
        <w:rPr>
          <w:rFonts w:ascii="Arial" w:hAnsi="Arial" w:cs="Arial"/>
          <w:sz w:val="20"/>
        </w:rPr>
        <w:t>On the other hand, the Domestic Violence Act provides for legal intervention through Court orders, cutting across family connections and promoting children's safety ahead of family relationships.  In the past the law had tended to be more passive than this.  Which is the right approach?</w:t>
      </w:r>
    </w:p>
    <w:p w14:paraId="40FEA5DB" w14:textId="77777777" w:rsidR="00693223" w:rsidRDefault="00693223">
      <w:pPr>
        <w:spacing w:before="120"/>
        <w:jc w:val="both"/>
        <w:rPr>
          <w:rFonts w:ascii="Arial" w:hAnsi="Arial" w:cs="Arial"/>
          <w:sz w:val="20"/>
        </w:rPr>
      </w:pPr>
      <w:r>
        <w:rPr>
          <w:rFonts w:ascii="Arial" w:hAnsi="Arial" w:cs="Arial"/>
          <w:sz w:val="20"/>
        </w:rPr>
        <w:t>These two statutes highlight the changing environment in which Family and Youth Courts works to promote fair and realistic outcomes for parties and their children.  Against a background of change and conflicting expectations of Courts there is the paramountcy principle - the single overriding principle against which all other considerations must be measured.  In each case the Court must look at the individualised circumstances of the family before the Court.  This is the task and challenge facing our Courts.</w:t>
      </w:r>
    </w:p>
    <w:p w14:paraId="042D9788" w14:textId="77777777" w:rsidR="00693223" w:rsidRDefault="00693223">
      <w:pPr>
        <w:jc w:val="both"/>
        <w:rPr>
          <w:rFonts w:ascii="Arial" w:hAnsi="Arial" w:cs="Arial"/>
          <w:sz w:val="20"/>
        </w:rPr>
      </w:pPr>
    </w:p>
    <w:p w14:paraId="641AEF21"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10</w:t>
      </w:r>
    </w:p>
    <w:p w14:paraId="7854C410" w14:textId="77777777" w:rsidR="00693223" w:rsidRDefault="00693223">
      <w:pPr>
        <w:keepNext/>
        <w:keepLines/>
        <w:jc w:val="both"/>
        <w:rPr>
          <w:rFonts w:ascii="Arial" w:hAnsi="Arial" w:cs="Arial"/>
          <w:b/>
          <w:bCs/>
          <w:sz w:val="32"/>
        </w:rPr>
      </w:pPr>
      <w:r>
        <w:rPr>
          <w:rFonts w:ascii="Arial" w:hAnsi="Arial" w:cs="Arial"/>
          <w:b/>
          <w:bCs/>
        </w:rPr>
        <w:t>The Scottish Children's Hearing Systems: An Integrated Approach</w:t>
      </w:r>
    </w:p>
    <w:p w14:paraId="66F29C69" w14:textId="77777777" w:rsidR="00693223" w:rsidRDefault="00693223">
      <w:pPr>
        <w:keepNext/>
        <w:keepLines/>
        <w:jc w:val="both"/>
        <w:rPr>
          <w:rFonts w:ascii="Arial" w:hAnsi="Arial" w:cs="Arial"/>
          <w:sz w:val="20"/>
        </w:rPr>
      </w:pPr>
      <w:r>
        <w:rPr>
          <w:rFonts w:ascii="Arial" w:hAnsi="Arial" w:cs="Arial"/>
          <w:sz w:val="20"/>
        </w:rPr>
        <w:t>Mr Alan D Miller (Principal Reporter, Scottish Children's Reporter Administration)</w:t>
      </w:r>
    </w:p>
    <w:p w14:paraId="04675911"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Since 1971, </w:t>
      </w:r>
      <w:smartTag w:uri="urn:schemas-microsoft-com:office:smarttags" w:element="country-region">
        <w:smartTag w:uri="urn:schemas-microsoft-com:office:smarttags" w:element="place">
          <w:r>
            <w:rPr>
              <w:rFonts w:ascii="Arial" w:hAnsi="Arial" w:cs="Arial"/>
              <w:sz w:val="20"/>
            </w:rPr>
            <w:t>Scotland</w:t>
          </w:r>
        </w:smartTag>
      </w:smartTag>
      <w:r>
        <w:rPr>
          <w:rFonts w:ascii="Arial" w:hAnsi="Arial" w:cs="Arial"/>
          <w:sz w:val="20"/>
        </w:rPr>
        <w:t xml:space="preserve"> has pioneered a radical and integrated approach to care and justice for children.  The key elements of the Scottish Children's Hearing Systems are:</w:t>
      </w:r>
    </w:p>
    <w:p w14:paraId="0BD08A64"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same system deals with children who offend, children who are at risk, abused or neglected (often they are the same children).</w:t>
      </w:r>
    </w:p>
    <w:p w14:paraId="5A59CE0E"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focus of the system is on addressing both welfare needs and behaviour, in the context of the family and the community.</w:t>
      </w:r>
    </w:p>
    <w:p w14:paraId="4242E3F9"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Cases are screened by an independent public official, the Children's Reporter.</w:t>
      </w:r>
    </w:p>
    <w:p w14:paraId="1B30AF16"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Decisions about public intervention are made by a lay tribunal (the Children's Hearing) following round the table dialogue.</w:t>
      </w:r>
    </w:p>
    <w:p w14:paraId="35B99A7C"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courts have specific roles restricted to adjudicating on disputed evidence and hearing appeals.</w:t>
      </w:r>
    </w:p>
    <w:p w14:paraId="2C68696E" w14:textId="77777777" w:rsidR="00693223" w:rsidRDefault="00693223">
      <w:pPr>
        <w:autoSpaceDE w:val="0"/>
        <w:autoSpaceDN w:val="0"/>
        <w:adjustRightInd w:val="0"/>
        <w:jc w:val="both"/>
        <w:rPr>
          <w:rFonts w:ascii="Arial" w:hAnsi="Arial" w:cs="Arial"/>
          <w:sz w:val="20"/>
        </w:rPr>
      </w:pPr>
      <w:r>
        <w:rPr>
          <w:rFonts w:ascii="Arial" w:hAnsi="Arial" w:cs="Arial"/>
          <w:sz w:val="20"/>
        </w:rPr>
        <w:t>Recent developments in the system have focussed on:</w:t>
      </w:r>
    </w:p>
    <w:p w14:paraId="3CA16765" w14:textId="77777777" w:rsidR="00693223" w:rsidRDefault="00693223">
      <w:pPr>
        <w:numPr>
          <w:ilvl w:val="0"/>
          <w:numId w:val="22"/>
        </w:numPr>
        <w:autoSpaceDE w:val="0"/>
        <w:autoSpaceDN w:val="0"/>
        <w:adjustRightInd w:val="0"/>
        <w:jc w:val="both"/>
        <w:rPr>
          <w:rFonts w:ascii="Arial" w:hAnsi="Arial" w:cs="Arial"/>
          <w:sz w:val="20"/>
        </w:rPr>
      </w:pPr>
      <w:r>
        <w:rPr>
          <w:rFonts w:ascii="Arial" w:hAnsi="Arial" w:cs="Arial"/>
          <w:sz w:val="20"/>
        </w:rPr>
        <w:t>managing the impact of international human rights obligations so as to maintain the ethos of dialogue at the heart of the system; and</w:t>
      </w:r>
    </w:p>
    <w:p w14:paraId="17085DA5" w14:textId="77777777" w:rsidR="00693223" w:rsidRDefault="00693223">
      <w:pPr>
        <w:numPr>
          <w:ilvl w:val="0"/>
          <w:numId w:val="22"/>
        </w:numPr>
        <w:autoSpaceDE w:val="0"/>
        <w:autoSpaceDN w:val="0"/>
        <w:adjustRightInd w:val="0"/>
        <w:jc w:val="both"/>
        <w:rPr>
          <w:rFonts w:ascii="Arial" w:hAnsi="Arial" w:cs="Arial"/>
          <w:sz w:val="20"/>
        </w:rPr>
      </w:pPr>
      <w:r>
        <w:rPr>
          <w:rFonts w:ascii="Arial" w:hAnsi="Arial" w:cs="Arial"/>
          <w:sz w:val="20"/>
        </w:rPr>
        <w:t>improving the effectiveness of services, and of the system as a whole, at addressing youth offending.</w:t>
      </w:r>
    </w:p>
    <w:p w14:paraId="36FD2F26" w14:textId="77777777" w:rsidR="00693223" w:rsidRDefault="00693223">
      <w:pPr>
        <w:autoSpaceDE w:val="0"/>
        <w:autoSpaceDN w:val="0"/>
        <w:adjustRightInd w:val="0"/>
        <w:jc w:val="both"/>
        <w:rPr>
          <w:rFonts w:ascii="Arial" w:hAnsi="Arial" w:cs="Arial"/>
          <w:sz w:val="20"/>
        </w:rPr>
      </w:pPr>
      <w:r>
        <w:rPr>
          <w:rFonts w:ascii="Arial" w:hAnsi="Arial" w:cs="Arial"/>
          <w:sz w:val="20"/>
        </w:rPr>
        <w:t>International research evidence increasingly demonstrates the necessity of a joined-up approach to the "needs and deeds" of children and young people who are at risk or already offending.  Active encouragement with the child and family is also critical to dealing effectively with youth crime and its causes.  As it focuses increasingly on achieving better long-term outcomes for troubled and troublesome children, the aspiration for Scotland's Children's Hearings System is that it should become demonstrably world-class as a 21</w:t>
      </w:r>
      <w:r>
        <w:rPr>
          <w:rFonts w:ascii="Arial" w:hAnsi="Arial" w:cs="Arial"/>
          <w:sz w:val="20"/>
          <w:vertAlign w:val="superscript"/>
        </w:rPr>
        <w:t>st</w:t>
      </w:r>
      <w:r>
        <w:rPr>
          <w:rFonts w:ascii="Arial" w:hAnsi="Arial" w:cs="Arial"/>
          <w:sz w:val="20"/>
        </w:rPr>
        <w:t xml:space="preserve"> century system of care and justice for children.</w:t>
      </w:r>
    </w:p>
    <w:p w14:paraId="2A06A517" w14:textId="77777777" w:rsidR="00693223" w:rsidRDefault="00693223">
      <w:pPr>
        <w:jc w:val="both"/>
        <w:rPr>
          <w:rFonts w:ascii="Arial" w:hAnsi="Arial" w:cs="Arial"/>
          <w:sz w:val="20"/>
        </w:rPr>
      </w:pPr>
    </w:p>
    <w:p w14:paraId="5BF8267D"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lastRenderedPageBreak/>
        <w:t>WCF</w:t>
      </w:r>
      <w:r w:rsidR="00E26E9E">
        <w:rPr>
          <w:rFonts w:ascii="Arial" w:hAnsi="Arial" w:cs="Arial"/>
          <w:b/>
          <w:bCs/>
          <w:sz w:val="28"/>
        </w:rPr>
        <w:t>16.</w:t>
      </w:r>
      <w:r>
        <w:rPr>
          <w:rFonts w:ascii="Arial" w:hAnsi="Arial" w:cs="Arial"/>
          <w:b/>
          <w:bCs/>
          <w:sz w:val="28"/>
        </w:rPr>
        <w:t>11</w:t>
      </w:r>
    </w:p>
    <w:p w14:paraId="59E98005" w14:textId="77777777" w:rsidR="00693223" w:rsidRDefault="00693223">
      <w:pPr>
        <w:keepNext/>
        <w:keepLines/>
        <w:jc w:val="both"/>
        <w:rPr>
          <w:rFonts w:ascii="Arial" w:hAnsi="Arial" w:cs="Arial"/>
          <w:b/>
          <w:bCs/>
          <w:sz w:val="32"/>
        </w:rPr>
      </w:pPr>
      <w:r>
        <w:rPr>
          <w:rFonts w:ascii="Arial" w:hAnsi="Arial" w:cs="Arial"/>
          <w:b/>
          <w:bCs/>
        </w:rPr>
        <w:t>Why Children's Participation in Decision-Making is Important</w:t>
      </w:r>
    </w:p>
    <w:p w14:paraId="6DE12E42" w14:textId="77777777" w:rsidR="00693223" w:rsidRDefault="00693223">
      <w:pPr>
        <w:keepNext/>
        <w:keepLines/>
        <w:jc w:val="both"/>
        <w:rPr>
          <w:rFonts w:ascii="Arial" w:hAnsi="Arial" w:cs="Arial"/>
          <w:sz w:val="20"/>
        </w:rPr>
      </w:pPr>
      <w:r>
        <w:rPr>
          <w:rFonts w:ascii="Arial" w:hAnsi="Arial" w:cs="Arial"/>
          <w:sz w:val="20"/>
        </w:rPr>
        <w:t xml:space="preserve">Ms Moira Rayner (Formerly Director, Office of the Children's Rights Commissioner for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 In October 2002 Acting Commissioner for Equal Opportunity)</w:t>
      </w:r>
    </w:p>
    <w:p w14:paraId="72B89023"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This fascinating paper starts with a compelling illustration of its theme:</w:t>
      </w:r>
    </w:p>
    <w:p w14:paraId="2D7E79CA"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 began legal practice 30 years ago.  One of my first cases required an appearance in a Children's Court.  I was instructed to prevent an order for care and protection being made with respect to a teenager whose response to her family breakdown had been to attempt suicide.  Nobody represented her.  She wasn’t even in the court, though she was 15 years old.  The Departmental social worker advised the court it was in the child's best interests.  I acted for the mother who said it wasn’t.  The order was made and the child was placed in an institution from which she then ran away repeatedly for which she was repeatedly punished.</w:t>
      </w:r>
    </w:p>
    <w:p w14:paraId="68130396"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It was not until her case was well over that the fact and extent of my mother's condonation, connivance and collusion of her husband, the father's sexual exploitation of all of their six children became known.  Neither the magistrate nor the social workers no</w:t>
      </w:r>
      <w:r w:rsidR="00AA3B81">
        <w:rPr>
          <w:rFonts w:ascii="Arial" w:hAnsi="Arial" w:cs="Arial"/>
          <w:sz w:val="20"/>
        </w:rPr>
        <w:t>r</w:t>
      </w:r>
      <w:r>
        <w:rPr>
          <w:rFonts w:ascii="Arial" w:hAnsi="Arial" w:cs="Arial"/>
          <w:sz w:val="20"/>
        </w:rPr>
        <w:t xml:space="preserve"> the lawyers for the respective parents, all claiming to be advocating the 'best interests' of the suicidal girl actually spoke to her.  I found out the truth while preparing her mother's divorce petition (fault-based, in those days) and had to speak to the other children to establish the evidence (adultery).  My client, the mother, expressed astonishment.  The children insisted, 'We told you'.  She honestly believed they never had.</w:t>
      </w:r>
    </w:p>
    <w:p w14:paraId="3C7D7D17"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It was a lesson that parents have various and fluctuating capacities to protect their children's rights, and sometimes-conflicting interests interfere with the children's.  My client wanted to keep her marriage and so did not 'see' the monstrous behaviour of her husband.  'Natural' guardianship is not enough protection for children's rights.</w:t>
      </w:r>
    </w:p>
    <w:p w14:paraId="3534AEE7"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This did not prevent my slipping into another lawyers' error.  When I represented children directly in various courts I began to assume that I was an expert in assessing the 'best interests' of my clients, simply because I was so familiar with the courts and could predict what judges would probably do.  After another catastrophic incident involving child abuse I realized I was no expert on what is good for another person.  I was making things worse.  So I resolved to work out a policy approach to the role of lawyers who represent and advise children."</w:t>
      </w:r>
    </w:p>
    <w:p w14:paraId="41269BB3"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author then discusses her work as founding Director of the Office of the Children's Rights Commissioner for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 a non-government 'children's rights commissioner' and the fundamental principle which underpins it: the protection of children's rights, including the right to "participate".  The author concludes:</w:t>
      </w:r>
    </w:p>
    <w:p w14:paraId="012FFC52"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"Involving children in adult decision-making is necessary because they learn to use the little power they actually have.  Like talent, children's social and negotiation skills grow through use, and their judgment through trial, error, success and compromise.  They become involved with their families, adults and society's rules.  They learn that participation is a normal and useful social function.  They learn that they can influence their own lives and create positive social change and they are far more likely to respect the rights of others.</w:t>
      </w:r>
    </w:p>
    <w:p w14:paraId="28EF848C"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The most important reason for children's participation is, as ever, an adult benefit.  In respecting children's rights, </w:t>
      </w:r>
      <w:r>
        <w:rPr>
          <w:rFonts w:ascii="Arial" w:hAnsi="Arial" w:cs="Arial"/>
          <w:i/>
          <w:iCs/>
          <w:sz w:val="20"/>
        </w:rPr>
        <w:t>we</w:t>
      </w:r>
      <w:r>
        <w:rPr>
          <w:rFonts w:ascii="Arial" w:hAnsi="Arial" w:cs="Arial"/>
          <w:sz w:val="20"/>
        </w:rPr>
        <w:t xml:space="preserve"> remind </w:t>
      </w:r>
      <w:r>
        <w:rPr>
          <w:rFonts w:ascii="Arial" w:hAnsi="Arial" w:cs="Arial"/>
          <w:i/>
          <w:iCs/>
          <w:sz w:val="20"/>
        </w:rPr>
        <w:t>ourselves</w:t>
      </w:r>
      <w:r>
        <w:rPr>
          <w:rFonts w:ascii="Arial" w:hAnsi="Arial" w:cs="Arial"/>
          <w:sz w:val="20"/>
        </w:rPr>
        <w:t xml:space="preserve"> that children are important and that what matters for children is their lives, here and now.  A rights-owner has to be taken seriously; participation implies respect and equality.</w:t>
      </w:r>
    </w:p>
    <w:p w14:paraId="07BCAF87"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In the words of Korczak [who refused to leave his children in a </w:t>
      </w:r>
      <w:smartTag w:uri="urn:schemas-microsoft-com:office:smarttags" w:element="City">
        <w:smartTag w:uri="urn:schemas-microsoft-com:office:smarttags" w:element="place">
          <w:r>
            <w:rPr>
              <w:rFonts w:ascii="Arial" w:hAnsi="Arial" w:cs="Arial"/>
              <w:sz w:val="20"/>
            </w:rPr>
            <w:t>Warsaw</w:t>
          </w:r>
        </w:smartTag>
      </w:smartTag>
      <w:r>
        <w:rPr>
          <w:rFonts w:ascii="Arial" w:hAnsi="Arial" w:cs="Arial"/>
          <w:sz w:val="20"/>
        </w:rPr>
        <w:t xml:space="preserve"> orphanage and went with them to Treblinka]:</w:t>
      </w:r>
    </w:p>
    <w:p w14:paraId="6CA683A7" w14:textId="77777777" w:rsidR="00693223" w:rsidRDefault="00693223">
      <w:pPr>
        <w:ind w:left="1134" w:right="1134"/>
        <w:jc w:val="both"/>
        <w:rPr>
          <w:rFonts w:ascii="Arial" w:hAnsi="Arial" w:cs="Arial"/>
          <w:sz w:val="20"/>
        </w:rPr>
      </w:pPr>
      <w:r>
        <w:rPr>
          <w:rFonts w:ascii="Arial" w:hAnsi="Arial" w:cs="Arial"/>
          <w:i/>
          <w:iCs/>
          <w:sz w:val="20"/>
        </w:rPr>
        <w:t xml:space="preserve">'Children are not the people of tomorrow, but people today.  They are entitled to be taken seriously.  They have a right to be treated by adults with courtesy and respect, as equals.' </w:t>
      </w:r>
      <w:r>
        <w:rPr>
          <w:rFonts w:ascii="Arial" w:hAnsi="Arial" w:cs="Arial"/>
          <w:sz w:val="20"/>
        </w:rPr>
        <w:t>"</w:t>
      </w:r>
    </w:p>
    <w:p w14:paraId="4B15894D" w14:textId="77777777" w:rsidR="00693223" w:rsidRDefault="00693223">
      <w:pPr>
        <w:jc w:val="both"/>
        <w:rPr>
          <w:rFonts w:ascii="Arial" w:hAnsi="Arial" w:cs="Arial"/>
          <w:sz w:val="20"/>
        </w:rPr>
      </w:pPr>
    </w:p>
    <w:p w14:paraId="1441394D"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lastRenderedPageBreak/>
        <w:t>WCF</w:t>
      </w:r>
      <w:r w:rsidR="00E26E9E">
        <w:rPr>
          <w:rFonts w:ascii="Arial" w:hAnsi="Arial" w:cs="Arial"/>
          <w:b/>
          <w:bCs/>
          <w:sz w:val="28"/>
        </w:rPr>
        <w:t>16.</w:t>
      </w:r>
      <w:r>
        <w:rPr>
          <w:rFonts w:ascii="Arial" w:hAnsi="Arial" w:cs="Arial"/>
          <w:b/>
          <w:bCs/>
          <w:sz w:val="28"/>
        </w:rPr>
        <w:t>12</w:t>
      </w:r>
    </w:p>
    <w:p w14:paraId="253FE8C9" w14:textId="77777777" w:rsidR="00693223" w:rsidRDefault="00693223">
      <w:pPr>
        <w:keepNext/>
        <w:keepLines/>
        <w:jc w:val="both"/>
        <w:rPr>
          <w:rFonts w:ascii="Arial" w:hAnsi="Arial" w:cs="Arial"/>
          <w:b/>
          <w:bCs/>
          <w:sz w:val="32"/>
        </w:rPr>
      </w:pPr>
      <w:r>
        <w:rPr>
          <w:rFonts w:ascii="Arial" w:hAnsi="Arial" w:cs="Arial"/>
          <w:b/>
          <w:bCs/>
        </w:rPr>
        <w:t>Juvenile Domestic and Family Violence: An Evaluation of a Specialized Juvenile Court Program</w:t>
      </w:r>
    </w:p>
    <w:p w14:paraId="1FD22822" w14:textId="77777777" w:rsidR="00693223" w:rsidRDefault="00693223">
      <w:pPr>
        <w:jc w:val="both"/>
        <w:rPr>
          <w:rFonts w:ascii="Arial" w:hAnsi="Arial" w:cs="Arial"/>
          <w:sz w:val="20"/>
        </w:rPr>
      </w:pPr>
      <w:r>
        <w:rPr>
          <w:rFonts w:ascii="Arial" w:hAnsi="Arial" w:cs="Arial"/>
          <w:sz w:val="20"/>
        </w:rPr>
        <w:t>Dr Inger Sagatun-Edwards (Chair, Administration of Justice Department, San Jose State University, San Jose, California USA) &amp; Hon Eugene M. Hyman (Juvenile Domestic and Family Violence Court, Superior Court, Santa Clara County, San Jose, California, USA)</w:t>
      </w:r>
    </w:p>
    <w:p w14:paraId="5C5A7445"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Juvenile domestic and family violence has become a growing problem while courts have largely ignored the issue.  This paper briefly summarizes relevant research and legislation, and then describes and evaluates an innovative juvenile court-based intervention program.  In 1999 the </w:t>
      </w:r>
      <w:smartTag w:uri="urn:schemas-microsoft-com:office:smarttags" w:element="PlaceName">
        <w:r>
          <w:rPr>
            <w:rFonts w:ascii="Arial" w:hAnsi="Arial" w:cs="Arial"/>
            <w:sz w:val="20"/>
          </w:rPr>
          <w:t>Superior</w:t>
        </w:r>
      </w:smartTag>
      <w:r>
        <w:rPr>
          <w:rFonts w:ascii="Arial" w:hAnsi="Arial" w:cs="Arial"/>
          <w:sz w:val="20"/>
        </w:rPr>
        <w:t xml:space="preserve"> </w:t>
      </w:r>
      <w:smartTag w:uri="urn:schemas-microsoft-com:office:smarttags" w:element="PlaceType">
        <w:r>
          <w:rPr>
            <w:rFonts w:ascii="Arial" w:hAnsi="Arial" w:cs="Arial"/>
            <w:sz w:val="20"/>
          </w:rPr>
          <w:t>Court</w:t>
        </w:r>
      </w:smartTag>
      <w:r>
        <w:rPr>
          <w:rFonts w:ascii="Arial" w:hAnsi="Arial" w:cs="Arial"/>
          <w:sz w:val="20"/>
        </w:rPr>
        <w:t xml:space="preserve"> </w:t>
      </w:r>
      <w:smartTag w:uri="urn:schemas-microsoft-com:office:smarttags" w:element="PlaceName">
        <w:r>
          <w:rPr>
            <w:rFonts w:ascii="Arial" w:hAnsi="Arial" w:cs="Arial"/>
            <w:sz w:val="20"/>
          </w:rPr>
          <w:t>of</w:t>
        </w:r>
      </w:smartTag>
      <w:r>
        <w:rPr>
          <w:rFonts w:ascii="Arial" w:hAnsi="Arial" w:cs="Arial"/>
          <w:sz w:val="20"/>
        </w:rPr>
        <w:t xml:space="preserve"> </w:t>
      </w:r>
      <w:smartTag w:uri="urn:schemas-microsoft-com:office:smarttags" w:element="PlaceName">
        <w:r>
          <w:rPr>
            <w:rFonts w:ascii="Arial" w:hAnsi="Arial" w:cs="Arial"/>
            <w:sz w:val="20"/>
          </w:rPr>
          <w:t>Santa Clara</w:t>
        </w:r>
      </w:smartTag>
      <w:r>
        <w:rPr>
          <w:rFonts w:ascii="Arial" w:hAnsi="Arial" w:cs="Arial"/>
          <w:sz w:val="20"/>
        </w:rPr>
        <w:t xml:space="preserve"> </w:t>
      </w:r>
      <w:smartTag w:uri="urn:schemas-microsoft-com:office:smarttags" w:element="PlaceType">
        <w:r>
          <w:rPr>
            <w:rFonts w:ascii="Arial" w:hAnsi="Arial" w:cs="Arial"/>
            <w:sz w:val="20"/>
          </w:rPr>
          <w:t>County</w:t>
        </w:r>
      </w:smartTag>
      <w:r>
        <w:rPr>
          <w:rFonts w:ascii="Arial" w:hAnsi="Arial" w:cs="Arial"/>
          <w:sz w:val="20"/>
        </w:rPr>
        <w:t xml:space="preserve"> in </w:t>
      </w:r>
      <w:smartTag w:uri="urn:schemas-microsoft-com:office:smarttags" w:element="State">
        <w:r>
          <w:rPr>
            <w:rFonts w:ascii="Arial" w:hAnsi="Arial" w:cs="Arial"/>
            <w:sz w:val="20"/>
          </w:rPr>
          <w:t>California</w:t>
        </w:r>
      </w:smartTag>
      <w:r>
        <w:rPr>
          <w:rFonts w:ascii="Arial" w:hAnsi="Arial" w:cs="Arial"/>
          <w:sz w:val="20"/>
        </w:rPr>
        <w:t xml:space="preserve"> established the first Juvenile Domestic and Family Violence Court Program in the </w:t>
      </w:r>
      <w:smartTag w:uri="urn:schemas-microsoft-com:office:smarttags" w:element="country-region">
        <w:smartTag w:uri="urn:schemas-microsoft-com:office:smarttags" w:element="place">
          <w:r>
            <w:rPr>
              <w:rFonts w:ascii="Arial" w:hAnsi="Arial" w:cs="Arial"/>
              <w:sz w:val="20"/>
            </w:rPr>
            <w:t>U.S.</w:t>
          </w:r>
        </w:smartTag>
      </w:smartTag>
      <w:r>
        <w:rPr>
          <w:rFonts w:ascii="Arial" w:hAnsi="Arial" w:cs="Arial"/>
          <w:sz w:val="20"/>
        </w:rPr>
        <w:t>, with a dedicated court calendar and probation unit, enhanced services for offenders and victims, and interagency collaboration.  Here domestic violence refers to violence against a boyfriend/girlfriend, while family violence refers to violence against siblings and parents.</w:t>
      </w:r>
    </w:p>
    <w:p w14:paraId="152B65B1"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juvenile and adult court records of the youth in the program and a comparison group were tracked over two years.  We also recorded the minors' demographic background and history of child abuse and family violence.  The data show more female domestic violence offenders than typically found for adult offenders.  Among the family violence offenders, there were significantly more females, often with a history of mental violence.  Most minors had a history of prior delinquency, and almost half came from homes with a history of child abuse and family violence.  Within the intervention group, the offenders who completed the court-based program had significantly lower recidivism rates than those who did not.  They also had fewer new DV/FV offences than the comparison group, but more new probation violations, due to the increased supervision in the court program.  These data show the importance of a proactive juvenile court response to juvenile domestic and family violence.</w:t>
      </w:r>
    </w:p>
    <w:p w14:paraId="3CE8FCFC" w14:textId="77777777" w:rsidR="00693223" w:rsidRDefault="00693223">
      <w:pPr>
        <w:jc w:val="both"/>
        <w:rPr>
          <w:rFonts w:ascii="Arial" w:hAnsi="Arial" w:cs="Arial"/>
          <w:sz w:val="20"/>
        </w:rPr>
      </w:pPr>
    </w:p>
    <w:p w14:paraId="513E268A"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13</w:t>
      </w:r>
    </w:p>
    <w:p w14:paraId="5859518D" w14:textId="77777777" w:rsidR="00693223" w:rsidRDefault="00693223">
      <w:pPr>
        <w:keepNext/>
        <w:keepLines/>
        <w:jc w:val="both"/>
        <w:rPr>
          <w:rFonts w:ascii="Arial" w:hAnsi="Arial" w:cs="Arial"/>
          <w:b/>
          <w:bCs/>
          <w:sz w:val="32"/>
        </w:rPr>
      </w:pPr>
      <w:r>
        <w:rPr>
          <w:rFonts w:ascii="Arial" w:hAnsi="Arial" w:cs="Arial"/>
          <w:b/>
          <w:bCs/>
        </w:rPr>
        <w:t>Child Abuse: Judicial Discretion in the Scottish Civil Courts</w:t>
      </w:r>
    </w:p>
    <w:p w14:paraId="759A6AC2" w14:textId="77777777" w:rsidR="00693223" w:rsidRDefault="00693223">
      <w:pPr>
        <w:jc w:val="both"/>
        <w:rPr>
          <w:rFonts w:ascii="Arial" w:hAnsi="Arial" w:cs="Arial"/>
          <w:sz w:val="20"/>
        </w:rPr>
      </w:pPr>
      <w:r>
        <w:rPr>
          <w:rFonts w:ascii="Arial" w:hAnsi="Arial" w:cs="Arial"/>
          <w:sz w:val="20"/>
        </w:rPr>
        <w:t xml:space="preserve">Sherriff A V Sheehan (Scottish Law Commission,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w:t>
      </w:r>
    </w:p>
    <w:p w14:paraId="3FFE7AD4"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management of child abuse cases in </w:t>
      </w:r>
      <w:smartTag w:uri="urn:schemas-microsoft-com:office:smarttags" w:element="country-region">
        <w:smartTag w:uri="urn:schemas-microsoft-com:office:smarttags" w:element="place">
          <w:r>
            <w:rPr>
              <w:rFonts w:ascii="Arial" w:hAnsi="Arial" w:cs="Arial"/>
              <w:sz w:val="20"/>
            </w:rPr>
            <w:t>Scotland</w:t>
          </w:r>
        </w:smartTag>
      </w:smartTag>
      <w:r>
        <w:rPr>
          <w:rFonts w:ascii="Arial" w:hAnsi="Arial" w:cs="Arial"/>
          <w:sz w:val="20"/>
        </w:rPr>
        <w:t xml:space="preserve"> is to some extent determined by the authority or agency to which the allegation of abuse is made.  When the allegation arises in the course of a family or matrimonial dispute in the civil court, the sheriff or judge is given very wide discretionary powers as to how matters are to proceed.  This flexibility of approach is a key feature of Scottish procedure which is based on the principle that the welfare of a child is paramount.  It also ensures that the allegation can be investigated promptly and without undue delay.</w:t>
      </w:r>
    </w:p>
    <w:p w14:paraId="20BAF5A7"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In the first instance, the sheriff or judge has numerous options as to how the allegation is to be investigated, how the facts are to be established and how much weight is to be placed upon it.  He may order a special hearing for evidence to be led; he may order an independent reporter to investigate the allegation; he may refer the matter to the Reporter to the Children's Hearing, a non-judicial authority specialising in child welfare; he may report the allegation to the Social Work Department; or he may order that it be brought to the attention of the public prosecutor.  Thereafter, if the allegation is substantiated, the court has considerable discretion as to the most appropriate course of action to be taken and in reaching its decision, the views of the child must, if possible, be considered.  In addition, the child may also become a party to the action by means of a </w:t>
      </w:r>
      <w:r>
        <w:rPr>
          <w:rFonts w:ascii="Arial" w:hAnsi="Arial" w:cs="Arial"/>
          <w:i/>
          <w:iCs/>
          <w:sz w:val="20"/>
        </w:rPr>
        <w:t>Curator ad litem</w:t>
      </w:r>
      <w:r>
        <w:rPr>
          <w:rFonts w:ascii="Arial" w:hAnsi="Arial" w:cs="Arial"/>
          <w:sz w:val="20"/>
        </w:rPr>
        <w:t>.</w:t>
      </w:r>
    </w:p>
    <w:p w14:paraId="3F6ECAF4" w14:textId="77777777" w:rsidR="00693223" w:rsidRDefault="00693223">
      <w:pPr>
        <w:jc w:val="both"/>
        <w:rPr>
          <w:rFonts w:ascii="Arial" w:hAnsi="Arial" w:cs="Arial"/>
          <w:sz w:val="20"/>
        </w:rPr>
      </w:pPr>
    </w:p>
    <w:p w14:paraId="186CD0D4"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14</w:t>
      </w:r>
    </w:p>
    <w:p w14:paraId="219414DB" w14:textId="77777777" w:rsidR="00693223" w:rsidRDefault="00693223">
      <w:pPr>
        <w:keepNext/>
        <w:keepLines/>
        <w:jc w:val="both"/>
        <w:rPr>
          <w:rFonts w:ascii="Arial" w:hAnsi="Arial" w:cs="Arial"/>
          <w:b/>
          <w:bCs/>
          <w:sz w:val="32"/>
        </w:rPr>
      </w:pPr>
      <w:r>
        <w:rPr>
          <w:rFonts w:ascii="Arial" w:hAnsi="Arial" w:cs="Arial"/>
          <w:b/>
          <w:bCs/>
        </w:rPr>
        <w:t>How Can We Interpret What Children Say?</w:t>
      </w:r>
    </w:p>
    <w:p w14:paraId="48F0E61B" w14:textId="77777777" w:rsidR="00693223" w:rsidRDefault="00693223">
      <w:pPr>
        <w:jc w:val="both"/>
        <w:rPr>
          <w:rFonts w:ascii="Arial" w:hAnsi="Arial" w:cs="Arial"/>
          <w:sz w:val="20"/>
        </w:rPr>
      </w:pPr>
      <w:r>
        <w:rPr>
          <w:rFonts w:ascii="Arial" w:hAnsi="Arial" w:cs="Arial"/>
          <w:sz w:val="20"/>
        </w:rPr>
        <w:t xml:space="preserve">Ms Rosa Silvestro (Family Court Counsellor -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xml:space="preserve"> Registry)</w:t>
      </w:r>
    </w:p>
    <w:p w14:paraId="5CB87DC3" w14:textId="77777777" w:rsidR="00693223" w:rsidRDefault="00693223">
      <w:pPr>
        <w:spacing w:before="120"/>
        <w:jc w:val="both"/>
        <w:rPr>
          <w:rFonts w:ascii="Arial" w:hAnsi="Arial" w:cs="Arial"/>
          <w:sz w:val="20"/>
        </w:rPr>
      </w:pPr>
      <w:r>
        <w:rPr>
          <w:rFonts w:ascii="Arial" w:hAnsi="Arial" w:cs="Arial"/>
          <w:sz w:val="20"/>
        </w:rPr>
        <w:t xml:space="preserve">Interviewing children can be a challenge even for the skilled professional.  This stimulating paper presents an overview of the most important factors about which a professional needs to be mindful when interviewing or speaking with children and focuses on broadening our understanding of what children say so that they are heard as accurately and as well as possible so that subsequently we can respond appropriately to their needs.  In interviewing children and making assessments, we apply theories which seek to explain human behaviour, </w:t>
      </w:r>
      <w:r>
        <w:rPr>
          <w:rFonts w:ascii="Arial" w:hAnsi="Arial" w:cs="Arial"/>
          <w:sz w:val="20"/>
        </w:rPr>
        <w:lastRenderedPageBreak/>
        <w:t>theories of child development, attachment, socio/linguistic development, moral development and so on.  But we also need to:</w:t>
      </w:r>
    </w:p>
    <w:p w14:paraId="2CBD8785"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STOP: to get into the child's world, step into their shoes;</w:t>
      </w:r>
    </w:p>
    <w:p w14:paraId="7E04BF72"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LOOK with the eyes of the child; and</w:t>
      </w:r>
    </w:p>
    <w:p w14:paraId="17317938"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LISTEN to what the child is saying.</w:t>
      </w:r>
    </w:p>
    <w:p w14:paraId="6004161C" w14:textId="77777777" w:rsidR="00693223" w:rsidRDefault="00693223">
      <w:pPr>
        <w:spacing w:before="120"/>
        <w:jc w:val="both"/>
        <w:rPr>
          <w:rFonts w:ascii="Arial" w:hAnsi="Arial" w:cs="Arial"/>
          <w:sz w:val="20"/>
        </w:rPr>
      </w:pPr>
      <w:r>
        <w:rPr>
          <w:rFonts w:ascii="Arial" w:hAnsi="Arial" w:cs="Arial"/>
          <w:sz w:val="20"/>
        </w:rPr>
        <w:t>The author then lists the 4 developmental stages-</w:t>
      </w:r>
    </w:p>
    <w:p w14:paraId="17D115ED" w14:textId="77777777" w:rsidR="00693223" w:rsidRDefault="00693223">
      <w:pPr>
        <w:numPr>
          <w:ilvl w:val="0"/>
          <w:numId w:val="26"/>
        </w:numPr>
        <w:jc w:val="both"/>
        <w:rPr>
          <w:rFonts w:ascii="Arial" w:hAnsi="Arial" w:cs="Arial"/>
          <w:sz w:val="20"/>
        </w:rPr>
      </w:pPr>
      <w:r>
        <w:rPr>
          <w:rFonts w:ascii="Arial" w:hAnsi="Arial" w:cs="Arial"/>
          <w:sz w:val="20"/>
        </w:rPr>
        <w:t>THE BABY</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The Snuggler</w:t>
      </w:r>
      <w:r>
        <w:rPr>
          <w:rFonts w:ascii="Arial" w:hAnsi="Arial" w:cs="Arial"/>
          <w:sz w:val="20"/>
        </w:rPr>
        <w:tab/>
      </w:r>
      <w:r>
        <w:rPr>
          <w:rFonts w:ascii="Arial" w:hAnsi="Arial" w:cs="Arial"/>
          <w:i/>
          <w:iCs/>
          <w:sz w:val="20"/>
        </w:rPr>
        <w:t>Ability to grow and thrive</w:t>
      </w:r>
    </w:p>
    <w:p w14:paraId="4B42F233" w14:textId="77777777" w:rsidR="00693223" w:rsidRDefault="00693223">
      <w:pPr>
        <w:numPr>
          <w:ilvl w:val="0"/>
          <w:numId w:val="26"/>
        </w:numPr>
        <w:jc w:val="both"/>
        <w:rPr>
          <w:rFonts w:ascii="Arial" w:hAnsi="Arial" w:cs="Arial"/>
          <w:sz w:val="20"/>
        </w:rPr>
      </w:pPr>
      <w:r>
        <w:rPr>
          <w:rFonts w:ascii="Arial" w:hAnsi="Arial" w:cs="Arial"/>
          <w:sz w:val="20"/>
        </w:rPr>
        <w:t>THE TODDLER</w:t>
      </w:r>
      <w:r>
        <w:rPr>
          <w:rFonts w:ascii="Arial" w:hAnsi="Arial" w:cs="Arial"/>
          <w:sz w:val="20"/>
        </w:rPr>
        <w:tab/>
      </w:r>
      <w:r>
        <w:rPr>
          <w:rFonts w:ascii="Arial" w:hAnsi="Arial" w:cs="Arial"/>
          <w:sz w:val="20"/>
        </w:rPr>
        <w:tab/>
      </w:r>
      <w:r>
        <w:rPr>
          <w:rFonts w:ascii="Arial" w:hAnsi="Arial" w:cs="Arial"/>
          <w:i/>
          <w:iCs/>
          <w:sz w:val="20"/>
        </w:rPr>
        <w:tab/>
      </w:r>
      <w:r>
        <w:rPr>
          <w:rFonts w:ascii="Arial" w:hAnsi="Arial" w:cs="Arial"/>
          <w:sz w:val="20"/>
        </w:rPr>
        <w:t>The Explorer</w:t>
      </w:r>
      <w:r>
        <w:rPr>
          <w:rFonts w:ascii="Arial" w:hAnsi="Arial" w:cs="Arial"/>
          <w:i/>
          <w:iCs/>
          <w:sz w:val="20"/>
        </w:rPr>
        <w:tab/>
        <w:t>Attachment issues</w:t>
      </w:r>
    </w:p>
    <w:p w14:paraId="625264D8" w14:textId="77777777" w:rsidR="00693223" w:rsidRDefault="00693223">
      <w:pPr>
        <w:numPr>
          <w:ilvl w:val="0"/>
          <w:numId w:val="26"/>
        </w:numPr>
        <w:jc w:val="both"/>
        <w:rPr>
          <w:rFonts w:ascii="Arial" w:hAnsi="Arial" w:cs="Arial"/>
          <w:sz w:val="20"/>
        </w:rPr>
      </w:pPr>
      <w:r>
        <w:rPr>
          <w:rFonts w:ascii="Arial" w:hAnsi="Arial" w:cs="Arial"/>
          <w:sz w:val="20"/>
        </w:rPr>
        <w:t>THE PRE-SCHOOL CHILD</w:t>
      </w:r>
      <w:r>
        <w:rPr>
          <w:rFonts w:ascii="Arial" w:hAnsi="Arial" w:cs="Arial"/>
          <w:sz w:val="20"/>
        </w:rPr>
        <w:tab/>
      </w:r>
      <w:r>
        <w:rPr>
          <w:rFonts w:ascii="Arial" w:hAnsi="Arial" w:cs="Arial"/>
          <w:sz w:val="20"/>
        </w:rPr>
        <w:tab/>
        <w:t>The Actor</w:t>
      </w:r>
      <w:r>
        <w:rPr>
          <w:rFonts w:ascii="Arial" w:hAnsi="Arial" w:cs="Arial"/>
          <w:i/>
          <w:iCs/>
          <w:sz w:val="20"/>
        </w:rPr>
        <w:tab/>
        <w:t>Behavioural responses</w:t>
      </w:r>
    </w:p>
    <w:p w14:paraId="0DF395E7" w14:textId="77777777" w:rsidR="00693223" w:rsidRDefault="00693223">
      <w:pPr>
        <w:numPr>
          <w:ilvl w:val="0"/>
          <w:numId w:val="26"/>
        </w:numPr>
        <w:jc w:val="both"/>
        <w:rPr>
          <w:rFonts w:ascii="Arial" w:hAnsi="Arial" w:cs="Arial"/>
          <w:sz w:val="20"/>
        </w:rPr>
      </w:pPr>
      <w:r>
        <w:rPr>
          <w:rFonts w:ascii="Arial" w:hAnsi="Arial" w:cs="Arial"/>
          <w:sz w:val="20"/>
        </w:rPr>
        <w:t>THE SCHOOL AGED CHILD</w:t>
      </w:r>
      <w:r>
        <w:rPr>
          <w:rFonts w:ascii="Arial" w:hAnsi="Arial" w:cs="Arial"/>
          <w:sz w:val="20"/>
        </w:rPr>
        <w:tab/>
        <w:t>The Builder</w:t>
      </w:r>
      <w:r>
        <w:rPr>
          <w:rFonts w:ascii="Arial" w:hAnsi="Arial" w:cs="Arial"/>
          <w:sz w:val="20"/>
        </w:rPr>
        <w:tab/>
      </w:r>
      <w:r>
        <w:rPr>
          <w:rFonts w:ascii="Arial" w:hAnsi="Arial" w:cs="Arial"/>
          <w:i/>
          <w:iCs/>
          <w:sz w:val="20"/>
        </w:rPr>
        <w:t>Loyalty conflicts</w:t>
      </w:r>
    </w:p>
    <w:p w14:paraId="54CA73D1" w14:textId="77777777" w:rsidR="00693223" w:rsidRDefault="00693223">
      <w:pPr>
        <w:jc w:val="both"/>
        <w:rPr>
          <w:rFonts w:ascii="Arial" w:hAnsi="Arial" w:cs="Arial"/>
          <w:sz w:val="20"/>
        </w:rPr>
      </w:pPr>
      <w:r>
        <w:rPr>
          <w:rFonts w:ascii="Arial" w:hAnsi="Arial" w:cs="Arial"/>
          <w:sz w:val="20"/>
        </w:rPr>
        <w:t>and discusses the cues and pitfalls of communication with each but limiting the 4</w:t>
      </w:r>
      <w:r>
        <w:rPr>
          <w:rFonts w:ascii="Arial" w:hAnsi="Arial" w:cs="Arial"/>
          <w:sz w:val="20"/>
          <w:vertAlign w:val="superscript"/>
        </w:rPr>
        <w:t>th</w:t>
      </w:r>
      <w:r>
        <w:rPr>
          <w:rFonts w:ascii="Arial" w:hAnsi="Arial" w:cs="Arial"/>
          <w:sz w:val="20"/>
        </w:rPr>
        <w:t xml:space="preserve"> category to children under 8.</w:t>
      </w:r>
    </w:p>
    <w:p w14:paraId="75C9FBE7" w14:textId="77777777" w:rsidR="00693223" w:rsidRDefault="00693223">
      <w:pPr>
        <w:spacing w:before="120"/>
        <w:jc w:val="both"/>
        <w:rPr>
          <w:rFonts w:ascii="Arial" w:hAnsi="Arial" w:cs="Arial"/>
          <w:sz w:val="20"/>
        </w:rPr>
      </w:pPr>
      <w:r>
        <w:rPr>
          <w:rFonts w:ascii="Arial" w:hAnsi="Arial" w:cs="Arial"/>
          <w:sz w:val="20"/>
        </w:rPr>
        <w:t>The paper concludes with a bibliography of recommended reading:</w:t>
      </w:r>
    </w:p>
    <w:p w14:paraId="60D1CB18"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 xml:space="preserve">Myers, Goodman, Saywitz, </w:t>
      </w:r>
      <w:r>
        <w:rPr>
          <w:rFonts w:ascii="Arial" w:hAnsi="Arial" w:cs="Arial"/>
          <w:i/>
          <w:iCs/>
          <w:sz w:val="20"/>
        </w:rPr>
        <w:t>Psychological Research on Children as Witnesses: Practical Implications for Forensic Interviewers and Courtroom Testimony</w:t>
      </w:r>
      <w:r>
        <w:rPr>
          <w:rFonts w:ascii="Arial" w:hAnsi="Arial" w:cs="Arial"/>
          <w:sz w:val="20"/>
        </w:rPr>
        <w:t>, 27 Pacific Law Journal 1, 26 (1996)</w:t>
      </w:r>
    </w:p>
    <w:p w14:paraId="6B69536C"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 xml:space="preserve">M Aldridge &amp; J Wood, </w:t>
      </w:r>
      <w:r>
        <w:rPr>
          <w:rFonts w:ascii="Arial" w:hAnsi="Arial" w:cs="Arial"/>
          <w:i/>
          <w:iCs/>
          <w:sz w:val="20"/>
        </w:rPr>
        <w:t>Interviewing Children: A Guide for Child Care and Forensic Practitioners,</w:t>
      </w:r>
      <w:r>
        <w:rPr>
          <w:rFonts w:ascii="Arial" w:hAnsi="Arial" w:cs="Arial"/>
          <w:sz w:val="20"/>
        </w:rPr>
        <w:t xml:space="preserve"> Wiley &amp; Sons (1998)</w:t>
      </w:r>
    </w:p>
    <w:p w14:paraId="42B2522A"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 xml:space="preserve">Anne Graffam Walker, </w:t>
      </w:r>
      <w:r>
        <w:rPr>
          <w:rFonts w:ascii="Arial" w:hAnsi="Arial" w:cs="Arial"/>
          <w:i/>
          <w:iCs/>
          <w:sz w:val="20"/>
        </w:rPr>
        <w:t>Handbook on Questioning Children: A Linguistic Perspective,</w:t>
      </w:r>
      <w:r>
        <w:rPr>
          <w:rFonts w:ascii="Arial" w:hAnsi="Arial" w:cs="Arial"/>
          <w:sz w:val="20"/>
        </w:rPr>
        <w:t xml:space="preserve"> 2</w:t>
      </w:r>
      <w:r>
        <w:rPr>
          <w:rFonts w:ascii="Arial" w:hAnsi="Arial" w:cs="Arial"/>
          <w:sz w:val="20"/>
          <w:vertAlign w:val="superscript"/>
        </w:rPr>
        <w:t>nd</w:t>
      </w:r>
      <w:r>
        <w:rPr>
          <w:rFonts w:ascii="Arial" w:hAnsi="Arial" w:cs="Arial"/>
          <w:sz w:val="20"/>
        </w:rPr>
        <w:t xml:space="preserve"> ed., American Bar Assocation (1999)</w:t>
      </w:r>
    </w:p>
    <w:p w14:paraId="4E06FFE1"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 xml:space="preserve">K Budd, L M Poindexter, E D Felix &amp; A T Naik-Polan, </w:t>
      </w:r>
      <w:r>
        <w:rPr>
          <w:rFonts w:ascii="Arial" w:hAnsi="Arial" w:cs="Arial"/>
          <w:i/>
          <w:iCs/>
          <w:sz w:val="20"/>
        </w:rPr>
        <w:t>Clinical Assessment of Parents in Child Protection cases: An empirical analysis</w:t>
      </w:r>
      <w:r>
        <w:rPr>
          <w:rFonts w:ascii="Arial" w:hAnsi="Arial" w:cs="Arial"/>
          <w:sz w:val="20"/>
        </w:rPr>
        <w:t>, Law and Human Behaviour 25, 93-108 (2001).</w:t>
      </w:r>
    </w:p>
    <w:p w14:paraId="7D9346C8" w14:textId="77777777" w:rsidR="00693223" w:rsidRDefault="00693223">
      <w:pPr>
        <w:jc w:val="both"/>
        <w:rPr>
          <w:rFonts w:ascii="Arial" w:hAnsi="Arial" w:cs="Arial"/>
          <w:sz w:val="20"/>
        </w:rPr>
      </w:pPr>
    </w:p>
    <w:p w14:paraId="160F6404" w14:textId="77777777" w:rsidR="00693223" w:rsidRDefault="00693223">
      <w:pPr>
        <w:jc w:val="both"/>
        <w:rPr>
          <w:rFonts w:ascii="Arial" w:hAnsi="Arial" w:cs="Arial"/>
          <w:sz w:val="20"/>
        </w:rPr>
      </w:pPr>
    </w:p>
    <w:p w14:paraId="677C9C95"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15</w:t>
      </w:r>
    </w:p>
    <w:p w14:paraId="328FE3A3" w14:textId="77777777" w:rsidR="00693223" w:rsidRDefault="00693223">
      <w:pPr>
        <w:keepNext/>
        <w:keepLines/>
        <w:autoSpaceDE w:val="0"/>
        <w:autoSpaceDN w:val="0"/>
        <w:adjustRightInd w:val="0"/>
        <w:rPr>
          <w:rFonts w:ascii="Arial" w:hAnsi="Arial" w:cs="Arial"/>
          <w:b/>
          <w:bCs/>
          <w:lang w:val="en-US"/>
        </w:rPr>
      </w:pPr>
      <w:r>
        <w:rPr>
          <w:rFonts w:ascii="Arial" w:hAnsi="Arial" w:cs="Arial"/>
          <w:b/>
          <w:bCs/>
          <w:lang w:val="en-US"/>
        </w:rPr>
        <w:t>Fortressing the developed world: Emerging trends in asylum procedures and detention practices and the impact on children and families fleeing persecution and war.</w:t>
      </w:r>
    </w:p>
    <w:p w14:paraId="551CA015" w14:textId="77777777" w:rsidR="00693223" w:rsidRDefault="00693223">
      <w:pPr>
        <w:keepNext/>
        <w:keepLines/>
        <w:jc w:val="both"/>
        <w:rPr>
          <w:rFonts w:ascii="Arial" w:hAnsi="Arial" w:cs="Arial"/>
          <w:sz w:val="20"/>
        </w:rPr>
      </w:pPr>
      <w:smartTag w:uri="urn:schemas-microsoft-com:office:smarttags" w:element="City">
        <w:smartTag w:uri="urn:schemas-microsoft-com:office:smarttags" w:element="place">
          <w:r>
            <w:rPr>
              <w:rFonts w:ascii="Arial" w:hAnsi="Arial" w:cs="Arial"/>
              <w:sz w:val="20"/>
            </w:rPr>
            <w:t>Paris</w:t>
          </w:r>
        </w:smartTag>
      </w:smartTag>
      <w:r>
        <w:rPr>
          <w:rFonts w:ascii="Arial" w:hAnsi="Arial" w:cs="Arial"/>
          <w:sz w:val="20"/>
        </w:rPr>
        <w:t xml:space="preserve"> Aristotle AM (Director, Victorian Foundation for Survivors of Torture)</w:t>
      </w:r>
    </w:p>
    <w:p w14:paraId="4636247D"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It is often said that one of the first casualties of war is truth, but perhaps the most enduring casualty lies in the shattering of childhood innocence.  In the madness of armed conflicts, persecution and abuse are commonplace and instead of hope, it is devastation and hopelessness that characterise the future of a young person.  However, it is not only the act of war that defines this bit also the manner in which the international community responds to young people as refugees in countries of first asylum or as asylum seekers.  The scale of this problem is enormous with more than 21 million people of concern to the UNHCR today of which an estimated 10 million are children.</w:t>
      </w:r>
    </w:p>
    <w:p w14:paraId="2622A79A"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plight of refugees and asylum seekers has emerged as one of the most complex and controversial legal and public policy issues facing the international community.  As developed nations increasingly fortress themselves from people seeking asylum and the activities of people smugglers, the fate and welfare of children takes a back seat in the planning and implementation of policy.  Consequently, these attempts to keep the problems of poorer nations at a distance, have seen the spirit and meaning of various international human rights conventions eroded and a rise in xenophobia throughout the developed world.</w:t>
      </w:r>
    </w:p>
    <w:p w14:paraId="1A8490C5" w14:textId="77777777" w:rsidR="00693223" w:rsidRDefault="00693223">
      <w:pPr>
        <w:jc w:val="both"/>
        <w:rPr>
          <w:rFonts w:ascii="Arial" w:hAnsi="Arial" w:cs="Arial"/>
          <w:sz w:val="20"/>
        </w:rPr>
      </w:pPr>
    </w:p>
    <w:p w14:paraId="6AB29687"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WCF16</w:t>
      </w:r>
      <w:r w:rsidR="00E26E9E">
        <w:rPr>
          <w:rFonts w:ascii="Arial" w:hAnsi="Arial" w:cs="Arial"/>
          <w:b/>
          <w:bCs/>
          <w:sz w:val="28"/>
        </w:rPr>
        <w:t>.16</w:t>
      </w:r>
    </w:p>
    <w:p w14:paraId="6045A563" w14:textId="77777777" w:rsidR="00693223" w:rsidRDefault="00693223">
      <w:pPr>
        <w:autoSpaceDE w:val="0"/>
        <w:autoSpaceDN w:val="0"/>
        <w:adjustRightInd w:val="0"/>
        <w:jc w:val="both"/>
        <w:rPr>
          <w:rFonts w:ascii="Arial" w:hAnsi="Arial" w:cs="Arial"/>
          <w:b/>
          <w:bCs/>
          <w:lang w:val="en-US"/>
        </w:rPr>
      </w:pPr>
      <w:r>
        <w:rPr>
          <w:rFonts w:ascii="Arial" w:hAnsi="Arial" w:cs="Arial"/>
          <w:b/>
          <w:bCs/>
          <w:lang w:val="en-US"/>
        </w:rPr>
        <w:t>Reflections on a South African initiative: Empowering family law litigants in person</w:t>
      </w:r>
    </w:p>
    <w:p w14:paraId="6AE6B9D4" w14:textId="77777777" w:rsidR="00693223" w:rsidRDefault="00693223">
      <w:pPr>
        <w:jc w:val="both"/>
        <w:rPr>
          <w:rFonts w:ascii="Arial" w:hAnsi="Arial" w:cs="Arial"/>
          <w:sz w:val="20"/>
        </w:rPr>
      </w:pPr>
      <w:r>
        <w:rPr>
          <w:rFonts w:ascii="Arial" w:hAnsi="Arial" w:cs="Arial"/>
          <w:sz w:val="20"/>
        </w:rPr>
        <w:t>Elizabeth Baartman (</w:t>
      </w:r>
      <w:smartTag w:uri="urn:schemas-microsoft-com:office:smarttags" w:element="place">
        <w:smartTag w:uri="urn:schemas-microsoft-com:office:smarttags" w:element="PlaceType">
          <w:r>
            <w:rPr>
              <w:rFonts w:ascii="Arial" w:hAnsi="Arial" w:cs="Arial"/>
              <w:sz w:val="20"/>
            </w:rPr>
            <w:t>Republic</w:t>
          </w:r>
        </w:smartTag>
        <w:r>
          <w:rPr>
            <w:rFonts w:ascii="Arial" w:hAnsi="Arial" w:cs="Arial"/>
            <w:sz w:val="20"/>
          </w:rPr>
          <w:t xml:space="preserve"> of </w:t>
        </w:r>
        <w:smartTag w:uri="urn:schemas-microsoft-com:office:smarttags" w:element="PlaceName">
          <w:r>
            <w:rPr>
              <w:rFonts w:ascii="Arial" w:hAnsi="Arial" w:cs="Arial"/>
              <w:sz w:val="20"/>
            </w:rPr>
            <w:t>South Africa</w:t>
          </w:r>
        </w:smartTag>
      </w:smartTag>
      <w:r>
        <w:rPr>
          <w:rFonts w:ascii="Arial" w:hAnsi="Arial" w:cs="Arial"/>
          <w:sz w:val="20"/>
        </w:rPr>
        <w:t>)</w:t>
      </w:r>
    </w:p>
    <w:p w14:paraId="3073E550" w14:textId="77777777" w:rsidR="00693223" w:rsidRDefault="00693223">
      <w:pPr>
        <w:spacing w:before="120"/>
        <w:jc w:val="both"/>
        <w:rPr>
          <w:rFonts w:ascii="Arial" w:hAnsi="Arial" w:cs="Arial"/>
          <w:sz w:val="20"/>
        </w:rPr>
      </w:pPr>
      <w:r>
        <w:rPr>
          <w:rFonts w:ascii="Arial" w:hAnsi="Arial" w:cs="Arial"/>
          <w:sz w:val="20"/>
        </w:rPr>
        <w:t xml:space="preserve">The author of this interesting paper discusses in some detail the operation of her employer the PFLC, a not for profit company which provides family law services and whose primary aim is to increase access to justice by providing effective, affordable, accessible and professional services to clients in a self-sustainable manner.  She also discusses the current provision of family court services - comprising maintenance, maintenance enforcement, domestic violence, divorce, </w:t>
      </w:r>
      <w:r w:rsidR="00502296" w:rsidRPr="00334C46">
        <w:rPr>
          <w:rFonts w:ascii="Arial" w:hAnsi="Arial" w:cs="Arial"/>
          <w:color w:val="000000"/>
          <w:sz w:val="20"/>
        </w:rPr>
        <w:t>contact</w:t>
      </w:r>
      <w:r w:rsidRPr="00334C46">
        <w:rPr>
          <w:rFonts w:ascii="Arial" w:hAnsi="Arial" w:cs="Arial"/>
          <w:color w:val="000000"/>
          <w:sz w:val="20"/>
        </w:rPr>
        <w:t xml:space="preserve"> </w:t>
      </w:r>
      <w:r>
        <w:rPr>
          <w:rFonts w:ascii="Arial" w:hAnsi="Arial" w:cs="Arial"/>
          <w:sz w:val="20"/>
        </w:rPr>
        <w:t xml:space="preserve">and children's court proceedings - to citizens of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 xml:space="preserve"> and analyses the 5 pilot family courts established in 1997.  While the author acknowledges that a </w:t>
      </w:r>
      <w:r>
        <w:rPr>
          <w:rFonts w:ascii="Arial" w:hAnsi="Arial" w:cs="Arial"/>
          <w:sz w:val="20"/>
        </w:rPr>
        <w:lastRenderedPageBreak/>
        <w:t xml:space="preserve">major failing of these pilots is that each of the areas of family law still operates in isolation - the author graphically describing the structure as "silos" - it is her view that one of the great successes demonstrated by the pilot courts is the emphasis placed on plain language and the interventionist role of the bench.  She considers this approach to be critical in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 xml:space="preserve"> as over 85% of all people before the court are unrepresented and a large percentage of these are functionally illiterate and innumerate.  She concludes by noting that currently members of the PFLC are assisting the Department of Justice and Constitutional Development to strengthen the five pilot family courts and to provide a framework for the establishment of permanent family courts in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w:t>
      </w:r>
    </w:p>
    <w:p w14:paraId="69310C18" w14:textId="77777777" w:rsidR="00693223" w:rsidRDefault="00693223">
      <w:pPr>
        <w:jc w:val="both"/>
        <w:rPr>
          <w:rFonts w:ascii="Arial" w:hAnsi="Arial" w:cs="Arial"/>
          <w:sz w:val="20"/>
        </w:rPr>
      </w:pPr>
    </w:p>
    <w:p w14:paraId="19A9F35A"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WCF1</w:t>
      </w:r>
      <w:r w:rsidR="00E26E9E">
        <w:rPr>
          <w:rFonts w:ascii="Arial" w:hAnsi="Arial" w:cs="Arial"/>
          <w:b/>
          <w:bCs/>
          <w:sz w:val="28"/>
        </w:rPr>
        <w:t>6.1</w:t>
      </w:r>
      <w:r>
        <w:rPr>
          <w:rFonts w:ascii="Arial" w:hAnsi="Arial" w:cs="Arial"/>
          <w:b/>
          <w:bCs/>
          <w:sz w:val="28"/>
        </w:rPr>
        <w:t>7</w:t>
      </w:r>
    </w:p>
    <w:p w14:paraId="27E97620" w14:textId="77777777" w:rsidR="00693223" w:rsidRDefault="00693223">
      <w:pPr>
        <w:keepNext/>
        <w:keepLines/>
        <w:jc w:val="both"/>
        <w:rPr>
          <w:rFonts w:ascii="Arial" w:hAnsi="Arial" w:cs="Arial"/>
          <w:b/>
          <w:bCs/>
        </w:rPr>
      </w:pPr>
      <w:r>
        <w:rPr>
          <w:rFonts w:ascii="Arial" w:hAnsi="Arial" w:cs="Arial"/>
          <w:b/>
          <w:bCs/>
        </w:rPr>
        <w:t>Is Truancy a Child Protection Issue?</w:t>
      </w:r>
    </w:p>
    <w:p w14:paraId="42656678" w14:textId="77777777" w:rsidR="00693223" w:rsidRDefault="00693223">
      <w:pPr>
        <w:jc w:val="both"/>
        <w:rPr>
          <w:rFonts w:ascii="Arial" w:hAnsi="Arial" w:cs="Arial"/>
          <w:sz w:val="20"/>
        </w:rPr>
      </w:pPr>
      <w:r>
        <w:rPr>
          <w:rFonts w:ascii="Arial" w:hAnsi="Arial" w:cs="Arial"/>
          <w:sz w:val="20"/>
        </w:rPr>
        <w:t xml:space="preserve">Peter Green (Department of Human Services,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4718CFF4"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In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the relevant legislation in relation to truancy is:</w:t>
      </w:r>
    </w:p>
    <w:p w14:paraId="1DEE8CA0" w14:textId="77777777" w:rsidR="00693223" w:rsidRDefault="00693223" w:rsidP="002239D1">
      <w:pPr>
        <w:numPr>
          <w:ilvl w:val="0"/>
          <w:numId w:val="23"/>
        </w:numPr>
        <w:autoSpaceDE w:val="0"/>
        <w:autoSpaceDN w:val="0"/>
        <w:adjustRightInd w:val="0"/>
        <w:ind w:left="419" w:hanging="357"/>
        <w:jc w:val="both"/>
        <w:rPr>
          <w:rFonts w:ascii="Arial" w:hAnsi="Arial" w:cs="Arial"/>
          <w:sz w:val="20"/>
        </w:rPr>
      </w:pPr>
      <w:r>
        <w:rPr>
          <w:rFonts w:ascii="Arial" w:hAnsi="Arial" w:cs="Arial"/>
          <w:sz w:val="20"/>
        </w:rPr>
        <w:t>the Education Act 1958 which states that children between the ages of six and fifteen must attend school; and</w:t>
      </w:r>
    </w:p>
    <w:p w14:paraId="63958674" w14:textId="77777777" w:rsidR="00693223" w:rsidRDefault="00693223" w:rsidP="002239D1">
      <w:pPr>
        <w:numPr>
          <w:ilvl w:val="0"/>
          <w:numId w:val="23"/>
        </w:numPr>
        <w:autoSpaceDE w:val="0"/>
        <w:autoSpaceDN w:val="0"/>
        <w:adjustRightInd w:val="0"/>
        <w:ind w:left="419" w:hanging="357"/>
        <w:jc w:val="both"/>
        <w:rPr>
          <w:rFonts w:ascii="Arial" w:hAnsi="Arial" w:cs="Arial"/>
          <w:sz w:val="20"/>
        </w:rPr>
      </w:pPr>
      <w:r>
        <w:rPr>
          <w:rFonts w:ascii="Arial" w:hAnsi="Arial" w:cs="Arial"/>
          <w:sz w:val="20"/>
        </w:rPr>
        <w:t>the Community Services Act 1970 which places the responsibility for school environment and attendance on parents.</w:t>
      </w:r>
    </w:p>
    <w:p w14:paraId="7A53F00C" w14:textId="77777777" w:rsidR="00693223" w:rsidRDefault="00693223">
      <w:pPr>
        <w:autoSpaceDE w:val="0"/>
        <w:autoSpaceDN w:val="0"/>
        <w:adjustRightInd w:val="0"/>
        <w:jc w:val="both"/>
        <w:rPr>
          <w:rFonts w:ascii="Arial" w:hAnsi="Arial" w:cs="Arial"/>
          <w:sz w:val="20"/>
        </w:rPr>
      </w:pPr>
      <w:r>
        <w:rPr>
          <w:rFonts w:ascii="Arial" w:hAnsi="Arial" w:cs="Arial"/>
          <w:sz w:val="20"/>
        </w:rPr>
        <w:t>Truancy as a child protection matter needs to be examined in the context of the Children and Young Persons Act 1989 which mandates child protection intervention when a child is "in need of protection" from significant harm.  Truancy in itself is not usually a cause of significant harm and would not often lead to a need for protection.  However the effect of truancy on a child's intellectual development may, in combination with other factors, lead to an assessment that a child is in need of protection.  Alternatively, truancy may result from an attempt to conceal evidence of abuse, or from a child being required to fulfil inappropriate care responsibilities for younger siblings, from parental neglect, or problems with adjustment to the school environment as a result of harm caused by abuse.  Thus truancy may act as an indicator of abuse when viewed in the context of all the circumstances of a child's life.</w:t>
      </w:r>
    </w:p>
    <w:p w14:paraId="012CE962" w14:textId="77777777" w:rsidR="00693223" w:rsidRDefault="00693223">
      <w:pPr>
        <w:jc w:val="both"/>
        <w:rPr>
          <w:rFonts w:ascii="Arial" w:hAnsi="Arial" w:cs="Arial"/>
          <w:sz w:val="20"/>
        </w:rPr>
      </w:pPr>
    </w:p>
    <w:p w14:paraId="3302132B"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18</w:t>
      </w:r>
    </w:p>
    <w:p w14:paraId="71A625CC" w14:textId="77777777" w:rsidR="00693223" w:rsidRDefault="00693223">
      <w:pPr>
        <w:autoSpaceDE w:val="0"/>
        <w:autoSpaceDN w:val="0"/>
        <w:adjustRightInd w:val="0"/>
        <w:jc w:val="both"/>
        <w:rPr>
          <w:rFonts w:ascii="Arial" w:hAnsi="Arial" w:cs="Arial"/>
          <w:b/>
          <w:bCs/>
          <w:sz w:val="28"/>
        </w:rPr>
      </w:pPr>
      <w:r>
        <w:rPr>
          <w:rFonts w:ascii="Arial" w:hAnsi="Arial" w:cs="Arial"/>
          <w:b/>
          <w:bCs/>
          <w:szCs w:val="28"/>
          <w:lang w:val="en-US"/>
        </w:rPr>
        <w:t xml:space="preserve">A Community Response to Truancy - A Model for </w:t>
      </w:r>
      <w:smartTag w:uri="urn:schemas-microsoft-com:office:smarttags" w:element="country-region">
        <w:smartTag w:uri="urn:schemas-microsoft-com:office:smarttags" w:element="place">
          <w:r>
            <w:rPr>
              <w:rFonts w:ascii="Arial" w:hAnsi="Arial" w:cs="Arial"/>
              <w:b/>
              <w:bCs/>
              <w:szCs w:val="28"/>
              <w:lang w:val="en-US"/>
            </w:rPr>
            <w:t>New Zealand</w:t>
          </w:r>
        </w:smartTag>
      </w:smartTag>
    </w:p>
    <w:p w14:paraId="0E04EBE6" w14:textId="77777777" w:rsidR="00693223" w:rsidRDefault="00693223">
      <w:pPr>
        <w:jc w:val="both"/>
        <w:rPr>
          <w:rFonts w:ascii="Arial" w:hAnsi="Arial" w:cs="Arial"/>
          <w:sz w:val="20"/>
        </w:rPr>
      </w:pPr>
      <w:r>
        <w:rPr>
          <w:rFonts w:ascii="Arial" w:hAnsi="Arial" w:cs="Arial"/>
          <w:sz w:val="20"/>
        </w:rPr>
        <w:t xml:space="preserve">Pat Harrison (Otago Youth Wellness </w:t>
      </w:r>
      <w:smartTag w:uri="urn:schemas-microsoft-com:office:smarttags" w:element="place">
        <w:smartTag w:uri="urn:schemas-microsoft-com:office:smarttags" w:element="City">
          <w:r>
            <w:rPr>
              <w:rFonts w:ascii="Arial" w:hAnsi="Arial" w:cs="Arial"/>
              <w:sz w:val="20"/>
            </w:rPr>
            <w:t>Trust</w:t>
          </w:r>
        </w:smartTag>
        <w:r>
          <w:rPr>
            <w:rFonts w:ascii="Arial" w:hAnsi="Arial" w:cs="Arial"/>
            <w:sz w:val="20"/>
          </w:rPr>
          <w:t xml:space="preserve">, </w:t>
        </w:r>
        <w:smartTag w:uri="urn:schemas-microsoft-com:office:smarttags" w:element="country-region">
          <w:r>
            <w:rPr>
              <w:rFonts w:ascii="Arial" w:hAnsi="Arial" w:cs="Arial"/>
              <w:sz w:val="20"/>
            </w:rPr>
            <w:t>New Zealand</w:t>
          </w:r>
        </w:smartTag>
      </w:smartTag>
      <w:r>
        <w:rPr>
          <w:rFonts w:ascii="Arial" w:hAnsi="Arial" w:cs="Arial"/>
          <w:sz w:val="20"/>
        </w:rPr>
        <w:t>)</w:t>
      </w:r>
    </w:p>
    <w:p w14:paraId="6DDA9E42" w14:textId="77777777" w:rsidR="00693223" w:rsidRDefault="00693223">
      <w:pPr>
        <w:spacing w:before="120"/>
        <w:jc w:val="both"/>
        <w:rPr>
          <w:rFonts w:ascii="Arial" w:hAnsi="Arial" w:cs="Arial"/>
          <w:sz w:val="20"/>
        </w:rPr>
      </w:pPr>
      <w:r>
        <w:rPr>
          <w:rFonts w:ascii="Arial" w:hAnsi="Arial" w:cs="Arial"/>
          <w:sz w:val="20"/>
        </w:rPr>
        <w:t xml:space="preserve">Seven years ago two studies were undertaken in </w:t>
      </w:r>
      <w:smartTag w:uri="urn:schemas-microsoft-com:office:smarttags" w:element="City">
        <w:smartTag w:uri="urn:schemas-microsoft-com:office:smarttags" w:element="place">
          <w:r>
            <w:rPr>
              <w:rFonts w:ascii="Arial" w:hAnsi="Arial" w:cs="Arial"/>
              <w:sz w:val="20"/>
            </w:rPr>
            <w:t>Dunedin</w:t>
          </w:r>
        </w:smartTag>
      </w:smartTag>
      <w:r>
        <w:rPr>
          <w:rFonts w:ascii="Arial" w:hAnsi="Arial" w:cs="Arial"/>
          <w:sz w:val="20"/>
        </w:rPr>
        <w:t xml:space="preserve"> following a rise in recidivist juvenile offending in both frequency and seriousness, together with a significant rise in school truancy.  One study was on youth health in the city, the other on how well young people were aware of services available to them.  Focus groups of young people presented their views.  The outcome of the studies was the formation of a trust - a Young Welfare Trust - charged with the responsibility of delivering a reduction in truancy, a reduction in juvenile recidivist offending, a reduction in unwanted teenage pregnancies, a reduction in youth suicide, a reduction in the number of young people taken into State care and a reduction in drug and alcohol abuse.  Education was the indisputable key and reintegration to schooling a focus.  Truancy allows for unstructured time and the growth of anti-social behaviour.  It prevents the development of healthy social interaction, the acquisition of language skills, the application of reason and the growth of intellect.  This paper looks at the progression and of the Trust from 70 young people referred from schools and Youth Aid in its first year to the 300 current referrals and speaks of some of its achievements.</w:t>
      </w:r>
    </w:p>
    <w:p w14:paraId="76F643A8" w14:textId="77777777" w:rsidR="00693223" w:rsidRDefault="00693223">
      <w:pPr>
        <w:jc w:val="both"/>
        <w:rPr>
          <w:rFonts w:ascii="Arial" w:hAnsi="Arial" w:cs="Arial"/>
          <w:sz w:val="20"/>
        </w:rPr>
      </w:pPr>
    </w:p>
    <w:p w14:paraId="608E83A2"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19</w:t>
      </w:r>
    </w:p>
    <w:p w14:paraId="565CC494" w14:textId="77777777" w:rsidR="00693223" w:rsidRDefault="00693223">
      <w:pPr>
        <w:keepNext/>
        <w:keepLines/>
        <w:jc w:val="both"/>
        <w:rPr>
          <w:rFonts w:ascii="Arial" w:hAnsi="Arial" w:cs="Arial"/>
          <w:b/>
          <w:bCs/>
          <w:sz w:val="32"/>
        </w:rPr>
      </w:pPr>
      <w:r>
        <w:rPr>
          <w:rFonts w:ascii="Arial" w:hAnsi="Arial" w:cs="Arial"/>
          <w:b/>
          <w:bCs/>
        </w:rPr>
        <w:t>Children's Participation in the Inquisitorial System</w:t>
      </w:r>
    </w:p>
    <w:p w14:paraId="3FEE3CBB" w14:textId="77777777" w:rsidR="00693223" w:rsidRDefault="00693223">
      <w:pPr>
        <w:jc w:val="both"/>
        <w:rPr>
          <w:rFonts w:ascii="Arial" w:hAnsi="Arial" w:cs="Arial"/>
          <w:sz w:val="20"/>
        </w:rPr>
      </w:pPr>
      <w:r>
        <w:rPr>
          <w:rFonts w:ascii="Arial" w:hAnsi="Arial" w:cs="Arial"/>
          <w:sz w:val="20"/>
        </w:rPr>
        <w:t>Judge Herlinde Van de Wynckel (</w:t>
      </w:r>
      <w:smartTag w:uri="urn:schemas-microsoft-com:office:smarttags" w:element="place">
        <w:smartTag w:uri="urn:schemas-microsoft-com:office:smarttags" w:element="City">
          <w:r>
            <w:rPr>
              <w:rFonts w:ascii="Arial" w:hAnsi="Arial" w:cs="Arial"/>
              <w:sz w:val="20"/>
            </w:rPr>
            <w:t>Juvenile</w:t>
          </w:r>
        </w:smartTag>
        <w:r>
          <w:rPr>
            <w:rFonts w:ascii="Arial" w:hAnsi="Arial" w:cs="Arial"/>
            <w:sz w:val="20"/>
          </w:rPr>
          <w:t xml:space="preserve"> Court, </w:t>
        </w:r>
        <w:smartTag w:uri="urn:schemas-microsoft-com:office:smarttags" w:element="country-region">
          <w:r>
            <w:rPr>
              <w:rFonts w:ascii="Arial" w:hAnsi="Arial" w:cs="Arial"/>
              <w:sz w:val="20"/>
            </w:rPr>
            <w:t>Belgium</w:t>
          </w:r>
        </w:smartTag>
      </w:smartTag>
      <w:r>
        <w:rPr>
          <w:rFonts w:ascii="Arial" w:hAnsi="Arial" w:cs="Arial"/>
          <w:sz w:val="20"/>
        </w:rPr>
        <w:t>)</w:t>
      </w:r>
    </w:p>
    <w:p w14:paraId="319C990B" w14:textId="77777777" w:rsidR="00693223" w:rsidRDefault="00693223">
      <w:pPr>
        <w:spacing w:before="120"/>
        <w:jc w:val="both"/>
        <w:rPr>
          <w:rFonts w:ascii="Arial" w:hAnsi="Arial" w:cs="Arial"/>
          <w:sz w:val="20"/>
        </w:rPr>
      </w:pPr>
      <w:r>
        <w:rPr>
          <w:rFonts w:ascii="Arial" w:hAnsi="Arial" w:cs="Arial"/>
          <w:sz w:val="20"/>
        </w:rPr>
        <w:t xml:space="preserve">This paper summarises how the inquisitorial system works in </w:t>
      </w:r>
      <w:smartTag w:uri="urn:schemas-microsoft-com:office:smarttags" w:element="country-region">
        <w:smartTag w:uri="urn:schemas-microsoft-com:office:smarttags" w:element="place">
          <w:r>
            <w:rPr>
              <w:rFonts w:ascii="Arial" w:hAnsi="Arial" w:cs="Arial"/>
              <w:sz w:val="20"/>
            </w:rPr>
            <w:t>Belgium</w:t>
          </w:r>
        </w:smartTag>
      </w:smartTag>
      <w:r>
        <w:rPr>
          <w:rFonts w:ascii="Arial" w:hAnsi="Arial" w:cs="Arial"/>
          <w:sz w:val="20"/>
        </w:rPr>
        <w:t xml:space="preserve"> and discusses minors as parties in legal proceedings under 3 heads:</w:t>
      </w:r>
    </w:p>
    <w:p w14:paraId="5FA7FCEE" w14:textId="77777777" w:rsidR="00693223" w:rsidRDefault="00693223">
      <w:pPr>
        <w:numPr>
          <w:ilvl w:val="0"/>
          <w:numId w:val="24"/>
        </w:numPr>
        <w:jc w:val="both"/>
        <w:rPr>
          <w:rFonts w:ascii="Arial" w:hAnsi="Arial" w:cs="Arial"/>
          <w:sz w:val="20"/>
        </w:rPr>
      </w:pPr>
      <w:r>
        <w:rPr>
          <w:rFonts w:ascii="Arial" w:hAnsi="Arial" w:cs="Arial"/>
          <w:sz w:val="20"/>
        </w:rPr>
        <w:t>Juvenile law, encompassing juvenile delinquency and child protection.</w:t>
      </w:r>
    </w:p>
    <w:p w14:paraId="4A9F30AB" w14:textId="77777777" w:rsidR="00693223" w:rsidRDefault="00693223">
      <w:pPr>
        <w:numPr>
          <w:ilvl w:val="0"/>
          <w:numId w:val="24"/>
        </w:numPr>
        <w:jc w:val="both"/>
        <w:rPr>
          <w:rFonts w:ascii="Arial" w:hAnsi="Arial" w:cs="Arial"/>
          <w:sz w:val="20"/>
        </w:rPr>
      </w:pPr>
      <w:r>
        <w:rPr>
          <w:rFonts w:ascii="Arial" w:hAnsi="Arial" w:cs="Arial"/>
          <w:sz w:val="20"/>
        </w:rPr>
        <w:t>Civil proceedings.</w:t>
      </w:r>
    </w:p>
    <w:p w14:paraId="581AF3C6" w14:textId="77777777" w:rsidR="00693223" w:rsidRDefault="00693223">
      <w:pPr>
        <w:numPr>
          <w:ilvl w:val="0"/>
          <w:numId w:val="24"/>
        </w:numPr>
        <w:jc w:val="both"/>
        <w:rPr>
          <w:rFonts w:ascii="Arial" w:hAnsi="Arial" w:cs="Arial"/>
          <w:sz w:val="20"/>
        </w:rPr>
      </w:pPr>
      <w:r>
        <w:rPr>
          <w:rFonts w:ascii="Arial" w:hAnsi="Arial" w:cs="Arial"/>
          <w:sz w:val="20"/>
        </w:rPr>
        <w:t>Criminal proceedings against adults with minors as victims.</w:t>
      </w:r>
    </w:p>
    <w:p w14:paraId="1D06E31A" w14:textId="77777777" w:rsidR="00693223" w:rsidRDefault="00693223">
      <w:pPr>
        <w:jc w:val="both"/>
        <w:rPr>
          <w:rFonts w:ascii="Arial" w:hAnsi="Arial" w:cs="Arial"/>
          <w:sz w:val="20"/>
        </w:rPr>
      </w:pPr>
    </w:p>
    <w:p w14:paraId="2C430CB3"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lastRenderedPageBreak/>
        <w:t>WCF</w:t>
      </w:r>
      <w:r w:rsidR="00E26E9E">
        <w:rPr>
          <w:rFonts w:ascii="Arial" w:hAnsi="Arial" w:cs="Arial"/>
          <w:b/>
          <w:bCs/>
          <w:sz w:val="28"/>
        </w:rPr>
        <w:t>16.</w:t>
      </w:r>
      <w:r>
        <w:rPr>
          <w:rFonts w:ascii="Arial" w:hAnsi="Arial" w:cs="Arial"/>
          <w:b/>
          <w:bCs/>
          <w:sz w:val="28"/>
        </w:rPr>
        <w:t>20</w:t>
      </w:r>
    </w:p>
    <w:p w14:paraId="234B07F8" w14:textId="77777777" w:rsidR="00693223" w:rsidRDefault="00693223">
      <w:pPr>
        <w:keepNext/>
        <w:keepLines/>
        <w:jc w:val="both"/>
        <w:rPr>
          <w:rFonts w:ascii="Arial" w:hAnsi="Arial" w:cs="Arial"/>
          <w:b/>
          <w:bCs/>
        </w:rPr>
      </w:pPr>
      <w:r>
        <w:rPr>
          <w:rFonts w:ascii="Arial" w:hAnsi="Arial" w:cs="Arial"/>
          <w:b/>
          <w:bCs/>
        </w:rPr>
        <w:t>The Rights of the Child and African Traditions</w:t>
      </w:r>
    </w:p>
    <w:p w14:paraId="107D7FE0" w14:textId="77777777" w:rsidR="00693223" w:rsidRDefault="00693223">
      <w:pPr>
        <w:jc w:val="both"/>
        <w:rPr>
          <w:rFonts w:ascii="Arial" w:hAnsi="Arial" w:cs="Arial"/>
          <w:sz w:val="20"/>
        </w:rPr>
      </w:pPr>
      <w:r>
        <w:rPr>
          <w:rFonts w:ascii="Arial" w:hAnsi="Arial" w:cs="Arial"/>
          <w:sz w:val="20"/>
        </w:rPr>
        <w:t xml:space="preserve">Judge Dieudonné Eyike-Vieux (High </w:t>
      </w:r>
      <w:smartTag w:uri="urn:schemas-microsoft-com:office:smarttags" w:element="place">
        <w:smartTag w:uri="urn:schemas-microsoft-com:office:smarttags" w:element="City">
          <w:r>
            <w:rPr>
              <w:rFonts w:ascii="Arial" w:hAnsi="Arial" w:cs="Arial"/>
              <w:sz w:val="20"/>
            </w:rPr>
            <w:t>Court of Justice</w:t>
          </w:r>
        </w:smartTag>
        <w:r>
          <w:rPr>
            <w:rFonts w:ascii="Arial" w:hAnsi="Arial" w:cs="Arial"/>
            <w:sz w:val="20"/>
          </w:rPr>
          <w:t xml:space="preserve">, </w:t>
        </w:r>
        <w:smartTag w:uri="urn:schemas-microsoft-com:office:smarttags" w:element="country-region">
          <w:r>
            <w:rPr>
              <w:rFonts w:ascii="Arial" w:hAnsi="Arial" w:cs="Arial"/>
              <w:sz w:val="20"/>
            </w:rPr>
            <w:t>Cameroon</w:t>
          </w:r>
        </w:smartTag>
      </w:smartTag>
      <w:r>
        <w:rPr>
          <w:rFonts w:ascii="Arial" w:hAnsi="Arial" w:cs="Arial"/>
          <w:sz w:val="20"/>
        </w:rPr>
        <w:t>)</w:t>
      </w:r>
    </w:p>
    <w:p w14:paraId="399F727E" w14:textId="77777777" w:rsidR="00693223" w:rsidRDefault="00693223">
      <w:pPr>
        <w:spacing w:before="120"/>
        <w:jc w:val="both"/>
        <w:rPr>
          <w:rFonts w:ascii="Arial" w:hAnsi="Arial" w:cs="Arial"/>
          <w:sz w:val="20"/>
        </w:rPr>
      </w:pPr>
      <w:smartTag w:uri="urn:schemas-microsoft-com:office:smarttags" w:element="place">
        <w:r>
          <w:rPr>
            <w:rFonts w:ascii="Arial" w:hAnsi="Arial" w:cs="Arial"/>
            <w:sz w:val="20"/>
          </w:rPr>
          <w:t>Africa</w:t>
        </w:r>
      </w:smartTag>
      <w:r>
        <w:rPr>
          <w:rFonts w:ascii="Arial" w:hAnsi="Arial" w:cs="Arial"/>
          <w:sz w:val="20"/>
        </w:rPr>
        <w:t xml:space="preserve"> is the cradle of humanity.  It is also unfortunately a continent where some scourges like poverty, famine, wars and diseases reign supreme.  Because of numerous external influences, </w:t>
      </w:r>
      <w:smartTag w:uri="urn:schemas-microsoft-com:office:smarttags" w:element="place">
        <w:r>
          <w:rPr>
            <w:rFonts w:ascii="Arial" w:hAnsi="Arial" w:cs="Arial"/>
            <w:sz w:val="20"/>
          </w:rPr>
          <w:t>Africa</w:t>
        </w:r>
      </w:smartTag>
      <w:r>
        <w:rPr>
          <w:rFonts w:ascii="Arial" w:hAnsi="Arial" w:cs="Arial"/>
          <w:sz w:val="20"/>
        </w:rPr>
        <w:t xml:space="preserve"> is equally sandwiched between modernism and its traditions.  Some traditions which are said to be negative constitute an obstacle towards the protection and promotion of children's rights.  Because of these obsolete traditions, a great number of African children live in vulnerable conditions.</w:t>
      </w:r>
    </w:p>
    <w:p w14:paraId="34F81581" w14:textId="77777777" w:rsidR="00693223" w:rsidRDefault="00693223">
      <w:pPr>
        <w:spacing w:before="120"/>
        <w:jc w:val="both"/>
        <w:rPr>
          <w:rFonts w:ascii="Arial" w:hAnsi="Arial" w:cs="Arial"/>
          <w:sz w:val="20"/>
        </w:rPr>
      </w:pPr>
      <w:r>
        <w:rPr>
          <w:rFonts w:ascii="Arial" w:hAnsi="Arial" w:cs="Arial"/>
          <w:sz w:val="20"/>
        </w:rPr>
        <w:t>What are those traditions?  Can the justice system contribute to their eradication?  If yes, how can it proceed?  Those are some of the questions addressed in this paper.</w:t>
      </w:r>
    </w:p>
    <w:p w14:paraId="2C5DC583" w14:textId="77777777" w:rsidR="00693223" w:rsidRDefault="00693223">
      <w:pPr>
        <w:spacing w:before="120"/>
        <w:jc w:val="both"/>
        <w:rPr>
          <w:rFonts w:ascii="Arial" w:hAnsi="Arial" w:cs="Arial"/>
          <w:sz w:val="20"/>
        </w:rPr>
      </w:pPr>
      <w:r>
        <w:rPr>
          <w:rFonts w:ascii="Arial" w:hAnsi="Arial" w:cs="Arial"/>
          <w:sz w:val="20"/>
        </w:rPr>
        <w:t>The traditions that hamper the rights of the African child are:</w:t>
      </w:r>
    </w:p>
    <w:p w14:paraId="246F0FA7" w14:textId="77777777" w:rsidR="00693223" w:rsidRDefault="00693223" w:rsidP="002239D1">
      <w:pPr>
        <w:numPr>
          <w:ilvl w:val="0"/>
          <w:numId w:val="23"/>
        </w:numPr>
        <w:autoSpaceDE w:val="0"/>
        <w:autoSpaceDN w:val="0"/>
        <w:adjustRightInd w:val="0"/>
        <w:ind w:left="419" w:hanging="357"/>
        <w:jc w:val="both"/>
        <w:rPr>
          <w:rFonts w:ascii="Arial" w:hAnsi="Arial" w:cs="Arial"/>
          <w:sz w:val="20"/>
        </w:rPr>
      </w:pPr>
      <w:r>
        <w:rPr>
          <w:rFonts w:ascii="Arial" w:hAnsi="Arial" w:cs="Arial"/>
          <w:sz w:val="20"/>
        </w:rPr>
        <w:t>food restrictions (eggs are forbidden to children in some countries);</w:t>
      </w:r>
    </w:p>
    <w:p w14:paraId="53B84412" w14:textId="77777777" w:rsidR="00693223" w:rsidRDefault="00693223" w:rsidP="002239D1">
      <w:pPr>
        <w:numPr>
          <w:ilvl w:val="0"/>
          <w:numId w:val="23"/>
        </w:numPr>
        <w:autoSpaceDE w:val="0"/>
        <w:autoSpaceDN w:val="0"/>
        <w:adjustRightInd w:val="0"/>
        <w:ind w:left="419" w:hanging="357"/>
        <w:jc w:val="both"/>
        <w:rPr>
          <w:rFonts w:ascii="Arial" w:hAnsi="Arial" w:cs="Arial"/>
          <w:sz w:val="20"/>
        </w:rPr>
      </w:pPr>
      <w:r>
        <w:rPr>
          <w:rFonts w:ascii="Arial" w:hAnsi="Arial" w:cs="Arial"/>
          <w:sz w:val="20"/>
        </w:rPr>
        <w:t>apprehension vis-à-vis the school (emerging tradition); and</w:t>
      </w:r>
    </w:p>
    <w:p w14:paraId="5F184E8A" w14:textId="77777777" w:rsidR="00693223" w:rsidRDefault="00693223" w:rsidP="002239D1">
      <w:pPr>
        <w:numPr>
          <w:ilvl w:val="0"/>
          <w:numId w:val="23"/>
        </w:numPr>
        <w:autoSpaceDE w:val="0"/>
        <w:autoSpaceDN w:val="0"/>
        <w:adjustRightInd w:val="0"/>
        <w:ind w:left="419" w:hanging="357"/>
        <w:jc w:val="both"/>
        <w:rPr>
          <w:rFonts w:ascii="Arial" w:hAnsi="Arial" w:cs="Arial"/>
          <w:sz w:val="20"/>
        </w:rPr>
      </w:pPr>
      <w:r>
        <w:rPr>
          <w:rFonts w:ascii="Arial" w:hAnsi="Arial" w:cs="Arial"/>
          <w:sz w:val="20"/>
        </w:rPr>
        <w:t>abuse in respect of bride-price (young people cannot get married easily).</w:t>
      </w:r>
    </w:p>
    <w:p w14:paraId="4289E278" w14:textId="77777777" w:rsidR="00693223" w:rsidRDefault="00693223">
      <w:pPr>
        <w:jc w:val="both"/>
        <w:rPr>
          <w:rFonts w:ascii="Arial" w:hAnsi="Arial" w:cs="Arial"/>
          <w:sz w:val="20"/>
        </w:rPr>
      </w:pPr>
      <w:r>
        <w:rPr>
          <w:rFonts w:ascii="Arial" w:hAnsi="Arial" w:cs="Arial"/>
          <w:sz w:val="20"/>
        </w:rPr>
        <w:t>The girl is particularly penalised here.  She is a victim of excision or 'infibulation' which involves a total or partial closure of the vagina (almost half the African countries practice this), early or forced marriages (the youngest grandmother on earth is 16 and she is Nigerian), discriminations of all kind especially in the domain of education and the right to inherit.  The boy ensures the perpetuation of the family.  The girl enriches someone else's family.</w:t>
      </w:r>
    </w:p>
    <w:p w14:paraId="3EC1E35F" w14:textId="77777777" w:rsidR="00693223" w:rsidRDefault="00693223">
      <w:pPr>
        <w:spacing w:before="120"/>
        <w:jc w:val="both"/>
        <w:rPr>
          <w:rFonts w:ascii="Arial" w:hAnsi="Arial" w:cs="Arial"/>
          <w:sz w:val="20"/>
        </w:rPr>
      </w:pPr>
      <w:r>
        <w:rPr>
          <w:rFonts w:ascii="Arial" w:hAnsi="Arial" w:cs="Arial"/>
          <w:sz w:val="20"/>
        </w:rPr>
        <w:t>The law condemns those traditions in almost all African countries.  Magistrates and judges more and more are making courageous decisions in that domain.  But retrograde mentalities, unawareness of the laws and the influence of some traditional chiefs still prevail.</w:t>
      </w:r>
    </w:p>
    <w:p w14:paraId="2F3C7BD2" w14:textId="77777777" w:rsidR="00693223" w:rsidRDefault="00693223">
      <w:pPr>
        <w:spacing w:before="120"/>
        <w:jc w:val="both"/>
        <w:rPr>
          <w:rFonts w:ascii="Arial" w:hAnsi="Arial" w:cs="Arial"/>
          <w:sz w:val="20"/>
        </w:rPr>
      </w:pPr>
      <w:r>
        <w:rPr>
          <w:rFonts w:ascii="Arial" w:hAnsi="Arial" w:cs="Arial"/>
          <w:sz w:val="20"/>
        </w:rPr>
        <w:t>Hope lies in the new generation of magistrates and judges, the recent creation of the African Court of Human Rights and a growing consciousness at the international level.</w:t>
      </w:r>
    </w:p>
    <w:p w14:paraId="3E66E5A1" w14:textId="77777777" w:rsidR="00ED3628" w:rsidRDefault="00ED3628" w:rsidP="00F43701">
      <w:pPr>
        <w:rPr>
          <w:rFonts w:ascii="Arial" w:hAnsi="Arial" w:cs="Arial"/>
          <w:sz w:val="20"/>
        </w:rPr>
      </w:pPr>
    </w:p>
    <w:p w14:paraId="0C843020" w14:textId="77777777" w:rsidR="00F43701" w:rsidRDefault="00F43701" w:rsidP="00F43701">
      <w:pPr>
        <w:pBdr>
          <w:top w:val="single" w:sz="4" w:space="1" w:color="auto"/>
        </w:pBdr>
        <w:rPr>
          <w:rFonts w:ascii="Arial" w:hAnsi="Arial" w:cs="Arial"/>
          <w:sz w:val="20"/>
        </w:rPr>
      </w:pPr>
    </w:p>
    <w:p w14:paraId="4636FEE9" w14:textId="77777777" w:rsidR="00F43701" w:rsidRPr="00F43701" w:rsidRDefault="00F43701" w:rsidP="00F43701">
      <w:pPr>
        <w:jc w:val="both"/>
        <w:rPr>
          <w:rFonts w:ascii="Arial" w:hAnsi="Arial" w:cs="Arial"/>
          <w:sz w:val="20"/>
        </w:rPr>
      </w:pPr>
      <w:r>
        <w:rPr>
          <w:rFonts w:ascii="Arial" w:hAnsi="Arial" w:cs="Arial"/>
          <w:sz w:val="20"/>
        </w:rPr>
        <w:t>A number of papers with relevance to parents, children and families were delivered at the 9</w:t>
      </w:r>
      <w:r w:rsidRPr="00F43701">
        <w:rPr>
          <w:rFonts w:ascii="Arial" w:hAnsi="Arial" w:cs="Arial"/>
          <w:sz w:val="20"/>
          <w:vertAlign w:val="superscript"/>
        </w:rPr>
        <w:t>th</w:t>
      </w:r>
      <w:r>
        <w:rPr>
          <w:rFonts w:ascii="Arial" w:hAnsi="Arial" w:cs="Arial"/>
          <w:sz w:val="20"/>
        </w:rPr>
        <w:t xml:space="preserve"> Australian Institute of Family Studies Conference in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xml:space="preserve"> in February 2005 and are available at </w:t>
      </w:r>
      <w:hyperlink r:id="rId20" w:history="1">
        <w:r w:rsidR="00EE45D1" w:rsidRPr="007B2FAF">
          <w:rPr>
            <w:rStyle w:val="Hyperlink"/>
            <w:rFonts w:ascii="Arial" w:hAnsi="Arial" w:cs="Arial"/>
            <w:sz w:val="20"/>
          </w:rPr>
          <w:t>http://www.aifs.gov.au/insti</w:t>
        </w:r>
        <w:r w:rsidR="00EE45D1" w:rsidRPr="007B2FAF">
          <w:rPr>
            <w:rStyle w:val="Hyperlink"/>
            <w:rFonts w:ascii="Arial" w:hAnsi="Arial" w:cs="Arial"/>
            <w:sz w:val="20"/>
          </w:rPr>
          <w:t>t</w:t>
        </w:r>
        <w:r w:rsidR="00EE45D1" w:rsidRPr="007B2FAF">
          <w:rPr>
            <w:rStyle w:val="Hyperlink"/>
            <w:rFonts w:ascii="Arial" w:hAnsi="Arial" w:cs="Arial"/>
            <w:sz w:val="20"/>
          </w:rPr>
          <w:t>ute/afrc9/papers.html</w:t>
        </w:r>
      </w:hyperlink>
      <w:r>
        <w:rPr>
          <w:rFonts w:ascii="Arial" w:hAnsi="Arial" w:cs="Arial"/>
          <w:sz w:val="20"/>
        </w:rPr>
        <w:t>.</w:t>
      </w:r>
    </w:p>
    <w:p w14:paraId="46DE0ED4" w14:textId="77777777" w:rsidR="00F43701" w:rsidRDefault="00F43701">
      <w:pPr>
        <w:jc w:val="both"/>
        <w:rPr>
          <w:rFonts w:ascii="Arial" w:hAnsi="Arial" w:cs="Arial"/>
          <w:sz w:val="20"/>
        </w:rPr>
      </w:pPr>
    </w:p>
    <w:p w14:paraId="4FEBC138" w14:textId="60C30D5B" w:rsidR="00693223" w:rsidRDefault="00200DEF">
      <w:pPr>
        <w:jc w:val="center"/>
      </w:pPr>
      <w:r>
        <w:rPr>
          <w:noProof/>
        </w:rPr>
        <w:drawing>
          <wp:inline distT="0" distB="0" distL="0" distR="0" wp14:anchorId="4F94C687" wp14:editId="1D159A09">
            <wp:extent cx="1800225" cy="41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p>
    <w:sectPr w:rsidR="00693223">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366CC" w14:textId="77777777" w:rsidR="00D46600" w:rsidRDefault="00D46600">
      <w:r>
        <w:separator/>
      </w:r>
    </w:p>
  </w:endnote>
  <w:endnote w:type="continuationSeparator" w:id="0">
    <w:p w14:paraId="141CB7AD" w14:textId="77777777" w:rsidR="00D46600" w:rsidRDefault="00D46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AEA8B" w14:textId="77777777" w:rsidR="00F53921" w:rsidRDefault="00F53921">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B50940">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1264B7AE" w14:textId="77777777" w:rsidR="00F53921" w:rsidRPr="003D5DFA" w:rsidRDefault="00F53921">
    <w:pPr>
      <w:pStyle w:val="Footer"/>
      <w:rPr>
        <w:color w:val="000000"/>
      </w:rPr>
    </w:pPr>
    <w:r w:rsidRPr="00B05537">
      <w:rPr>
        <w:rStyle w:val="PageNumber"/>
        <w:rFonts w:ascii="Arial" w:hAnsi="Arial" w:cs="Arial"/>
        <w:b/>
        <w:bCs/>
        <w:color w:val="000000"/>
        <w:sz w:val="16"/>
      </w:rPr>
      <w:t xml:space="preserve">Last updated </w:t>
    </w:r>
    <w:r w:rsidR="003D2194">
      <w:rPr>
        <w:rStyle w:val="PageNumber"/>
        <w:rFonts w:ascii="Arial" w:hAnsi="Arial" w:cs="Arial"/>
        <w:b/>
        <w:bCs/>
        <w:color w:val="000000"/>
        <w:sz w:val="16"/>
      </w:rPr>
      <w:t>1</w:t>
    </w:r>
    <w:r w:rsidR="00B754E1">
      <w:rPr>
        <w:rStyle w:val="PageNumber"/>
        <w:rFonts w:ascii="Arial" w:hAnsi="Arial" w:cs="Arial"/>
        <w:b/>
        <w:bCs/>
        <w:color w:val="000000"/>
        <w:sz w:val="16"/>
      </w:rPr>
      <w:t>9 April</w:t>
    </w:r>
    <w:r w:rsidR="00785D2D">
      <w:rPr>
        <w:rStyle w:val="PageNumber"/>
        <w:rFonts w:ascii="Arial" w:hAnsi="Arial" w:cs="Arial"/>
        <w:b/>
        <w:bCs/>
        <w:color w:val="000000"/>
        <w:sz w:val="16"/>
      </w:rPr>
      <w:t xml:space="preserve"> 2021</w:t>
    </w:r>
    <w:r w:rsidRPr="003D5DFA">
      <w:rPr>
        <w:rStyle w:val="PageNumber"/>
        <w:rFonts w:ascii="Arial" w:hAnsi="Arial" w:cs="Arial"/>
        <w:b/>
        <w:bCs/>
        <w:color w:val="000000"/>
        <w:sz w:val="18"/>
      </w:rPr>
      <w:tab/>
    </w:r>
    <w:r w:rsidRPr="003D5DFA">
      <w:rPr>
        <w:rStyle w:val="PageNumber"/>
        <w:rFonts w:ascii="Arial" w:hAnsi="Arial" w:cs="Arial"/>
        <w:b/>
        <w:bCs/>
        <w:color w:val="000000"/>
      </w:rPr>
      <w:tab/>
    </w:r>
    <w:r w:rsidRPr="003D5DFA">
      <w:rPr>
        <w:rStyle w:val="PageNumber"/>
        <w:rFonts w:ascii="Arial" w:hAnsi="Arial" w:cs="Arial"/>
        <w:b/>
        <w:bCs/>
        <w:color w:val="000000"/>
        <w:sz w:val="16"/>
      </w:rPr>
      <w:t>4.</w:t>
    </w:r>
    <w:r w:rsidRPr="003D5DFA">
      <w:rPr>
        <w:rStyle w:val="PageNumber"/>
        <w:rFonts w:ascii="Arial" w:hAnsi="Arial" w:cs="Arial"/>
        <w:b/>
        <w:bCs/>
        <w:color w:val="000000"/>
        <w:sz w:val="16"/>
      </w:rPr>
      <w:fldChar w:fldCharType="begin"/>
    </w:r>
    <w:r w:rsidRPr="003D5DFA">
      <w:rPr>
        <w:rStyle w:val="PageNumber"/>
        <w:rFonts w:ascii="Arial" w:hAnsi="Arial" w:cs="Arial"/>
        <w:b/>
        <w:bCs/>
        <w:color w:val="000000"/>
        <w:sz w:val="16"/>
      </w:rPr>
      <w:instrText xml:space="preserve"> PAGE </w:instrText>
    </w:r>
    <w:r w:rsidRPr="003D5DFA">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54</w:t>
    </w:r>
    <w:r w:rsidRPr="003D5DFA">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07AF"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7E009126" w14:textId="77777777"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3D2194">
      <w:rPr>
        <w:rStyle w:val="PageNumber"/>
        <w:rFonts w:ascii="Arial" w:hAnsi="Arial" w:cs="Arial"/>
        <w:b/>
        <w:bCs/>
        <w:color w:val="000000"/>
        <w:sz w:val="16"/>
      </w:rPr>
      <w:t>1</w:t>
    </w:r>
    <w:r w:rsidR="00B754E1">
      <w:rPr>
        <w:rStyle w:val="PageNumber"/>
        <w:rFonts w:ascii="Arial" w:hAnsi="Arial" w:cs="Arial"/>
        <w:b/>
        <w:bCs/>
        <w:color w:val="000000"/>
        <w:sz w:val="16"/>
      </w:rPr>
      <w:t>9 April</w:t>
    </w:r>
    <w:r w:rsidR="00785D2D">
      <w:rPr>
        <w:rStyle w:val="PageNumber"/>
        <w:rFonts w:ascii="Arial" w:hAnsi="Arial" w:cs="Arial"/>
        <w:b/>
        <w:bCs/>
        <w:color w:val="000000"/>
        <w:sz w:val="16"/>
      </w:rPr>
      <w:t xml:space="preserve"> 2021</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1E261" w14:textId="77777777" w:rsidR="00D46600" w:rsidRDefault="00D46600">
      <w:r>
        <w:separator/>
      </w:r>
    </w:p>
  </w:footnote>
  <w:footnote w:type="continuationSeparator" w:id="0">
    <w:p w14:paraId="4AF07B1E" w14:textId="77777777" w:rsidR="00D46600" w:rsidRDefault="00D466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596B6A"/>
    <w:multiLevelType w:val="hybridMultilevel"/>
    <w:tmpl w:val="DA5A4B4E"/>
    <w:lvl w:ilvl="0" w:tplc="4218FEF0">
      <w:start w:val="2"/>
      <w:numFmt w:val="bullet"/>
      <w:lvlText w:val=""/>
      <w:lvlJc w:val="left"/>
      <w:pPr>
        <w:tabs>
          <w:tab w:val="num" w:pos="726"/>
        </w:tabs>
        <w:ind w:left="726" w:hanging="363"/>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DC5CDB"/>
    <w:multiLevelType w:val="hybridMultilevel"/>
    <w:tmpl w:val="0F1865FE"/>
    <w:lvl w:ilvl="0" w:tplc="D298CC9A">
      <w:start w:val="2"/>
      <w:numFmt w:val="bullet"/>
      <w:lvlText w:val=""/>
      <w:lvlJc w:val="left"/>
      <w:pPr>
        <w:tabs>
          <w:tab w:val="num" w:pos="420"/>
        </w:tabs>
        <w:ind w:left="420" w:hanging="360"/>
      </w:pPr>
      <w:rPr>
        <w:rFonts w:ascii="Wingdings" w:hAnsi="Wingdings" w:cs="Times New Roman" w:hint="default"/>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86B161C"/>
    <w:multiLevelType w:val="hybridMultilevel"/>
    <w:tmpl w:val="CA9A0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0929B3"/>
    <w:multiLevelType w:val="hybridMultilevel"/>
    <w:tmpl w:val="C27E09C0"/>
    <w:lvl w:ilvl="0" w:tplc="E6C2333C">
      <w:start w:val="1"/>
      <w:numFmt w:val="bullet"/>
      <w:lvlText w:val=""/>
      <w:lvlJc w:val="left"/>
      <w:pPr>
        <w:tabs>
          <w:tab w:val="num" w:pos="1004"/>
        </w:tabs>
        <w:ind w:left="1004" w:hanging="360"/>
      </w:pPr>
      <w:rPr>
        <w:rFonts w:ascii="Symbol" w:hAnsi="Symbol" w:hint="default"/>
        <w:b w:val="0"/>
        <w:i w:val="0"/>
        <w:color w:val="000000"/>
        <w:sz w:val="24"/>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7B2C76"/>
    <w:multiLevelType w:val="hybridMultilevel"/>
    <w:tmpl w:val="C5CE211C"/>
    <w:lvl w:ilvl="0" w:tplc="2856F2D4">
      <w:start w:val="1"/>
      <w:numFmt w:val="bullet"/>
      <w:lvlText w:val=""/>
      <w:lvlJc w:val="left"/>
      <w:pPr>
        <w:tabs>
          <w:tab w:val="num" w:pos="720"/>
        </w:tabs>
        <w:ind w:left="720" w:hanging="360"/>
      </w:pPr>
      <w:rPr>
        <w:rFonts w:ascii="Webdings" w:hAnsi="Webdings"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1" w15:restartNumberingAfterBreak="0">
    <w:nsid w:val="0DE00E19"/>
    <w:multiLevelType w:val="hybridMultilevel"/>
    <w:tmpl w:val="F4D2CC26"/>
    <w:lvl w:ilvl="0" w:tplc="C1F6A3D8">
      <w:start w:val="1"/>
      <w:numFmt w:val="bullet"/>
      <w:lvlText w:val=""/>
      <w:lvlJc w:val="left"/>
      <w:pPr>
        <w:tabs>
          <w:tab w:val="num" w:pos="720"/>
        </w:tabs>
        <w:ind w:left="720" w:hanging="360"/>
      </w:pPr>
      <w:rPr>
        <w:rFonts w:ascii="Webdings" w:hAnsi="Webdings"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766AD8"/>
    <w:multiLevelType w:val="multilevel"/>
    <w:tmpl w:val="27C8AF64"/>
    <w:lvl w:ilvl="0">
      <w:start w:val="1"/>
      <w:numFmt w:val="decimal"/>
      <w:lvlText w:val="%1."/>
      <w:lvlJc w:val="left"/>
      <w:pPr>
        <w:tabs>
          <w:tab w:val="num" w:pos="431"/>
        </w:tabs>
        <w:ind w:left="431" w:hanging="431"/>
      </w:pPr>
      <w:rPr>
        <w:rFonts w:hint="default"/>
      </w:rPr>
    </w:lvl>
    <w:lvl w:ilvl="1">
      <w:start w:val="1"/>
      <w:numFmt w:val="lowerLetter"/>
      <w:lvlText w:val="%2)"/>
      <w:lvlJc w:val="left"/>
      <w:pPr>
        <w:tabs>
          <w:tab w:val="num" w:pos="360"/>
        </w:tabs>
        <w:ind w:left="0" w:firstLine="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836FBE"/>
    <w:multiLevelType w:val="hybridMultilevel"/>
    <w:tmpl w:val="4CBE7AB2"/>
    <w:lvl w:ilvl="0" w:tplc="2856F2D4">
      <w:start w:val="1"/>
      <w:numFmt w:val="bullet"/>
      <w:lvlText w:val=""/>
      <w:lvlJc w:val="left"/>
      <w:pPr>
        <w:tabs>
          <w:tab w:val="num" w:pos="720"/>
        </w:tabs>
        <w:ind w:left="720" w:hanging="360"/>
      </w:pPr>
      <w:rPr>
        <w:rFonts w:ascii="Webdings" w:hAnsi="Webdings"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D5B75E0"/>
    <w:multiLevelType w:val="hybridMultilevel"/>
    <w:tmpl w:val="DEA04236"/>
    <w:lvl w:ilvl="0" w:tplc="CA302EC2">
      <w:start w:val="2"/>
      <w:numFmt w:val="bullet"/>
      <w:lvlText w:val=""/>
      <w:lvlJc w:val="left"/>
      <w:pPr>
        <w:tabs>
          <w:tab w:val="num" w:pos="420"/>
        </w:tabs>
        <w:ind w:left="420" w:hanging="360"/>
      </w:pPr>
      <w:rPr>
        <w:rFonts w:ascii="Wingdings" w:hAnsi="Wingdings" w:cs="Times New Roman"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0" w15:restartNumberingAfterBreak="0">
    <w:nsid w:val="26B409EC"/>
    <w:multiLevelType w:val="hybridMultilevel"/>
    <w:tmpl w:val="B96E3A6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FD6E21"/>
    <w:multiLevelType w:val="hybridMultilevel"/>
    <w:tmpl w:val="84B6BA60"/>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B32F9B"/>
    <w:multiLevelType w:val="hybridMultilevel"/>
    <w:tmpl w:val="EC9CE662"/>
    <w:lvl w:ilvl="0" w:tplc="0C3CC648">
      <w:start w:val="1"/>
      <w:numFmt w:val="lowerRoman"/>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D86CC1"/>
    <w:multiLevelType w:val="hybridMultilevel"/>
    <w:tmpl w:val="F3908DC4"/>
    <w:lvl w:ilvl="0" w:tplc="19320332">
      <w:start w:val="1"/>
      <w:numFmt w:val="bullet"/>
      <w:lvlText w:val=""/>
      <w:lvlJc w:val="left"/>
      <w:pPr>
        <w:tabs>
          <w:tab w:val="num" w:pos="420"/>
        </w:tabs>
        <w:ind w:left="420" w:hanging="360"/>
      </w:pPr>
      <w:rPr>
        <w:rFonts w:ascii="Webdings" w:hAnsi="Webdings"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28"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30172C9F"/>
    <w:multiLevelType w:val="hybridMultilevel"/>
    <w:tmpl w:val="9B16106C"/>
    <w:lvl w:ilvl="0" w:tplc="EBF6FE8E">
      <w:start w:val="1"/>
      <w:numFmt w:val="lowerRoman"/>
      <w:lvlText w:val="%1."/>
      <w:lvlJc w:val="left"/>
      <w:pPr>
        <w:tabs>
          <w:tab w:val="num" w:pos="1083"/>
        </w:tabs>
        <w:ind w:left="720" w:hanging="357"/>
      </w:pPr>
      <w:rPr>
        <w:rFonts w:hint="default"/>
      </w:rPr>
    </w:lvl>
    <w:lvl w:ilvl="1" w:tplc="8FF2C78C">
      <w:start w:val="2"/>
      <w:numFmt w:val="bullet"/>
      <w:lvlText w:val=""/>
      <w:lvlJc w:val="left"/>
      <w:pPr>
        <w:tabs>
          <w:tab w:val="num" w:pos="1806"/>
        </w:tabs>
        <w:ind w:left="1806" w:hanging="363"/>
      </w:pPr>
      <w:rPr>
        <w:rFonts w:ascii="Wingdings 2" w:hAnsi="Wingdings 2" w:hint="default"/>
        <w:sz w:val="20"/>
      </w:rPr>
    </w:lvl>
    <w:lvl w:ilvl="2" w:tplc="0409001B" w:tentative="1">
      <w:start w:val="1"/>
      <w:numFmt w:val="lowerRoman"/>
      <w:lvlText w:val="%3."/>
      <w:lvlJc w:val="right"/>
      <w:pPr>
        <w:tabs>
          <w:tab w:val="num" w:pos="2523"/>
        </w:tabs>
        <w:ind w:left="2523" w:hanging="180"/>
      </w:pPr>
    </w:lvl>
    <w:lvl w:ilvl="3" w:tplc="0409000F" w:tentative="1">
      <w:start w:val="1"/>
      <w:numFmt w:val="decimal"/>
      <w:lvlText w:val="%4."/>
      <w:lvlJc w:val="left"/>
      <w:pPr>
        <w:tabs>
          <w:tab w:val="num" w:pos="3243"/>
        </w:tabs>
        <w:ind w:left="3243" w:hanging="360"/>
      </w:p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30" w15:restartNumberingAfterBreak="0">
    <w:nsid w:val="31AF4D1C"/>
    <w:multiLevelType w:val="hybridMultilevel"/>
    <w:tmpl w:val="CA4C4D88"/>
    <w:lvl w:ilvl="0" w:tplc="CA302EC2">
      <w:start w:val="2"/>
      <w:numFmt w:val="bullet"/>
      <w:lvlText w:val=""/>
      <w:lvlJc w:val="left"/>
      <w:pPr>
        <w:tabs>
          <w:tab w:val="num" w:pos="360"/>
        </w:tabs>
        <w:ind w:left="360" w:hanging="360"/>
      </w:pPr>
      <w:rPr>
        <w:rFonts w:ascii="Wingdings" w:hAnsi="Wingdings"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1BD6B8C"/>
    <w:multiLevelType w:val="hybridMultilevel"/>
    <w:tmpl w:val="B8F6276A"/>
    <w:lvl w:ilvl="0" w:tplc="39C0D2FA">
      <w:start w:val="1"/>
      <w:numFmt w:val="bullet"/>
      <w:lvlText w:val=""/>
      <w:lvlJc w:val="left"/>
      <w:pPr>
        <w:tabs>
          <w:tab w:val="num" w:pos="360"/>
        </w:tabs>
        <w:ind w:left="360" w:hanging="360"/>
      </w:pPr>
      <w:rPr>
        <w:rFonts w:ascii="Symbol" w:hAnsi="Symbol" w:hint="default"/>
        <w:sz w:val="20"/>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3" w15:restartNumberingAfterBreak="0">
    <w:nsid w:val="33562C71"/>
    <w:multiLevelType w:val="hybridMultilevel"/>
    <w:tmpl w:val="2E76B8B0"/>
    <w:lvl w:ilvl="0" w:tplc="D470771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35"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37"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E796C9F"/>
    <w:multiLevelType w:val="hybridMultilevel"/>
    <w:tmpl w:val="9578C080"/>
    <w:lvl w:ilvl="0" w:tplc="2856F2D4">
      <w:start w:val="1"/>
      <w:numFmt w:val="bullet"/>
      <w:lvlText w:val=""/>
      <w:lvlJc w:val="left"/>
      <w:pPr>
        <w:tabs>
          <w:tab w:val="num" w:pos="1004"/>
        </w:tabs>
        <w:ind w:left="1004" w:hanging="360"/>
      </w:pPr>
      <w:rPr>
        <w:rFonts w:ascii="Webdings" w:hAnsi="Webdings" w:hint="default"/>
        <w:b w:val="0"/>
        <w:i w:val="0"/>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41"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2377DFF"/>
    <w:multiLevelType w:val="hybridMultilevel"/>
    <w:tmpl w:val="48D44A18"/>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83E3E1F"/>
    <w:multiLevelType w:val="hybridMultilevel"/>
    <w:tmpl w:val="50CC2622"/>
    <w:lvl w:ilvl="0" w:tplc="0C09000F">
      <w:start w:val="10"/>
      <w:numFmt w:val="decimal"/>
      <w:lvlText w:val="%1."/>
      <w:lvlJc w:val="left"/>
      <w:pPr>
        <w:tabs>
          <w:tab w:val="num" w:pos="720"/>
        </w:tabs>
        <w:ind w:left="720" w:hanging="360"/>
      </w:pPr>
      <w:rPr>
        <w:rFonts w:hint="default"/>
      </w:rPr>
    </w:lvl>
    <w:lvl w:ilvl="1" w:tplc="38662FE8">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F05E01"/>
    <w:multiLevelType w:val="hybridMultilevel"/>
    <w:tmpl w:val="A0128348"/>
    <w:lvl w:ilvl="0" w:tplc="5C42B274">
      <w:start w:val="1"/>
      <w:numFmt w:val="bullet"/>
      <w:lvlText w:val=""/>
      <w:lvlJc w:val="left"/>
      <w:pPr>
        <w:ind w:left="720" w:hanging="360"/>
      </w:pPr>
      <w:rPr>
        <w:rFonts w:ascii="Symbol" w:hAnsi="Symbol" w:cs="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4EDA3B51"/>
    <w:multiLevelType w:val="hybridMultilevel"/>
    <w:tmpl w:val="AC12B8BC"/>
    <w:lvl w:ilvl="0" w:tplc="0C09000F">
      <w:start w:val="1"/>
      <w:numFmt w:val="decimal"/>
      <w:lvlText w:val="%1."/>
      <w:lvlJc w:val="left"/>
      <w:pPr>
        <w:tabs>
          <w:tab w:val="num" w:pos="1004"/>
        </w:tabs>
        <w:ind w:left="1004" w:hanging="360"/>
      </w:pPr>
      <w:rPr>
        <w:rFonts w:hint="default"/>
        <w:b w:val="0"/>
        <w:i w:val="0"/>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8"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9"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68C7A95"/>
    <w:multiLevelType w:val="multilevel"/>
    <w:tmpl w:val="A4028240"/>
    <w:lvl w:ilvl="0">
      <w:start w:val="1"/>
      <w:numFmt w:val="decimal"/>
      <w:lvlText w:val="%1."/>
      <w:lvlJc w:val="left"/>
      <w:pPr>
        <w:tabs>
          <w:tab w:val="num" w:pos="357"/>
        </w:tabs>
        <w:ind w:left="357" w:hanging="357"/>
      </w:pPr>
      <w:rPr>
        <w:rFonts w:hint="default"/>
        <w:color w:val="000000"/>
      </w:rPr>
    </w:lvl>
    <w:lvl w:ilvl="1">
      <w:start w:val="1"/>
      <w:numFmt w:val="bullet"/>
      <w:lvlText w:val=""/>
      <w:lvlJc w:val="left"/>
      <w:pPr>
        <w:tabs>
          <w:tab w:val="num" w:pos="720"/>
        </w:tabs>
        <w:ind w:left="357" w:firstLine="0"/>
      </w:pPr>
      <w:rPr>
        <w:rFonts w:ascii="Symbol" w:hAnsi="Symbol" w:hint="default"/>
        <w:color w:val="00000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54" w15:restartNumberingAfterBreak="0">
    <w:nsid w:val="5BC97B03"/>
    <w:multiLevelType w:val="hybridMultilevel"/>
    <w:tmpl w:val="C40C9E46"/>
    <w:lvl w:ilvl="0" w:tplc="892E1EF2">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EA10011"/>
    <w:multiLevelType w:val="multilevel"/>
    <w:tmpl w:val="27C8AF64"/>
    <w:lvl w:ilvl="0">
      <w:start w:val="2"/>
      <w:numFmt w:val="bullet"/>
      <w:lvlText w:val=""/>
      <w:lvlJc w:val="left"/>
      <w:pPr>
        <w:tabs>
          <w:tab w:val="num" w:pos="360"/>
        </w:tabs>
        <w:ind w:left="360" w:hanging="360"/>
      </w:pPr>
      <w:rPr>
        <w:rFonts w:ascii="Wingdings" w:hAnsi="Wingdings" w:cs="Times New Roman" w:hint="default"/>
        <w:sz w:val="16"/>
      </w:rPr>
    </w:lvl>
    <w:lvl w:ilvl="1">
      <w:start w:val="1"/>
      <w:numFmt w:val="lowerLetter"/>
      <w:lvlText w:val="%2)"/>
      <w:lvlJc w:val="left"/>
      <w:pPr>
        <w:tabs>
          <w:tab w:val="num" w:pos="360"/>
        </w:tabs>
        <w:ind w:left="0" w:firstLine="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43E60D9"/>
    <w:multiLevelType w:val="hybridMultilevel"/>
    <w:tmpl w:val="5EAEAE46"/>
    <w:lvl w:ilvl="0" w:tplc="0C22D8EE">
      <w:start w:val="1"/>
      <w:numFmt w:val="bullet"/>
      <w:lvlText w:val=""/>
      <w:lvlJc w:val="left"/>
      <w:pPr>
        <w:tabs>
          <w:tab w:val="num" w:pos="1647"/>
        </w:tabs>
        <w:ind w:left="1647" w:hanging="360"/>
      </w:pPr>
      <w:rPr>
        <w:rFonts w:ascii="Webdings" w:hAnsi="Webdings" w:hint="default"/>
        <w:b w:val="0"/>
        <w:i w:val="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69C155AE"/>
    <w:multiLevelType w:val="multilevel"/>
    <w:tmpl w:val="5F1C1CDC"/>
    <w:lvl w:ilvl="0">
      <w:start w:val="4"/>
      <w:numFmt w:val="decimal"/>
      <w:lvlText w:val="%1"/>
      <w:lvlJc w:val="left"/>
      <w:pPr>
        <w:tabs>
          <w:tab w:val="num" w:pos="720"/>
        </w:tabs>
        <w:ind w:left="720" w:hanging="720"/>
      </w:pPr>
      <w:rPr>
        <w:rFonts w:hint="default"/>
        <w:sz w:val="20"/>
      </w:rPr>
    </w:lvl>
    <w:lvl w:ilvl="1">
      <w:start w:val="6"/>
      <w:numFmt w:val="decimal"/>
      <w:lvlText w:val="%1.%2"/>
      <w:lvlJc w:val="left"/>
      <w:pPr>
        <w:tabs>
          <w:tab w:val="num" w:pos="720"/>
        </w:tabs>
        <w:ind w:left="720" w:hanging="720"/>
      </w:pPr>
      <w:rPr>
        <w:rFonts w:hint="default"/>
        <w:sz w:val="20"/>
      </w:rPr>
    </w:lvl>
    <w:lvl w:ilvl="2">
      <w:start w:val="4"/>
      <w:numFmt w:val="decimal"/>
      <w:lvlText w:val="%1.%2.%3"/>
      <w:lvlJc w:val="left"/>
      <w:pPr>
        <w:tabs>
          <w:tab w:val="num" w:pos="720"/>
        </w:tabs>
        <w:ind w:left="720" w:hanging="720"/>
      </w:pPr>
      <w:rPr>
        <w:rFonts w:hint="default"/>
        <w:color w:val="000000"/>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080"/>
        </w:tabs>
        <w:ind w:left="1080" w:hanging="108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60"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1" w15:restartNumberingAfterBreak="0">
    <w:nsid w:val="6BB67472"/>
    <w:multiLevelType w:val="hybridMultilevel"/>
    <w:tmpl w:val="1D86201C"/>
    <w:lvl w:ilvl="0" w:tplc="D298CC9A">
      <w:start w:val="2"/>
      <w:numFmt w:val="bullet"/>
      <w:lvlText w:val=""/>
      <w:lvlJc w:val="left"/>
      <w:pPr>
        <w:tabs>
          <w:tab w:val="num" w:pos="420"/>
        </w:tabs>
        <w:ind w:left="420" w:hanging="360"/>
      </w:pPr>
      <w:rPr>
        <w:rFonts w:ascii="Wingdings" w:hAnsi="Wingdings" w:cs="Times New Roman" w:hint="default"/>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3"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66"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67"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69"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0"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2"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25"/>
  </w:num>
  <w:num w:numId="2">
    <w:abstractNumId w:val="32"/>
  </w:num>
  <w:num w:numId="3">
    <w:abstractNumId w:val="29"/>
  </w:num>
  <w:num w:numId="4">
    <w:abstractNumId w:val="37"/>
  </w:num>
  <w:num w:numId="5">
    <w:abstractNumId w:val="67"/>
  </w:num>
  <w:num w:numId="6">
    <w:abstractNumId w:val="31"/>
  </w:num>
  <w:num w:numId="7">
    <w:abstractNumId w:val="36"/>
  </w:num>
  <w:num w:numId="8">
    <w:abstractNumId w:val="27"/>
  </w:num>
  <w:num w:numId="9">
    <w:abstractNumId w:val="13"/>
  </w:num>
  <w:num w:numId="10">
    <w:abstractNumId w:val="48"/>
  </w:num>
  <w:num w:numId="11">
    <w:abstractNumId w:val="44"/>
  </w:num>
  <w:num w:numId="12">
    <w:abstractNumId w:val="51"/>
  </w:num>
  <w:num w:numId="13">
    <w:abstractNumId w:val="16"/>
  </w:num>
  <w:num w:numId="14">
    <w:abstractNumId w:val="18"/>
  </w:num>
  <w:num w:numId="15">
    <w:abstractNumId w:val="23"/>
  </w:num>
  <w:num w:numId="16">
    <w:abstractNumId w:val="64"/>
  </w:num>
  <w:num w:numId="17">
    <w:abstractNumId w:val="21"/>
  </w:num>
  <w:num w:numId="18">
    <w:abstractNumId w:val="22"/>
  </w:num>
  <w:num w:numId="19">
    <w:abstractNumId w:val="19"/>
  </w:num>
  <w:num w:numId="20">
    <w:abstractNumId w:val="20"/>
  </w:num>
  <w:num w:numId="21">
    <w:abstractNumId w:val="55"/>
  </w:num>
  <w:num w:numId="22">
    <w:abstractNumId w:val="42"/>
  </w:num>
  <w:num w:numId="23">
    <w:abstractNumId w:val="61"/>
  </w:num>
  <w:num w:numId="24">
    <w:abstractNumId w:val="70"/>
  </w:num>
  <w:num w:numId="25">
    <w:abstractNumId w:val="4"/>
  </w:num>
  <w:num w:numId="26">
    <w:abstractNumId w:val="12"/>
  </w:num>
  <w:num w:numId="27">
    <w:abstractNumId w:val="43"/>
  </w:num>
  <w:num w:numId="28">
    <w:abstractNumId w:val="2"/>
  </w:num>
  <w:num w:numId="29">
    <w:abstractNumId w:val="30"/>
  </w:num>
  <w:num w:numId="30">
    <w:abstractNumId w:val="26"/>
  </w:num>
  <w:num w:numId="31">
    <w:abstractNumId w:val="0"/>
  </w:num>
  <w:num w:numId="32">
    <w:abstractNumId w:val="71"/>
  </w:num>
  <w:num w:numId="33">
    <w:abstractNumId w:val="34"/>
  </w:num>
  <w:num w:numId="34">
    <w:abstractNumId w:val="38"/>
  </w:num>
  <w:num w:numId="35">
    <w:abstractNumId w:val="47"/>
  </w:num>
  <w:num w:numId="36">
    <w:abstractNumId w:val="60"/>
  </w:num>
  <w:num w:numId="37">
    <w:abstractNumId w:val="15"/>
  </w:num>
  <w:num w:numId="38">
    <w:abstractNumId w:val="65"/>
  </w:num>
  <w:num w:numId="39">
    <w:abstractNumId w:val="8"/>
  </w:num>
  <w:num w:numId="40">
    <w:abstractNumId w:val="62"/>
  </w:num>
  <w:num w:numId="41">
    <w:abstractNumId w:val="7"/>
  </w:num>
  <w:num w:numId="42">
    <w:abstractNumId w:val="53"/>
  </w:num>
  <w:num w:numId="43">
    <w:abstractNumId w:val="6"/>
  </w:num>
  <w:num w:numId="44">
    <w:abstractNumId w:val="45"/>
  </w:num>
  <w:num w:numId="45">
    <w:abstractNumId w:val="63"/>
  </w:num>
  <w:num w:numId="46">
    <w:abstractNumId w:val="5"/>
  </w:num>
  <w:num w:numId="47">
    <w:abstractNumId w:val="59"/>
  </w:num>
  <w:num w:numId="48">
    <w:abstractNumId w:val="52"/>
  </w:num>
  <w:num w:numId="49">
    <w:abstractNumId w:val="24"/>
  </w:num>
  <w:num w:numId="50">
    <w:abstractNumId w:val="41"/>
  </w:num>
  <w:num w:numId="51">
    <w:abstractNumId w:val="40"/>
  </w:num>
  <w:num w:numId="52">
    <w:abstractNumId w:val="35"/>
  </w:num>
  <w:num w:numId="53">
    <w:abstractNumId w:val="10"/>
  </w:num>
  <w:num w:numId="54">
    <w:abstractNumId w:val="66"/>
  </w:num>
  <w:num w:numId="55">
    <w:abstractNumId w:val="28"/>
  </w:num>
  <w:num w:numId="56">
    <w:abstractNumId w:val="69"/>
  </w:num>
  <w:num w:numId="57">
    <w:abstractNumId w:val="58"/>
  </w:num>
  <w:num w:numId="58">
    <w:abstractNumId w:val="49"/>
  </w:num>
  <w:num w:numId="59">
    <w:abstractNumId w:val="68"/>
  </w:num>
  <w:num w:numId="60">
    <w:abstractNumId w:val="3"/>
  </w:num>
  <w:num w:numId="61">
    <w:abstractNumId w:val="72"/>
  </w:num>
  <w:num w:numId="62">
    <w:abstractNumId w:val="50"/>
  </w:num>
  <w:num w:numId="63">
    <w:abstractNumId w:val="1"/>
  </w:num>
  <w:num w:numId="64">
    <w:abstractNumId w:val="46"/>
  </w:num>
  <w:num w:numId="65">
    <w:abstractNumId w:val="33"/>
  </w:num>
  <w:num w:numId="66">
    <w:abstractNumId w:val="11"/>
  </w:num>
  <w:num w:numId="67">
    <w:abstractNumId w:val="57"/>
  </w:num>
  <w:num w:numId="68">
    <w:abstractNumId w:val="54"/>
  </w:num>
  <w:num w:numId="69">
    <w:abstractNumId w:val="39"/>
  </w:num>
  <w:num w:numId="70">
    <w:abstractNumId w:val="56"/>
  </w:num>
  <w:num w:numId="71">
    <w:abstractNumId w:val="17"/>
  </w:num>
  <w:num w:numId="72">
    <w:abstractNumId w:val="9"/>
  </w:num>
  <w:num w:numId="73">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81"/>
    <w:rsid w:val="00001F41"/>
    <w:rsid w:val="00005B83"/>
    <w:rsid w:val="00005E9C"/>
    <w:rsid w:val="0000786E"/>
    <w:rsid w:val="00007F00"/>
    <w:rsid w:val="00010480"/>
    <w:rsid w:val="00013EC4"/>
    <w:rsid w:val="000151FB"/>
    <w:rsid w:val="00022424"/>
    <w:rsid w:val="00023781"/>
    <w:rsid w:val="00023849"/>
    <w:rsid w:val="00024CAF"/>
    <w:rsid w:val="0002583E"/>
    <w:rsid w:val="00026072"/>
    <w:rsid w:val="0002608B"/>
    <w:rsid w:val="00026393"/>
    <w:rsid w:val="00030C47"/>
    <w:rsid w:val="00030E96"/>
    <w:rsid w:val="0003107A"/>
    <w:rsid w:val="00031B60"/>
    <w:rsid w:val="00032E6E"/>
    <w:rsid w:val="00036A6F"/>
    <w:rsid w:val="000402B6"/>
    <w:rsid w:val="000403D3"/>
    <w:rsid w:val="000407FE"/>
    <w:rsid w:val="000420E0"/>
    <w:rsid w:val="00043E5F"/>
    <w:rsid w:val="0004476D"/>
    <w:rsid w:val="00046C07"/>
    <w:rsid w:val="00047FBE"/>
    <w:rsid w:val="0005349D"/>
    <w:rsid w:val="000547DB"/>
    <w:rsid w:val="000556AF"/>
    <w:rsid w:val="00056D8F"/>
    <w:rsid w:val="00057B61"/>
    <w:rsid w:val="000619EC"/>
    <w:rsid w:val="00061CF0"/>
    <w:rsid w:val="00061DAE"/>
    <w:rsid w:val="00062432"/>
    <w:rsid w:val="000626D1"/>
    <w:rsid w:val="00062A4F"/>
    <w:rsid w:val="00063C71"/>
    <w:rsid w:val="0006527A"/>
    <w:rsid w:val="00066867"/>
    <w:rsid w:val="000711AB"/>
    <w:rsid w:val="00071E02"/>
    <w:rsid w:val="000737BF"/>
    <w:rsid w:val="00076222"/>
    <w:rsid w:val="00081D5A"/>
    <w:rsid w:val="000841DD"/>
    <w:rsid w:val="00084EDE"/>
    <w:rsid w:val="0008501B"/>
    <w:rsid w:val="00085C8B"/>
    <w:rsid w:val="00087D51"/>
    <w:rsid w:val="000922DB"/>
    <w:rsid w:val="00092677"/>
    <w:rsid w:val="00093EB1"/>
    <w:rsid w:val="0009755F"/>
    <w:rsid w:val="00097FAC"/>
    <w:rsid w:val="000A1E13"/>
    <w:rsid w:val="000A38F6"/>
    <w:rsid w:val="000A4419"/>
    <w:rsid w:val="000A7107"/>
    <w:rsid w:val="000A7139"/>
    <w:rsid w:val="000A77E8"/>
    <w:rsid w:val="000B08A2"/>
    <w:rsid w:val="000B10C0"/>
    <w:rsid w:val="000B2C51"/>
    <w:rsid w:val="000B4173"/>
    <w:rsid w:val="000B556B"/>
    <w:rsid w:val="000B5FAA"/>
    <w:rsid w:val="000B6A6D"/>
    <w:rsid w:val="000B6B24"/>
    <w:rsid w:val="000B72C2"/>
    <w:rsid w:val="000C259D"/>
    <w:rsid w:val="000C3AB4"/>
    <w:rsid w:val="000C3E4C"/>
    <w:rsid w:val="000C47EE"/>
    <w:rsid w:val="000C49FD"/>
    <w:rsid w:val="000C54CD"/>
    <w:rsid w:val="000D0B7B"/>
    <w:rsid w:val="000D118D"/>
    <w:rsid w:val="000D1A4A"/>
    <w:rsid w:val="000D303C"/>
    <w:rsid w:val="000D35D1"/>
    <w:rsid w:val="000D3DF2"/>
    <w:rsid w:val="000D52F1"/>
    <w:rsid w:val="000D65DE"/>
    <w:rsid w:val="000D682D"/>
    <w:rsid w:val="000D7389"/>
    <w:rsid w:val="000E07BF"/>
    <w:rsid w:val="000E0F91"/>
    <w:rsid w:val="000E1381"/>
    <w:rsid w:val="000E481B"/>
    <w:rsid w:val="000E530E"/>
    <w:rsid w:val="000E5E7E"/>
    <w:rsid w:val="000E7138"/>
    <w:rsid w:val="000E7640"/>
    <w:rsid w:val="000E7A31"/>
    <w:rsid w:val="000F13CB"/>
    <w:rsid w:val="000F226D"/>
    <w:rsid w:val="000F24E5"/>
    <w:rsid w:val="000F27BB"/>
    <w:rsid w:val="000F4CD8"/>
    <w:rsid w:val="000F5059"/>
    <w:rsid w:val="000F5CC6"/>
    <w:rsid w:val="000F5EE9"/>
    <w:rsid w:val="000F6283"/>
    <w:rsid w:val="000F78EA"/>
    <w:rsid w:val="00100777"/>
    <w:rsid w:val="0010092D"/>
    <w:rsid w:val="001018B4"/>
    <w:rsid w:val="00102E30"/>
    <w:rsid w:val="00103F02"/>
    <w:rsid w:val="001040F9"/>
    <w:rsid w:val="00106D3A"/>
    <w:rsid w:val="00107B64"/>
    <w:rsid w:val="00110B6F"/>
    <w:rsid w:val="00112297"/>
    <w:rsid w:val="00112373"/>
    <w:rsid w:val="00114761"/>
    <w:rsid w:val="001152F2"/>
    <w:rsid w:val="00115736"/>
    <w:rsid w:val="001167B3"/>
    <w:rsid w:val="001202B2"/>
    <w:rsid w:val="0012075C"/>
    <w:rsid w:val="00120B81"/>
    <w:rsid w:val="00121D44"/>
    <w:rsid w:val="00122C59"/>
    <w:rsid w:val="001236B0"/>
    <w:rsid w:val="00123D44"/>
    <w:rsid w:val="00130C0F"/>
    <w:rsid w:val="00130E82"/>
    <w:rsid w:val="00132E50"/>
    <w:rsid w:val="001372BD"/>
    <w:rsid w:val="00137C50"/>
    <w:rsid w:val="001411EC"/>
    <w:rsid w:val="001411F9"/>
    <w:rsid w:val="00142D55"/>
    <w:rsid w:val="0014387F"/>
    <w:rsid w:val="00144AFD"/>
    <w:rsid w:val="00150328"/>
    <w:rsid w:val="0015101B"/>
    <w:rsid w:val="00151F5D"/>
    <w:rsid w:val="001533B1"/>
    <w:rsid w:val="001544BF"/>
    <w:rsid w:val="0015616F"/>
    <w:rsid w:val="00156362"/>
    <w:rsid w:val="0015795E"/>
    <w:rsid w:val="00160008"/>
    <w:rsid w:val="001604BA"/>
    <w:rsid w:val="0016069D"/>
    <w:rsid w:val="00161AA0"/>
    <w:rsid w:val="001634E5"/>
    <w:rsid w:val="00163791"/>
    <w:rsid w:val="00163A4A"/>
    <w:rsid w:val="00163DB6"/>
    <w:rsid w:val="00164C09"/>
    <w:rsid w:val="00166488"/>
    <w:rsid w:val="0016757A"/>
    <w:rsid w:val="001726EF"/>
    <w:rsid w:val="00175272"/>
    <w:rsid w:val="00176C77"/>
    <w:rsid w:val="00177067"/>
    <w:rsid w:val="00181BB3"/>
    <w:rsid w:val="00182678"/>
    <w:rsid w:val="00183039"/>
    <w:rsid w:val="00192251"/>
    <w:rsid w:val="00193618"/>
    <w:rsid w:val="001A06D3"/>
    <w:rsid w:val="001A1705"/>
    <w:rsid w:val="001A4C03"/>
    <w:rsid w:val="001A5C38"/>
    <w:rsid w:val="001A647B"/>
    <w:rsid w:val="001A70FC"/>
    <w:rsid w:val="001B003A"/>
    <w:rsid w:val="001B04CC"/>
    <w:rsid w:val="001B05E1"/>
    <w:rsid w:val="001B14AB"/>
    <w:rsid w:val="001B168F"/>
    <w:rsid w:val="001B348E"/>
    <w:rsid w:val="001B4618"/>
    <w:rsid w:val="001C0CAE"/>
    <w:rsid w:val="001C3CD9"/>
    <w:rsid w:val="001C4AF4"/>
    <w:rsid w:val="001C50AF"/>
    <w:rsid w:val="001C5268"/>
    <w:rsid w:val="001C536D"/>
    <w:rsid w:val="001C645E"/>
    <w:rsid w:val="001D0634"/>
    <w:rsid w:val="001D0D1F"/>
    <w:rsid w:val="001D204F"/>
    <w:rsid w:val="001D2A19"/>
    <w:rsid w:val="001D3F93"/>
    <w:rsid w:val="001D42F1"/>
    <w:rsid w:val="001D5F56"/>
    <w:rsid w:val="001D67B9"/>
    <w:rsid w:val="001D67F1"/>
    <w:rsid w:val="001D7439"/>
    <w:rsid w:val="001D7D27"/>
    <w:rsid w:val="001E0258"/>
    <w:rsid w:val="001E113D"/>
    <w:rsid w:val="001E355A"/>
    <w:rsid w:val="001E38BA"/>
    <w:rsid w:val="001E40AF"/>
    <w:rsid w:val="001E574F"/>
    <w:rsid w:val="001E5D75"/>
    <w:rsid w:val="001E6910"/>
    <w:rsid w:val="001E7017"/>
    <w:rsid w:val="001E7B33"/>
    <w:rsid w:val="001F016F"/>
    <w:rsid w:val="001F4FF5"/>
    <w:rsid w:val="001F5033"/>
    <w:rsid w:val="00200DEF"/>
    <w:rsid w:val="00203234"/>
    <w:rsid w:val="00204401"/>
    <w:rsid w:val="00204586"/>
    <w:rsid w:val="00205578"/>
    <w:rsid w:val="0021082E"/>
    <w:rsid w:val="0021232F"/>
    <w:rsid w:val="0021434F"/>
    <w:rsid w:val="00214659"/>
    <w:rsid w:val="002152DF"/>
    <w:rsid w:val="0021630D"/>
    <w:rsid w:val="00216B97"/>
    <w:rsid w:val="0021700E"/>
    <w:rsid w:val="00217229"/>
    <w:rsid w:val="00217708"/>
    <w:rsid w:val="0021794E"/>
    <w:rsid w:val="00217C89"/>
    <w:rsid w:val="00221FA6"/>
    <w:rsid w:val="002229EE"/>
    <w:rsid w:val="002239D1"/>
    <w:rsid w:val="00225268"/>
    <w:rsid w:val="00225875"/>
    <w:rsid w:val="00231CCE"/>
    <w:rsid w:val="0023460F"/>
    <w:rsid w:val="002405DC"/>
    <w:rsid w:val="00240B5E"/>
    <w:rsid w:val="00242170"/>
    <w:rsid w:val="00245D7D"/>
    <w:rsid w:val="002469EA"/>
    <w:rsid w:val="00247BF7"/>
    <w:rsid w:val="00247CE5"/>
    <w:rsid w:val="0025399B"/>
    <w:rsid w:val="00255AF6"/>
    <w:rsid w:val="002563EE"/>
    <w:rsid w:val="00256834"/>
    <w:rsid w:val="002572B5"/>
    <w:rsid w:val="002573D6"/>
    <w:rsid w:val="00261DF3"/>
    <w:rsid w:val="00262D84"/>
    <w:rsid w:val="00262E5E"/>
    <w:rsid w:val="002637FD"/>
    <w:rsid w:val="00264FDD"/>
    <w:rsid w:val="00265682"/>
    <w:rsid w:val="0026611B"/>
    <w:rsid w:val="00267046"/>
    <w:rsid w:val="00272B88"/>
    <w:rsid w:val="00272DD6"/>
    <w:rsid w:val="00272FD2"/>
    <w:rsid w:val="00273AB2"/>
    <w:rsid w:val="0027441A"/>
    <w:rsid w:val="00274B9C"/>
    <w:rsid w:val="00276528"/>
    <w:rsid w:val="00277335"/>
    <w:rsid w:val="002803B1"/>
    <w:rsid w:val="002805B6"/>
    <w:rsid w:val="00281666"/>
    <w:rsid w:val="00281D46"/>
    <w:rsid w:val="0028439F"/>
    <w:rsid w:val="00284783"/>
    <w:rsid w:val="00287157"/>
    <w:rsid w:val="0028753C"/>
    <w:rsid w:val="0029085F"/>
    <w:rsid w:val="002931F4"/>
    <w:rsid w:val="00294327"/>
    <w:rsid w:val="002971EF"/>
    <w:rsid w:val="002A193B"/>
    <w:rsid w:val="002A22E3"/>
    <w:rsid w:val="002A2752"/>
    <w:rsid w:val="002A5BE5"/>
    <w:rsid w:val="002A6E16"/>
    <w:rsid w:val="002A72C0"/>
    <w:rsid w:val="002A7DC4"/>
    <w:rsid w:val="002B4757"/>
    <w:rsid w:val="002B4834"/>
    <w:rsid w:val="002B604A"/>
    <w:rsid w:val="002B758B"/>
    <w:rsid w:val="002C08FE"/>
    <w:rsid w:val="002C1549"/>
    <w:rsid w:val="002C17CA"/>
    <w:rsid w:val="002C1D45"/>
    <w:rsid w:val="002C7A96"/>
    <w:rsid w:val="002D0FA8"/>
    <w:rsid w:val="002D15BF"/>
    <w:rsid w:val="002D166A"/>
    <w:rsid w:val="002D2474"/>
    <w:rsid w:val="002D43A8"/>
    <w:rsid w:val="002D5500"/>
    <w:rsid w:val="002D558D"/>
    <w:rsid w:val="002D6D75"/>
    <w:rsid w:val="002D7330"/>
    <w:rsid w:val="002D7628"/>
    <w:rsid w:val="002E020C"/>
    <w:rsid w:val="002E0E92"/>
    <w:rsid w:val="002E2492"/>
    <w:rsid w:val="002E24B3"/>
    <w:rsid w:val="002E286D"/>
    <w:rsid w:val="002E3908"/>
    <w:rsid w:val="002E5754"/>
    <w:rsid w:val="002E7D28"/>
    <w:rsid w:val="002F0A49"/>
    <w:rsid w:val="002F113C"/>
    <w:rsid w:val="002F2EC1"/>
    <w:rsid w:val="002F3870"/>
    <w:rsid w:val="002F3B51"/>
    <w:rsid w:val="002F4B8C"/>
    <w:rsid w:val="002F57B0"/>
    <w:rsid w:val="002F5929"/>
    <w:rsid w:val="002F707C"/>
    <w:rsid w:val="00301BB1"/>
    <w:rsid w:val="0030237B"/>
    <w:rsid w:val="0030413C"/>
    <w:rsid w:val="0030515F"/>
    <w:rsid w:val="0030576F"/>
    <w:rsid w:val="0031041A"/>
    <w:rsid w:val="00310561"/>
    <w:rsid w:val="003126C2"/>
    <w:rsid w:val="00312A74"/>
    <w:rsid w:val="00313096"/>
    <w:rsid w:val="00315586"/>
    <w:rsid w:val="003155E1"/>
    <w:rsid w:val="00315D52"/>
    <w:rsid w:val="003163C9"/>
    <w:rsid w:val="00316C68"/>
    <w:rsid w:val="00316CD0"/>
    <w:rsid w:val="0031744F"/>
    <w:rsid w:val="003216F3"/>
    <w:rsid w:val="0032397C"/>
    <w:rsid w:val="00323CA3"/>
    <w:rsid w:val="003252C3"/>
    <w:rsid w:val="00326D15"/>
    <w:rsid w:val="00331F14"/>
    <w:rsid w:val="003325AD"/>
    <w:rsid w:val="00332929"/>
    <w:rsid w:val="00334C46"/>
    <w:rsid w:val="00335125"/>
    <w:rsid w:val="003400E4"/>
    <w:rsid w:val="00345649"/>
    <w:rsid w:val="00345F16"/>
    <w:rsid w:val="00352577"/>
    <w:rsid w:val="00353EA4"/>
    <w:rsid w:val="0035421E"/>
    <w:rsid w:val="0035574D"/>
    <w:rsid w:val="003558AE"/>
    <w:rsid w:val="00361196"/>
    <w:rsid w:val="00361D59"/>
    <w:rsid w:val="0036326C"/>
    <w:rsid w:val="00365E12"/>
    <w:rsid w:val="0036761C"/>
    <w:rsid w:val="00367C49"/>
    <w:rsid w:val="00372242"/>
    <w:rsid w:val="003748B3"/>
    <w:rsid w:val="00375E1A"/>
    <w:rsid w:val="00375F2B"/>
    <w:rsid w:val="00377430"/>
    <w:rsid w:val="0038372F"/>
    <w:rsid w:val="00385B99"/>
    <w:rsid w:val="00385ED7"/>
    <w:rsid w:val="003908C8"/>
    <w:rsid w:val="00391E0A"/>
    <w:rsid w:val="00392896"/>
    <w:rsid w:val="003959CF"/>
    <w:rsid w:val="00397BB2"/>
    <w:rsid w:val="00397F16"/>
    <w:rsid w:val="003A0888"/>
    <w:rsid w:val="003A279C"/>
    <w:rsid w:val="003A68FC"/>
    <w:rsid w:val="003A69D1"/>
    <w:rsid w:val="003A7BC5"/>
    <w:rsid w:val="003B2F65"/>
    <w:rsid w:val="003B40AC"/>
    <w:rsid w:val="003B47AB"/>
    <w:rsid w:val="003B4C54"/>
    <w:rsid w:val="003B555B"/>
    <w:rsid w:val="003B5C91"/>
    <w:rsid w:val="003C09B3"/>
    <w:rsid w:val="003C4430"/>
    <w:rsid w:val="003C545B"/>
    <w:rsid w:val="003C6877"/>
    <w:rsid w:val="003C6925"/>
    <w:rsid w:val="003C760C"/>
    <w:rsid w:val="003D2194"/>
    <w:rsid w:val="003D2A7E"/>
    <w:rsid w:val="003D377B"/>
    <w:rsid w:val="003D49A2"/>
    <w:rsid w:val="003D4BCE"/>
    <w:rsid w:val="003D5BB9"/>
    <w:rsid w:val="003D5DFA"/>
    <w:rsid w:val="003D6315"/>
    <w:rsid w:val="003D6604"/>
    <w:rsid w:val="003D6D13"/>
    <w:rsid w:val="003D782E"/>
    <w:rsid w:val="003E0D54"/>
    <w:rsid w:val="003E0FD1"/>
    <w:rsid w:val="003E12B3"/>
    <w:rsid w:val="003E1D83"/>
    <w:rsid w:val="003E2B31"/>
    <w:rsid w:val="003E3E6C"/>
    <w:rsid w:val="003E411F"/>
    <w:rsid w:val="003E630C"/>
    <w:rsid w:val="003E7D50"/>
    <w:rsid w:val="003F1805"/>
    <w:rsid w:val="003F1B8F"/>
    <w:rsid w:val="003F1FC2"/>
    <w:rsid w:val="003F4F64"/>
    <w:rsid w:val="003F5149"/>
    <w:rsid w:val="003F58BE"/>
    <w:rsid w:val="003F69CC"/>
    <w:rsid w:val="0040043D"/>
    <w:rsid w:val="00403196"/>
    <w:rsid w:val="004035B2"/>
    <w:rsid w:val="00404752"/>
    <w:rsid w:val="00411866"/>
    <w:rsid w:val="00411BA1"/>
    <w:rsid w:val="00413A39"/>
    <w:rsid w:val="004146F9"/>
    <w:rsid w:val="0041519A"/>
    <w:rsid w:val="004162B5"/>
    <w:rsid w:val="00416425"/>
    <w:rsid w:val="00420450"/>
    <w:rsid w:val="00420BF2"/>
    <w:rsid w:val="00422778"/>
    <w:rsid w:val="00423E95"/>
    <w:rsid w:val="0042403D"/>
    <w:rsid w:val="00425E9D"/>
    <w:rsid w:val="00426392"/>
    <w:rsid w:val="00431CCA"/>
    <w:rsid w:val="004323B2"/>
    <w:rsid w:val="004336D9"/>
    <w:rsid w:val="00433AB4"/>
    <w:rsid w:val="00436120"/>
    <w:rsid w:val="00436275"/>
    <w:rsid w:val="0043680D"/>
    <w:rsid w:val="00437D4B"/>
    <w:rsid w:val="00440992"/>
    <w:rsid w:val="0044166C"/>
    <w:rsid w:val="00442DD7"/>
    <w:rsid w:val="004436CC"/>
    <w:rsid w:val="00444618"/>
    <w:rsid w:val="00444A4C"/>
    <w:rsid w:val="00446894"/>
    <w:rsid w:val="00447CE9"/>
    <w:rsid w:val="00450E55"/>
    <w:rsid w:val="004518FB"/>
    <w:rsid w:val="004531C6"/>
    <w:rsid w:val="00453A75"/>
    <w:rsid w:val="00453F5C"/>
    <w:rsid w:val="004541B4"/>
    <w:rsid w:val="00454BD5"/>
    <w:rsid w:val="00461A78"/>
    <w:rsid w:val="004622A1"/>
    <w:rsid w:val="00467735"/>
    <w:rsid w:val="00467C6C"/>
    <w:rsid w:val="00470229"/>
    <w:rsid w:val="00471EFF"/>
    <w:rsid w:val="004767BE"/>
    <w:rsid w:val="004809F9"/>
    <w:rsid w:val="00480DB1"/>
    <w:rsid w:val="004814C0"/>
    <w:rsid w:val="00482CCF"/>
    <w:rsid w:val="00483E20"/>
    <w:rsid w:val="00484481"/>
    <w:rsid w:val="004844FE"/>
    <w:rsid w:val="0048483D"/>
    <w:rsid w:val="004862BD"/>
    <w:rsid w:val="004872EE"/>
    <w:rsid w:val="004906DA"/>
    <w:rsid w:val="00490AD2"/>
    <w:rsid w:val="00491337"/>
    <w:rsid w:val="00491485"/>
    <w:rsid w:val="00492F82"/>
    <w:rsid w:val="004952D3"/>
    <w:rsid w:val="00495449"/>
    <w:rsid w:val="00495D0A"/>
    <w:rsid w:val="004966B2"/>
    <w:rsid w:val="00497924"/>
    <w:rsid w:val="004A382D"/>
    <w:rsid w:val="004A3DD2"/>
    <w:rsid w:val="004A5A1E"/>
    <w:rsid w:val="004A6FB7"/>
    <w:rsid w:val="004B1830"/>
    <w:rsid w:val="004B2D5C"/>
    <w:rsid w:val="004B4DC2"/>
    <w:rsid w:val="004B5056"/>
    <w:rsid w:val="004B7AF4"/>
    <w:rsid w:val="004C0B7B"/>
    <w:rsid w:val="004C1D81"/>
    <w:rsid w:val="004C24F5"/>
    <w:rsid w:val="004C3906"/>
    <w:rsid w:val="004C563E"/>
    <w:rsid w:val="004C5BBD"/>
    <w:rsid w:val="004C65F0"/>
    <w:rsid w:val="004C6AED"/>
    <w:rsid w:val="004C770E"/>
    <w:rsid w:val="004D0346"/>
    <w:rsid w:val="004D318F"/>
    <w:rsid w:val="004D3673"/>
    <w:rsid w:val="004D46D2"/>
    <w:rsid w:val="004D5D9E"/>
    <w:rsid w:val="004E0A16"/>
    <w:rsid w:val="004E1436"/>
    <w:rsid w:val="004E262E"/>
    <w:rsid w:val="004E4AAE"/>
    <w:rsid w:val="004E4F26"/>
    <w:rsid w:val="004E60E3"/>
    <w:rsid w:val="004E63BA"/>
    <w:rsid w:val="004E7031"/>
    <w:rsid w:val="004E7AF3"/>
    <w:rsid w:val="004E7B22"/>
    <w:rsid w:val="004F0987"/>
    <w:rsid w:val="004F0F4F"/>
    <w:rsid w:val="004F3364"/>
    <w:rsid w:val="004F50B7"/>
    <w:rsid w:val="004F7054"/>
    <w:rsid w:val="004F72DF"/>
    <w:rsid w:val="00501092"/>
    <w:rsid w:val="00502296"/>
    <w:rsid w:val="00502F7D"/>
    <w:rsid w:val="00503032"/>
    <w:rsid w:val="00507E47"/>
    <w:rsid w:val="00510E44"/>
    <w:rsid w:val="0051174D"/>
    <w:rsid w:val="00512A88"/>
    <w:rsid w:val="00514935"/>
    <w:rsid w:val="00516042"/>
    <w:rsid w:val="00517EC1"/>
    <w:rsid w:val="00520BE4"/>
    <w:rsid w:val="0052674B"/>
    <w:rsid w:val="005275AD"/>
    <w:rsid w:val="00531EA8"/>
    <w:rsid w:val="00532D41"/>
    <w:rsid w:val="0053495D"/>
    <w:rsid w:val="00535682"/>
    <w:rsid w:val="00535BF7"/>
    <w:rsid w:val="00536EE2"/>
    <w:rsid w:val="00543BE8"/>
    <w:rsid w:val="00544049"/>
    <w:rsid w:val="00544388"/>
    <w:rsid w:val="00544F20"/>
    <w:rsid w:val="00547131"/>
    <w:rsid w:val="005477EF"/>
    <w:rsid w:val="00550390"/>
    <w:rsid w:val="00550B35"/>
    <w:rsid w:val="0055262C"/>
    <w:rsid w:val="00555528"/>
    <w:rsid w:val="0055674E"/>
    <w:rsid w:val="00557433"/>
    <w:rsid w:val="00560327"/>
    <w:rsid w:val="00560380"/>
    <w:rsid w:val="0056075F"/>
    <w:rsid w:val="005623CD"/>
    <w:rsid w:val="00562644"/>
    <w:rsid w:val="00563057"/>
    <w:rsid w:val="00563451"/>
    <w:rsid w:val="00563531"/>
    <w:rsid w:val="00564111"/>
    <w:rsid w:val="00564409"/>
    <w:rsid w:val="00565053"/>
    <w:rsid w:val="00565E1B"/>
    <w:rsid w:val="0057250E"/>
    <w:rsid w:val="00573D72"/>
    <w:rsid w:val="00575311"/>
    <w:rsid w:val="00576974"/>
    <w:rsid w:val="00580B58"/>
    <w:rsid w:val="005829E6"/>
    <w:rsid w:val="00582C0A"/>
    <w:rsid w:val="0058307D"/>
    <w:rsid w:val="005832E7"/>
    <w:rsid w:val="00583A66"/>
    <w:rsid w:val="00583A9A"/>
    <w:rsid w:val="0058415E"/>
    <w:rsid w:val="00585496"/>
    <w:rsid w:val="00585C21"/>
    <w:rsid w:val="00586291"/>
    <w:rsid w:val="005875FE"/>
    <w:rsid w:val="00590590"/>
    <w:rsid w:val="005908C4"/>
    <w:rsid w:val="005919CD"/>
    <w:rsid w:val="00592495"/>
    <w:rsid w:val="00593C49"/>
    <w:rsid w:val="00595EDE"/>
    <w:rsid w:val="0059647D"/>
    <w:rsid w:val="005A1F1D"/>
    <w:rsid w:val="005A3F47"/>
    <w:rsid w:val="005A3FD8"/>
    <w:rsid w:val="005A4138"/>
    <w:rsid w:val="005A432C"/>
    <w:rsid w:val="005A494E"/>
    <w:rsid w:val="005A6770"/>
    <w:rsid w:val="005B2534"/>
    <w:rsid w:val="005B3ECA"/>
    <w:rsid w:val="005B4417"/>
    <w:rsid w:val="005B49DC"/>
    <w:rsid w:val="005B50BB"/>
    <w:rsid w:val="005B5B88"/>
    <w:rsid w:val="005B6ACF"/>
    <w:rsid w:val="005C0020"/>
    <w:rsid w:val="005C066B"/>
    <w:rsid w:val="005C069A"/>
    <w:rsid w:val="005C21C4"/>
    <w:rsid w:val="005C291D"/>
    <w:rsid w:val="005C2F06"/>
    <w:rsid w:val="005C4B22"/>
    <w:rsid w:val="005C6830"/>
    <w:rsid w:val="005C7996"/>
    <w:rsid w:val="005D1B82"/>
    <w:rsid w:val="005D33AE"/>
    <w:rsid w:val="005D4FF3"/>
    <w:rsid w:val="005D57AF"/>
    <w:rsid w:val="005E2695"/>
    <w:rsid w:val="005E2785"/>
    <w:rsid w:val="005F100D"/>
    <w:rsid w:val="005F187E"/>
    <w:rsid w:val="005F4FD6"/>
    <w:rsid w:val="005F6B53"/>
    <w:rsid w:val="006021A3"/>
    <w:rsid w:val="006027DB"/>
    <w:rsid w:val="00602B3C"/>
    <w:rsid w:val="00604B4D"/>
    <w:rsid w:val="006054BD"/>
    <w:rsid w:val="00606909"/>
    <w:rsid w:val="00607134"/>
    <w:rsid w:val="0061568F"/>
    <w:rsid w:val="00617055"/>
    <w:rsid w:val="00621FA3"/>
    <w:rsid w:val="00623773"/>
    <w:rsid w:val="00625939"/>
    <w:rsid w:val="00625B1E"/>
    <w:rsid w:val="0063057F"/>
    <w:rsid w:val="0063633F"/>
    <w:rsid w:val="006421A8"/>
    <w:rsid w:val="0064460F"/>
    <w:rsid w:val="0064501C"/>
    <w:rsid w:val="00645F15"/>
    <w:rsid w:val="00646166"/>
    <w:rsid w:val="006463CF"/>
    <w:rsid w:val="006468FA"/>
    <w:rsid w:val="00646C1A"/>
    <w:rsid w:val="00647846"/>
    <w:rsid w:val="006504F3"/>
    <w:rsid w:val="00655035"/>
    <w:rsid w:val="006551EF"/>
    <w:rsid w:val="006555D8"/>
    <w:rsid w:val="00655A55"/>
    <w:rsid w:val="00655A69"/>
    <w:rsid w:val="0065735E"/>
    <w:rsid w:val="006614D8"/>
    <w:rsid w:val="00663643"/>
    <w:rsid w:val="006647A5"/>
    <w:rsid w:val="00664DAE"/>
    <w:rsid w:val="006662BB"/>
    <w:rsid w:val="00667485"/>
    <w:rsid w:val="006676FF"/>
    <w:rsid w:val="006679D2"/>
    <w:rsid w:val="00667D56"/>
    <w:rsid w:val="006701C6"/>
    <w:rsid w:val="00671889"/>
    <w:rsid w:val="00671AB0"/>
    <w:rsid w:val="0067232D"/>
    <w:rsid w:val="00672504"/>
    <w:rsid w:val="00674508"/>
    <w:rsid w:val="0067764C"/>
    <w:rsid w:val="00677920"/>
    <w:rsid w:val="00677D27"/>
    <w:rsid w:val="00683198"/>
    <w:rsid w:val="00683DD1"/>
    <w:rsid w:val="006858AB"/>
    <w:rsid w:val="00686A6F"/>
    <w:rsid w:val="006876EC"/>
    <w:rsid w:val="00687BBB"/>
    <w:rsid w:val="006909C2"/>
    <w:rsid w:val="006923D4"/>
    <w:rsid w:val="00693223"/>
    <w:rsid w:val="00694B07"/>
    <w:rsid w:val="006950C0"/>
    <w:rsid w:val="00695206"/>
    <w:rsid w:val="00696168"/>
    <w:rsid w:val="00696D1F"/>
    <w:rsid w:val="006A0DDA"/>
    <w:rsid w:val="006A1870"/>
    <w:rsid w:val="006A1AA9"/>
    <w:rsid w:val="006A28AD"/>
    <w:rsid w:val="006A2A6D"/>
    <w:rsid w:val="006A48FD"/>
    <w:rsid w:val="006A4C82"/>
    <w:rsid w:val="006A5D64"/>
    <w:rsid w:val="006B04AA"/>
    <w:rsid w:val="006B3024"/>
    <w:rsid w:val="006B39AB"/>
    <w:rsid w:val="006B3A7A"/>
    <w:rsid w:val="006B48BC"/>
    <w:rsid w:val="006B7708"/>
    <w:rsid w:val="006B7A0D"/>
    <w:rsid w:val="006B7EAD"/>
    <w:rsid w:val="006C4934"/>
    <w:rsid w:val="006C64E6"/>
    <w:rsid w:val="006C72B1"/>
    <w:rsid w:val="006D081C"/>
    <w:rsid w:val="006D2D55"/>
    <w:rsid w:val="006D3360"/>
    <w:rsid w:val="006D5042"/>
    <w:rsid w:val="006D5863"/>
    <w:rsid w:val="006D5EC2"/>
    <w:rsid w:val="006D6C25"/>
    <w:rsid w:val="006D6D69"/>
    <w:rsid w:val="006D7E5E"/>
    <w:rsid w:val="006E14AC"/>
    <w:rsid w:val="006E1BBA"/>
    <w:rsid w:val="006E3804"/>
    <w:rsid w:val="006E57FB"/>
    <w:rsid w:val="006E5B6E"/>
    <w:rsid w:val="006E60F5"/>
    <w:rsid w:val="006E6871"/>
    <w:rsid w:val="006E6D20"/>
    <w:rsid w:val="006E6DAE"/>
    <w:rsid w:val="006E7C08"/>
    <w:rsid w:val="006F0B1B"/>
    <w:rsid w:val="006F0F3D"/>
    <w:rsid w:val="006F7413"/>
    <w:rsid w:val="006F767D"/>
    <w:rsid w:val="00700B0B"/>
    <w:rsid w:val="007011E5"/>
    <w:rsid w:val="007025B2"/>
    <w:rsid w:val="007045B6"/>
    <w:rsid w:val="00705135"/>
    <w:rsid w:val="007051EC"/>
    <w:rsid w:val="00705C9E"/>
    <w:rsid w:val="00705FED"/>
    <w:rsid w:val="00706650"/>
    <w:rsid w:val="00706F2C"/>
    <w:rsid w:val="0071271A"/>
    <w:rsid w:val="00712E42"/>
    <w:rsid w:val="00713DC8"/>
    <w:rsid w:val="00716B54"/>
    <w:rsid w:val="00717886"/>
    <w:rsid w:val="00717D6E"/>
    <w:rsid w:val="007201F7"/>
    <w:rsid w:val="007211B9"/>
    <w:rsid w:val="007229AB"/>
    <w:rsid w:val="00722D9E"/>
    <w:rsid w:val="007233C5"/>
    <w:rsid w:val="007270A9"/>
    <w:rsid w:val="00727E96"/>
    <w:rsid w:val="0073125B"/>
    <w:rsid w:val="00731E03"/>
    <w:rsid w:val="00733EAB"/>
    <w:rsid w:val="0073609F"/>
    <w:rsid w:val="00742B0D"/>
    <w:rsid w:val="007432FD"/>
    <w:rsid w:val="00744879"/>
    <w:rsid w:val="00745D3D"/>
    <w:rsid w:val="00745DEF"/>
    <w:rsid w:val="007510AE"/>
    <w:rsid w:val="00752155"/>
    <w:rsid w:val="00752E45"/>
    <w:rsid w:val="0075380A"/>
    <w:rsid w:val="00756752"/>
    <w:rsid w:val="00757DEE"/>
    <w:rsid w:val="00760C81"/>
    <w:rsid w:val="00760E14"/>
    <w:rsid w:val="0076478E"/>
    <w:rsid w:val="007660F0"/>
    <w:rsid w:val="007664B7"/>
    <w:rsid w:val="00771DEB"/>
    <w:rsid w:val="00771FED"/>
    <w:rsid w:val="007726E2"/>
    <w:rsid w:val="0077281F"/>
    <w:rsid w:val="00772BBD"/>
    <w:rsid w:val="00774D82"/>
    <w:rsid w:val="00775B9E"/>
    <w:rsid w:val="00775DC6"/>
    <w:rsid w:val="007809DE"/>
    <w:rsid w:val="0078109B"/>
    <w:rsid w:val="00782D20"/>
    <w:rsid w:val="0078317D"/>
    <w:rsid w:val="0078379C"/>
    <w:rsid w:val="0078413B"/>
    <w:rsid w:val="00785536"/>
    <w:rsid w:val="00785D2D"/>
    <w:rsid w:val="00785E1A"/>
    <w:rsid w:val="00785EBB"/>
    <w:rsid w:val="007867B3"/>
    <w:rsid w:val="0078693F"/>
    <w:rsid w:val="00787E9B"/>
    <w:rsid w:val="0079337D"/>
    <w:rsid w:val="00796994"/>
    <w:rsid w:val="00796A19"/>
    <w:rsid w:val="007A6F97"/>
    <w:rsid w:val="007A7643"/>
    <w:rsid w:val="007A7B63"/>
    <w:rsid w:val="007A7BE3"/>
    <w:rsid w:val="007B475C"/>
    <w:rsid w:val="007B4FF6"/>
    <w:rsid w:val="007B5899"/>
    <w:rsid w:val="007B5DE3"/>
    <w:rsid w:val="007C192E"/>
    <w:rsid w:val="007C35D2"/>
    <w:rsid w:val="007C4C71"/>
    <w:rsid w:val="007C5324"/>
    <w:rsid w:val="007C5527"/>
    <w:rsid w:val="007C5CC8"/>
    <w:rsid w:val="007C7752"/>
    <w:rsid w:val="007C7845"/>
    <w:rsid w:val="007D20B1"/>
    <w:rsid w:val="007D2F69"/>
    <w:rsid w:val="007D4416"/>
    <w:rsid w:val="007D5321"/>
    <w:rsid w:val="007D6AD3"/>
    <w:rsid w:val="007D7E39"/>
    <w:rsid w:val="007E0725"/>
    <w:rsid w:val="007E2236"/>
    <w:rsid w:val="007E4D84"/>
    <w:rsid w:val="007E5CF4"/>
    <w:rsid w:val="007E7D23"/>
    <w:rsid w:val="007E7E01"/>
    <w:rsid w:val="007F0704"/>
    <w:rsid w:val="007F0CC9"/>
    <w:rsid w:val="007F1C5C"/>
    <w:rsid w:val="007F6144"/>
    <w:rsid w:val="00800E1A"/>
    <w:rsid w:val="008019D5"/>
    <w:rsid w:val="00801CD5"/>
    <w:rsid w:val="00802251"/>
    <w:rsid w:val="00802CC2"/>
    <w:rsid w:val="008032C5"/>
    <w:rsid w:val="00803503"/>
    <w:rsid w:val="00806118"/>
    <w:rsid w:val="00807CE5"/>
    <w:rsid w:val="00810034"/>
    <w:rsid w:val="0081154A"/>
    <w:rsid w:val="008119AB"/>
    <w:rsid w:val="00811C5E"/>
    <w:rsid w:val="0081290E"/>
    <w:rsid w:val="00813A34"/>
    <w:rsid w:val="008147AD"/>
    <w:rsid w:val="0081571C"/>
    <w:rsid w:val="008164EB"/>
    <w:rsid w:val="00816B30"/>
    <w:rsid w:val="008172DA"/>
    <w:rsid w:val="0081737C"/>
    <w:rsid w:val="0082133C"/>
    <w:rsid w:val="0082157D"/>
    <w:rsid w:val="00823729"/>
    <w:rsid w:val="008245B1"/>
    <w:rsid w:val="00824827"/>
    <w:rsid w:val="008253F5"/>
    <w:rsid w:val="00825562"/>
    <w:rsid w:val="00826714"/>
    <w:rsid w:val="00826C57"/>
    <w:rsid w:val="008306D1"/>
    <w:rsid w:val="0083103D"/>
    <w:rsid w:val="008329EB"/>
    <w:rsid w:val="0083342B"/>
    <w:rsid w:val="00835661"/>
    <w:rsid w:val="00835898"/>
    <w:rsid w:val="00837521"/>
    <w:rsid w:val="008401F9"/>
    <w:rsid w:val="00841A94"/>
    <w:rsid w:val="00841BF2"/>
    <w:rsid w:val="00841D14"/>
    <w:rsid w:val="00842179"/>
    <w:rsid w:val="00845107"/>
    <w:rsid w:val="008512CC"/>
    <w:rsid w:val="008522D0"/>
    <w:rsid w:val="008534CC"/>
    <w:rsid w:val="00854978"/>
    <w:rsid w:val="00855D2E"/>
    <w:rsid w:val="00861CC5"/>
    <w:rsid w:val="00862712"/>
    <w:rsid w:val="00862720"/>
    <w:rsid w:val="00862834"/>
    <w:rsid w:val="008628E2"/>
    <w:rsid w:val="00862BCE"/>
    <w:rsid w:val="00863BC7"/>
    <w:rsid w:val="00863CAF"/>
    <w:rsid w:val="00864C36"/>
    <w:rsid w:val="00867E75"/>
    <w:rsid w:val="008718E0"/>
    <w:rsid w:val="00874A3C"/>
    <w:rsid w:val="00876B84"/>
    <w:rsid w:val="00877394"/>
    <w:rsid w:val="0087758A"/>
    <w:rsid w:val="00880331"/>
    <w:rsid w:val="00880514"/>
    <w:rsid w:val="00880795"/>
    <w:rsid w:val="00882C6A"/>
    <w:rsid w:val="00883816"/>
    <w:rsid w:val="00884B28"/>
    <w:rsid w:val="00886CC8"/>
    <w:rsid w:val="008905A4"/>
    <w:rsid w:val="00890D42"/>
    <w:rsid w:val="0089457C"/>
    <w:rsid w:val="008978DB"/>
    <w:rsid w:val="008979DF"/>
    <w:rsid w:val="008A1184"/>
    <w:rsid w:val="008A2308"/>
    <w:rsid w:val="008A2F26"/>
    <w:rsid w:val="008A4228"/>
    <w:rsid w:val="008A58C3"/>
    <w:rsid w:val="008B1CE9"/>
    <w:rsid w:val="008B314B"/>
    <w:rsid w:val="008B36BD"/>
    <w:rsid w:val="008B3B03"/>
    <w:rsid w:val="008B516B"/>
    <w:rsid w:val="008B63E6"/>
    <w:rsid w:val="008B6519"/>
    <w:rsid w:val="008B696F"/>
    <w:rsid w:val="008C13DE"/>
    <w:rsid w:val="008C267B"/>
    <w:rsid w:val="008C5570"/>
    <w:rsid w:val="008D0628"/>
    <w:rsid w:val="008D0BD2"/>
    <w:rsid w:val="008D1A09"/>
    <w:rsid w:val="008D2AC4"/>
    <w:rsid w:val="008D3A55"/>
    <w:rsid w:val="008D4393"/>
    <w:rsid w:val="008D7F61"/>
    <w:rsid w:val="008E0B61"/>
    <w:rsid w:val="008E10E3"/>
    <w:rsid w:val="008E414E"/>
    <w:rsid w:val="008E5F67"/>
    <w:rsid w:val="008E6B91"/>
    <w:rsid w:val="008E744C"/>
    <w:rsid w:val="008F36C2"/>
    <w:rsid w:val="008F61E6"/>
    <w:rsid w:val="008F72B2"/>
    <w:rsid w:val="008F79DC"/>
    <w:rsid w:val="008F7E7B"/>
    <w:rsid w:val="009013EB"/>
    <w:rsid w:val="0090541F"/>
    <w:rsid w:val="00906F5E"/>
    <w:rsid w:val="009104CC"/>
    <w:rsid w:val="00911E61"/>
    <w:rsid w:val="00913FD2"/>
    <w:rsid w:val="009140E6"/>
    <w:rsid w:val="00915A9E"/>
    <w:rsid w:val="00921BCD"/>
    <w:rsid w:val="00923FB5"/>
    <w:rsid w:val="0092525C"/>
    <w:rsid w:val="00926EE1"/>
    <w:rsid w:val="009276B1"/>
    <w:rsid w:val="0093104F"/>
    <w:rsid w:val="00931532"/>
    <w:rsid w:val="00940B18"/>
    <w:rsid w:val="00940D74"/>
    <w:rsid w:val="0094402D"/>
    <w:rsid w:val="00945A17"/>
    <w:rsid w:val="0094744E"/>
    <w:rsid w:val="009511A9"/>
    <w:rsid w:val="0095384E"/>
    <w:rsid w:val="00953C4C"/>
    <w:rsid w:val="00953F9E"/>
    <w:rsid w:val="0095697C"/>
    <w:rsid w:val="00961575"/>
    <w:rsid w:val="009615CF"/>
    <w:rsid w:val="00962EF5"/>
    <w:rsid w:val="00963ECB"/>
    <w:rsid w:val="00965A23"/>
    <w:rsid w:val="009672D0"/>
    <w:rsid w:val="009676A3"/>
    <w:rsid w:val="00967737"/>
    <w:rsid w:val="00970C03"/>
    <w:rsid w:val="0097170E"/>
    <w:rsid w:val="00971A75"/>
    <w:rsid w:val="00974BF5"/>
    <w:rsid w:val="00974D30"/>
    <w:rsid w:val="00977468"/>
    <w:rsid w:val="0098022D"/>
    <w:rsid w:val="009809A7"/>
    <w:rsid w:val="009855F0"/>
    <w:rsid w:val="00992491"/>
    <w:rsid w:val="0099359C"/>
    <w:rsid w:val="00996046"/>
    <w:rsid w:val="00996376"/>
    <w:rsid w:val="009970EC"/>
    <w:rsid w:val="00997AEE"/>
    <w:rsid w:val="009A1245"/>
    <w:rsid w:val="009A486A"/>
    <w:rsid w:val="009A491E"/>
    <w:rsid w:val="009A5523"/>
    <w:rsid w:val="009A55B9"/>
    <w:rsid w:val="009A5DF9"/>
    <w:rsid w:val="009A703E"/>
    <w:rsid w:val="009B0637"/>
    <w:rsid w:val="009B178F"/>
    <w:rsid w:val="009B3556"/>
    <w:rsid w:val="009B3EF9"/>
    <w:rsid w:val="009B41D2"/>
    <w:rsid w:val="009B53F7"/>
    <w:rsid w:val="009B633C"/>
    <w:rsid w:val="009B6762"/>
    <w:rsid w:val="009C1A40"/>
    <w:rsid w:val="009C6B03"/>
    <w:rsid w:val="009C712F"/>
    <w:rsid w:val="009D0675"/>
    <w:rsid w:val="009D1A8A"/>
    <w:rsid w:val="009D34B6"/>
    <w:rsid w:val="009D495F"/>
    <w:rsid w:val="009D4B97"/>
    <w:rsid w:val="009D766C"/>
    <w:rsid w:val="009D7AA9"/>
    <w:rsid w:val="009E171F"/>
    <w:rsid w:val="009E418F"/>
    <w:rsid w:val="009E48F2"/>
    <w:rsid w:val="009E55E3"/>
    <w:rsid w:val="009E5DAC"/>
    <w:rsid w:val="009E6554"/>
    <w:rsid w:val="009E68B6"/>
    <w:rsid w:val="009E6906"/>
    <w:rsid w:val="009E745F"/>
    <w:rsid w:val="009E77AD"/>
    <w:rsid w:val="009F1F4E"/>
    <w:rsid w:val="009F3F43"/>
    <w:rsid w:val="009F56F5"/>
    <w:rsid w:val="009F5B0E"/>
    <w:rsid w:val="009F5EE8"/>
    <w:rsid w:val="009F72A1"/>
    <w:rsid w:val="009F7EDF"/>
    <w:rsid w:val="00A007C5"/>
    <w:rsid w:val="00A03186"/>
    <w:rsid w:val="00A05185"/>
    <w:rsid w:val="00A0604C"/>
    <w:rsid w:val="00A06EBC"/>
    <w:rsid w:val="00A07795"/>
    <w:rsid w:val="00A078F1"/>
    <w:rsid w:val="00A114F1"/>
    <w:rsid w:val="00A11E93"/>
    <w:rsid w:val="00A1253E"/>
    <w:rsid w:val="00A13172"/>
    <w:rsid w:val="00A135BE"/>
    <w:rsid w:val="00A14EEB"/>
    <w:rsid w:val="00A15B62"/>
    <w:rsid w:val="00A160AD"/>
    <w:rsid w:val="00A200FB"/>
    <w:rsid w:val="00A20B65"/>
    <w:rsid w:val="00A22080"/>
    <w:rsid w:val="00A223C2"/>
    <w:rsid w:val="00A22525"/>
    <w:rsid w:val="00A22620"/>
    <w:rsid w:val="00A23E26"/>
    <w:rsid w:val="00A24F8C"/>
    <w:rsid w:val="00A2580B"/>
    <w:rsid w:val="00A25BEE"/>
    <w:rsid w:val="00A25DE5"/>
    <w:rsid w:val="00A26A71"/>
    <w:rsid w:val="00A27D51"/>
    <w:rsid w:val="00A309B2"/>
    <w:rsid w:val="00A3241D"/>
    <w:rsid w:val="00A338D2"/>
    <w:rsid w:val="00A34F29"/>
    <w:rsid w:val="00A37039"/>
    <w:rsid w:val="00A40623"/>
    <w:rsid w:val="00A40D16"/>
    <w:rsid w:val="00A42FFE"/>
    <w:rsid w:val="00A4412D"/>
    <w:rsid w:val="00A44656"/>
    <w:rsid w:val="00A47FD9"/>
    <w:rsid w:val="00A5277D"/>
    <w:rsid w:val="00A5281F"/>
    <w:rsid w:val="00A53F17"/>
    <w:rsid w:val="00A54088"/>
    <w:rsid w:val="00A5524C"/>
    <w:rsid w:val="00A56679"/>
    <w:rsid w:val="00A56B34"/>
    <w:rsid w:val="00A60563"/>
    <w:rsid w:val="00A60FC0"/>
    <w:rsid w:val="00A631C3"/>
    <w:rsid w:val="00A63FEE"/>
    <w:rsid w:val="00A6622A"/>
    <w:rsid w:val="00A662CF"/>
    <w:rsid w:val="00A663F0"/>
    <w:rsid w:val="00A66699"/>
    <w:rsid w:val="00A66799"/>
    <w:rsid w:val="00A71429"/>
    <w:rsid w:val="00A7169E"/>
    <w:rsid w:val="00A72FB4"/>
    <w:rsid w:val="00A736FD"/>
    <w:rsid w:val="00A743CB"/>
    <w:rsid w:val="00A754B5"/>
    <w:rsid w:val="00A76E6E"/>
    <w:rsid w:val="00A7717F"/>
    <w:rsid w:val="00A8112F"/>
    <w:rsid w:val="00A8155A"/>
    <w:rsid w:val="00A816C6"/>
    <w:rsid w:val="00A81CB3"/>
    <w:rsid w:val="00A82435"/>
    <w:rsid w:val="00A84325"/>
    <w:rsid w:val="00A860CC"/>
    <w:rsid w:val="00A87AA3"/>
    <w:rsid w:val="00A87AFB"/>
    <w:rsid w:val="00A92378"/>
    <w:rsid w:val="00A9456A"/>
    <w:rsid w:val="00A94F2D"/>
    <w:rsid w:val="00A97263"/>
    <w:rsid w:val="00A976E1"/>
    <w:rsid w:val="00AA176A"/>
    <w:rsid w:val="00AA2600"/>
    <w:rsid w:val="00AA2A81"/>
    <w:rsid w:val="00AA3936"/>
    <w:rsid w:val="00AA3B81"/>
    <w:rsid w:val="00AA44D8"/>
    <w:rsid w:val="00AB0162"/>
    <w:rsid w:val="00AB2C73"/>
    <w:rsid w:val="00AB2E0B"/>
    <w:rsid w:val="00AB3180"/>
    <w:rsid w:val="00AB51D4"/>
    <w:rsid w:val="00AB58A8"/>
    <w:rsid w:val="00AB65D9"/>
    <w:rsid w:val="00AB751B"/>
    <w:rsid w:val="00AB79CB"/>
    <w:rsid w:val="00AC260C"/>
    <w:rsid w:val="00AC263B"/>
    <w:rsid w:val="00AC3C70"/>
    <w:rsid w:val="00AC56E1"/>
    <w:rsid w:val="00AC69EC"/>
    <w:rsid w:val="00AC7B1A"/>
    <w:rsid w:val="00AD37C5"/>
    <w:rsid w:val="00AD3B53"/>
    <w:rsid w:val="00AD487E"/>
    <w:rsid w:val="00AD6728"/>
    <w:rsid w:val="00AD6E06"/>
    <w:rsid w:val="00AE005A"/>
    <w:rsid w:val="00AE039E"/>
    <w:rsid w:val="00AE318C"/>
    <w:rsid w:val="00AE5939"/>
    <w:rsid w:val="00AE71B6"/>
    <w:rsid w:val="00AF1FBC"/>
    <w:rsid w:val="00AF324E"/>
    <w:rsid w:val="00AF5500"/>
    <w:rsid w:val="00AF5EBE"/>
    <w:rsid w:val="00AF6272"/>
    <w:rsid w:val="00B00042"/>
    <w:rsid w:val="00B0194B"/>
    <w:rsid w:val="00B02CD7"/>
    <w:rsid w:val="00B04F7C"/>
    <w:rsid w:val="00B05537"/>
    <w:rsid w:val="00B05BA3"/>
    <w:rsid w:val="00B05EC7"/>
    <w:rsid w:val="00B063B7"/>
    <w:rsid w:val="00B06520"/>
    <w:rsid w:val="00B11151"/>
    <w:rsid w:val="00B13AE4"/>
    <w:rsid w:val="00B13BFA"/>
    <w:rsid w:val="00B20158"/>
    <w:rsid w:val="00B208C7"/>
    <w:rsid w:val="00B22C6D"/>
    <w:rsid w:val="00B22DF4"/>
    <w:rsid w:val="00B26F4C"/>
    <w:rsid w:val="00B300F5"/>
    <w:rsid w:val="00B30B7F"/>
    <w:rsid w:val="00B310F4"/>
    <w:rsid w:val="00B320A7"/>
    <w:rsid w:val="00B34839"/>
    <w:rsid w:val="00B355F8"/>
    <w:rsid w:val="00B3645D"/>
    <w:rsid w:val="00B42129"/>
    <w:rsid w:val="00B42517"/>
    <w:rsid w:val="00B43C52"/>
    <w:rsid w:val="00B43DA4"/>
    <w:rsid w:val="00B455AB"/>
    <w:rsid w:val="00B457C7"/>
    <w:rsid w:val="00B47117"/>
    <w:rsid w:val="00B47C75"/>
    <w:rsid w:val="00B47D65"/>
    <w:rsid w:val="00B50940"/>
    <w:rsid w:val="00B51860"/>
    <w:rsid w:val="00B51BBE"/>
    <w:rsid w:val="00B5454F"/>
    <w:rsid w:val="00B54964"/>
    <w:rsid w:val="00B647F6"/>
    <w:rsid w:val="00B64827"/>
    <w:rsid w:val="00B64AF6"/>
    <w:rsid w:val="00B653A5"/>
    <w:rsid w:val="00B663E3"/>
    <w:rsid w:val="00B728D9"/>
    <w:rsid w:val="00B754E1"/>
    <w:rsid w:val="00B75A27"/>
    <w:rsid w:val="00B75C64"/>
    <w:rsid w:val="00B75F4E"/>
    <w:rsid w:val="00B8027E"/>
    <w:rsid w:val="00B8277B"/>
    <w:rsid w:val="00B86FAB"/>
    <w:rsid w:val="00B86FCC"/>
    <w:rsid w:val="00B874BC"/>
    <w:rsid w:val="00B87BB0"/>
    <w:rsid w:val="00B87DDE"/>
    <w:rsid w:val="00B93EFE"/>
    <w:rsid w:val="00B94EC5"/>
    <w:rsid w:val="00B94F90"/>
    <w:rsid w:val="00B9584D"/>
    <w:rsid w:val="00B96699"/>
    <w:rsid w:val="00B979CF"/>
    <w:rsid w:val="00B97A4D"/>
    <w:rsid w:val="00BA1D86"/>
    <w:rsid w:val="00BA36E2"/>
    <w:rsid w:val="00BA3B84"/>
    <w:rsid w:val="00BA5BD1"/>
    <w:rsid w:val="00BA78EA"/>
    <w:rsid w:val="00BB0650"/>
    <w:rsid w:val="00BB0912"/>
    <w:rsid w:val="00BB1A34"/>
    <w:rsid w:val="00BB4AF0"/>
    <w:rsid w:val="00BB52C8"/>
    <w:rsid w:val="00BB5CD0"/>
    <w:rsid w:val="00BB5D5A"/>
    <w:rsid w:val="00BB5EFF"/>
    <w:rsid w:val="00BB65ED"/>
    <w:rsid w:val="00BC229F"/>
    <w:rsid w:val="00BC3E65"/>
    <w:rsid w:val="00BC4C99"/>
    <w:rsid w:val="00BC5162"/>
    <w:rsid w:val="00BC54E3"/>
    <w:rsid w:val="00BC5839"/>
    <w:rsid w:val="00BC5954"/>
    <w:rsid w:val="00BC67BA"/>
    <w:rsid w:val="00BC7450"/>
    <w:rsid w:val="00BC7804"/>
    <w:rsid w:val="00BC7F5A"/>
    <w:rsid w:val="00BD2466"/>
    <w:rsid w:val="00BD26FA"/>
    <w:rsid w:val="00BD3832"/>
    <w:rsid w:val="00BD3BD4"/>
    <w:rsid w:val="00BD5B08"/>
    <w:rsid w:val="00BD63BA"/>
    <w:rsid w:val="00BD79F7"/>
    <w:rsid w:val="00BE1CD9"/>
    <w:rsid w:val="00BE25C3"/>
    <w:rsid w:val="00BE2691"/>
    <w:rsid w:val="00BE2912"/>
    <w:rsid w:val="00BE2ABB"/>
    <w:rsid w:val="00BE3166"/>
    <w:rsid w:val="00BE411C"/>
    <w:rsid w:val="00BE4A20"/>
    <w:rsid w:val="00BE5170"/>
    <w:rsid w:val="00BE5FD5"/>
    <w:rsid w:val="00BE644B"/>
    <w:rsid w:val="00BE7653"/>
    <w:rsid w:val="00BE78BC"/>
    <w:rsid w:val="00BE7A2E"/>
    <w:rsid w:val="00BF320F"/>
    <w:rsid w:val="00BF48B5"/>
    <w:rsid w:val="00BF4C4A"/>
    <w:rsid w:val="00BF567E"/>
    <w:rsid w:val="00BF7A03"/>
    <w:rsid w:val="00C012D0"/>
    <w:rsid w:val="00C02FC3"/>
    <w:rsid w:val="00C04B2D"/>
    <w:rsid w:val="00C0567D"/>
    <w:rsid w:val="00C05682"/>
    <w:rsid w:val="00C108E9"/>
    <w:rsid w:val="00C10F37"/>
    <w:rsid w:val="00C1122E"/>
    <w:rsid w:val="00C117DE"/>
    <w:rsid w:val="00C14D30"/>
    <w:rsid w:val="00C14FA2"/>
    <w:rsid w:val="00C15422"/>
    <w:rsid w:val="00C1633F"/>
    <w:rsid w:val="00C16C56"/>
    <w:rsid w:val="00C20A4D"/>
    <w:rsid w:val="00C216B3"/>
    <w:rsid w:val="00C21890"/>
    <w:rsid w:val="00C243E1"/>
    <w:rsid w:val="00C26F9D"/>
    <w:rsid w:val="00C277A0"/>
    <w:rsid w:val="00C30866"/>
    <w:rsid w:val="00C31E36"/>
    <w:rsid w:val="00C32207"/>
    <w:rsid w:val="00C3281E"/>
    <w:rsid w:val="00C36CC7"/>
    <w:rsid w:val="00C41F4C"/>
    <w:rsid w:val="00C41FE7"/>
    <w:rsid w:val="00C438EF"/>
    <w:rsid w:val="00C4444B"/>
    <w:rsid w:val="00C45717"/>
    <w:rsid w:val="00C46BE4"/>
    <w:rsid w:val="00C46E5F"/>
    <w:rsid w:val="00C46E65"/>
    <w:rsid w:val="00C4725F"/>
    <w:rsid w:val="00C47442"/>
    <w:rsid w:val="00C478CF"/>
    <w:rsid w:val="00C51B31"/>
    <w:rsid w:val="00C53039"/>
    <w:rsid w:val="00C53366"/>
    <w:rsid w:val="00C545AC"/>
    <w:rsid w:val="00C57C45"/>
    <w:rsid w:val="00C606DD"/>
    <w:rsid w:val="00C63A0D"/>
    <w:rsid w:val="00C64706"/>
    <w:rsid w:val="00C650FB"/>
    <w:rsid w:val="00C6523B"/>
    <w:rsid w:val="00C652C6"/>
    <w:rsid w:val="00C70722"/>
    <w:rsid w:val="00C724BF"/>
    <w:rsid w:val="00C72645"/>
    <w:rsid w:val="00C72E5B"/>
    <w:rsid w:val="00C74768"/>
    <w:rsid w:val="00C75CA9"/>
    <w:rsid w:val="00C75E68"/>
    <w:rsid w:val="00C7637B"/>
    <w:rsid w:val="00C76D7A"/>
    <w:rsid w:val="00C77527"/>
    <w:rsid w:val="00C777FC"/>
    <w:rsid w:val="00C77B78"/>
    <w:rsid w:val="00C8042A"/>
    <w:rsid w:val="00C81856"/>
    <w:rsid w:val="00C83599"/>
    <w:rsid w:val="00C8479C"/>
    <w:rsid w:val="00C86487"/>
    <w:rsid w:val="00C869A2"/>
    <w:rsid w:val="00C90E6F"/>
    <w:rsid w:val="00C916DD"/>
    <w:rsid w:val="00C9300F"/>
    <w:rsid w:val="00C930F9"/>
    <w:rsid w:val="00C943C5"/>
    <w:rsid w:val="00C9702E"/>
    <w:rsid w:val="00C977ED"/>
    <w:rsid w:val="00C97F0F"/>
    <w:rsid w:val="00CA0D0C"/>
    <w:rsid w:val="00CA1CAB"/>
    <w:rsid w:val="00CA2663"/>
    <w:rsid w:val="00CA3540"/>
    <w:rsid w:val="00CA4108"/>
    <w:rsid w:val="00CA6DAD"/>
    <w:rsid w:val="00CB1877"/>
    <w:rsid w:val="00CB70D3"/>
    <w:rsid w:val="00CB73D1"/>
    <w:rsid w:val="00CC0325"/>
    <w:rsid w:val="00CC22FC"/>
    <w:rsid w:val="00CC2566"/>
    <w:rsid w:val="00CC6037"/>
    <w:rsid w:val="00CD2126"/>
    <w:rsid w:val="00CE14F1"/>
    <w:rsid w:val="00CE1F7C"/>
    <w:rsid w:val="00CE33AB"/>
    <w:rsid w:val="00CE5847"/>
    <w:rsid w:val="00CF2B7F"/>
    <w:rsid w:val="00CF2DFD"/>
    <w:rsid w:val="00CF57B1"/>
    <w:rsid w:val="00CF6AAD"/>
    <w:rsid w:val="00CF6C15"/>
    <w:rsid w:val="00D00069"/>
    <w:rsid w:val="00D00CAA"/>
    <w:rsid w:val="00D030B1"/>
    <w:rsid w:val="00D045D7"/>
    <w:rsid w:val="00D0471A"/>
    <w:rsid w:val="00D050AD"/>
    <w:rsid w:val="00D127BE"/>
    <w:rsid w:val="00D13996"/>
    <w:rsid w:val="00D14BFE"/>
    <w:rsid w:val="00D14E5B"/>
    <w:rsid w:val="00D1540A"/>
    <w:rsid w:val="00D15CA3"/>
    <w:rsid w:val="00D15CFB"/>
    <w:rsid w:val="00D169A4"/>
    <w:rsid w:val="00D21449"/>
    <w:rsid w:val="00D214B8"/>
    <w:rsid w:val="00D21BA4"/>
    <w:rsid w:val="00D21C91"/>
    <w:rsid w:val="00D24154"/>
    <w:rsid w:val="00D25DE4"/>
    <w:rsid w:val="00D32674"/>
    <w:rsid w:val="00D343B3"/>
    <w:rsid w:val="00D34610"/>
    <w:rsid w:val="00D36D17"/>
    <w:rsid w:val="00D36F20"/>
    <w:rsid w:val="00D42E2C"/>
    <w:rsid w:val="00D4369A"/>
    <w:rsid w:val="00D43B59"/>
    <w:rsid w:val="00D441CB"/>
    <w:rsid w:val="00D451AD"/>
    <w:rsid w:val="00D4532F"/>
    <w:rsid w:val="00D45DD9"/>
    <w:rsid w:val="00D46600"/>
    <w:rsid w:val="00D476C9"/>
    <w:rsid w:val="00D479AB"/>
    <w:rsid w:val="00D47E5D"/>
    <w:rsid w:val="00D5161E"/>
    <w:rsid w:val="00D52F77"/>
    <w:rsid w:val="00D533E2"/>
    <w:rsid w:val="00D5405F"/>
    <w:rsid w:val="00D541BC"/>
    <w:rsid w:val="00D57B51"/>
    <w:rsid w:val="00D57B5E"/>
    <w:rsid w:val="00D6007D"/>
    <w:rsid w:val="00D613EE"/>
    <w:rsid w:val="00D61BDC"/>
    <w:rsid w:val="00D62BB8"/>
    <w:rsid w:val="00D63866"/>
    <w:rsid w:val="00D66A56"/>
    <w:rsid w:val="00D66DC3"/>
    <w:rsid w:val="00D670D9"/>
    <w:rsid w:val="00D6777A"/>
    <w:rsid w:val="00D67986"/>
    <w:rsid w:val="00D70B4C"/>
    <w:rsid w:val="00D72360"/>
    <w:rsid w:val="00D73F4F"/>
    <w:rsid w:val="00D73FF3"/>
    <w:rsid w:val="00D741BD"/>
    <w:rsid w:val="00D7448A"/>
    <w:rsid w:val="00D773EF"/>
    <w:rsid w:val="00D80CC0"/>
    <w:rsid w:val="00D8131F"/>
    <w:rsid w:val="00D8254C"/>
    <w:rsid w:val="00D82C89"/>
    <w:rsid w:val="00D83D30"/>
    <w:rsid w:val="00D84018"/>
    <w:rsid w:val="00D85323"/>
    <w:rsid w:val="00D9026B"/>
    <w:rsid w:val="00D90948"/>
    <w:rsid w:val="00D90B75"/>
    <w:rsid w:val="00D90BC6"/>
    <w:rsid w:val="00DA014A"/>
    <w:rsid w:val="00DA02C6"/>
    <w:rsid w:val="00DA2346"/>
    <w:rsid w:val="00DA334D"/>
    <w:rsid w:val="00DB2806"/>
    <w:rsid w:val="00DB31F5"/>
    <w:rsid w:val="00DB3C4C"/>
    <w:rsid w:val="00DB5203"/>
    <w:rsid w:val="00DB581E"/>
    <w:rsid w:val="00DC0A3F"/>
    <w:rsid w:val="00DC127D"/>
    <w:rsid w:val="00DC3CD1"/>
    <w:rsid w:val="00DC3FFE"/>
    <w:rsid w:val="00DC7451"/>
    <w:rsid w:val="00DC756D"/>
    <w:rsid w:val="00DC7D04"/>
    <w:rsid w:val="00DD02AE"/>
    <w:rsid w:val="00DD0300"/>
    <w:rsid w:val="00DD072C"/>
    <w:rsid w:val="00DD343E"/>
    <w:rsid w:val="00DD3832"/>
    <w:rsid w:val="00DD5297"/>
    <w:rsid w:val="00DD52AD"/>
    <w:rsid w:val="00DD61F2"/>
    <w:rsid w:val="00DD66EE"/>
    <w:rsid w:val="00DE3C0C"/>
    <w:rsid w:val="00DE5576"/>
    <w:rsid w:val="00DE63E7"/>
    <w:rsid w:val="00DF045F"/>
    <w:rsid w:val="00DF1862"/>
    <w:rsid w:val="00E017E8"/>
    <w:rsid w:val="00E02355"/>
    <w:rsid w:val="00E0282B"/>
    <w:rsid w:val="00E03B0D"/>
    <w:rsid w:val="00E04070"/>
    <w:rsid w:val="00E04877"/>
    <w:rsid w:val="00E05F23"/>
    <w:rsid w:val="00E0794B"/>
    <w:rsid w:val="00E11DDB"/>
    <w:rsid w:val="00E12806"/>
    <w:rsid w:val="00E14F02"/>
    <w:rsid w:val="00E16FA2"/>
    <w:rsid w:val="00E21626"/>
    <w:rsid w:val="00E21689"/>
    <w:rsid w:val="00E21826"/>
    <w:rsid w:val="00E22166"/>
    <w:rsid w:val="00E223F2"/>
    <w:rsid w:val="00E26E9E"/>
    <w:rsid w:val="00E30736"/>
    <w:rsid w:val="00E30DD8"/>
    <w:rsid w:val="00E31A12"/>
    <w:rsid w:val="00E34149"/>
    <w:rsid w:val="00E3559F"/>
    <w:rsid w:val="00E37BEA"/>
    <w:rsid w:val="00E42774"/>
    <w:rsid w:val="00E43D86"/>
    <w:rsid w:val="00E4509A"/>
    <w:rsid w:val="00E45350"/>
    <w:rsid w:val="00E46AAD"/>
    <w:rsid w:val="00E46EA5"/>
    <w:rsid w:val="00E50918"/>
    <w:rsid w:val="00E53F32"/>
    <w:rsid w:val="00E54074"/>
    <w:rsid w:val="00E5421A"/>
    <w:rsid w:val="00E55025"/>
    <w:rsid w:val="00E55A14"/>
    <w:rsid w:val="00E55AB0"/>
    <w:rsid w:val="00E56661"/>
    <w:rsid w:val="00E568FC"/>
    <w:rsid w:val="00E57737"/>
    <w:rsid w:val="00E65E57"/>
    <w:rsid w:val="00E673B6"/>
    <w:rsid w:val="00E67F1F"/>
    <w:rsid w:val="00E732EA"/>
    <w:rsid w:val="00E734DF"/>
    <w:rsid w:val="00E74879"/>
    <w:rsid w:val="00E75912"/>
    <w:rsid w:val="00E76E28"/>
    <w:rsid w:val="00E76EEC"/>
    <w:rsid w:val="00E803C0"/>
    <w:rsid w:val="00E8061A"/>
    <w:rsid w:val="00E81021"/>
    <w:rsid w:val="00E815C4"/>
    <w:rsid w:val="00E81E1D"/>
    <w:rsid w:val="00E82145"/>
    <w:rsid w:val="00E8297B"/>
    <w:rsid w:val="00E8430A"/>
    <w:rsid w:val="00E90CED"/>
    <w:rsid w:val="00E9162A"/>
    <w:rsid w:val="00E952BF"/>
    <w:rsid w:val="00E96907"/>
    <w:rsid w:val="00E969C9"/>
    <w:rsid w:val="00EA0B1A"/>
    <w:rsid w:val="00EA1669"/>
    <w:rsid w:val="00EA177A"/>
    <w:rsid w:val="00EA2EB6"/>
    <w:rsid w:val="00EA38CA"/>
    <w:rsid w:val="00EA4789"/>
    <w:rsid w:val="00EA6353"/>
    <w:rsid w:val="00EB0307"/>
    <w:rsid w:val="00EB0E8E"/>
    <w:rsid w:val="00EB1822"/>
    <w:rsid w:val="00EB1C61"/>
    <w:rsid w:val="00EB3263"/>
    <w:rsid w:val="00EB3DBC"/>
    <w:rsid w:val="00EB6CF1"/>
    <w:rsid w:val="00EC234F"/>
    <w:rsid w:val="00EC3E40"/>
    <w:rsid w:val="00EC3E56"/>
    <w:rsid w:val="00EC539F"/>
    <w:rsid w:val="00EC58F7"/>
    <w:rsid w:val="00EC5F0C"/>
    <w:rsid w:val="00EC64A6"/>
    <w:rsid w:val="00ED0293"/>
    <w:rsid w:val="00ED0A0A"/>
    <w:rsid w:val="00ED1595"/>
    <w:rsid w:val="00ED1BEF"/>
    <w:rsid w:val="00ED2BF4"/>
    <w:rsid w:val="00ED3628"/>
    <w:rsid w:val="00ED4D32"/>
    <w:rsid w:val="00ED7068"/>
    <w:rsid w:val="00ED7604"/>
    <w:rsid w:val="00ED7CE1"/>
    <w:rsid w:val="00EE02FD"/>
    <w:rsid w:val="00EE0D10"/>
    <w:rsid w:val="00EE4465"/>
    <w:rsid w:val="00EE45D1"/>
    <w:rsid w:val="00EE46E4"/>
    <w:rsid w:val="00EE4D2D"/>
    <w:rsid w:val="00EE5CC6"/>
    <w:rsid w:val="00EE6974"/>
    <w:rsid w:val="00EE6C18"/>
    <w:rsid w:val="00EE6F58"/>
    <w:rsid w:val="00EE7788"/>
    <w:rsid w:val="00EE79DB"/>
    <w:rsid w:val="00EF4E8D"/>
    <w:rsid w:val="00EF55AE"/>
    <w:rsid w:val="00EF65CA"/>
    <w:rsid w:val="00F0138C"/>
    <w:rsid w:val="00F019DC"/>
    <w:rsid w:val="00F033DE"/>
    <w:rsid w:val="00F034D2"/>
    <w:rsid w:val="00F04E13"/>
    <w:rsid w:val="00F05A0A"/>
    <w:rsid w:val="00F06EC6"/>
    <w:rsid w:val="00F10752"/>
    <w:rsid w:val="00F11D30"/>
    <w:rsid w:val="00F12238"/>
    <w:rsid w:val="00F1312D"/>
    <w:rsid w:val="00F13CFD"/>
    <w:rsid w:val="00F1747A"/>
    <w:rsid w:val="00F236C2"/>
    <w:rsid w:val="00F24325"/>
    <w:rsid w:val="00F25745"/>
    <w:rsid w:val="00F301D1"/>
    <w:rsid w:val="00F31C2F"/>
    <w:rsid w:val="00F32A61"/>
    <w:rsid w:val="00F32C0E"/>
    <w:rsid w:val="00F3414F"/>
    <w:rsid w:val="00F34779"/>
    <w:rsid w:val="00F364C1"/>
    <w:rsid w:val="00F36632"/>
    <w:rsid w:val="00F4004D"/>
    <w:rsid w:val="00F43701"/>
    <w:rsid w:val="00F448F9"/>
    <w:rsid w:val="00F45D7F"/>
    <w:rsid w:val="00F47C45"/>
    <w:rsid w:val="00F47DF6"/>
    <w:rsid w:val="00F536E9"/>
    <w:rsid w:val="00F5385C"/>
    <w:rsid w:val="00F53921"/>
    <w:rsid w:val="00F53A77"/>
    <w:rsid w:val="00F54387"/>
    <w:rsid w:val="00F54679"/>
    <w:rsid w:val="00F55BF0"/>
    <w:rsid w:val="00F55F27"/>
    <w:rsid w:val="00F5692C"/>
    <w:rsid w:val="00F569AC"/>
    <w:rsid w:val="00F604F0"/>
    <w:rsid w:val="00F6085F"/>
    <w:rsid w:val="00F62808"/>
    <w:rsid w:val="00F6672C"/>
    <w:rsid w:val="00F727E6"/>
    <w:rsid w:val="00F728EF"/>
    <w:rsid w:val="00F74D9A"/>
    <w:rsid w:val="00F76283"/>
    <w:rsid w:val="00F7789A"/>
    <w:rsid w:val="00F80367"/>
    <w:rsid w:val="00F81051"/>
    <w:rsid w:val="00F82989"/>
    <w:rsid w:val="00F83923"/>
    <w:rsid w:val="00F84A93"/>
    <w:rsid w:val="00F8574F"/>
    <w:rsid w:val="00F861FF"/>
    <w:rsid w:val="00F87D39"/>
    <w:rsid w:val="00F917A7"/>
    <w:rsid w:val="00F927EC"/>
    <w:rsid w:val="00F93DE4"/>
    <w:rsid w:val="00F95054"/>
    <w:rsid w:val="00F95D40"/>
    <w:rsid w:val="00F96DCA"/>
    <w:rsid w:val="00F97169"/>
    <w:rsid w:val="00F97A9C"/>
    <w:rsid w:val="00FA01E0"/>
    <w:rsid w:val="00FA03A1"/>
    <w:rsid w:val="00FA453B"/>
    <w:rsid w:val="00FA55DD"/>
    <w:rsid w:val="00FA5C6A"/>
    <w:rsid w:val="00FA7C17"/>
    <w:rsid w:val="00FB0F65"/>
    <w:rsid w:val="00FB23AB"/>
    <w:rsid w:val="00FB4CE4"/>
    <w:rsid w:val="00FB53EB"/>
    <w:rsid w:val="00FB6D2C"/>
    <w:rsid w:val="00FB77B7"/>
    <w:rsid w:val="00FB7EED"/>
    <w:rsid w:val="00FC191C"/>
    <w:rsid w:val="00FC1F0F"/>
    <w:rsid w:val="00FC3025"/>
    <w:rsid w:val="00FC40FC"/>
    <w:rsid w:val="00FC6386"/>
    <w:rsid w:val="00FC68FC"/>
    <w:rsid w:val="00FC719E"/>
    <w:rsid w:val="00FD29BC"/>
    <w:rsid w:val="00FD6029"/>
    <w:rsid w:val="00FE2913"/>
    <w:rsid w:val="00FE443C"/>
    <w:rsid w:val="00FE7CF5"/>
    <w:rsid w:val="00FE7F93"/>
    <w:rsid w:val="00FF1EA6"/>
    <w:rsid w:val="00FF2FAD"/>
    <w:rsid w:val="00FF4FA5"/>
    <w:rsid w:val="00FF5112"/>
    <w:rsid w:val="00FF64B2"/>
    <w:rsid w:val="00FF670C"/>
    <w:rsid w:val="00FF6A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14:docId w14:val="4D83C17C"/>
  <w15:chartTrackingRefBased/>
  <w15:docId w15:val="{D80C8FB4-9D79-45A2-ACC9-8C698E66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5">
    <w:name w:val="heading 5"/>
    <w:basedOn w:val="Normal"/>
    <w:next w:val="Normal"/>
    <w:qFormat/>
    <w:rsid w:val="009013EB"/>
    <w:pPr>
      <w:keepNext/>
      <w:widowControl w:val="0"/>
      <w:numPr>
        <w:ilvl w:val="4"/>
        <w:numId w:val="31"/>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31"/>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31"/>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31"/>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31"/>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360"/>
        <w:tab w:val="clear" w:pos="1440"/>
      </w:tabs>
      <w:spacing w:before="0"/>
      <w:outlineLvl w:val="9"/>
    </w:pPr>
    <w:rPr>
      <w:lang w:val="en-GB"/>
    </w:rPr>
  </w:style>
  <w:style w:type="paragraph" w:styleId="Header">
    <w:name w:val="header"/>
    <w:basedOn w:val="Normal"/>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semiHidden/>
    <w:pPr>
      <w:widowControl w:val="0"/>
      <w:spacing w:line="240" w:lineRule="atLeast"/>
      <w:ind w:left="720" w:hanging="720"/>
      <w:jc w:val="both"/>
    </w:pPr>
    <w:rPr>
      <w:rFonts w:ascii="Book Antiqua" w:hAnsi="Book Antiqua"/>
      <w:sz w:val="20"/>
      <w:szCs w:val="20"/>
    </w:rPr>
  </w:style>
  <w:style w:type="character" w:styleId="FootnoteReference">
    <w:name w:val="footnote reference"/>
    <w:semiHidden/>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rsid w:val="000F27BB"/>
    <w:pPr>
      <w:spacing w:before="120"/>
    </w:pPr>
    <w:rPr>
      <w:lang w:eastAsia="en-US"/>
    </w:rPr>
  </w:style>
  <w:style w:type="paragraph" w:customStyle="1" w:styleId="BodySectionSub">
    <w:name w:val="Body Section (Sub)"/>
    <w:next w:val="Normal"/>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 Char Char2"/>
    <w:rsid w:val="00256834"/>
    <w:rPr>
      <w:lang w:val="en-US" w:eastAsia="en-US" w:bidi="ar-SA"/>
    </w:rPr>
  </w:style>
  <w:style w:type="paragraph" w:styleId="ListNumber">
    <w:name w:val="List Number"/>
    <w:basedOn w:val="Normal"/>
    <w:next w:val="Normal"/>
    <w:rsid w:val="00EA6353"/>
    <w:pPr>
      <w:numPr>
        <w:numId w:val="18"/>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hyperlink" Target="http://www.abanet.org" TargetMode="Externa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oleObject" Target="embeddings/Microsoft_Excel_Chart.xls"/><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ifs.gov.au/institute/afrc9/paper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familycourt.gov.au"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zerotothree.org" TargetMode="External"/><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oleObject" Target="embeddings/oleObject1.bin"/><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6991150442478"/>
          <c:y val="6.83453237410072E-2"/>
          <c:w val="0.78230088495575223"/>
          <c:h val="0.73381294964028776"/>
        </c:manualLayout>
      </c:layout>
      <c:lineChart>
        <c:grouping val="standard"/>
        <c:varyColors val="0"/>
        <c:ser>
          <c:idx val="0"/>
          <c:order val="0"/>
          <c:spPr>
            <a:ln w="36562">
              <a:solidFill>
                <a:srgbClr val="000080"/>
              </a:solidFill>
              <a:prstDash val="solid"/>
            </a:ln>
          </c:spPr>
          <c:marker>
            <c:symbol val="diamond"/>
            <c:size val="3"/>
            <c:spPr>
              <a:solidFill>
                <a:srgbClr val="000080"/>
              </a:solidFill>
              <a:ln>
                <a:solidFill>
                  <a:srgbClr val="000080"/>
                </a:solidFill>
                <a:prstDash val="solid"/>
              </a:ln>
            </c:spPr>
          </c:marker>
          <c:cat>
            <c:strRef>
              <c:f>Notifications!$D$8:$D$20</c:f>
              <c:strCache>
                <c:ptCount val="13"/>
                <c:pt idx="0">
                  <c:v>1989</c:v>
                </c:pt>
                <c:pt idx="1">
                  <c:v>1990</c:v>
                </c:pt>
                <c:pt idx="2">
                  <c:v>1991</c:v>
                </c:pt>
                <c:pt idx="3">
                  <c:v>1992</c:v>
                </c:pt>
                <c:pt idx="4">
                  <c:v>1993-1994</c:v>
                </c:pt>
                <c:pt idx="5">
                  <c:v>1994-1995</c:v>
                </c:pt>
                <c:pt idx="6">
                  <c:v>1995-1996</c:v>
                </c:pt>
                <c:pt idx="7">
                  <c:v>1996-1997</c:v>
                </c:pt>
                <c:pt idx="8">
                  <c:v>1997-1998</c:v>
                </c:pt>
                <c:pt idx="9">
                  <c:v>1998-1999</c:v>
                </c:pt>
                <c:pt idx="10">
                  <c:v>1999-2000</c:v>
                </c:pt>
                <c:pt idx="11">
                  <c:v>2000-2001</c:v>
                </c:pt>
                <c:pt idx="12">
                  <c:v>2001-2002</c:v>
                </c:pt>
              </c:strCache>
            </c:strRef>
          </c:cat>
          <c:val>
            <c:numRef>
              <c:f>Notifications!$E$8:$E$20</c:f>
              <c:numCache>
                <c:formatCode>General</c:formatCode>
                <c:ptCount val="13"/>
                <c:pt idx="0">
                  <c:v>13053</c:v>
                </c:pt>
                <c:pt idx="1">
                  <c:v>16524</c:v>
                </c:pt>
                <c:pt idx="2">
                  <c:v>18136</c:v>
                </c:pt>
                <c:pt idx="3">
                  <c:v>18610</c:v>
                </c:pt>
                <c:pt idx="4">
                  <c:v>26685</c:v>
                </c:pt>
                <c:pt idx="5">
                  <c:v>31699</c:v>
                </c:pt>
                <c:pt idx="6">
                  <c:v>29984</c:v>
                </c:pt>
                <c:pt idx="7">
                  <c:v>31707</c:v>
                </c:pt>
                <c:pt idx="8">
                  <c:v>33163</c:v>
                </c:pt>
                <c:pt idx="9">
                  <c:v>34697</c:v>
                </c:pt>
                <c:pt idx="10">
                  <c:v>36805</c:v>
                </c:pt>
                <c:pt idx="11">
                  <c:v>36966</c:v>
                </c:pt>
                <c:pt idx="12">
                  <c:v>37966</c:v>
                </c:pt>
              </c:numCache>
            </c:numRef>
          </c:val>
          <c:smooth val="1"/>
          <c:extLst>
            <c:ext xmlns:c16="http://schemas.microsoft.com/office/drawing/2014/chart" uri="{C3380CC4-5D6E-409C-BE32-E72D297353CC}">
              <c16:uniqueId val="{00000000-66E6-4006-ABF9-8ADF2477215B}"/>
            </c:ext>
          </c:extLst>
        </c:ser>
        <c:dLbls>
          <c:showLegendKey val="0"/>
          <c:showVal val="0"/>
          <c:showCatName val="0"/>
          <c:showSerName val="0"/>
          <c:showPercent val="0"/>
          <c:showBubbleSize val="0"/>
        </c:dLbls>
        <c:marker val="1"/>
        <c:smooth val="0"/>
        <c:axId val="350231567"/>
        <c:axId val="1"/>
      </c:lineChart>
      <c:catAx>
        <c:axId val="350231567"/>
        <c:scaling>
          <c:orientation val="minMax"/>
        </c:scaling>
        <c:delete val="0"/>
        <c:axPos val="b"/>
        <c:numFmt formatCode="General" sourceLinked="1"/>
        <c:majorTickMark val="out"/>
        <c:minorTickMark val="none"/>
        <c:tickLblPos val="nextTo"/>
        <c:spPr>
          <a:ln w="3047">
            <a:solidFill>
              <a:srgbClr val="000000"/>
            </a:solidFill>
            <a:prstDash val="solid"/>
          </a:ln>
        </c:spPr>
        <c:txPr>
          <a:bodyPr rot="0" vert="horz"/>
          <a:lstStyle/>
          <a:p>
            <a:pPr>
              <a:defRPr sz="744"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775" b="0" i="0" u="none" strike="noStrike" baseline="0">
                    <a:solidFill>
                      <a:srgbClr val="000000"/>
                    </a:solidFill>
                    <a:latin typeface="Arial"/>
                    <a:ea typeface="Arial"/>
                    <a:cs typeface="Arial"/>
                  </a:defRPr>
                </a:pPr>
                <a:r>
                  <a:rPr lang="en-AU"/>
                  <a:t>Notifications</a:t>
                </a:r>
              </a:p>
            </c:rich>
          </c:tx>
          <c:layout>
            <c:manualLayout>
              <c:xMode val="edge"/>
              <c:yMode val="edge"/>
              <c:x val="0"/>
              <c:y val="0.16546762589928057"/>
            </c:manualLayout>
          </c:layout>
          <c:overlay val="0"/>
          <c:spPr>
            <a:noFill/>
            <a:ln w="24374">
              <a:noFill/>
            </a:ln>
          </c:spPr>
        </c:title>
        <c:numFmt formatCode="General" sourceLinked="1"/>
        <c:majorTickMark val="out"/>
        <c:minorTickMark val="none"/>
        <c:tickLblPos val="nextTo"/>
        <c:spPr>
          <a:ln w="3047">
            <a:solidFill>
              <a:srgbClr val="000000"/>
            </a:solidFill>
            <a:prstDash val="solid"/>
          </a:ln>
        </c:spPr>
        <c:txPr>
          <a:bodyPr rot="0" vert="horz"/>
          <a:lstStyle/>
          <a:p>
            <a:pPr>
              <a:defRPr sz="1487" b="0" i="0" u="none" strike="noStrike" baseline="0">
                <a:solidFill>
                  <a:srgbClr val="000000"/>
                </a:solidFill>
                <a:latin typeface="Arial"/>
                <a:ea typeface="Arial"/>
                <a:cs typeface="Arial"/>
              </a:defRPr>
            </a:pPr>
            <a:endParaRPr lang="en-US"/>
          </a:p>
        </c:txPr>
        <c:crossAx val="350231567"/>
        <c:crosses val="autoZero"/>
        <c:crossBetween val="between"/>
      </c:valAx>
      <c:spPr>
        <a:noFill/>
        <a:ln w="24374">
          <a:noFill/>
        </a:ln>
      </c:spPr>
    </c:plotArea>
    <c:plotVisOnly val="1"/>
    <c:dispBlanksAs val="gap"/>
    <c:showDLblsOverMax val="0"/>
  </c:chart>
  <c:spPr>
    <a:noFill/>
    <a:ln w="38100" cap="flat" cmpd="dbl"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672"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60422</Words>
  <Characters>344411</Characters>
  <Application>Microsoft Office Word</Application>
  <DocSecurity>0</DocSecurity>
  <Lines>2870</Lines>
  <Paragraphs>808</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404025</CharactersWithSpaces>
  <SharedDoc>false</SharedDoc>
  <HLinks>
    <vt:vector size="498" baseType="variant">
      <vt:variant>
        <vt:i4>3866744</vt:i4>
      </vt:variant>
      <vt:variant>
        <vt:i4>258</vt:i4>
      </vt:variant>
      <vt:variant>
        <vt:i4>0</vt:i4>
      </vt:variant>
      <vt:variant>
        <vt:i4>5</vt:i4>
      </vt:variant>
      <vt:variant>
        <vt:lpwstr>http://www.aifs.gov.au/institute/afrc9/papers.html</vt:lpwstr>
      </vt:variant>
      <vt:variant>
        <vt:lpwstr/>
      </vt:variant>
      <vt:variant>
        <vt:i4>3932260</vt:i4>
      </vt:variant>
      <vt:variant>
        <vt:i4>255</vt:i4>
      </vt:variant>
      <vt:variant>
        <vt:i4>0</vt:i4>
      </vt:variant>
      <vt:variant>
        <vt:i4>5</vt:i4>
      </vt:variant>
      <vt:variant>
        <vt:lpwstr>http://www.zerotothree.org/</vt:lpwstr>
      </vt:variant>
      <vt:variant>
        <vt:lpwstr/>
      </vt:variant>
      <vt:variant>
        <vt:i4>3997728</vt:i4>
      </vt:variant>
      <vt:variant>
        <vt:i4>252</vt:i4>
      </vt:variant>
      <vt:variant>
        <vt:i4>0</vt:i4>
      </vt:variant>
      <vt:variant>
        <vt:i4>5</vt:i4>
      </vt:variant>
      <vt:variant>
        <vt:lpwstr>http://www.abanet.org/</vt:lpwstr>
      </vt:variant>
      <vt:variant>
        <vt:lpwstr/>
      </vt:variant>
      <vt:variant>
        <vt:i4>7405606</vt:i4>
      </vt:variant>
      <vt:variant>
        <vt:i4>249</vt:i4>
      </vt:variant>
      <vt:variant>
        <vt:i4>0</vt:i4>
      </vt:variant>
      <vt:variant>
        <vt:i4>5</vt:i4>
      </vt:variant>
      <vt:variant>
        <vt:lpwstr>http://www.familycourt.gov.au/</vt:lpwstr>
      </vt:variant>
      <vt:variant>
        <vt:lpwstr/>
      </vt:variant>
      <vt:variant>
        <vt:i4>3539033</vt:i4>
      </vt:variant>
      <vt:variant>
        <vt:i4>246</vt:i4>
      </vt:variant>
      <vt:variant>
        <vt:i4>0</vt:i4>
      </vt:variant>
      <vt:variant>
        <vt:i4>5</vt:i4>
      </vt:variant>
      <vt:variant>
        <vt:lpwstr/>
      </vt:variant>
      <vt:variant>
        <vt:lpwstr>_4.7.6_Child_representation</vt:lpwstr>
      </vt:variant>
      <vt:variant>
        <vt:i4>5701677</vt:i4>
      </vt:variant>
      <vt:variant>
        <vt:i4>243</vt:i4>
      </vt:variant>
      <vt:variant>
        <vt:i4>0</vt:i4>
      </vt:variant>
      <vt:variant>
        <vt:i4>5</vt:i4>
      </vt:variant>
      <vt:variant>
        <vt:lpwstr/>
      </vt:variant>
      <vt:variant>
        <vt:lpwstr>_4.7_Representation_of</vt:lpwstr>
      </vt:variant>
      <vt:variant>
        <vt:i4>2424857</vt:i4>
      </vt:variant>
      <vt:variant>
        <vt:i4>228</vt:i4>
      </vt:variant>
      <vt:variant>
        <vt:i4>0</vt:i4>
      </vt:variant>
      <vt:variant>
        <vt:i4>5</vt:i4>
      </vt:variant>
      <vt:variant>
        <vt:lpwstr/>
      </vt:variant>
      <vt:variant>
        <vt:lpwstr>_4.18_Some_other</vt:lpwstr>
      </vt:variant>
      <vt:variant>
        <vt:i4>3801100</vt:i4>
      </vt:variant>
      <vt:variant>
        <vt:i4>225</vt:i4>
      </vt:variant>
      <vt:variant>
        <vt:i4>0</vt:i4>
      </vt:variant>
      <vt:variant>
        <vt:i4>5</vt:i4>
      </vt:variant>
      <vt:variant>
        <vt:lpwstr/>
      </vt:variant>
      <vt:variant>
        <vt:lpwstr>_4.17_Family_Drug</vt:lpwstr>
      </vt:variant>
      <vt:variant>
        <vt:i4>4325496</vt:i4>
      </vt:variant>
      <vt:variant>
        <vt:i4>222</vt:i4>
      </vt:variant>
      <vt:variant>
        <vt:i4>0</vt:i4>
      </vt:variant>
      <vt:variant>
        <vt:i4>5</vt:i4>
      </vt:variant>
      <vt:variant>
        <vt:lpwstr/>
      </vt:variant>
      <vt:variant>
        <vt:lpwstr>_4.16_Effect_on</vt:lpwstr>
      </vt:variant>
      <vt:variant>
        <vt:i4>2949146</vt:i4>
      </vt:variant>
      <vt:variant>
        <vt:i4>219</vt:i4>
      </vt:variant>
      <vt:variant>
        <vt:i4>0</vt:i4>
      </vt:variant>
      <vt:variant>
        <vt:i4>5</vt:i4>
      </vt:variant>
      <vt:variant>
        <vt:lpwstr/>
      </vt:variant>
      <vt:variant>
        <vt:lpwstr>_4.15_Cumulative_harm</vt:lpwstr>
      </vt:variant>
      <vt:variant>
        <vt:i4>7077974</vt:i4>
      </vt:variant>
      <vt:variant>
        <vt:i4>216</vt:i4>
      </vt:variant>
      <vt:variant>
        <vt:i4>0</vt:i4>
      </vt:variant>
      <vt:variant>
        <vt:i4>5</vt:i4>
      </vt:variant>
      <vt:variant>
        <vt:lpwstr/>
      </vt:variant>
      <vt:variant>
        <vt:lpwstr>_4.14.4__Contact</vt:lpwstr>
      </vt:variant>
      <vt:variant>
        <vt:i4>7864405</vt:i4>
      </vt:variant>
      <vt:variant>
        <vt:i4>213</vt:i4>
      </vt:variant>
      <vt:variant>
        <vt:i4>0</vt:i4>
      </vt:variant>
      <vt:variant>
        <vt:i4>5</vt:i4>
      </vt:variant>
      <vt:variant>
        <vt:lpwstr/>
      </vt:variant>
      <vt:variant>
        <vt:lpwstr>_4.14.3__American</vt:lpwstr>
      </vt:variant>
      <vt:variant>
        <vt:i4>6553673</vt:i4>
      </vt:variant>
      <vt:variant>
        <vt:i4>210</vt:i4>
      </vt:variant>
      <vt:variant>
        <vt:i4>0</vt:i4>
      </vt:variant>
      <vt:variant>
        <vt:i4>5</vt:i4>
      </vt:variant>
      <vt:variant>
        <vt:lpwstr/>
      </vt:variant>
      <vt:variant>
        <vt:lpwstr>_4.14.2__Case</vt:lpwstr>
      </vt:variant>
      <vt:variant>
        <vt:i4>544210987</vt:i4>
      </vt:variant>
      <vt:variant>
        <vt:i4>207</vt:i4>
      </vt:variant>
      <vt:variant>
        <vt:i4>0</vt:i4>
      </vt:variant>
      <vt:variant>
        <vt:i4>5</vt:i4>
      </vt:variant>
      <vt:variant>
        <vt:lpwstr/>
      </vt:variant>
      <vt:variant>
        <vt:lpwstr>_4.14.1__“Baby</vt:lpwstr>
      </vt:variant>
      <vt:variant>
        <vt:i4>6684747</vt:i4>
      </vt:variant>
      <vt:variant>
        <vt:i4>204</vt:i4>
      </vt:variant>
      <vt:variant>
        <vt:i4>0</vt:i4>
      </vt:variant>
      <vt:variant>
        <vt:i4>5</vt:i4>
      </vt:variant>
      <vt:variant>
        <vt:lpwstr/>
      </vt:variant>
      <vt:variant>
        <vt:lpwstr>_4.14_Frequency_of</vt:lpwstr>
      </vt:variant>
      <vt:variant>
        <vt:i4>3473419</vt:i4>
      </vt:variant>
      <vt:variant>
        <vt:i4>201</vt:i4>
      </vt:variant>
      <vt:variant>
        <vt:i4>0</vt:i4>
      </vt:variant>
      <vt:variant>
        <vt:i4>5</vt:i4>
      </vt:variant>
      <vt:variant>
        <vt:lpwstr/>
      </vt:variant>
      <vt:variant>
        <vt:lpwstr>_4.13_Shared_care</vt:lpwstr>
      </vt:variant>
      <vt:variant>
        <vt:i4>6029428</vt:i4>
      </vt:variant>
      <vt:variant>
        <vt:i4>198</vt:i4>
      </vt:variant>
      <vt:variant>
        <vt:i4>0</vt:i4>
      </vt:variant>
      <vt:variant>
        <vt:i4>5</vt:i4>
      </vt:variant>
      <vt:variant>
        <vt:lpwstr/>
      </vt:variant>
      <vt:variant>
        <vt:lpwstr>_4.12_Relationship_between</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cp:lastModifiedBy>Jane Pike</cp:lastModifiedBy>
  <cp:revision>2</cp:revision>
  <cp:lastPrinted>2019-12-13T03:17:00Z</cp:lastPrinted>
  <dcterms:created xsi:type="dcterms:W3CDTF">2021-05-20T04:45:00Z</dcterms:created>
  <dcterms:modified xsi:type="dcterms:W3CDTF">2021-05-20T04:45:00Z</dcterms:modified>
</cp:coreProperties>
</file>